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F407B">
      <w:pPr>
        <w:rPr>
          <w:rFonts w:hint="eastAsia" w:ascii="宋体" w:hAnsi="宋体"/>
          <w:color w:val="auto"/>
          <w:highlight w:val="none"/>
        </w:rPr>
      </w:pPr>
    </w:p>
    <w:p w14:paraId="543DA27C">
      <w:pPr>
        <w:rPr>
          <w:rFonts w:hint="eastAsia" w:ascii="宋体" w:hAnsi="宋体"/>
          <w:color w:val="auto"/>
          <w:highlight w:val="none"/>
        </w:rPr>
      </w:pPr>
    </w:p>
    <w:p w14:paraId="5B3C0D2C">
      <w:pPr>
        <w:rPr>
          <w:rFonts w:hint="eastAsia" w:ascii="宋体" w:hAnsi="宋体"/>
          <w:color w:val="auto"/>
          <w:highlight w:val="none"/>
        </w:rPr>
      </w:pPr>
    </w:p>
    <w:p w14:paraId="5FB724F1">
      <w:pPr>
        <w:rPr>
          <w:rFonts w:hint="eastAsia" w:ascii="宋体" w:hAnsi="宋体"/>
          <w:color w:val="auto"/>
          <w:highlight w:val="none"/>
        </w:rPr>
      </w:pPr>
    </w:p>
    <w:p w14:paraId="49641811">
      <w:pPr>
        <w:rPr>
          <w:rFonts w:hint="eastAsia" w:ascii="宋体" w:hAnsi="宋体"/>
          <w:color w:val="auto"/>
          <w:highlight w:val="none"/>
        </w:rPr>
      </w:pPr>
    </w:p>
    <w:p w14:paraId="1C4A093D">
      <w:pPr>
        <w:jc w:val="center"/>
        <w:rPr>
          <w:rFonts w:hint="eastAsia" w:ascii="宋体" w:hAnsi="宋体"/>
          <w:b/>
          <w:color w:val="auto"/>
          <w:sz w:val="52"/>
          <w:szCs w:val="52"/>
          <w:highlight w:val="none"/>
        </w:rPr>
      </w:pPr>
      <w:r>
        <w:rPr>
          <w:rFonts w:hint="eastAsia" w:ascii="宋体" w:hAnsi="宋体"/>
          <w:b/>
          <w:color w:val="auto"/>
          <w:sz w:val="52"/>
          <w:szCs w:val="52"/>
          <w:highlight w:val="none"/>
          <w:lang w:eastAsia="zh-CN"/>
        </w:rPr>
        <w:t>天河区柯木塱村城中村改造项目-首开区凤凰汇西侧地块复建安置房及配套设施工程勘察及初步设计服务</w:t>
      </w:r>
    </w:p>
    <w:p w14:paraId="35CB930B">
      <w:pPr>
        <w:rPr>
          <w:rFonts w:hint="eastAsia" w:ascii="宋体" w:hAnsi="宋体"/>
          <w:color w:val="auto"/>
          <w:highlight w:val="none"/>
        </w:rPr>
      </w:pPr>
    </w:p>
    <w:p w14:paraId="0372B239">
      <w:pPr>
        <w:rPr>
          <w:rFonts w:hint="eastAsia" w:ascii="宋体" w:hAnsi="宋体"/>
          <w:color w:val="auto"/>
          <w:highlight w:val="none"/>
        </w:rPr>
      </w:pPr>
      <w:bookmarkStart w:id="53" w:name="_GoBack"/>
      <w:bookmarkEnd w:id="53"/>
    </w:p>
    <w:p w14:paraId="730E6FE2">
      <w:pPr>
        <w:rPr>
          <w:rFonts w:hint="eastAsia" w:ascii="宋体" w:hAnsi="宋体"/>
          <w:color w:val="auto"/>
          <w:highlight w:val="none"/>
        </w:rPr>
      </w:pPr>
    </w:p>
    <w:p w14:paraId="23CFD5B7">
      <w:pPr>
        <w:jc w:val="center"/>
        <w:rPr>
          <w:rFonts w:hint="eastAsia" w:ascii="宋体" w:hAnsi="宋体" w:eastAsia="宋体"/>
          <w:b/>
          <w:bCs/>
          <w:color w:val="auto"/>
          <w:sz w:val="52"/>
          <w:szCs w:val="52"/>
          <w:highlight w:val="none"/>
          <w:lang w:val="en-US" w:eastAsia="zh-CN"/>
        </w:rPr>
      </w:pPr>
      <w:r>
        <w:rPr>
          <w:rFonts w:hint="eastAsia" w:ascii="宋体" w:hAnsi="宋体"/>
          <w:b/>
          <w:bCs/>
          <w:color w:val="auto"/>
          <w:sz w:val="52"/>
          <w:szCs w:val="52"/>
          <w:highlight w:val="none"/>
          <w:lang w:val="en-US" w:eastAsia="zh-CN"/>
        </w:rPr>
        <w:t>招标文件</w:t>
      </w:r>
    </w:p>
    <w:p w14:paraId="53E86675">
      <w:pPr>
        <w:rPr>
          <w:rFonts w:hint="eastAsia" w:ascii="宋体" w:hAnsi="宋体"/>
          <w:color w:val="auto"/>
          <w:highlight w:val="none"/>
        </w:rPr>
      </w:pPr>
    </w:p>
    <w:p w14:paraId="6F530A5F">
      <w:pPr>
        <w:rPr>
          <w:rFonts w:hint="eastAsia" w:ascii="宋体" w:hAnsi="宋体"/>
          <w:color w:val="auto"/>
          <w:highlight w:val="none"/>
        </w:rPr>
      </w:pPr>
    </w:p>
    <w:p w14:paraId="3F1987B4">
      <w:pPr>
        <w:pStyle w:val="15"/>
        <w:rPr>
          <w:rFonts w:hint="eastAsia"/>
          <w:color w:val="auto"/>
          <w:highlight w:val="none"/>
        </w:rPr>
      </w:pPr>
    </w:p>
    <w:p w14:paraId="2DB83ACA">
      <w:pPr>
        <w:rPr>
          <w:rFonts w:hint="eastAsia" w:ascii="宋体" w:hAnsi="宋体"/>
          <w:color w:val="auto"/>
          <w:highlight w:val="none"/>
        </w:rPr>
      </w:pPr>
    </w:p>
    <w:p w14:paraId="09E12F6D">
      <w:pPr>
        <w:rPr>
          <w:rFonts w:hint="eastAsia" w:ascii="宋体" w:hAnsi="宋体"/>
          <w:color w:val="auto"/>
          <w:highlight w:val="none"/>
        </w:rPr>
      </w:pPr>
    </w:p>
    <w:p w14:paraId="36D5B9A4">
      <w:pPr>
        <w:rPr>
          <w:rFonts w:hint="eastAsia" w:ascii="宋体" w:hAnsi="宋体"/>
          <w:color w:val="auto"/>
          <w:highlight w:val="none"/>
        </w:rPr>
      </w:pPr>
    </w:p>
    <w:p w14:paraId="12A5FBB2">
      <w:pPr>
        <w:rPr>
          <w:rFonts w:hint="eastAsia" w:ascii="宋体" w:hAnsi="宋体"/>
          <w:color w:val="auto"/>
          <w:highlight w:val="none"/>
        </w:rPr>
      </w:pPr>
    </w:p>
    <w:p w14:paraId="1CD2619D">
      <w:pPr>
        <w:rPr>
          <w:rFonts w:hint="eastAsia" w:ascii="宋体" w:hAnsi="宋体"/>
          <w:color w:val="auto"/>
          <w:highlight w:val="none"/>
        </w:rPr>
      </w:pPr>
    </w:p>
    <w:p w14:paraId="269659FD">
      <w:pPr>
        <w:pStyle w:val="15"/>
        <w:rPr>
          <w:rFonts w:hint="eastAsia" w:hAnsi="宋体"/>
          <w:color w:val="auto"/>
          <w:highlight w:val="none"/>
        </w:rPr>
      </w:pPr>
    </w:p>
    <w:p w14:paraId="6746E812">
      <w:pPr>
        <w:rPr>
          <w:rFonts w:hint="eastAsia" w:ascii="宋体" w:hAnsi="宋体"/>
          <w:color w:val="auto"/>
          <w:highlight w:val="none"/>
        </w:rPr>
      </w:pPr>
    </w:p>
    <w:p w14:paraId="2DCB7E2B">
      <w:pPr>
        <w:pStyle w:val="15"/>
        <w:rPr>
          <w:rFonts w:hint="eastAsia"/>
          <w:color w:val="auto"/>
          <w:highlight w:val="none"/>
        </w:rPr>
      </w:pPr>
    </w:p>
    <w:p w14:paraId="3DCA4904">
      <w:pPr>
        <w:rPr>
          <w:rFonts w:hint="eastAsia" w:ascii="宋体" w:hAnsi="宋体"/>
          <w:color w:val="auto"/>
          <w:highlight w:val="none"/>
        </w:rPr>
      </w:pPr>
    </w:p>
    <w:p w14:paraId="659D50C5">
      <w:pPr>
        <w:rPr>
          <w:rFonts w:hint="eastAsia" w:ascii="宋体" w:hAnsi="宋体"/>
          <w:color w:val="auto"/>
          <w:highlight w:val="none"/>
        </w:rPr>
      </w:pPr>
      <w:r>
        <w:rPr>
          <w:rFonts w:hint="eastAsia" w:ascii="宋体" w:hAnsi="宋体"/>
          <w:color w:val="auto"/>
          <w:highlight w:val="none"/>
        </w:rPr>
        <w:t>------------------------------------------------------------------------------------</w:t>
      </w:r>
    </w:p>
    <w:p w14:paraId="242C2519">
      <w:pPr>
        <w:rPr>
          <w:rFonts w:hint="eastAsia" w:ascii="宋体" w:hAnsi="宋体"/>
          <w:color w:val="auto"/>
          <w:highlight w:val="none"/>
        </w:rPr>
      </w:pPr>
    </w:p>
    <w:p w14:paraId="148B27D2">
      <w:pPr>
        <w:rPr>
          <w:rFonts w:ascii="宋体" w:hAnsi="宋体"/>
          <w:color w:val="auto"/>
          <w:highlight w:val="none"/>
        </w:rPr>
        <w:sectPr>
          <w:headerReference r:id="rId3" w:type="default"/>
          <w:footerReference r:id="rId4" w:type="even"/>
          <w:pgSz w:w="11906" w:h="16838"/>
          <w:pgMar w:top="1440" w:right="1134" w:bottom="1440" w:left="1134" w:header="851" w:footer="992" w:gutter="0"/>
          <w:cols w:space="720" w:num="1"/>
          <w:docGrid w:type="linesAndChars" w:linePitch="312" w:charSpace="0"/>
        </w:sectPr>
      </w:pPr>
    </w:p>
    <w:p w14:paraId="6B7E1793">
      <w:pPr>
        <w:rPr>
          <w:rFonts w:hint="eastAsia" w:ascii="宋体" w:hAnsi="宋体"/>
          <w:color w:val="auto"/>
          <w:highlight w:val="none"/>
        </w:rPr>
      </w:pPr>
      <w:r>
        <w:rPr>
          <w:rFonts w:hint="eastAsia" w:ascii="宋体" w:hAnsi="宋体"/>
          <w:color w:val="auto"/>
          <w:highlight w:val="none"/>
        </w:rPr>
        <w:t>招标人（章）：</w:t>
      </w:r>
      <w:r>
        <w:rPr>
          <w:rFonts w:hint="eastAsia" w:ascii="宋体" w:hAnsi="宋体" w:cs="宋体"/>
          <w:color w:val="auto"/>
          <w:szCs w:val="21"/>
          <w:highlight w:val="none"/>
          <w:u w:val="single"/>
          <w:lang w:eastAsia="zh-CN"/>
        </w:rPr>
        <w:t>广州市天投城市更新有限公司</w:t>
      </w:r>
    </w:p>
    <w:p w14:paraId="5AB0880B">
      <w:pPr>
        <w:rPr>
          <w:rFonts w:hint="eastAsia" w:ascii="宋体" w:hAnsi="宋体" w:eastAsia="宋体"/>
          <w:color w:val="auto"/>
          <w:highlight w:val="none"/>
          <w:lang w:val="en-US" w:eastAsia="zh-CN"/>
        </w:rPr>
      </w:pPr>
      <w:r>
        <w:rPr>
          <w:rFonts w:hint="eastAsia" w:ascii="宋体" w:hAnsi="宋体"/>
          <w:color w:val="auto"/>
          <w:highlight w:val="none"/>
        </w:rPr>
        <w:t>授权代表：</w:t>
      </w:r>
      <w:r>
        <w:rPr>
          <w:rFonts w:hint="eastAsia" w:ascii="宋体" w:hAnsi="宋体"/>
          <w:color w:val="auto"/>
          <w:highlight w:val="none"/>
          <w:u w:val="single"/>
          <w:lang w:val="en-US" w:eastAsia="zh-CN"/>
        </w:rPr>
        <w:t>胡工</w:t>
      </w:r>
    </w:p>
    <w:p w14:paraId="7CC157E0">
      <w:pPr>
        <w:rPr>
          <w:rFonts w:ascii="宋体" w:hAnsi="宋体"/>
          <w:color w:val="auto"/>
          <w:highlight w:val="none"/>
        </w:rPr>
      </w:pPr>
      <w:r>
        <w:rPr>
          <w:rFonts w:hint="eastAsia" w:ascii="宋体" w:hAnsi="宋体"/>
          <w:color w:val="auto"/>
          <w:highlight w:val="none"/>
        </w:rPr>
        <w:t>地址：</w:t>
      </w:r>
      <w:r>
        <w:rPr>
          <w:rFonts w:hint="eastAsia" w:ascii="宋体" w:hAnsi="宋体" w:cs="宋体"/>
          <w:color w:val="auto"/>
          <w:szCs w:val="21"/>
          <w:highlight w:val="none"/>
          <w:u w:val="single"/>
          <w:lang w:val="en-US" w:eastAsia="zh-CN"/>
        </w:rPr>
        <w:t>广州市越秀区流花路117号流花展贸中心15号馆3楼</w:t>
      </w:r>
    </w:p>
    <w:p w14:paraId="7212E4E4">
      <w:pPr>
        <w:rPr>
          <w:rFonts w:hint="default" w:ascii="宋体" w:hAnsi="宋体" w:eastAsia="宋体"/>
          <w:color w:val="auto"/>
          <w:highlight w:val="none"/>
          <w:lang w:val="en-US" w:eastAsia="zh-CN"/>
        </w:rPr>
      </w:pPr>
      <w:r>
        <w:rPr>
          <w:rFonts w:hint="eastAsia" w:ascii="宋体" w:hAnsi="宋体"/>
          <w:color w:val="auto"/>
          <w:highlight w:val="none"/>
        </w:rPr>
        <w:t>邮政编码：</w:t>
      </w:r>
      <w:r>
        <w:rPr>
          <w:rFonts w:hint="eastAsia" w:ascii="宋体" w:hAnsi="宋体"/>
          <w:color w:val="auto"/>
          <w:highlight w:val="none"/>
          <w:u w:val="single"/>
          <w:lang w:val="en-US" w:eastAsia="zh-CN"/>
        </w:rPr>
        <w:t>510014</w:t>
      </w:r>
    </w:p>
    <w:p w14:paraId="60D5243E">
      <w:pPr>
        <w:rPr>
          <w:rFonts w:hint="eastAsia" w:ascii="宋体" w:hAnsi="宋体"/>
          <w:color w:val="auto"/>
          <w:highlight w:val="none"/>
          <w:u w:val="single"/>
        </w:rPr>
      </w:pPr>
      <w:r>
        <w:rPr>
          <w:rFonts w:hint="eastAsia" w:ascii="宋体" w:hAnsi="宋体"/>
          <w:color w:val="auto"/>
          <w:highlight w:val="none"/>
        </w:rPr>
        <w:t>电话：</w:t>
      </w:r>
      <w:r>
        <w:rPr>
          <w:rFonts w:hint="eastAsia" w:ascii="宋体" w:hAnsi="宋体"/>
          <w:color w:val="auto"/>
          <w:highlight w:val="none"/>
          <w:u w:val="single"/>
          <w:lang w:val="en-US" w:eastAsia="zh-CN"/>
        </w:rPr>
        <w:t>020-80922912</w:t>
      </w:r>
    </w:p>
    <w:p w14:paraId="10E3110B">
      <w:pPr>
        <w:rPr>
          <w:rFonts w:hint="eastAsia" w:ascii="宋体" w:hAnsi="宋体" w:eastAsia="宋体"/>
          <w:color w:val="auto"/>
          <w:highlight w:val="none"/>
          <w:lang w:val="en-US" w:eastAsia="zh-CN"/>
        </w:rPr>
      </w:pPr>
      <w:r>
        <w:rPr>
          <w:rFonts w:hint="eastAsia" w:ascii="宋体" w:hAnsi="宋体"/>
          <w:color w:val="auto"/>
          <w:highlight w:val="none"/>
        </w:rPr>
        <w:t>传真：</w:t>
      </w:r>
      <w:r>
        <w:rPr>
          <w:rFonts w:hint="eastAsia" w:ascii="宋体" w:hAnsi="宋体"/>
          <w:color w:val="auto"/>
          <w:highlight w:val="none"/>
          <w:u w:val="single"/>
          <w:lang w:val="en-US" w:eastAsia="zh-CN"/>
        </w:rPr>
        <w:t>/</w:t>
      </w:r>
    </w:p>
    <w:p w14:paraId="3B91FA93">
      <w:pPr>
        <w:rPr>
          <w:rFonts w:hint="eastAsia" w:ascii="宋体" w:hAnsi="宋体" w:eastAsia="宋体"/>
          <w:color w:val="auto"/>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u w:val="single"/>
          <w:lang w:val="en-US" w:eastAsia="zh-CN"/>
        </w:rPr>
        <w:t>/</w:t>
      </w:r>
    </w:p>
    <w:p w14:paraId="2AD755FB">
      <w:pPr>
        <w:rPr>
          <w:rFonts w:hint="eastAsia" w:ascii="宋体" w:hAnsi="宋体" w:eastAsia="宋体"/>
          <w:color w:val="auto"/>
          <w:highlight w:val="none"/>
          <w:lang w:eastAsia="zh-CN"/>
        </w:rPr>
      </w:pPr>
    </w:p>
    <w:p w14:paraId="201C058A">
      <w:pPr>
        <w:rPr>
          <w:rFonts w:hint="eastAsia" w:ascii="宋体" w:hAnsi="宋体" w:eastAsia="宋体"/>
          <w:color w:val="auto"/>
          <w:highlight w:val="none"/>
          <w:lang w:eastAsia="zh-CN"/>
        </w:rPr>
      </w:pPr>
    </w:p>
    <w:p w14:paraId="163810EE">
      <w:pPr>
        <w:spacing w:line="240" w:lineRule="auto"/>
        <w:ind w:left="0" w:leftChars="0" w:firstLine="0" w:firstLineChars="0"/>
        <w:outlineLvl w:val="9"/>
        <w:rPr>
          <w:rFonts w:hint="eastAsia" w:ascii="宋体" w:hAnsi="宋体"/>
          <w:color w:val="auto"/>
          <w:highlight w:val="none"/>
        </w:rPr>
      </w:pPr>
      <w:r>
        <w:rPr>
          <w:rFonts w:hint="eastAsia" w:ascii="宋体" w:hAnsi="宋体" w:eastAsia="宋体" w:cs="Times New Roman"/>
          <w:color w:val="auto"/>
          <w:highlight w:val="none"/>
        </w:rPr>
        <w:t>招标</w:t>
      </w:r>
      <w:r>
        <w:rPr>
          <w:rFonts w:hint="eastAsia" w:ascii="宋体" w:hAnsi="宋体"/>
          <w:color w:val="auto"/>
          <w:highlight w:val="none"/>
        </w:rPr>
        <w:t>代理（章）：</w:t>
      </w:r>
      <w:r>
        <w:rPr>
          <w:rFonts w:hint="eastAsia" w:ascii="宋体" w:hAnsi="宋体" w:cs="宋体"/>
          <w:color w:val="auto"/>
          <w:szCs w:val="21"/>
          <w:highlight w:val="none"/>
          <w:u w:val="single"/>
          <w:lang w:eastAsia="zh-CN"/>
        </w:rPr>
        <w:t>建成工程咨询股份有限公司</w:t>
      </w:r>
    </w:p>
    <w:p w14:paraId="0B50F84B">
      <w:pPr>
        <w:rPr>
          <w:rFonts w:hint="eastAsia" w:ascii="宋体" w:hAnsi="宋体" w:eastAsia="宋体"/>
          <w:color w:val="auto"/>
          <w:highlight w:val="none"/>
          <w:lang w:eastAsia="zh-CN"/>
        </w:rPr>
      </w:pPr>
      <w:r>
        <w:rPr>
          <w:rFonts w:hint="eastAsia" w:ascii="宋体" w:hAnsi="宋体"/>
          <w:color w:val="auto"/>
          <w:highlight w:val="none"/>
        </w:rPr>
        <w:t>授权代表：</w:t>
      </w:r>
      <w:r>
        <w:rPr>
          <w:rFonts w:hint="eastAsia" w:ascii="宋体" w:hAnsi="宋体" w:cs="仿宋"/>
          <w:bCs/>
          <w:color w:val="auto"/>
          <w:spacing w:val="-6"/>
          <w:szCs w:val="21"/>
          <w:highlight w:val="none"/>
          <w:u w:val="single"/>
          <w:lang w:eastAsia="zh-CN"/>
        </w:rPr>
        <w:t>胡工</w:t>
      </w:r>
    </w:p>
    <w:p w14:paraId="4E16B66A">
      <w:pPr>
        <w:rPr>
          <w:rFonts w:hint="eastAsia" w:ascii="宋体" w:hAnsi="宋体"/>
          <w:color w:val="auto"/>
          <w:highlight w:val="none"/>
        </w:rPr>
      </w:pPr>
      <w:r>
        <w:rPr>
          <w:rFonts w:hint="eastAsia" w:ascii="宋体" w:hAnsi="宋体"/>
          <w:color w:val="auto"/>
          <w:highlight w:val="none"/>
        </w:rPr>
        <w:t>地址：</w:t>
      </w:r>
      <w:r>
        <w:rPr>
          <w:rFonts w:hint="eastAsia" w:ascii="宋体" w:hAnsi="宋体" w:cs="宋体"/>
          <w:color w:val="auto"/>
          <w:szCs w:val="21"/>
          <w:highlight w:val="none"/>
          <w:u w:val="single"/>
        </w:rPr>
        <w:t>广州市越秀区</w:t>
      </w:r>
      <w:r>
        <w:rPr>
          <w:rFonts w:hint="eastAsia" w:ascii="宋体" w:hAnsi="宋体" w:cs="宋体"/>
          <w:color w:val="auto"/>
          <w:szCs w:val="21"/>
          <w:highlight w:val="none"/>
          <w:u w:val="single"/>
          <w:lang w:eastAsia="zh-CN"/>
        </w:rPr>
        <w:t>东风中路</w:t>
      </w:r>
      <w:r>
        <w:rPr>
          <w:rFonts w:hint="eastAsia" w:ascii="宋体" w:hAnsi="宋体" w:cs="宋体"/>
          <w:color w:val="auto"/>
          <w:szCs w:val="21"/>
          <w:highlight w:val="none"/>
          <w:u w:val="single"/>
          <w:lang w:val="en-US" w:eastAsia="zh-CN"/>
        </w:rPr>
        <w:t>318号22</w:t>
      </w:r>
      <w:r>
        <w:rPr>
          <w:rFonts w:hint="eastAsia" w:ascii="宋体" w:hAnsi="宋体" w:cs="宋体"/>
          <w:color w:val="auto"/>
          <w:szCs w:val="21"/>
          <w:highlight w:val="none"/>
          <w:u w:val="single"/>
        </w:rPr>
        <w:t>楼</w:t>
      </w:r>
    </w:p>
    <w:p w14:paraId="56B3028D">
      <w:pPr>
        <w:rPr>
          <w:rFonts w:hint="eastAsia" w:ascii="宋体" w:hAnsi="宋体"/>
          <w:color w:val="auto"/>
          <w:highlight w:val="none"/>
        </w:rPr>
      </w:pPr>
    </w:p>
    <w:p w14:paraId="3065E7AE">
      <w:pPr>
        <w:rPr>
          <w:rFonts w:ascii="宋体" w:hAnsi="宋体"/>
          <w:color w:val="auto"/>
          <w:highlight w:val="none"/>
        </w:rPr>
      </w:pPr>
      <w:r>
        <w:rPr>
          <w:rFonts w:hint="eastAsia" w:ascii="宋体" w:hAnsi="宋体"/>
          <w:color w:val="auto"/>
          <w:highlight w:val="none"/>
        </w:rPr>
        <w:t>邮政编码：</w:t>
      </w:r>
      <w:r>
        <w:rPr>
          <w:rFonts w:hint="eastAsia" w:ascii="宋体" w:hAnsi="宋体" w:cs="宋体"/>
          <w:color w:val="auto"/>
          <w:szCs w:val="21"/>
          <w:highlight w:val="none"/>
          <w:u w:val="single"/>
        </w:rPr>
        <w:t>510030</w:t>
      </w:r>
    </w:p>
    <w:p w14:paraId="46B1F4BE">
      <w:pPr>
        <w:rPr>
          <w:rFonts w:hint="default" w:ascii="宋体" w:hAnsi="宋体" w:eastAsia="宋体"/>
          <w:color w:val="auto"/>
          <w:highlight w:val="none"/>
          <w:lang w:val="en-US" w:eastAsia="zh-CN"/>
        </w:rPr>
      </w:pPr>
      <w:r>
        <w:rPr>
          <w:rFonts w:hint="eastAsia" w:ascii="宋体" w:hAnsi="宋体"/>
          <w:color w:val="auto"/>
          <w:highlight w:val="none"/>
        </w:rPr>
        <w:t>电话：</w:t>
      </w:r>
      <w:r>
        <w:rPr>
          <w:rFonts w:hint="eastAsia" w:ascii="宋体" w:hAnsi="宋体" w:cs="宋体"/>
          <w:color w:val="auto"/>
          <w:szCs w:val="21"/>
          <w:highlight w:val="none"/>
          <w:u w:val="single"/>
        </w:rPr>
        <w:t>020-83</w:t>
      </w:r>
      <w:r>
        <w:rPr>
          <w:rFonts w:hint="eastAsia" w:ascii="宋体" w:hAnsi="宋体" w:cs="宋体"/>
          <w:color w:val="auto"/>
          <w:szCs w:val="21"/>
          <w:highlight w:val="none"/>
          <w:u w:val="single"/>
          <w:lang w:val="en-US" w:eastAsia="zh-CN"/>
        </w:rPr>
        <w:t>630072</w:t>
      </w:r>
    </w:p>
    <w:p w14:paraId="3410E4C4">
      <w:pPr>
        <w:rPr>
          <w:rFonts w:hint="eastAsia" w:ascii="宋体" w:hAnsi="宋体" w:cs="宋体"/>
          <w:color w:val="auto"/>
          <w:szCs w:val="21"/>
          <w:highlight w:val="none"/>
          <w:u w:val="single"/>
          <w:lang w:val="en-US" w:eastAsia="zh-CN"/>
        </w:rPr>
      </w:pPr>
      <w:r>
        <w:rPr>
          <w:rFonts w:hint="eastAsia" w:ascii="宋体" w:hAnsi="宋体"/>
          <w:color w:val="auto"/>
          <w:highlight w:val="none"/>
        </w:rPr>
        <w:t>传真：</w:t>
      </w:r>
      <w:r>
        <w:rPr>
          <w:rFonts w:hint="eastAsia" w:ascii="宋体" w:hAnsi="宋体" w:cs="宋体"/>
          <w:color w:val="auto"/>
          <w:szCs w:val="21"/>
          <w:highlight w:val="none"/>
          <w:u w:val="single"/>
          <w:lang w:val="en-US" w:eastAsia="zh-CN"/>
        </w:rPr>
        <w:t>/</w:t>
      </w:r>
    </w:p>
    <w:p w14:paraId="227B1E18">
      <w:pPr>
        <w:rPr>
          <w:rFonts w:hint="eastAsia" w:ascii="宋体" w:hAnsi="宋体" w:eastAsia="宋体" w:cs="宋体"/>
          <w:color w:val="auto"/>
          <w:szCs w:val="21"/>
          <w:highlight w:val="none"/>
          <w:u w:val="single"/>
        </w:rPr>
        <w:sectPr>
          <w:footerReference r:id="rId5" w:type="default"/>
          <w:type w:val="continuous"/>
          <w:pgSz w:w="11906" w:h="16838"/>
          <w:pgMar w:top="1440" w:right="1466" w:bottom="1440" w:left="1440" w:header="851" w:footer="992" w:gutter="0"/>
          <w:cols w:equalWidth="0" w:num="2">
            <w:col w:w="4208" w:space="425"/>
            <w:col w:w="4366"/>
          </w:cols>
          <w:docGrid w:type="linesAndChars" w:linePitch="312" w:charSpace="0"/>
        </w:sectPr>
      </w:pPr>
      <w:r>
        <w:rPr>
          <w:rFonts w:hint="eastAsia" w:ascii="宋体" w:hAnsi="宋体"/>
          <w:color w:val="auto"/>
          <w:szCs w:val="21"/>
          <w:highlight w:val="none"/>
        </w:rPr>
        <w:t>电子邮箱：</w:t>
      </w:r>
      <w:r>
        <w:rPr>
          <w:rFonts w:hint="eastAsia" w:ascii="宋体" w:hAnsi="宋体" w:eastAsia="宋体" w:cs="宋体"/>
          <w:color w:val="auto"/>
          <w:szCs w:val="21"/>
          <w:highlight w:val="none"/>
          <w:u w:val="single"/>
          <w:lang w:val="en-US" w:eastAsia="zh-CN"/>
        </w:rPr>
        <w:t>gzjiancheng@vip.sina</w:t>
      </w:r>
      <w:r>
        <w:rPr>
          <w:rFonts w:hint="eastAsia" w:ascii="宋体" w:hAnsi="宋体" w:eastAsia="宋体" w:cs="宋体"/>
          <w:color w:val="auto"/>
          <w:szCs w:val="21"/>
          <w:highlight w:val="none"/>
          <w:u w:val="single"/>
        </w:rPr>
        <w:t>.com</w:t>
      </w:r>
    </w:p>
    <w:p w14:paraId="30D9D0B8">
      <w:pPr>
        <w:rPr>
          <w:rFonts w:hint="eastAsia" w:ascii="宋体" w:hAnsi="宋体"/>
          <w:color w:val="auto"/>
          <w:highlight w:val="none"/>
        </w:rPr>
      </w:pPr>
    </w:p>
    <w:p w14:paraId="45D323CC">
      <w:pPr>
        <w:jc w:val="center"/>
        <w:rPr>
          <w:rFonts w:hint="eastAsia" w:ascii="宋体" w:hAnsi="宋体"/>
          <w:b/>
          <w:color w:val="auto"/>
          <w:sz w:val="32"/>
          <w:szCs w:val="32"/>
          <w:highlight w:val="none"/>
        </w:rPr>
      </w:pPr>
      <w:r>
        <w:rPr>
          <w:rFonts w:hint="eastAsia" w:ascii="宋体" w:hAnsi="宋体"/>
          <w:b/>
          <w:color w:val="auto"/>
          <w:sz w:val="32"/>
          <w:szCs w:val="32"/>
          <w:highlight w:val="none"/>
        </w:rPr>
        <w:t>招标文件修改表</w:t>
      </w:r>
    </w:p>
    <w:p w14:paraId="45542E61">
      <w:pPr>
        <w:ind w:firstLine="420"/>
        <w:rPr>
          <w:rFonts w:hint="eastAsia"/>
          <w:color w:val="auto"/>
          <w:szCs w:val="21"/>
          <w:highlight w:val="none"/>
        </w:rPr>
      </w:pPr>
      <w:r>
        <w:rPr>
          <w:rFonts w:hint="eastAsia" w:ascii="宋体" w:hAnsi="宋体"/>
          <w:color w:val="auto"/>
          <w:highlight w:val="none"/>
        </w:rPr>
        <w:t>招标人（招标代理机构）一般应按照全过程电子化范本（房建类）格式编制招标文件。如果修改，范本被删除的内容应标注删除线，新增内容应标注下划线。需要修改的内容</w:t>
      </w:r>
      <w:r>
        <w:rPr>
          <w:rFonts w:hint="eastAsia"/>
          <w:color w:val="auto"/>
          <w:szCs w:val="21"/>
          <w:highlight w:val="none"/>
        </w:rPr>
        <w:t>均在本表中列明，并以现文为准，原文不再有效。本招标文件中不再转录范本条款，请投标人自行到广州市住房和城乡建设局网站（网址：</w:t>
      </w:r>
      <w:r>
        <w:rPr>
          <w:color w:val="auto"/>
          <w:szCs w:val="21"/>
          <w:highlight w:val="none"/>
        </w:rPr>
        <w:fldChar w:fldCharType="begin"/>
      </w:r>
      <w:r>
        <w:rPr>
          <w:color w:val="auto"/>
          <w:szCs w:val="21"/>
          <w:highlight w:val="none"/>
        </w:rPr>
        <w:instrText xml:space="preserve"> HYPERLINK "http://zfcj.gz.gov.cn/）下载查阅。" </w:instrText>
      </w:r>
      <w:r>
        <w:rPr>
          <w:color w:val="auto"/>
          <w:szCs w:val="21"/>
          <w:highlight w:val="none"/>
        </w:rPr>
        <w:fldChar w:fldCharType="separate"/>
      </w:r>
      <w:r>
        <w:rPr>
          <w:rStyle w:val="31"/>
          <w:color w:val="auto"/>
          <w:szCs w:val="21"/>
          <w:highlight w:val="none"/>
        </w:rPr>
        <w:t>http://zfcj.gz.gov.cn/</w:t>
      </w:r>
      <w:r>
        <w:rPr>
          <w:rStyle w:val="31"/>
          <w:rFonts w:hint="eastAsia"/>
          <w:color w:val="auto"/>
          <w:szCs w:val="21"/>
          <w:highlight w:val="none"/>
        </w:rPr>
        <w:t>）下载查阅。</w:t>
      </w:r>
      <w:r>
        <w:rPr>
          <w:color w:val="auto"/>
          <w:szCs w:val="21"/>
          <w:highlight w:val="none"/>
        </w:rPr>
        <w:fldChar w:fldCharType="end"/>
      </w:r>
    </w:p>
    <w:p w14:paraId="2E1B18DB">
      <w:pPr>
        <w:pStyle w:val="15"/>
        <w:rPr>
          <w:rFonts w:hint="eastAsia"/>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7CAF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B497DA6">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8DBF066">
            <w:pPr>
              <w:jc w:val="center"/>
              <w:rPr>
                <w:rFonts w:ascii="宋体" w:hAnsi="宋体" w:cs="宋体"/>
                <w:color w:val="auto"/>
                <w:szCs w:val="21"/>
                <w:highlight w:val="none"/>
              </w:rPr>
            </w:pPr>
            <w:r>
              <w:rPr>
                <w:rFonts w:hint="eastAsia" w:ascii="宋体" w:hAnsi="宋体" w:cs="宋体"/>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87B664D">
            <w:pPr>
              <w:jc w:val="center"/>
              <w:rPr>
                <w:rFonts w:ascii="宋体" w:hAnsi="宋体" w:cs="宋体"/>
                <w:color w:val="auto"/>
                <w:szCs w:val="21"/>
                <w:highlight w:val="none"/>
              </w:rPr>
            </w:pPr>
            <w:r>
              <w:rPr>
                <w:rFonts w:hint="eastAsia" w:ascii="宋体" w:hAnsi="宋体" w:cs="宋体"/>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6C7C2BC5">
            <w:pPr>
              <w:jc w:val="center"/>
              <w:rPr>
                <w:rFonts w:ascii="宋体" w:hAnsi="宋体" w:cs="宋体"/>
                <w:color w:val="auto"/>
                <w:szCs w:val="21"/>
                <w:highlight w:val="none"/>
              </w:rPr>
            </w:pPr>
            <w:r>
              <w:rPr>
                <w:rFonts w:hint="eastAsia" w:ascii="宋体" w:hAnsi="宋体" w:cs="宋体"/>
                <w:color w:val="auto"/>
                <w:szCs w:val="21"/>
                <w:highlight w:val="none"/>
              </w:rPr>
              <w:t>拟删改的内容</w:t>
            </w:r>
          </w:p>
        </w:tc>
      </w:tr>
      <w:tr w14:paraId="1DC8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A2FCB05">
            <w:pPr>
              <w:jc w:val="center"/>
              <w:rPr>
                <w:rFonts w:ascii="宋体" w:hAnsi="宋体" w:cs="宋体"/>
                <w:color w:val="auto"/>
                <w:szCs w:val="21"/>
                <w:highlight w:val="none"/>
              </w:rPr>
            </w:pPr>
          </w:p>
          <w:p w14:paraId="0D136F3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1DA055">
            <w:pPr>
              <w:jc w:val="center"/>
              <w:rPr>
                <w:rFonts w:ascii="宋体" w:hAnsi="宋体" w:cs="宋体"/>
                <w:color w:val="auto"/>
                <w:szCs w:val="21"/>
                <w:highlight w:val="none"/>
              </w:rPr>
            </w:pPr>
            <w:r>
              <w:rPr>
                <w:rFonts w:hint="eastAsia" w:ascii="宋体" w:hAnsi="宋体" w:cs="宋体"/>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6BF6B72">
            <w:pPr>
              <w:jc w:val="center"/>
              <w:rPr>
                <w:rFonts w:ascii="宋体" w:hAnsi="宋体" w:cs="宋体"/>
                <w:color w:val="auto"/>
                <w:szCs w:val="21"/>
                <w:highlight w:val="none"/>
              </w:rPr>
            </w:pPr>
            <w:r>
              <w:rPr>
                <w:rFonts w:hint="eastAsia" w:ascii="宋体" w:hAnsi="宋体" w:cs="宋体"/>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C460816">
            <w:pPr>
              <w:jc w:val="center"/>
              <w:rPr>
                <w:rFonts w:ascii="宋体" w:hAnsi="宋体" w:cs="宋体"/>
                <w:color w:val="auto"/>
                <w:szCs w:val="21"/>
                <w:highlight w:val="none"/>
              </w:rPr>
            </w:pPr>
            <w:r>
              <w:rPr>
                <w:rFonts w:hint="eastAsia" w:ascii="宋体" w:hAnsi="宋体" w:cs="宋体"/>
                <w:color w:val="auto"/>
                <w:szCs w:val="21"/>
                <w:highlight w:val="none"/>
              </w:rPr>
              <w:t>修改详见《招标公告》</w:t>
            </w:r>
          </w:p>
        </w:tc>
      </w:tr>
      <w:tr w14:paraId="714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8998A97">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B07DDE">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4A158A2">
            <w:pPr>
              <w:jc w:val="both"/>
              <w:rPr>
                <w:rFonts w:hint="eastAsia" w:ascii="宋体" w:hAnsi="宋体" w:cs="宋体"/>
                <w:color w:val="auto"/>
                <w:szCs w:val="21"/>
                <w:highlight w:val="none"/>
              </w:rPr>
            </w:pPr>
            <w:r>
              <w:rPr>
                <w:rFonts w:hint="eastAsia" w:ascii="宋体" w:hAnsi="宋体" w:cs="宋体"/>
                <w:color w:val="auto"/>
                <w:szCs w:val="21"/>
                <w:highlight w:val="none"/>
              </w:rPr>
              <w:t>2.2.2  招标人不受将合同授予任何投标人的约束，招标人有权接受任何一份投标文件的全部或部分内容。</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43E6B01B">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2.2.2  招标人不受将合同授予任何投标人的约束，招标人有权接受任何一份投标文件的全部或部分内容。</w:t>
            </w:r>
            <w:r>
              <w:rPr>
                <w:rFonts w:hint="eastAsia" w:ascii="宋体" w:hAnsi="宋体" w:cs="宋体"/>
                <w:color w:val="auto"/>
                <w:szCs w:val="21"/>
                <w:highlight w:val="none"/>
                <w:u w:val="single"/>
              </w:rPr>
              <w:t>招标人保留在法律允许的范围内无需给予任何理由直接拒绝任何一份投标文件的权利。</w:t>
            </w:r>
          </w:p>
        </w:tc>
      </w:tr>
      <w:tr w14:paraId="13DD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5E53036">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F0AF22">
            <w:pPr>
              <w:jc w:val="center"/>
              <w:rPr>
                <w:rFonts w:ascii="宋体" w:hAnsi="宋体" w:cs="宋体"/>
                <w:color w:val="auto"/>
                <w:szCs w:val="21"/>
                <w:highlight w:val="none"/>
              </w:rPr>
            </w:pPr>
            <w:r>
              <w:rPr>
                <w:rFonts w:hint="eastAsia" w:ascii="宋体" w:hAnsi="宋体" w:cs="宋体"/>
                <w:color w:val="auto"/>
                <w:szCs w:val="21"/>
                <w:highlight w:val="none"/>
              </w:rPr>
              <w:t>2.2.4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1121AC">
            <w:pPr>
              <w:jc w:val="both"/>
              <w:rPr>
                <w:rFonts w:hint="eastAsia" w:ascii="宋体" w:hAnsi="宋体" w:cs="宋体"/>
                <w:color w:val="auto"/>
                <w:szCs w:val="21"/>
                <w:highlight w:val="none"/>
              </w:rPr>
            </w:pPr>
            <w:r>
              <w:rPr>
                <w:rFonts w:hint="eastAsia" w:ascii="宋体" w:hAnsi="宋体" w:cs="宋体"/>
                <w:color w:val="auto"/>
                <w:szCs w:val="21"/>
                <w:highlight w:val="none"/>
              </w:rPr>
              <w:t>2.2.4  投标人应承担其现场考察、编制和提交投标文件有关的一切费用、损害和人身伤亡事故责任，不管投标结果如何，招标人对上述费用不负任何责任。</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17A12FC6">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 xml:space="preserve">2.2.4  </w:t>
            </w:r>
            <w:r>
              <w:rPr>
                <w:rFonts w:hint="eastAsia" w:ascii="宋体" w:hAnsi="宋体" w:cs="宋体"/>
                <w:color w:val="auto"/>
                <w:szCs w:val="21"/>
                <w:highlight w:val="none"/>
                <w:u w:val="single"/>
              </w:rPr>
              <w:t>投标人应承担其现场考察、编制和提交投标文件有关的一切费用与风险、任何损害和人身伤亡事故责任，不管投标结果如何，招标人对上述责任不承担任何法律责任。</w:t>
            </w:r>
          </w:p>
        </w:tc>
      </w:tr>
      <w:tr w14:paraId="25DF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FC9C702">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FD731F">
            <w:pPr>
              <w:jc w:val="center"/>
              <w:rPr>
                <w:rFonts w:ascii="宋体" w:hAnsi="宋体" w:cs="宋体"/>
                <w:color w:val="auto"/>
                <w:szCs w:val="21"/>
                <w:highlight w:val="none"/>
              </w:rPr>
            </w:pPr>
            <w:r>
              <w:rPr>
                <w:rFonts w:hint="eastAsia" w:ascii="宋体" w:hAnsi="宋体" w:cs="宋体"/>
                <w:color w:val="auto"/>
                <w:szCs w:val="21"/>
                <w:highlight w:val="none"/>
              </w:rPr>
              <w:t>2.2.6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1F0433B">
            <w:pPr>
              <w:jc w:val="both"/>
              <w:rPr>
                <w:rFonts w:hint="eastAsia" w:ascii="宋体" w:hAnsi="宋体" w:cs="宋体"/>
                <w:color w:val="auto"/>
                <w:szCs w:val="21"/>
                <w:highlight w:val="none"/>
              </w:rPr>
            </w:pPr>
            <w:bookmarkStart w:id="0" w:name="OLE_LINK22"/>
            <w:r>
              <w:rPr>
                <w:rFonts w:hint="eastAsia" w:ascii="宋体" w:hAnsi="宋体" w:cs="宋体"/>
                <w:color w:val="auto"/>
                <w:szCs w:val="21"/>
                <w:highlight w:val="none"/>
              </w:rPr>
              <w:t xml:space="preserve">2.2.6  </w:t>
            </w:r>
            <w:bookmarkEnd w:id="0"/>
            <w:r>
              <w:rPr>
                <w:rFonts w:hint="eastAsia" w:ascii="宋体" w:hAnsi="宋体" w:cs="宋体"/>
                <w:color w:val="auto"/>
                <w:szCs w:val="21"/>
                <w:highlight w:val="none"/>
              </w:rPr>
              <w:t>评标委员会成员应承担其参加评标有关的一切费用、损害和人身伤亡事故责任，招标人除提供评标酬金和差旅费用外，对其他费用不负任何责任。</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15DD89D5">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 xml:space="preserve">2.2.6  </w:t>
            </w:r>
            <w:r>
              <w:rPr>
                <w:rFonts w:hint="eastAsia" w:ascii="宋体" w:hAnsi="宋体" w:cs="宋体"/>
                <w:color w:val="auto"/>
                <w:szCs w:val="21"/>
                <w:highlight w:val="none"/>
                <w:u w:val="single"/>
              </w:rPr>
              <w:t>评标委员会成员在参加评标过程中发生的任何费用、损失和人身伤亡事故责任，均由评标委员会成员自行承担，招标人不负担除评标酬金和合理差旅费用之外的任何费用和责任。</w:t>
            </w:r>
          </w:p>
        </w:tc>
      </w:tr>
      <w:tr w14:paraId="3B0C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68F735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BBDE09">
            <w:pPr>
              <w:jc w:val="center"/>
              <w:rPr>
                <w:rFonts w:ascii="宋体" w:hAnsi="宋体" w:cs="宋体"/>
                <w:color w:val="auto"/>
                <w:szCs w:val="21"/>
                <w:highlight w:val="none"/>
              </w:rPr>
            </w:pPr>
            <w:r>
              <w:rPr>
                <w:rFonts w:hint="eastAsia" w:ascii="宋体" w:hAnsi="宋体" w:cs="宋体"/>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EA6B4B">
            <w:pPr>
              <w:jc w:val="both"/>
              <w:rPr>
                <w:rFonts w:ascii="宋体" w:hAnsi="宋体" w:cs="宋体"/>
                <w:color w:val="auto"/>
                <w:szCs w:val="21"/>
                <w:highlight w:val="none"/>
              </w:rPr>
            </w:pPr>
            <w:r>
              <w:rPr>
                <w:rFonts w:hint="eastAsia" w:ascii="宋体" w:hAnsi="宋体" w:cs="宋体"/>
                <w:color w:val="auto"/>
                <w:szCs w:val="21"/>
                <w:highlight w:val="none"/>
              </w:rPr>
              <w:t>3.1    现场考察</w:t>
            </w:r>
          </w:p>
          <w:p w14:paraId="762D8E88">
            <w:pPr>
              <w:jc w:val="both"/>
              <w:rPr>
                <w:rFonts w:ascii="宋体" w:hAnsi="宋体" w:cs="宋体"/>
                <w:color w:val="auto"/>
                <w:szCs w:val="21"/>
                <w:highlight w:val="none"/>
              </w:rPr>
            </w:pPr>
            <w:r>
              <w:rPr>
                <w:rFonts w:hint="eastAsia" w:ascii="宋体" w:hAnsi="宋体" w:cs="宋体"/>
                <w:color w:val="auto"/>
                <w:szCs w:val="21"/>
                <w:highlight w:val="none"/>
              </w:rPr>
              <w:t>3.1.1  招标人安排投标人代表对工程现场进行考察，目的是使每个投标人查看现场并获得编制投标文件所需要的一切资料。</w:t>
            </w:r>
          </w:p>
          <w:p w14:paraId="6A2F658E">
            <w:pPr>
              <w:jc w:val="both"/>
              <w:rPr>
                <w:rFonts w:ascii="宋体" w:hAnsi="宋体" w:cs="宋体"/>
                <w:color w:val="auto"/>
                <w:szCs w:val="21"/>
                <w:highlight w:val="none"/>
              </w:rPr>
            </w:pPr>
            <w:r>
              <w:rPr>
                <w:rFonts w:hint="eastAsia" w:ascii="宋体" w:hAnsi="宋体" w:cs="宋体"/>
                <w:color w:val="auto"/>
                <w:szCs w:val="21"/>
                <w:highlight w:val="none"/>
              </w:rPr>
              <w:t>3.1.2  每个投标人参加现场考察的人数不宜超过3人，外国投标人代表应自带中文翻译。</w:t>
            </w:r>
          </w:p>
          <w:p w14:paraId="4127AE7D">
            <w:pPr>
              <w:jc w:val="both"/>
              <w:rPr>
                <w:rFonts w:ascii="宋体" w:hAnsi="宋体" w:cs="宋体"/>
                <w:color w:val="auto"/>
                <w:szCs w:val="21"/>
                <w:highlight w:val="none"/>
              </w:rPr>
            </w:pPr>
            <w:r>
              <w:rPr>
                <w:rFonts w:hint="eastAsia" w:ascii="宋体" w:hAnsi="宋体" w:cs="宋体"/>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19B6EDC4">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    现场考察</w:t>
            </w:r>
          </w:p>
          <w:p w14:paraId="740484D4">
            <w:pPr>
              <w:rPr>
                <w:rFonts w:ascii="宋体" w:hAnsi="宋体" w:cs="宋体"/>
                <w:color w:val="auto"/>
                <w:szCs w:val="21"/>
                <w:highlight w:val="none"/>
              </w:rPr>
            </w:pPr>
            <w:r>
              <w:rPr>
                <w:rFonts w:hint="eastAsia" w:ascii="宋体" w:hAnsi="宋体" w:cs="宋体"/>
                <w:color w:val="auto"/>
                <w:szCs w:val="21"/>
                <w:highlight w:val="none"/>
              </w:rPr>
              <w:t xml:space="preserve">3.1.1  </w:t>
            </w:r>
            <w:r>
              <w:rPr>
                <w:rFonts w:hint="eastAsia" w:ascii="宋体" w:hAnsi="宋体" w:cs="宋体"/>
                <w:color w:val="auto"/>
                <w:szCs w:val="21"/>
                <w:highlight w:val="none"/>
                <w:u w:val="single"/>
              </w:rPr>
              <w:t>现场考察由投标人自行考察，招标人不统一安排现场考察。</w:t>
            </w:r>
          </w:p>
          <w:p w14:paraId="78EC3879">
            <w:pPr>
              <w:rPr>
                <w:rFonts w:ascii="宋体" w:hAnsi="宋体" w:cs="宋体"/>
                <w:color w:val="auto"/>
                <w:szCs w:val="21"/>
                <w:highlight w:val="none"/>
              </w:rPr>
            </w:pPr>
            <w:r>
              <w:rPr>
                <w:rFonts w:hint="eastAsia" w:ascii="宋体" w:hAnsi="宋体" w:cs="宋体"/>
                <w:color w:val="auto"/>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28A1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06D132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5225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570D881">
            <w:pPr>
              <w:jc w:val="both"/>
              <w:rPr>
                <w:rFonts w:ascii="宋体" w:hAnsi="宋体" w:cs="宋体"/>
                <w:color w:val="auto"/>
                <w:szCs w:val="21"/>
                <w:highlight w:val="none"/>
              </w:rPr>
            </w:pPr>
            <w:r>
              <w:rPr>
                <w:rFonts w:hint="eastAsia" w:ascii="宋体" w:hAnsi="宋体" w:cs="宋体"/>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D576B1E">
            <w:pPr>
              <w:rPr>
                <w:rFonts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投标人应认真审阅招标文件和有关资料，尽力澄清一切疑点，</w:t>
            </w:r>
            <w:r>
              <w:rPr>
                <w:rFonts w:hint="eastAsia" w:ascii="宋体" w:hAnsi="宋体" w:cs="宋体"/>
                <w:b/>
                <w:color w:val="auto"/>
                <w:szCs w:val="21"/>
                <w:highlight w:val="none"/>
                <w:u w:val="single"/>
              </w:rPr>
              <w:t>自行</w:t>
            </w:r>
            <w:r>
              <w:rPr>
                <w:rFonts w:hint="eastAsia" w:ascii="宋体" w:hAnsi="宋体" w:cs="宋体"/>
                <w:color w:val="auto"/>
                <w:szCs w:val="21"/>
                <w:highlight w:val="none"/>
              </w:rPr>
              <w:t>对工程现场和周围环境进行勘察，以获取编制投标文件和签署合同所需的所有资料。</w:t>
            </w:r>
          </w:p>
        </w:tc>
      </w:tr>
      <w:tr w14:paraId="264C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C7909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D95A00">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AA6DD9C">
            <w:pPr>
              <w:jc w:val="both"/>
              <w:rPr>
                <w:rFonts w:ascii="宋体" w:hAnsi="宋体" w:cs="宋体"/>
                <w:color w:val="auto"/>
                <w:szCs w:val="21"/>
                <w:highlight w:val="none"/>
              </w:rPr>
            </w:pPr>
            <w:r>
              <w:rPr>
                <w:rFonts w:hint="eastAsia" w:ascii="宋体" w:hAnsi="宋体" w:cs="宋体"/>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436586D">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投标人需要澄清的问题应</w:t>
            </w:r>
            <w:r>
              <w:rPr>
                <w:rFonts w:hint="eastAsia" w:ascii="宋体" w:hAnsi="宋体" w:cs="宋体"/>
                <w:color w:val="auto"/>
                <w:szCs w:val="21"/>
                <w:highlight w:val="none"/>
                <w:u w:val="single"/>
              </w:rPr>
              <w:t>在投标截止时间18个日历天前</w:t>
            </w:r>
            <w:r>
              <w:rPr>
                <w:rFonts w:hint="eastAsia" w:ascii="宋体" w:hAnsi="宋体" w:cs="宋体"/>
                <w:color w:val="auto"/>
                <w:szCs w:val="21"/>
                <w:highlight w:val="none"/>
              </w:rPr>
              <w:t>，按交易平台的操作指引上传至交易平台网站。招标人应在递交投标文件截止时间</w:t>
            </w:r>
            <w:r>
              <w:rPr>
                <w:rFonts w:hint="eastAsia" w:ascii="宋体" w:hAnsi="宋体" w:cs="宋体"/>
                <w:color w:val="auto"/>
                <w:szCs w:val="21"/>
                <w:highlight w:val="none"/>
                <w:u w:val="single"/>
              </w:rPr>
              <w:t>15个日历天前</w:t>
            </w:r>
            <w:r>
              <w:rPr>
                <w:rFonts w:hint="eastAsia" w:ascii="宋体" w:hAnsi="宋体" w:cs="宋体"/>
                <w:color w:val="auto"/>
                <w:szCs w:val="21"/>
                <w:highlight w:val="none"/>
              </w:rPr>
              <w:t>解答投标人对招标文件提出的疑问，</w:t>
            </w:r>
            <w:r>
              <w:rPr>
                <w:rFonts w:hint="eastAsia" w:ascii="宋体" w:hAnsi="宋体" w:cs="宋体"/>
                <w:color w:val="auto"/>
                <w:szCs w:val="21"/>
                <w:highlight w:val="none"/>
                <w:u w:val="single"/>
              </w:rPr>
              <w:t>形成答疑纪要，在广州交易集团有限公司（广州公共资源交易中心）官网项目查询中本项目详情页里面发布。</w:t>
            </w:r>
            <w:r>
              <w:rPr>
                <w:rFonts w:hint="eastAsia" w:ascii="宋体" w:hAnsi="宋体" w:cs="宋体"/>
                <w:color w:val="auto"/>
                <w:szCs w:val="21"/>
                <w:highlight w:val="none"/>
              </w:rPr>
              <w:t>不足</w:t>
            </w:r>
            <w:r>
              <w:rPr>
                <w:rFonts w:hint="eastAsia" w:ascii="宋体" w:hAnsi="宋体"/>
                <w:color w:val="auto"/>
                <w:szCs w:val="21"/>
                <w:highlight w:val="none"/>
              </w:rPr>
              <w:t>15日的，招标人应当顺延投标文件的截止时间。</w:t>
            </w:r>
          </w:p>
        </w:tc>
      </w:tr>
      <w:tr w14:paraId="68CE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0CB64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37FB2E">
            <w:pPr>
              <w:jc w:val="center"/>
              <w:rPr>
                <w:rFonts w:ascii="宋体" w:hAnsi="宋体" w:cs="宋体"/>
                <w:color w:val="auto"/>
                <w:szCs w:val="21"/>
                <w:highlight w:val="none"/>
              </w:rPr>
            </w:pPr>
            <w:r>
              <w:rPr>
                <w:rFonts w:hint="eastAsia" w:ascii="宋体" w:hAnsi="宋体"/>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1A4AD4C">
            <w:pPr>
              <w:jc w:val="both"/>
              <w:rPr>
                <w:rFonts w:ascii="宋体" w:hAnsi="宋体" w:cs="宋体"/>
                <w:color w:val="auto"/>
                <w:szCs w:val="21"/>
                <w:highlight w:val="none"/>
              </w:rPr>
            </w:pPr>
            <w:r>
              <w:rPr>
                <w:rFonts w:hint="eastAsia" w:ascii="宋体" w:hAnsi="宋体" w:cs="宋体"/>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84002BA">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网上答疑的具体操作详见交易平台发布的相关操作指引。</w:t>
            </w:r>
            <w:r>
              <w:rPr>
                <w:rFonts w:hint="eastAsia" w:ascii="宋体" w:hAnsi="宋体" w:cs="宋体"/>
                <w:color w:val="auto"/>
                <w:szCs w:val="21"/>
                <w:highlight w:val="none"/>
                <w:u w:val="single"/>
              </w:rPr>
              <w:t>招标答疑纪要一经在广州交易集团有限公司（广州公共资源交易中心）官网发布，视作已发放给所有投标人。招标答疑纪要为招标文件的一部分。投标人可在广州交易集团有限公司（广州公共资源交易中心）官网浏览、下载招标答疑纪要。若招标答疑纪要与招标文件有矛盾时，以广州交易集团有限公司（广州公共资源交易中心）官网最后发布的答疑纪要为准。</w:t>
            </w:r>
          </w:p>
        </w:tc>
      </w:tr>
      <w:tr w14:paraId="4EFD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1A7BE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93EFF9">
            <w:pPr>
              <w:jc w:val="center"/>
              <w:rPr>
                <w:rFonts w:ascii="宋体" w:hAnsi="宋体"/>
                <w:color w:val="auto"/>
                <w:szCs w:val="21"/>
                <w:highlight w:val="none"/>
              </w:rPr>
            </w:pPr>
            <w:r>
              <w:rPr>
                <w:rFonts w:hint="eastAsia" w:ascii="宋体" w:hAnsi="宋体"/>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F532A4">
            <w:pPr>
              <w:jc w:val="both"/>
              <w:rPr>
                <w:rFonts w:ascii="宋体" w:hAnsi="宋体"/>
                <w:color w:val="auto"/>
                <w:szCs w:val="21"/>
                <w:highlight w:val="none"/>
              </w:rPr>
            </w:pPr>
            <w:r>
              <w:rPr>
                <w:rFonts w:hint="eastAsia" w:ascii="宋体" w:hAnsi="宋体" w:cs="宋体"/>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A40BD7F">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投标文件全部采用电子文档，投标文件所附证书证件均为原件扫描件或电子证书，并采用单位数字证书，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w:t>
            </w:r>
            <w:r>
              <w:rPr>
                <w:rFonts w:hint="eastAsia" w:ascii="宋体" w:hAnsi="宋体" w:cs="宋体"/>
                <w:color w:val="auto"/>
                <w:szCs w:val="21"/>
                <w:highlight w:val="none"/>
                <w:u w:val="single"/>
              </w:rPr>
              <w:t>应加盖个人电子印章或在线下完成后扫描上传。相关操作详见附件《建设工程全流程电子化项目操作指南》。</w:t>
            </w:r>
            <w:r>
              <w:rPr>
                <w:rFonts w:hint="eastAsia" w:ascii="宋体" w:hAnsi="宋体" w:cs="宋体"/>
                <w:b/>
                <w:bCs/>
                <w:color w:val="auto"/>
                <w:szCs w:val="21"/>
                <w:highlight w:val="none"/>
                <w:u w:val="single"/>
              </w:rPr>
              <w:t>联合体投标时，《联合体共同投标协议》需填妥并由联合体各方共同签字盖章；投标文件其他内容落款中的“投标人”应填写联合体各方的单位全称【格式为：</w:t>
            </w:r>
            <w:r>
              <w:rPr>
                <w:rFonts w:ascii="宋体" w:hAnsi="宋体" w:cs="宋体"/>
                <w:b/>
                <w:bCs/>
                <w:color w:val="auto"/>
                <w:szCs w:val="21"/>
                <w:highlight w:val="none"/>
                <w:u w:val="single"/>
              </w:rPr>
              <w:t>(主)XXXX公司(成)XXXX公司】，需要盖章或签字的部分可仅由联合体</w:t>
            </w:r>
            <w:r>
              <w:rPr>
                <w:rFonts w:hint="eastAsia" w:ascii="宋体" w:hAnsi="宋体" w:cs="宋体"/>
                <w:b/>
                <w:bCs/>
                <w:color w:val="auto"/>
                <w:szCs w:val="21"/>
                <w:highlight w:val="none"/>
                <w:u w:val="single"/>
                <w:lang w:eastAsia="zh-CN"/>
              </w:rPr>
              <w:t>牵头人</w:t>
            </w:r>
            <w:r>
              <w:rPr>
                <w:rFonts w:hint="eastAsia" w:ascii="宋体" w:hAnsi="宋体" w:cs="宋体"/>
                <w:b/>
                <w:bCs/>
                <w:color w:val="auto"/>
                <w:szCs w:val="21"/>
                <w:highlight w:val="none"/>
                <w:u w:val="single"/>
              </w:rPr>
              <w:t>盖章或签字，视作符合要求。如联合体投标，法定代表人证明书及授权委托书由联合体牵头人出具即可，其中“投标人”一栏可只填写联合体牵头人名称。</w:t>
            </w:r>
          </w:p>
        </w:tc>
      </w:tr>
      <w:tr w14:paraId="3FF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B56BA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1FB8CB">
            <w:pPr>
              <w:jc w:val="center"/>
              <w:rPr>
                <w:rFonts w:ascii="宋体" w:hAnsi="宋体"/>
                <w:color w:val="auto"/>
                <w:szCs w:val="21"/>
                <w:highlight w:val="none"/>
              </w:rPr>
            </w:pPr>
            <w:r>
              <w:rPr>
                <w:rFonts w:hint="eastAsia" w:ascii="宋体" w:hAnsi="宋体"/>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055CFA">
            <w:pPr>
              <w:jc w:val="both"/>
              <w:rPr>
                <w:rFonts w:ascii="宋体" w:hAnsi="宋体"/>
                <w:color w:val="auto"/>
                <w:szCs w:val="21"/>
                <w:highlight w:val="none"/>
              </w:rPr>
            </w:pPr>
            <w:r>
              <w:rPr>
                <w:rFonts w:hint="eastAsia" w:ascii="宋体" w:hAnsi="宋体" w:cs="宋体"/>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4DFEF63">
            <w:pPr>
              <w:rPr>
                <w:rFonts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投标人通过下载招标文件的</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tc>
      </w:tr>
      <w:tr w14:paraId="5FF3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A779B1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7E9861">
            <w:pPr>
              <w:jc w:val="center"/>
              <w:rPr>
                <w:rFonts w:ascii="宋体" w:hAnsi="宋体"/>
                <w:color w:val="auto"/>
                <w:szCs w:val="21"/>
                <w:highlight w:val="none"/>
              </w:rPr>
            </w:pPr>
            <w:r>
              <w:rPr>
                <w:rFonts w:hint="eastAsia" w:ascii="宋体" w:hAnsi="宋体"/>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95FB5BD">
            <w:pPr>
              <w:ind w:left="743" w:hanging="743" w:hangingChars="354"/>
              <w:jc w:val="both"/>
              <w:rPr>
                <w:rFonts w:ascii="宋体" w:hAnsi="宋体"/>
                <w:color w:val="auto"/>
                <w:szCs w:val="21"/>
                <w:highlight w:val="none"/>
              </w:rPr>
            </w:pPr>
            <w:r>
              <w:rPr>
                <w:rFonts w:hint="eastAsia" w:ascii="宋体" w:hAnsi="宋体" w:cs="宋体"/>
                <w:color w:val="auto"/>
                <w:szCs w:val="21"/>
                <w:highlight w:val="none"/>
              </w:rPr>
              <w:t>提交投标文件光盘备用</w:t>
            </w:r>
          </w:p>
          <w:p w14:paraId="514B8927">
            <w:pPr>
              <w:jc w:val="both"/>
              <w:rPr>
                <w:rFonts w:ascii="宋体" w:hAnsi="宋体"/>
                <w:color w:val="auto"/>
                <w:szCs w:val="21"/>
                <w:highlight w:val="none"/>
              </w:rPr>
            </w:pPr>
            <w:r>
              <w:rPr>
                <w:rFonts w:hint="eastAsia" w:ascii="宋体" w:hAnsi="宋体" w:cs="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0B80B368">
            <w:pPr>
              <w:ind w:left="0" w:firstLine="0" w:firstLineChars="0"/>
              <w:jc w:val="left"/>
              <w:rPr>
                <w:rFonts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提交投标文件光盘备用</w:t>
            </w:r>
          </w:p>
          <w:p w14:paraId="5DE0839A">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投标人可制作非加密的电子投标文件刻入光盘</w:t>
            </w:r>
            <w:r>
              <w:rPr>
                <w:rFonts w:hint="eastAsia" w:ascii="宋体" w:hAnsi="宋体" w:eastAsia="宋体" w:cs="宋体"/>
                <w:color w:val="auto"/>
                <w:sz w:val="21"/>
                <w:szCs w:val="21"/>
                <w:highlight w:val="none"/>
                <w:u w:val="single"/>
              </w:rPr>
              <w:t>或U盘</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共</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个光盘</w:t>
            </w:r>
            <w:r>
              <w:rPr>
                <w:rFonts w:hint="eastAsia" w:ascii="宋体" w:hAnsi="宋体" w:eastAsia="宋体" w:cs="宋体"/>
                <w:color w:val="auto"/>
                <w:sz w:val="21"/>
                <w:szCs w:val="21"/>
                <w:highlight w:val="none"/>
                <w:u w:val="single"/>
              </w:rPr>
              <w:t>或U盘</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光盘</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 w:val="21"/>
                <w:szCs w:val="21"/>
                <w:highlight w:val="none"/>
                <w:u w:val="single"/>
              </w:rPr>
              <w:t>或U盘</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Cs w:val="21"/>
                <w:highlight w:val="none"/>
                <w:u w:val="single"/>
              </w:rPr>
              <w:t>分类如下</w:t>
            </w:r>
            <w:r>
              <w:rPr>
                <w:rFonts w:hint="eastAsia" w:ascii="宋体" w:hAnsi="宋体" w:cs="宋体"/>
                <w:color w:val="auto"/>
                <w:szCs w:val="21"/>
                <w:highlight w:val="none"/>
                <w:u w:val="single"/>
              </w:rPr>
              <w:t>：①设计方案（暗标，单独密封在密封袋中，不得标注或做任何可以辨认投标人及专业技术人员身份的名称、印章、商标、图形等），②揭晓文件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用于揭晓设计方案的可识别投标人身份的文件，③资格审查文件及其他文件（如有）、报价文件。</w:t>
            </w:r>
            <w:r>
              <w:rPr>
                <w:rFonts w:hint="eastAsia" w:ascii="宋体" w:hAnsi="宋体" w:cs="宋体"/>
                <w:color w:val="auto"/>
                <w:szCs w:val="21"/>
                <w:highlight w:val="none"/>
              </w:rPr>
              <w:t>在招标公告规定的时间、地点提交备用。刻录好的投标文件光盘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olor w:val="auto"/>
                <w:szCs w:val="24"/>
                <w:highlight w:val="none"/>
                <w:u w:val="single"/>
                <w:lang w:val="en-US" w:eastAsia="zh-CN"/>
              </w:rPr>
              <w:t>分别</w:t>
            </w:r>
            <w:r>
              <w:rPr>
                <w:rFonts w:hint="eastAsia" w:ascii="宋体" w:hAnsi="宋体"/>
                <w:color w:val="auto"/>
                <w:szCs w:val="24"/>
                <w:highlight w:val="none"/>
                <w:lang w:eastAsia="zh-CN"/>
              </w:rPr>
              <w:t>独立</w:t>
            </w:r>
            <w:r>
              <w:rPr>
                <w:rFonts w:hint="eastAsia" w:ascii="宋体" w:hAnsi="宋体" w:cs="宋体"/>
                <w:color w:val="auto"/>
                <w:szCs w:val="21"/>
                <w:highlight w:val="none"/>
              </w:rPr>
              <w:t>密封在密封袋中，并在封口处加盖投标人单位公章</w:t>
            </w:r>
            <w:r>
              <w:rPr>
                <w:rFonts w:hint="eastAsia" w:ascii="宋体" w:hAnsi="宋体" w:cs="宋体"/>
                <w:color w:val="auto"/>
                <w:szCs w:val="21"/>
                <w:highlight w:val="none"/>
                <w:u w:val="single"/>
              </w:rPr>
              <w:t>（设计方案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揭晓文件光盘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u w:val="single"/>
              </w:rPr>
              <w:t>除外）</w:t>
            </w:r>
            <w:r>
              <w:rPr>
                <w:rFonts w:hint="eastAsia" w:ascii="宋体" w:hAnsi="宋体" w:cs="宋体"/>
                <w:color w:val="auto"/>
                <w:szCs w:val="21"/>
                <w:highlight w:val="none"/>
              </w:rPr>
              <w:t>。密封袋上应写明项目名称和招标人名称</w:t>
            </w:r>
            <w:r>
              <w:rPr>
                <w:rFonts w:hint="eastAsia" w:ascii="宋体" w:hAnsi="宋体" w:cs="宋体"/>
                <w:color w:val="auto"/>
                <w:szCs w:val="21"/>
                <w:highlight w:val="none"/>
                <w:u w:val="single"/>
              </w:rPr>
              <w:t>（设计方案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揭晓文件光盘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u w:val="single"/>
              </w:rPr>
              <w:t>除外）</w:t>
            </w:r>
            <w:r>
              <w:rPr>
                <w:rFonts w:hint="eastAsia" w:ascii="宋体" w:hAnsi="宋体" w:cs="宋体"/>
                <w:color w:val="auto"/>
                <w:szCs w:val="21"/>
                <w:highlight w:val="none"/>
              </w:rPr>
              <w:t>。递交的投标文件光盘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（备用）不得加密。备用光盘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无法读取或导入的，则视为未提交投标文件光盘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（备用）。如果投标人没有按规定通过交易平台网上递交电子投标文件的，不再读取提交的光盘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w:t>
            </w:r>
            <w:r>
              <w:rPr>
                <w:rFonts w:hint="eastAsia" w:ascii="宋体" w:hAnsi="宋体" w:eastAsia="宋体" w:cs="宋体"/>
                <w:color w:val="auto"/>
                <w:szCs w:val="21"/>
                <w:highlight w:val="none"/>
              </w:rPr>
              <w:t>投</w:t>
            </w:r>
            <w:r>
              <w:rPr>
                <w:rFonts w:hint="eastAsia" w:ascii="宋体" w:hAnsi="宋体" w:cs="宋体"/>
                <w:color w:val="auto"/>
                <w:szCs w:val="21"/>
                <w:highlight w:val="none"/>
              </w:rPr>
              <w:t>标人也可不提交投标文件光盘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（备用）。</w:t>
            </w:r>
          </w:p>
        </w:tc>
      </w:tr>
      <w:tr w14:paraId="6E65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F90A0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1A2DA4">
            <w:pPr>
              <w:jc w:val="center"/>
              <w:rPr>
                <w:rFonts w:hint="eastAsia" w:ascii="宋体" w:hAnsi="宋体" w:cs="宋体"/>
                <w:color w:val="auto"/>
                <w:szCs w:val="21"/>
                <w:highlight w:val="none"/>
              </w:rPr>
            </w:pPr>
            <w:r>
              <w:rPr>
                <w:rFonts w:hint="eastAsia" w:ascii="宋体" w:hAnsi="宋体" w:cs="宋体"/>
                <w:color w:val="auto"/>
                <w:highlight w:val="none"/>
              </w:rPr>
              <w:t>3.9.6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9FF39BE">
            <w:pPr>
              <w:jc w:val="both"/>
              <w:rPr>
                <w:rFonts w:hint="eastAsia" w:ascii="宋体" w:hAnsi="宋体" w:cs="宋体"/>
                <w:color w:val="auto"/>
                <w:szCs w:val="21"/>
                <w:highlight w:val="none"/>
              </w:rPr>
            </w:pPr>
            <w:r>
              <w:rPr>
                <w:rFonts w:hint="eastAsia" w:ascii="宋体" w:hAnsi="宋体" w:cs="宋体"/>
                <w:color w:val="auto"/>
                <w:highlight w:val="none"/>
              </w:rPr>
              <w:t>参加现场开标的投标人对开标结果有异议的，应当在开标现场提出，招标人应当当场作出答复，并制作记录。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19310C9">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kern w:val="0"/>
                <w:highlight w:val="none"/>
              </w:rPr>
              <w:t>参加现场开标的投标人对开标结果有异议的，应当在开标现场提出，招标人</w:t>
            </w:r>
            <w:r>
              <w:rPr>
                <w:rFonts w:hint="eastAsia" w:ascii="宋体" w:hAnsi="宋体" w:cs="宋体"/>
                <w:color w:val="auto"/>
                <w:kern w:val="0"/>
                <w:highlight w:val="none"/>
                <w:u w:val="single"/>
              </w:rPr>
              <w:t>（或招标代理机构）</w:t>
            </w:r>
            <w:r>
              <w:rPr>
                <w:rFonts w:hint="eastAsia" w:ascii="宋体" w:hAnsi="宋体" w:cs="宋体"/>
                <w:color w:val="auto"/>
                <w:kern w:val="0"/>
                <w:highlight w:val="none"/>
              </w:rPr>
              <w:t>应当当场作出答复，并制作记录。</w:t>
            </w:r>
          </w:p>
        </w:tc>
      </w:tr>
      <w:tr w14:paraId="3E11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EA5C40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A0EB6E">
            <w:pPr>
              <w:jc w:val="center"/>
              <w:rPr>
                <w:rFonts w:ascii="宋体" w:hAnsi="宋体" w:cs="宋体"/>
                <w:color w:val="auto"/>
                <w:szCs w:val="21"/>
                <w:highlight w:val="none"/>
              </w:rPr>
            </w:pPr>
            <w:r>
              <w:rPr>
                <w:rFonts w:hint="eastAsia" w:ascii="宋体" w:hAnsi="宋体" w:cs="宋体"/>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C7F7065">
            <w:pPr>
              <w:jc w:val="both"/>
              <w:rPr>
                <w:rFonts w:ascii="宋体" w:hAnsi="宋体" w:cs="宋体"/>
                <w:color w:val="auto"/>
                <w:szCs w:val="21"/>
                <w:highlight w:val="none"/>
              </w:rPr>
            </w:pPr>
            <w:r>
              <w:rPr>
                <w:rFonts w:hint="eastAsia" w:ascii="宋体" w:hAnsi="宋体" w:cs="宋体"/>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9BD4F46">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投标人不需要提交投标保证金。</w:t>
            </w:r>
          </w:p>
        </w:tc>
      </w:tr>
      <w:tr w14:paraId="5F43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96368D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BCEB9B">
            <w:pPr>
              <w:snapToGrid w:val="0"/>
              <w:ind w:firstLine="210" w:firstLineChars="100"/>
              <w:rPr>
                <w:rFonts w:ascii="宋体" w:hAnsi="宋体" w:cs="宋体"/>
                <w:color w:val="auto"/>
                <w:szCs w:val="21"/>
                <w:highlight w:val="none"/>
              </w:rPr>
            </w:pPr>
            <w:r>
              <w:rPr>
                <w:rFonts w:hint="eastAsia" w:ascii="宋体" w:hAnsi="宋体" w:cs="宋体"/>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FCFE7AE">
            <w:pPr>
              <w:snapToGrid w:val="0"/>
              <w:jc w:val="both"/>
              <w:rPr>
                <w:rFonts w:ascii="宋体" w:hAnsi="宋体"/>
                <w:color w:val="auto"/>
                <w:szCs w:val="21"/>
                <w:highlight w:val="none"/>
              </w:rPr>
            </w:pPr>
            <w:r>
              <w:rPr>
                <w:rFonts w:hint="eastAsia" w:ascii="宋体" w:hAnsi="宋体" w:cs="宋体"/>
                <w:color w:val="auto"/>
                <w:kern w:val="0"/>
                <w:szCs w:val="21"/>
                <w:highlight w:val="none"/>
              </w:rPr>
              <w:t>投标有效期</w:t>
            </w:r>
            <w:r>
              <w:rPr>
                <w:rFonts w:hint="eastAsia" w:ascii="宋体" w:hAnsi="宋体"/>
                <w:color w:val="auto"/>
                <w:kern w:val="0"/>
                <w:szCs w:val="21"/>
                <w:highlight w:val="none"/>
              </w:rPr>
              <w:t>90天，</w:t>
            </w:r>
            <w:r>
              <w:rPr>
                <w:rFonts w:hint="eastAsia" w:ascii="宋体" w:hAnsi="宋体" w:cs="宋体"/>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5BC8EE9">
            <w:pPr>
              <w:snapToGrid w:val="0"/>
              <w:rPr>
                <w:rFonts w:ascii="宋体" w:hAnsi="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投标有效期</w:t>
            </w:r>
            <w:r>
              <w:rPr>
                <w:rFonts w:hint="eastAsia" w:ascii="宋体" w:hAnsi="宋体"/>
                <w:color w:val="auto"/>
                <w:szCs w:val="21"/>
                <w:highlight w:val="none"/>
              </w:rPr>
              <w:t>90日历天，从提交投标文件截止日起计算</w:t>
            </w:r>
            <w:r>
              <w:rPr>
                <w:rFonts w:hint="eastAsia" w:ascii="宋体" w:hAnsi="宋体" w:cs="宋体"/>
                <w:color w:val="auto"/>
                <w:szCs w:val="21"/>
                <w:highlight w:val="none"/>
                <w:u w:val="single"/>
              </w:rPr>
              <w:t>，如出现异议或投诉，则投标有效期自动延长至异议或投诉处理结束。</w:t>
            </w:r>
            <w:r>
              <w:rPr>
                <w:rFonts w:hint="eastAsia" w:ascii="宋体" w:hAnsi="宋体" w:cs="宋体"/>
                <w:color w:val="auto"/>
                <w:szCs w:val="21"/>
                <w:highlight w:val="none"/>
              </w:rPr>
              <w:t>在提交投标文件截止时间后到招标文件规定的投标有效期终止之前，投标人不得补充、修改或者撤回其投标文件。</w:t>
            </w:r>
          </w:p>
        </w:tc>
      </w:tr>
      <w:tr w14:paraId="3155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7B9C9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8791E7">
            <w:pPr>
              <w:snapToGrid w:val="0"/>
              <w:ind w:firstLine="210" w:firstLineChars="100"/>
              <w:rPr>
                <w:rFonts w:ascii="宋体" w:hAnsi="宋体" w:cs="宋体"/>
                <w:color w:val="auto"/>
                <w:szCs w:val="21"/>
                <w:highlight w:val="none"/>
              </w:rPr>
            </w:pPr>
            <w:r>
              <w:rPr>
                <w:rFonts w:hint="eastAsia" w:ascii="宋体" w:hAnsi="宋体" w:cs="宋体"/>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243B03CF">
            <w:pPr>
              <w:jc w:val="both"/>
              <w:rPr>
                <w:rFonts w:ascii="宋体" w:hAnsi="宋体" w:cs="宋体"/>
                <w:color w:val="auto"/>
                <w:szCs w:val="21"/>
                <w:highlight w:val="none"/>
              </w:rPr>
            </w:pPr>
            <w:r>
              <w:rPr>
                <w:rFonts w:hint="eastAsia" w:ascii="宋体" w:hAnsi="宋体" w:cs="宋体"/>
                <w:color w:val="auto"/>
                <w:szCs w:val="21"/>
                <w:highlight w:val="none"/>
              </w:rPr>
              <w:t>3.11</w:t>
            </w:r>
            <w:r>
              <w:rPr>
                <w:rFonts w:hint="eastAsia" w:ascii="宋体" w:hAnsi="宋体" w:cs="宋体"/>
                <w:b/>
                <w:color w:val="auto"/>
                <w:szCs w:val="21"/>
                <w:highlight w:val="none"/>
              </w:rPr>
              <w:t>投标人不得存在下列情形之一：</w:t>
            </w:r>
          </w:p>
          <w:p w14:paraId="63810B51">
            <w:pPr>
              <w:jc w:val="both"/>
              <w:rPr>
                <w:rFonts w:ascii="宋体" w:hAnsi="宋体" w:cs="宋体"/>
                <w:color w:val="auto"/>
                <w:szCs w:val="21"/>
                <w:highlight w:val="none"/>
              </w:rPr>
            </w:pPr>
            <w:r>
              <w:rPr>
                <w:rFonts w:hint="eastAsia" w:ascii="宋体" w:hAnsi="宋体" w:cs="宋体"/>
                <w:color w:val="auto"/>
                <w:szCs w:val="21"/>
                <w:highlight w:val="none"/>
              </w:rPr>
              <w:t xml:space="preserve"> （1）为招标人不具有独立法人资格的附属机构（单位）；</w:t>
            </w:r>
          </w:p>
          <w:p w14:paraId="777557A5">
            <w:pPr>
              <w:jc w:val="both"/>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C5DD1AB">
            <w:pPr>
              <w:jc w:val="both"/>
              <w:rPr>
                <w:rFonts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68D0DA90">
            <w:pPr>
              <w:jc w:val="both"/>
              <w:rPr>
                <w:rFonts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1AAB48A0">
            <w:pPr>
              <w:jc w:val="both"/>
              <w:rPr>
                <w:rFonts w:ascii="宋体" w:hAnsi="宋体" w:cs="宋体"/>
                <w:color w:val="auto"/>
                <w:szCs w:val="21"/>
                <w:highlight w:val="none"/>
              </w:rPr>
            </w:pPr>
            <w:r>
              <w:rPr>
                <w:rFonts w:hint="eastAsia" w:ascii="宋体" w:hAnsi="宋体" w:cs="宋体"/>
                <w:color w:val="auto"/>
                <w:szCs w:val="21"/>
                <w:highlight w:val="none"/>
              </w:rPr>
              <w:t>（5）为本招标项目的代建人；</w:t>
            </w:r>
          </w:p>
          <w:p w14:paraId="31076322">
            <w:pPr>
              <w:jc w:val="both"/>
              <w:rPr>
                <w:rFonts w:ascii="宋体" w:hAnsi="宋体" w:cs="宋体"/>
                <w:color w:val="auto"/>
                <w:szCs w:val="21"/>
                <w:highlight w:val="none"/>
              </w:rPr>
            </w:pPr>
            <w:r>
              <w:rPr>
                <w:rFonts w:hint="eastAsia" w:ascii="宋体" w:hAnsi="宋体" w:cs="宋体"/>
                <w:color w:val="auto"/>
                <w:szCs w:val="21"/>
                <w:highlight w:val="none"/>
              </w:rPr>
              <w:t>（6）为本招标项目的招标代理机构；</w:t>
            </w:r>
          </w:p>
          <w:p w14:paraId="4306E585">
            <w:pPr>
              <w:jc w:val="both"/>
              <w:rPr>
                <w:rFonts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15EFAEC1">
            <w:pPr>
              <w:jc w:val="both"/>
              <w:rPr>
                <w:rFonts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29FDF038">
            <w:pPr>
              <w:jc w:val="both"/>
              <w:rPr>
                <w:rFonts w:ascii="宋体" w:hAnsi="宋体" w:cs="宋体"/>
                <w:color w:val="auto"/>
                <w:szCs w:val="21"/>
                <w:highlight w:val="none"/>
              </w:rPr>
            </w:pPr>
            <w:r>
              <w:rPr>
                <w:rFonts w:hint="eastAsia" w:ascii="宋体" w:hAnsi="宋体" w:cs="宋体"/>
                <w:color w:val="auto"/>
                <w:szCs w:val="21"/>
                <w:highlight w:val="none"/>
              </w:rPr>
              <w:t>（9）被依法暂停或者取消投标资格；</w:t>
            </w:r>
          </w:p>
          <w:p w14:paraId="43D40B84">
            <w:pPr>
              <w:jc w:val="both"/>
              <w:rPr>
                <w:rFonts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p>
          <w:p w14:paraId="0D5BE179">
            <w:pPr>
              <w:jc w:val="both"/>
              <w:rPr>
                <w:rFonts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5D0743DB">
            <w:pPr>
              <w:jc w:val="both"/>
              <w:rPr>
                <w:rFonts w:ascii="宋体" w:hAnsi="宋体" w:cs="宋体"/>
                <w:color w:val="auto"/>
                <w:szCs w:val="21"/>
                <w:highlight w:val="none"/>
              </w:rPr>
            </w:pPr>
            <w:r>
              <w:rPr>
                <w:rFonts w:hint="eastAsia" w:ascii="宋体" w:hAnsi="宋体" w:cs="宋体"/>
                <w:color w:val="auto"/>
                <w:szCs w:val="21"/>
                <w:highlight w:val="none"/>
              </w:rPr>
              <w:t>（12）在最近三年内发生重大设计质量问题（以相关行业主管部门的行政处罚决定或司法机关出具的有关法律文书为准）；</w:t>
            </w:r>
          </w:p>
          <w:p w14:paraId="2225E82D">
            <w:pPr>
              <w:jc w:val="both"/>
              <w:rPr>
                <w:rFonts w:ascii="宋体" w:hAnsi="宋体" w:cs="宋体"/>
                <w:color w:val="auto"/>
                <w:szCs w:val="21"/>
                <w:highlight w:val="none"/>
              </w:rPr>
            </w:pPr>
            <w:r>
              <w:rPr>
                <w:rFonts w:hint="eastAsia" w:ascii="宋体" w:hAnsi="宋体" w:cs="宋体"/>
                <w:color w:val="auto"/>
                <w:szCs w:val="21"/>
                <w:highlight w:val="none"/>
              </w:rPr>
              <w:t>（13）被工商行政管理机关在全国企业信用信息公示系统中列入严重违法失信企业名单；</w:t>
            </w:r>
          </w:p>
          <w:p w14:paraId="0FB81D4A">
            <w:pPr>
              <w:jc w:val="both"/>
              <w:rPr>
                <w:rFonts w:ascii="宋体" w:hAnsi="宋体" w:cs="宋体"/>
                <w:color w:val="auto"/>
                <w:szCs w:val="21"/>
                <w:highlight w:val="none"/>
              </w:rPr>
            </w:pPr>
            <w:r>
              <w:rPr>
                <w:rFonts w:hint="eastAsia" w:ascii="宋体" w:hAnsi="宋体" w:cs="宋体"/>
                <w:color w:val="auto"/>
                <w:szCs w:val="21"/>
                <w:highlight w:val="none"/>
              </w:rPr>
              <w:t>（14）被最高人民法院在“信用中国”网站（www.creditchina.gov.cn）或各级信用信息共享平台中列入失信被执行人名单；</w:t>
            </w:r>
          </w:p>
          <w:p w14:paraId="06C22074">
            <w:pPr>
              <w:snapToGrid w:val="0"/>
              <w:jc w:val="both"/>
              <w:rPr>
                <w:rFonts w:ascii="宋体" w:hAnsi="宋体"/>
                <w:color w:val="auto"/>
                <w:kern w:val="0"/>
                <w:szCs w:val="21"/>
                <w:highlight w:val="none"/>
              </w:rPr>
            </w:pPr>
            <w:r>
              <w:rPr>
                <w:rFonts w:hint="eastAsia" w:ascii="宋体" w:hAnsi="宋体" w:cs="宋体"/>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4FCEA333">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3.11</w:t>
            </w:r>
            <w:r>
              <w:rPr>
                <w:rFonts w:hint="eastAsia" w:ascii="宋体" w:hAnsi="宋体" w:cs="宋体"/>
                <w:b/>
                <w:color w:val="auto"/>
                <w:szCs w:val="21"/>
                <w:highlight w:val="none"/>
              </w:rPr>
              <w:t>投标人不得存在下列情形之一：</w:t>
            </w:r>
          </w:p>
          <w:p w14:paraId="38866AA7">
            <w:pPr>
              <w:rPr>
                <w:rFonts w:ascii="宋体" w:hAnsi="宋体" w:cs="宋体"/>
                <w:color w:val="auto"/>
                <w:szCs w:val="21"/>
                <w:highlight w:val="none"/>
              </w:rPr>
            </w:pPr>
            <w:r>
              <w:rPr>
                <w:rFonts w:hint="eastAsia" w:ascii="宋体" w:hAnsi="宋体" w:cs="宋体"/>
                <w:color w:val="auto"/>
                <w:szCs w:val="21"/>
                <w:highlight w:val="none"/>
              </w:rPr>
              <w:t xml:space="preserve"> （1）为招标人不具有独立法人资格的附属机构（单位）；</w:t>
            </w:r>
          </w:p>
          <w:p w14:paraId="537C0C97">
            <w:pPr>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232FE31F">
            <w:pPr>
              <w:rPr>
                <w:rFonts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7DC45F58">
            <w:pPr>
              <w:rPr>
                <w:rFonts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629211E6">
            <w:pPr>
              <w:rPr>
                <w:rFonts w:ascii="宋体" w:hAnsi="宋体" w:cs="宋体"/>
                <w:color w:val="auto"/>
                <w:szCs w:val="21"/>
                <w:highlight w:val="none"/>
              </w:rPr>
            </w:pPr>
            <w:r>
              <w:rPr>
                <w:rFonts w:hint="eastAsia" w:ascii="宋体" w:hAnsi="宋体" w:cs="宋体"/>
                <w:color w:val="auto"/>
                <w:szCs w:val="21"/>
                <w:highlight w:val="none"/>
              </w:rPr>
              <w:t>（5）为本招标项目的代建人；</w:t>
            </w:r>
          </w:p>
          <w:p w14:paraId="23579DE7">
            <w:pPr>
              <w:rPr>
                <w:rFonts w:ascii="宋体" w:hAnsi="宋体" w:cs="宋体"/>
                <w:color w:val="auto"/>
                <w:szCs w:val="21"/>
                <w:highlight w:val="none"/>
              </w:rPr>
            </w:pPr>
            <w:r>
              <w:rPr>
                <w:rFonts w:hint="eastAsia" w:ascii="宋体" w:hAnsi="宋体" w:cs="宋体"/>
                <w:color w:val="auto"/>
                <w:szCs w:val="21"/>
                <w:highlight w:val="none"/>
              </w:rPr>
              <w:t>（6）为本招标项目的招标代理机构；</w:t>
            </w:r>
          </w:p>
          <w:p w14:paraId="63E15F93">
            <w:pPr>
              <w:rPr>
                <w:rFonts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4909E924">
            <w:pPr>
              <w:rPr>
                <w:rFonts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318D8DD1">
            <w:pPr>
              <w:rPr>
                <w:rFonts w:ascii="宋体" w:hAnsi="宋体" w:cs="宋体"/>
                <w:color w:val="auto"/>
                <w:szCs w:val="21"/>
                <w:highlight w:val="none"/>
                <w:u w:val="single"/>
              </w:rPr>
            </w:pPr>
            <w:r>
              <w:rPr>
                <w:rFonts w:hint="eastAsia" w:ascii="宋体" w:hAnsi="宋体" w:cs="宋体"/>
                <w:color w:val="auto"/>
                <w:szCs w:val="21"/>
                <w:highlight w:val="none"/>
              </w:rPr>
              <w:t>（9）被依法暂停或者取消投标资格；</w:t>
            </w:r>
            <w:r>
              <w:rPr>
                <w:rFonts w:hint="eastAsia" w:ascii="宋体" w:hAnsi="宋体" w:cs="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37E4C2B9">
            <w:pPr>
              <w:rPr>
                <w:rFonts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r>
              <w:rPr>
                <w:rFonts w:hint="eastAsia" w:ascii="宋体" w:hAnsi="宋体" w:cs="宋体"/>
                <w:color w:val="auto"/>
                <w:szCs w:val="21"/>
                <w:highlight w:val="none"/>
                <w:u w:val="single"/>
              </w:rPr>
              <w:t>（本项事实应当以根据《中华人民共和国行政处罚法》依法作出并已经生效的行政处罚决定为认定依据。）</w:t>
            </w:r>
            <w:r>
              <w:rPr>
                <w:rFonts w:hint="eastAsia" w:ascii="宋体" w:hAnsi="宋体" w:cs="宋体"/>
                <w:color w:val="auto"/>
                <w:szCs w:val="21"/>
                <w:highlight w:val="none"/>
              </w:rPr>
              <w:t>；</w:t>
            </w:r>
          </w:p>
          <w:p w14:paraId="6525260B">
            <w:pPr>
              <w:rPr>
                <w:rFonts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59938727">
            <w:pPr>
              <w:snapToGrid w:val="0"/>
              <w:rPr>
                <w:rFonts w:hint="eastAsia" w:ascii="宋体" w:hAnsi="宋体" w:cs="宋体"/>
                <w:color w:val="auto"/>
                <w:szCs w:val="21"/>
                <w:highlight w:val="none"/>
              </w:rPr>
            </w:pPr>
            <w:r>
              <w:rPr>
                <w:rFonts w:hint="eastAsia" w:ascii="宋体" w:hAnsi="宋体" w:cs="宋体"/>
                <w:color w:val="auto"/>
                <w:szCs w:val="21"/>
                <w:highlight w:val="none"/>
              </w:rPr>
              <w:t>（12）在最近三年内发生重大设计质量问题</w:t>
            </w:r>
            <w:r>
              <w:rPr>
                <w:rFonts w:hint="eastAsia" w:ascii="宋体" w:hAnsi="宋体" w:cs="宋体"/>
                <w:color w:val="auto"/>
                <w:szCs w:val="21"/>
                <w:highlight w:val="none"/>
                <w:u w:val="single"/>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s="宋体"/>
                <w:color w:val="auto"/>
                <w:szCs w:val="21"/>
                <w:highlight w:val="none"/>
              </w:rPr>
              <w:t>；</w:t>
            </w:r>
          </w:p>
          <w:p w14:paraId="7A74BB45">
            <w:pPr>
              <w:snapToGrid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13）法律法规规定的其他情形。</w:t>
            </w:r>
          </w:p>
        </w:tc>
      </w:tr>
      <w:tr w14:paraId="2DC3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1F73D2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12453F">
            <w:pPr>
              <w:jc w:val="center"/>
              <w:rPr>
                <w:rFonts w:hint="eastAsia" w:ascii="宋体" w:hAnsi="宋体" w:cs="宋体"/>
                <w:color w:val="auto"/>
                <w:szCs w:val="21"/>
                <w:highlight w:val="none"/>
              </w:rPr>
            </w:pPr>
            <w:r>
              <w:rPr>
                <w:rFonts w:ascii="宋体" w:hAnsi="宋体" w:cs="宋体"/>
                <w:color w:val="auto"/>
                <w:szCs w:val="21"/>
                <w:highlight w:val="none"/>
              </w:rPr>
              <w:t xml:space="preserve">4.1.3 </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0FE386">
            <w:pPr>
              <w:ind w:left="372" w:hanging="371" w:hangingChars="177"/>
              <w:jc w:val="both"/>
              <w:rPr>
                <w:rFonts w:ascii="宋体" w:cs="宋体"/>
                <w:color w:val="auto"/>
                <w:szCs w:val="21"/>
                <w:highlight w:val="none"/>
              </w:rPr>
            </w:pPr>
            <w:r>
              <w:rPr>
                <w:rFonts w:ascii="宋体" w:hAnsi="宋体" w:cs="宋体"/>
                <w:color w:val="auto"/>
                <w:szCs w:val="21"/>
                <w:highlight w:val="none"/>
              </w:rPr>
              <w:t xml:space="preserve">4.1.3  </w:t>
            </w:r>
            <w:r>
              <w:rPr>
                <w:rFonts w:hint="eastAsia" w:ascii="宋体" w:hAnsi="宋体" w:cs="宋体"/>
                <w:color w:val="auto"/>
                <w:szCs w:val="21"/>
                <w:highlight w:val="none"/>
              </w:rPr>
              <w:t>投标文件有下列情况之一的，评标委员会应当否决其投标：</w:t>
            </w:r>
          </w:p>
          <w:p w14:paraId="0834CFF5">
            <w:pPr>
              <w:ind w:left="372" w:hanging="371" w:hangingChars="177"/>
              <w:jc w:val="both"/>
              <w:rPr>
                <w:rFonts w:ascii="宋体" w:cs="宋体"/>
                <w:color w:val="auto"/>
                <w:szCs w:val="21"/>
                <w:highlight w:val="none"/>
              </w:rPr>
            </w:pPr>
            <w:r>
              <w:rPr>
                <w:rFonts w:ascii="宋体" w:hAnsi="宋体" w:cs="宋体"/>
                <w:color w:val="auto"/>
                <w:szCs w:val="21"/>
                <w:highlight w:val="none"/>
              </w:rPr>
              <w:t xml:space="preserve">   (a) </w:t>
            </w:r>
            <w:r>
              <w:rPr>
                <w:rFonts w:hint="eastAsia" w:ascii="宋体" w:hAnsi="宋体" w:cs="宋体"/>
                <w:color w:val="auto"/>
                <w:szCs w:val="21"/>
                <w:highlight w:val="none"/>
              </w:rPr>
              <w:t>投标人与其他投标人加密打包投标文件电脑机器特征码一致的；</w:t>
            </w:r>
          </w:p>
          <w:p w14:paraId="403B2041">
            <w:pPr>
              <w:ind w:left="372" w:hanging="371" w:hangingChars="177"/>
              <w:jc w:val="both"/>
              <w:rPr>
                <w:rFonts w:ascii="宋体" w:cs="宋体"/>
                <w:color w:val="auto"/>
                <w:szCs w:val="21"/>
                <w:highlight w:val="none"/>
              </w:rPr>
            </w:pPr>
            <w:r>
              <w:rPr>
                <w:rFonts w:ascii="宋体" w:hAnsi="宋体" w:cs="宋体"/>
                <w:color w:val="auto"/>
                <w:szCs w:val="21"/>
                <w:highlight w:val="none"/>
              </w:rPr>
              <w:t xml:space="preserve">   (b) </w:t>
            </w:r>
            <w:r>
              <w:rPr>
                <w:rFonts w:hint="eastAsia" w:ascii="宋体" w:hAnsi="宋体" w:cs="宋体"/>
                <w:color w:val="auto"/>
                <w:szCs w:val="21"/>
                <w:highlight w:val="none"/>
              </w:rPr>
              <w:t>投标人在设计方案内标注名称、印章、商标、图形等记认符号，使人辨认出投标人或其专业技术人员的身份；</w:t>
            </w:r>
          </w:p>
          <w:p w14:paraId="44ACE160">
            <w:pPr>
              <w:ind w:left="372" w:hanging="371" w:hangingChars="177"/>
              <w:jc w:val="both"/>
              <w:rPr>
                <w:rFonts w:ascii="宋体" w:cs="宋体"/>
                <w:color w:val="auto"/>
                <w:szCs w:val="21"/>
                <w:highlight w:val="none"/>
              </w:rPr>
            </w:pPr>
            <w:r>
              <w:rPr>
                <w:rFonts w:ascii="宋体" w:hAnsi="宋体" w:cs="宋体"/>
                <w:color w:val="auto"/>
                <w:szCs w:val="21"/>
                <w:highlight w:val="none"/>
              </w:rPr>
              <w:t xml:space="preserve">   (c)</w:t>
            </w:r>
            <w:r>
              <w:rPr>
                <w:rFonts w:hint="eastAsia" w:ascii="宋体" w:hAnsi="宋体" w:cs="宋体"/>
                <w:color w:val="auto"/>
                <w:szCs w:val="21"/>
                <w:highlight w:val="none"/>
              </w:rPr>
              <w:t>投标人之间存在《广东省实施</w:t>
            </w:r>
            <w:r>
              <w:rPr>
                <w:rFonts w:ascii="宋体" w:hAnsi="宋体" w:cs="宋体"/>
                <w:color w:val="auto"/>
                <w:szCs w:val="21"/>
                <w:highlight w:val="none"/>
              </w:rPr>
              <w:t>&lt;</w:t>
            </w:r>
            <w:r>
              <w:rPr>
                <w:rFonts w:hint="eastAsia" w:ascii="宋体" w:hAnsi="宋体" w:cs="宋体"/>
                <w:color w:val="auto"/>
                <w:szCs w:val="21"/>
                <w:highlight w:val="none"/>
              </w:rPr>
              <w:t>中华人民共和国招标投标法</w:t>
            </w:r>
            <w:r>
              <w:rPr>
                <w:rFonts w:ascii="宋体" w:hAnsi="宋体" w:cs="宋体"/>
                <w:color w:val="auto"/>
                <w:szCs w:val="21"/>
                <w:highlight w:val="none"/>
              </w:rPr>
              <w:t>&gt;</w:t>
            </w:r>
            <w:r>
              <w:rPr>
                <w:rFonts w:hint="eastAsia" w:ascii="宋体" w:hAnsi="宋体" w:cs="宋体"/>
                <w:color w:val="auto"/>
                <w:szCs w:val="21"/>
                <w:highlight w:val="none"/>
              </w:rPr>
              <w:t>》第十六条所禁止的情形的；</w:t>
            </w:r>
          </w:p>
          <w:p w14:paraId="2495B963">
            <w:pPr>
              <w:ind w:left="372" w:hanging="371" w:hangingChars="177"/>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d</w:t>
            </w:r>
            <w:r>
              <w:rPr>
                <w:rFonts w:hint="eastAsia" w:ascii="宋体" w:hAnsi="宋体" w:cs="宋体"/>
                <w:color w:val="auto"/>
                <w:szCs w:val="21"/>
                <w:highlight w:val="none"/>
              </w:rPr>
              <w:t>）投标报价高于最高投标限价的。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AA1908C">
            <w:pPr>
              <w:ind w:left="0" w:firstLine="0" w:firstLineChars="0"/>
              <w:rPr>
                <w:rFonts w:ascii="宋体" w:hAnsi="宋体" w:eastAsia="宋体" w:cs="宋体"/>
                <w:color w:val="auto"/>
                <w:szCs w:val="21"/>
                <w:highlight w:val="none"/>
              </w:rPr>
            </w:pPr>
            <w:r>
              <w:rPr>
                <w:rFonts w:hint="eastAsia" w:ascii="宋体" w:hAnsi="宋体" w:cs="宋体"/>
                <w:b/>
                <w:color w:val="auto"/>
                <w:szCs w:val="21"/>
                <w:highlight w:val="none"/>
              </w:rPr>
              <w:t>修改：</w:t>
            </w:r>
            <w:r>
              <w:rPr>
                <w:rFonts w:ascii="宋体" w:hAnsi="宋体" w:cs="宋体"/>
                <w:color w:val="auto"/>
                <w:szCs w:val="21"/>
                <w:highlight w:val="none"/>
              </w:rPr>
              <w:t xml:space="preserve">4.1.3  </w:t>
            </w:r>
            <w:r>
              <w:rPr>
                <w:rFonts w:hint="eastAsia" w:ascii="宋体" w:hAnsi="宋体" w:cs="宋体"/>
                <w:color w:val="auto"/>
                <w:szCs w:val="21"/>
                <w:highlight w:val="none"/>
              </w:rPr>
              <w:t>投标文件有下列情况之一的，评标委员会应当否决其投标：</w:t>
            </w:r>
          </w:p>
          <w:p w14:paraId="60DE7E72">
            <w:pPr>
              <w:ind w:left="0" w:firstLine="0" w:firstLineChars="0"/>
              <w:jc w:val="left"/>
              <w:rPr>
                <w:rFonts w:ascii="宋体" w:cs="宋体"/>
                <w:color w:val="auto"/>
                <w:szCs w:val="21"/>
                <w:highlight w:val="none"/>
              </w:rPr>
            </w:pPr>
            <w:r>
              <w:rPr>
                <w:rFonts w:ascii="宋体" w:hAnsi="宋体" w:eastAsia="宋体" w:cs="宋体"/>
                <w:color w:val="auto"/>
                <w:szCs w:val="21"/>
                <w:highlight w:val="none"/>
              </w:rPr>
              <w:t xml:space="preserve">  </w:t>
            </w:r>
            <w:r>
              <w:rPr>
                <w:rFonts w:ascii="宋体" w:hAnsi="宋体" w:cs="宋体"/>
                <w:color w:val="auto"/>
                <w:szCs w:val="21"/>
                <w:highlight w:val="none"/>
              </w:rPr>
              <w:t>(a</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投标人与</w:t>
            </w:r>
            <w:r>
              <w:rPr>
                <w:rFonts w:hint="eastAsia" w:ascii="宋体" w:hAnsi="宋体" w:cs="宋体"/>
                <w:b/>
                <w:bCs/>
                <w:color w:val="auto"/>
                <w:szCs w:val="21"/>
                <w:highlight w:val="none"/>
                <w:u w:val="single"/>
              </w:rPr>
              <w:t>本项目</w:t>
            </w:r>
            <w:r>
              <w:rPr>
                <w:rFonts w:hint="eastAsia" w:ascii="宋体" w:hAnsi="宋体" w:cs="宋体"/>
                <w:color w:val="auto"/>
                <w:szCs w:val="21"/>
                <w:highlight w:val="none"/>
              </w:rPr>
              <w:t>其他投标人加密打包投标文件电脑机器特征码一致的；</w:t>
            </w:r>
          </w:p>
          <w:p w14:paraId="41D85BDD">
            <w:pPr>
              <w:ind w:left="0" w:firstLine="0" w:firstLineChars="0"/>
              <w:rPr>
                <w:rFonts w:ascii="宋体" w:cs="宋体"/>
                <w:color w:val="auto"/>
                <w:szCs w:val="21"/>
                <w:highlight w:val="none"/>
              </w:rPr>
            </w:pPr>
            <w:r>
              <w:rPr>
                <w:rFonts w:ascii="宋体" w:hAnsi="宋体" w:cs="宋体"/>
                <w:color w:val="auto"/>
                <w:szCs w:val="21"/>
                <w:highlight w:val="none"/>
              </w:rPr>
              <w:t xml:space="preserve">  (b) </w:t>
            </w:r>
            <w:r>
              <w:rPr>
                <w:rFonts w:hint="eastAsia" w:ascii="宋体" w:hAnsi="宋体" w:eastAsia="宋体" w:cs="宋体"/>
                <w:color w:val="auto"/>
                <w:szCs w:val="21"/>
                <w:highlight w:val="none"/>
              </w:rPr>
              <w:t>投标</w:t>
            </w:r>
            <w:r>
              <w:rPr>
                <w:rFonts w:hint="eastAsia" w:ascii="宋体" w:hAnsi="宋体" w:cs="宋体"/>
                <w:color w:val="auto"/>
                <w:szCs w:val="21"/>
                <w:highlight w:val="none"/>
              </w:rPr>
              <w:t>人在设计方案内标注名称、印章、商标、图形等记认符号，使人</w:t>
            </w:r>
            <w:r>
              <w:rPr>
                <w:rFonts w:hint="eastAsia" w:ascii="宋体" w:hAnsi="宋体" w:eastAsia="宋体" w:cs="宋体"/>
                <w:color w:val="auto"/>
                <w:szCs w:val="21"/>
                <w:highlight w:val="none"/>
              </w:rPr>
              <w:t>辨认</w:t>
            </w:r>
            <w:r>
              <w:rPr>
                <w:rFonts w:hint="eastAsia" w:ascii="宋体" w:hAnsi="宋体" w:cs="宋体"/>
                <w:color w:val="auto"/>
                <w:szCs w:val="21"/>
                <w:highlight w:val="none"/>
              </w:rPr>
              <w:t>出投标人或其专业技术人员的身份；</w:t>
            </w:r>
          </w:p>
          <w:p w14:paraId="6020208C">
            <w:pPr>
              <w:ind w:left="0" w:firstLine="210" w:firstLineChars="0"/>
              <w:rPr>
                <w:rFonts w:hint="eastAsia" w:ascii="宋体" w:hAnsi="宋体" w:cs="宋体"/>
                <w:color w:val="auto"/>
                <w:szCs w:val="21"/>
                <w:highlight w:val="none"/>
              </w:rPr>
            </w:pPr>
            <w:r>
              <w:rPr>
                <w:rFonts w:ascii="宋体" w:hAnsi="宋体" w:cs="宋体"/>
                <w:color w:val="auto"/>
                <w:szCs w:val="21"/>
                <w:highlight w:val="none"/>
              </w:rPr>
              <w:t>(c)</w:t>
            </w:r>
            <w:r>
              <w:rPr>
                <w:rFonts w:hint="eastAsia" w:ascii="宋体" w:hAnsi="宋体" w:cs="宋体"/>
                <w:color w:val="auto"/>
                <w:szCs w:val="21"/>
                <w:highlight w:val="none"/>
              </w:rPr>
              <w:t>投标人之间存在《广东省实施</w:t>
            </w:r>
            <w:r>
              <w:rPr>
                <w:rFonts w:ascii="宋体" w:hAnsi="宋体" w:cs="宋体"/>
                <w:color w:val="auto"/>
                <w:szCs w:val="21"/>
                <w:highlight w:val="none"/>
              </w:rPr>
              <w:t>&lt;</w:t>
            </w:r>
            <w:r>
              <w:rPr>
                <w:rFonts w:hint="eastAsia" w:ascii="宋体" w:hAnsi="宋体" w:eastAsia="宋体" w:cs="宋体"/>
                <w:color w:val="auto"/>
                <w:szCs w:val="21"/>
                <w:highlight w:val="none"/>
              </w:rPr>
              <w:t>中华人民共和国</w:t>
            </w:r>
            <w:r>
              <w:rPr>
                <w:rFonts w:hint="eastAsia" w:ascii="宋体" w:hAnsi="宋体" w:cs="宋体"/>
                <w:color w:val="auto"/>
                <w:szCs w:val="21"/>
                <w:highlight w:val="none"/>
              </w:rPr>
              <w:t>招标投标法</w:t>
            </w:r>
            <w:r>
              <w:rPr>
                <w:rFonts w:ascii="宋体" w:hAnsi="宋体" w:cs="宋体"/>
                <w:color w:val="auto"/>
                <w:szCs w:val="21"/>
                <w:highlight w:val="none"/>
              </w:rPr>
              <w:t>&gt;</w:t>
            </w:r>
            <w:r>
              <w:rPr>
                <w:rFonts w:hint="eastAsia" w:ascii="宋体" w:hAnsi="宋体" w:cs="宋体"/>
                <w:color w:val="auto"/>
                <w:szCs w:val="21"/>
                <w:highlight w:val="none"/>
                <w:lang w:val="en-US" w:eastAsia="zh-CN"/>
              </w:rPr>
              <w:t>办法</w:t>
            </w:r>
            <w:r>
              <w:rPr>
                <w:rFonts w:hint="eastAsia" w:ascii="宋体" w:hAnsi="宋体" w:cs="宋体"/>
                <w:color w:val="auto"/>
                <w:szCs w:val="21"/>
                <w:highlight w:val="none"/>
              </w:rPr>
              <w:t>》第十六条所禁止的情形的；</w:t>
            </w:r>
          </w:p>
          <w:p w14:paraId="5C688400">
            <w:pPr>
              <w:ind w:left="0" w:leftChars="0" w:firstLine="218" w:firstLineChars="104"/>
              <w:rPr>
                <w:rFonts w:hint="eastAsia"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d</w:t>
            </w:r>
            <w:r>
              <w:rPr>
                <w:rFonts w:hint="eastAsia" w:ascii="宋体" w:hAnsi="宋体" w:cs="宋体"/>
                <w:color w:val="auto"/>
                <w:szCs w:val="21"/>
                <w:highlight w:val="none"/>
              </w:rPr>
              <w:t>）投标</w:t>
            </w:r>
            <w:r>
              <w:rPr>
                <w:rFonts w:hint="eastAsia" w:ascii="宋体" w:hAnsi="宋体" w:eastAsia="宋体" w:cs="宋体"/>
                <w:color w:val="auto"/>
                <w:szCs w:val="21"/>
                <w:highlight w:val="none"/>
              </w:rPr>
              <w:t>报价</w:t>
            </w:r>
            <w:r>
              <w:rPr>
                <w:rFonts w:hint="eastAsia" w:ascii="宋体" w:hAnsi="宋体" w:cs="宋体"/>
                <w:color w:val="auto"/>
                <w:szCs w:val="21"/>
                <w:highlight w:val="none"/>
              </w:rPr>
              <w:t>高于最高投标限价的。</w:t>
            </w:r>
          </w:p>
        </w:tc>
      </w:tr>
      <w:tr w14:paraId="3CF1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8948D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E9CD85">
            <w:pPr>
              <w:jc w:val="center"/>
              <w:rPr>
                <w:rFonts w:ascii="宋体" w:hAnsi="宋体" w:cs="宋体"/>
                <w:color w:val="auto"/>
                <w:szCs w:val="21"/>
                <w:highlight w:val="none"/>
              </w:rPr>
            </w:pPr>
            <w:r>
              <w:rPr>
                <w:rFonts w:hint="eastAsia" w:ascii="宋体" w:hAnsi="宋体" w:cs="宋体"/>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B132DA3">
            <w:pPr>
              <w:jc w:val="both"/>
              <w:rPr>
                <w:rFonts w:ascii="宋体" w:hAnsi="宋体"/>
                <w:color w:val="auto"/>
                <w:kern w:val="0"/>
                <w:szCs w:val="21"/>
                <w:highlight w:val="none"/>
              </w:rPr>
            </w:pPr>
            <w:r>
              <w:rPr>
                <w:rFonts w:hint="eastAsia" w:ascii="宋体" w:hAnsi="宋体" w:cs="宋体"/>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B317539">
            <w:pPr>
              <w:rPr>
                <w:rFonts w:ascii="宋体" w:hAnsi="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u w:val="single"/>
              </w:rPr>
              <w:t>评标委员会由招标人依法组建。</w:t>
            </w:r>
          </w:p>
        </w:tc>
      </w:tr>
      <w:tr w14:paraId="419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A695CC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B97543">
            <w:pPr>
              <w:jc w:val="center"/>
              <w:rPr>
                <w:rFonts w:hint="eastAsia" w:ascii="宋体" w:hAnsi="宋体" w:cs="宋体"/>
                <w:color w:val="auto"/>
                <w:szCs w:val="21"/>
                <w:highlight w:val="none"/>
              </w:rPr>
            </w:pPr>
            <w:r>
              <w:rPr>
                <w:rFonts w:hint="eastAsia" w:ascii="宋体" w:hAnsi="宋体" w:cs="宋体"/>
                <w:color w:val="auto"/>
                <w:szCs w:val="21"/>
                <w:highlight w:val="none"/>
              </w:rPr>
              <w:t>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552AC42">
            <w:pPr>
              <w:jc w:val="both"/>
              <w:rPr>
                <w:rFonts w:hint="eastAsia" w:ascii="宋体" w:hAnsi="宋体" w:cs="宋体"/>
                <w:color w:val="auto"/>
                <w:szCs w:val="21"/>
                <w:highlight w:val="none"/>
              </w:rPr>
            </w:pPr>
            <w:r>
              <w:rPr>
                <w:rFonts w:hint="eastAsia" w:ascii="宋体" w:hAnsi="宋体" w:cs="宋体"/>
                <w:color w:val="auto"/>
                <w:szCs w:val="21"/>
                <w:highlight w:val="none"/>
              </w:rPr>
              <w:t>评标原则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884BB4">
            <w:pPr>
              <w:rPr>
                <w:rFonts w:hint="eastAsia" w:ascii="宋体" w:hAnsi="宋体" w:cs="宋体"/>
                <w:b w:val="0"/>
                <w:color w:val="auto"/>
                <w:szCs w:val="21"/>
                <w:highlight w:val="none"/>
              </w:rPr>
            </w:pPr>
            <w:r>
              <w:rPr>
                <w:rFonts w:hint="eastAsia" w:ascii="宋体" w:hAnsi="宋体" w:cs="宋体"/>
                <w:b/>
                <w:color w:val="auto"/>
                <w:szCs w:val="21"/>
                <w:highlight w:val="none"/>
              </w:rPr>
              <w:t>增加：</w:t>
            </w:r>
            <w:r>
              <w:rPr>
                <w:rFonts w:hint="eastAsia" w:ascii="宋体" w:hAnsi="宋体" w:cs="宋体"/>
                <w:b w:val="0"/>
                <w:color w:val="auto"/>
                <w:szCs w:val="21"/>
                <w:highlight w:val="none"/>
              </w:rPr>
              <w:t>评标委员会在开始评标前，应了解评标专家的职责及守则，认真阅读附录20《评标委员会成员声明》的内容并签名，签字后方可进行评标；</w:t>
            </w:r>
          </w:p>
        </w:tc>
      </w:tr>
      <w:tr w14:paraId="0C17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CF3C16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16712">
            <w:pPr>
              <w:jc w:val="center"/>
              <w:rPr>
                <w:rFonts w:ascii="宋体" w:hAnsi="宋体" w:cs="宋体"/>
                <w:color w:val="auto"/>
                <w:szCs w:val="21"/>
                <w:highlight w:val="none"/>
              </w:rPr>
            </w:pPr>
            <w:r>
              <w:rPr>
                <w:rFonts w:hint="eastAsia" w:ascii="宋体" w:hAnsi="宋体" w:cs="宋体"/>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D017BB">
            <w:pPr>
              <w:jc w:val="both"/>
              <w:rPr>
                <w:rFonts w:ascii="宋体" w:hAnsi="宋体"/>
                <w:color w:val="auto"/>
                <w:szCs w:val="21"/>
                <w:highlight w:val="none"/>
              </w:rPr>
            </w:pPr>
            <w:r>
              <w:rPr>
                <w:rFonts w:hint="eastAsia" w:ascii="宋体" w:hAnsi="宋体" w:cs="宋体"/>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A840E98">
            <w:pPr>
              <w:rPr>
                <w:rFonts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F7DB72B">
            <w:pPr>
              <w:ind w:firstLine="420" w:firstLineChars="200"/>
              <w:rPr>
                <w:rFonts w:ascii="宋体" w:hAnsi="宋体"/>
                <w:color w:val="auto"/>
                <w:szCs w:val="21"/>
                <w:highlight w:val="none"/>
                <w:u w:val="single"/>
              </w:rPr>
            </w:pPr>
            <w:r>
              <w:rPr>
                <w:rFonts w:hint="eastAsia" w:ascii="宋体" w:hAnsi="宋体" w:cs="宋体"/>
                <w:color w:val="auto"/>
                <w:szCs w:val="21"/>
                <w:highlight w:val="none"/>
                <w:u w:val="single"/>
              </w:rPr>
              <w:t>若在评标期间</w:t>
            </w:r>
            <w:r>
              <w:rPr>
                <w:rFonts w:hint="eastAsia" w:ascii="宋体" w:hAnsi="宋体" w:cs="宋体"/>
                <w:b/>
                <w:color w:val="auto"/>
                <w:szCs w:val="21"/>
                <w:highlight w:val="none"/>
                <w:u w:val="single"/>
              </w:rPr>
              <w:t>（设计方案评审阶段除外）</w:t>
            </w:r>
            <w:r>
              <w:rPr>
                <w:rFonts w:hint="eastAsia" w:ascii="宋体" w:hAnsi="宋体" w:cs="宋体"/>
                <w:color w:val="auto"/>
                <w:szCs w:val="21"/>
                <w:highlight w:val="none"/>
                <w:u w:val="single"/>
              </w:rPr>
              <w:t>，经评标委员会两人以上（含两人）以书面形式提出动议，评标委员会应当书面发出澄清通知，要求投标人对投标文件含义不明确的内容作出澄清。</w:t>
            </w:r>
          </w:p>
          <w:p w14:paraId="5EAD3E37">
            <w:pPr>
              <w:ind w:firstLine="420" w:firstLineChars="200"/>
              <w:rPr>
                <w:rFonts w:ascii="宋体" w:hAnsi="宋体"/>
                <w:color w:val="auto"/>
                <w:szCs w:val="21"/>
                <w:highlight w:val="none"/>
                <w:u w:val="single"/>
              </w:rPr>
            </w:pPr>
            <w:r>
              <w:rPr>
                <w:rFonts w:hint="eastAsia" w:ascii="宋体" w:hAnsi="宋体" w:cs="宋体"/>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7D98E8DC">
            <w:pPr>
              <w:ind w:firstLine="420" w:firstLineChars="200"/>
              <w:rPr>
                <w:rFonts w:ascii="宋体" w:hAnsi="宋体"/>
                <w:b/>
                <w:color w:val="auto"/>
                <w:szCs w:val="21"/>
                <w:highlight w:val="none"/>
              </w:rPr>
            </w:pPr>
            <w:r>
              <w:rPr>
                <w:rFonts w:hint="eastAsia" w:ascii="宋体" w:hAnsi="宋体" w:cs="宋体"/>
                <w:color w:val="auto"/>
                <w:szCs w:val="21"/>
                <w:highlight w:val="none"/>
                <w:u w:val="single"/>
              </w:rPr>
              <w:t>评标委员会均应当阅读投标人的澄清，但应独立参考澄清对投标文件进行评审。</w:t>
            </w:r>
          </w:p>
        </w:tc>
      </w:tr>
      <w:tr w14:paraId="74D9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26D68E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E4796E">
            <w:pPr>
              <w:jc w:val="center"/>
              <w:rPr>
                <w:rFonts w:ascii="宋体" w:hAnsi="宋体" w:cs="宋体"/>
                <w:color w:val="auto"/>
                <w:szCs w:val="21"/>
                <w:highlight w:val="none"/>
              </w:rPr>
            </w:pPr>
            <w:r>
              <w:rPr>
                <w:rFonts w:hint="eastAsia" w:ascii="宋体" w:hAnsi="宋体" w:cs="宋体"/>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98395C">
            <w:pPr>
              <w:ind w:left="743" w:hanging="743" w:hangingChars="354"/>
              <w:jc w:val="both"/>
              <w:rPr>
                <w:rFonts w:ascii="宋体" w:hAnsi="宋体" w:cs="宋体"/>
                <w:color w:val="auto"/>
                <w:szCs w:val="21"/>
                <w:highlight w:val="none"/>
              </w:rPr>
            </w:pPr>
            <w:r>
              <w:rPr>
                <w:rFonts w:hint="eastAsia" w:ascii="宋体" w:hAnsi="宋体" w:cs="宋体"/>
                <w:color w:val="auto"/>
                <w:szCs w:val="21"/>
                <w:highlight w:val="none"/>
              </w:rPr>
              <w:t>4.5.1  是否采用评定分离：</w:t>
            </w:r>
          </w:p>
          <w:p w14:paraId="04F48834">
            <w:pPr>
              <w:ind w:left="743" w:hanging="743" w:hangingChars="354"/>
              <w:jc w:val="both"/>
              <w:rPr>
                <w:rFonts w:ascii="宋体" w:hAnsi="宋体" w:cs="宋体"/>
                <w:color w:val="auto"/>
                <w:szCs w:val="21"/>
                <w:highlight w:val="none"/>
              </w:rPr>
            </w:pPr>
            <w:r>
              <w:rPr>
                <w:rFonts w:hint="eastAsia" w:ascii="宋体" w:hAnsi="宋体" w:cs="宋体"/>
                <w:color w:val="auto"/>
                <w:szCs w:val="21"/>
                <w:highlight w:val="none"/>
              </w:rPr>
              <w:t>□是，入围定标环节的投标人家数：</w:t>
            </w:r>
          </w:p>
          <w:p w14:paraId="5732B2A0">
            <w:pPr>
              <w:ind w:left="743" w:hanging="743" w:hangingChars="354"/>
              <w:jc w:val="both"/>
              <w:rPr>
                <w:rFonts w:ascii="宋体" w:hAnsi="宋体" w:cs="宋体"/>
                <w:color w:val="auto"/>
                <w:szCs w:val="21"/>
                <w:highlight w:val="none"/>
              </w:rPr>
            </w:pPr>
            <w:r>
              <w:rPr>
                <w:rFonts w:hint="eastAsia" w:ascii="宋体" w:hAnsi="宋体" w:cs="宋体"/>
                <w:color w:val="auto"/>
                <w:szCs w:val="21"/>
                <w:highlight w:val="none"/>
              </w:rPr>
              <w:t>名；</w:t>
            </w:r>
          </w:p>
          <w:p w14:paraId="73598E18">
            <w:pPr>
              <w:ind w:left="743" w:hanging="743" w:hangingChars="354"/>
              <w:jc w:val="both"/>
              <w:rPr>
                <w:rFonts w:ascii="宋体" w:hAnsi="宋体" w:cs="宋体"/>
                <w:color w:val="auto"/>
                <w:szCs w:val="21"/>
                <w:highlight w:val="none"/>
              </w:rPr>
            </w:pPr>
            <w:r>
              <w:rPr>
                <w:rFonts w:hint="eastAsia" w:ascii="宋体" w:hAnsi="宋体" w:cs="宋体"/>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37C57F2">
            <w:pPr>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4.5.1  是否采用评定分离：</w:t>
            </w:r>
          </w:p>
          <w:p w14:paraId="1ADEEBF4">
            <w:pPr>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☑是，入围定标环节的投标人家数：</w:t>
            </w:r>
          </w:p>
          <w:p w14:paraId="66D66AAB">
            <w:pPr>
              <w:ind w:left="743" w:hanging="743" w:hangingChars="354"/>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通过资格审查及有效性审查的全部投</w:t>
            </w:r>
          </w:p>
          <w:p w14:paraId="32099F67">
            <w:pPr>
              <w:ind w:left="743" w:hanging="743" w:hangingChars="354"/>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标人进入定标环节；</w:t>
            </w:r>
          </w:p>
          <w:p w14:paraId="45DC30A5">
            <w:pPr>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□否</w:t>
            </w:r>
          </w:p>
        </w:tc>
      </w:tr>
      <w:tr w14:paraId="57F2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C6D08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0EDFC3">
            <w:pPr>
              <w:jc w:val="center"/>
              <w:rPr>
                <w:rFonts w:ascii="宋体" w:hAnsi="宋体" w:cs="宋体"/>
                <w:color w:val="auto"/>
                <w:szCs w:val="21"/>
                <w:highlight w:val="none"/>
              </w:rPr>
            </w:pPr>
            <w:r>
              <w:rPr>
                <w:rFonts w:hint="eastAsia" w:ascii="宋体" w:hAnsi="宋体" w:cs="宋体"/>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E5EA62C">
            <w:pPr>
              <w:jc w:val="both"/>
              <w:rPr>
                <w:rFonts w:ascii="宋体" w:hAnsi="宋体" w:cs="宋体"/>
                <w:color w:val="auto"/>
                <w:szCs w:val="21"/>
                <w:highlight w:val="none"/>
              </w:rPr>
            </w:pPr>
            <w:r>
              <w:rPr>
                <w:rFonts w:hint="eastAsia" w:ascii="宋体" w:hAnsi="宋体" w:cs="宋体"/>
                <w:color w:val="auto"/>
                <w:szCs w:val="21"/>
                <w:highlight w:val="none"/>
              </w:rPr>
              <w:t>4.5.2  不采用评定分离项目的评标办法</w:t>
            </w:r>
          </w:p>
          <w:p w14:paraId="4B25B15B">
            <w:pPr>
              <w:jc w:val="both"/>
              <w:rPr>
                <w:rFonts w:ascii="宋体" w:hAnsi="宋体" w:cs="宋体"/>
                <w:color w:val="auto"/>
                <w:szCs w:val="21"/>
                <w:highlight w:val="none"/>
              </w:rPr>
            </w:pPr>
            <w:r>
              <w:rPr>
                <w:rFonts w:hint="eastAsia" w:ascii="宋体" w:hAnsi="宋体" w:cs="宋体"/>
                <w:color w:val="auto"/>
                <w:szCs w:val="21"/>
                <w:highlight w:val="none"/>
              </w:rPr>
              <w:t>4.5.2.1招标人（招标代理机构）在不透露投标人身份的前提下（资格审查文件除外）将投标文件交给评标委员会，除4.5.2.2(g)中规定，不需要投标人派代表介绍投标方案。</w:t>
            </w:r>
          </w:p>
          <w:p w14:paraId="67B4D0FE">
            <w:pPr>
              <w:jc w:val="both"/>
              <w:rPr>
                <w:rFonts w:ascii="宋体" w:hAnsi="宋体" w:cs="宋体"/>
                <w:color w:val="auto"/>
                <w:szCs w:val="21"/>
                <w:highlight w:val="none"/>
              </w:rPr>
            </w:pPr>
            <w:r>
              <w:rPr>
                <w:rFonts w:hint="eastAsia" w:ascii="宋体" w:hAnsi="宋体" w:cs="宋体"/>
                <w:color w:val="auto"/>
                <w:szCs w:val="21"/>
                <w:highlight w:val="none"/>
              </w:rPr>
              <w:t>4.5.2.2如果评标委员会成员在交易服务机构评标，将按方法    规定的步骤进行：</w:t>
            </w:r>
          </w:p>
          <w:p w14:paraId="09C48699">
            <w:pPr>
              <w:jc w:val="both"/>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方法一（设有资格审查环节的一阶段评标法）：a、b、c、d、e、f、h、i、j</w:t>
            </w:r>
          </w:p>
          <w:p w14:paraId="555951C4">
            <w:pPr>
              <w:jc w:val="both"/>
              <w:rPr>
                <w:rFonts w:ascii="宋体" w:hAnsi="宋体" w:cs="宋体"/>
                <w:color w:val="auto"/>
                <w:szCs w:val="21"/>
                <w:highlight w:val="none"/>
              </w:rPr>
            </w:pPr>
            <w:r>
              <w:rPr>
                <w:rFonts w:hint="eastAsia" w:ascii="宋体" w:hAnsi="宋体" w:cs="宋体"/>
                <w:color w:val="auto"/>
                <w:szCs w:val="21"/>
                <w:highlight w:val="none"/>
              </w:rPr>
              <w:t xml:space="preserve">       方法二（设有资格审查环节的二阶段评标法）：a、b、c、d、e、f、g、h、i、j</w:t>
            </w:r>
          </w:p>
          <w:p w14:paraId="72D1C8E7">
            <w:pPr>
              <w:jc w:val="both"/>
              <w:rPr>
                <w:rFonts w:ascii="宋体" w:hAnsi="宋体" w:cs="宋体"/>
                <w:color w:val="auto"/>
                <w:szCs w:val="21"/>
                <w:highlight w:val="none"/>
              </w:rPr>
            </w:pPr>
            <w:r>
              <w:rPr>
                <w:rFonts w:hint="eastAsia" w:ascii="宋体" w:hAnsi="宋体" w:cs="宋体"/>
                <w:color w:val="auto"/>
                <w:szCs w:val="21"/>
                <w:highlight w:val="none"/>
              </w:rPr>
              <w:t xml:space="preserve">       方法三（未设资格审查环节的一阶段评标法）：a、d、e、f、h、i、j</w:t>
            </w:r>
          </w:p>
          <w:p w14:paraId="0CACA4BC">
            <w:pPr>
              <w:jc w:val="both"/>
              <w:rPr>
                <w:rFonts w:ascii="宋体" w:hAnsi="宋体" w:cs="宋体"/>
                <w:color w:val="auto"/>
                <w:szCs w:val="21"/>
                <w:highlight w:val="none"/>
              </w:rPr>
            </w:pPr>
            <w:r>
              <w:rPr>
                <w:rFonts w:hint="eastAsia" w:ascii="宋体" w:hAnsi="宋体" w:cs="宋体"/>
                <w:color w:val="auto"/>
                <w:szCs w:val="21"/>
                <w:highlight w:val="none"/>
              </w:rPr>
              <w:t xml:space="preserve">       方法四（未设资格审查环节的二阶段评标法）：a、d、e、f、g、h、i、j</w:t>
            </w:r>
          </w:p>
          <w:p w14:paraId="5E0FFA58">
            <w:pPr>
              <w:jc w:val="both"/>
              <w:rPr>
                <w:rFonts w:ascii="宋体" w:hAnsi="宋体" w:cs="宋体"/>
                <w:color w:val="auto"/>
                <w:szCs w:val="21"/>
                <w:highlight w:val="none"/>
              </w:rPr>
            </w:pPr>
            <w:r>
              <w:rPr>
                <w:rFonts w:hint="eastAsia" w:ascii="宋体" w:hAnsi="宋体" w:cs="宋体"/>
                <w:color w:val="auto"/>
                <w:szCs w:val="21"/>
                <w:highlight w:val="none"/>
              </w:rPr>
              <w:t>(a) 评标委员会成员依据招标文件规定，否决两个（含两个）以上的加密打包投标文件电脑机器特征码一致的投标人，不参与下一阶段评审。</w:t>
            </w:r>
          </w:p>
          <w:p w14:paraId="58F2A9A0">
            <w:pPr>
              <w:jc w:val="both"/>
              <w:rPr>
                <w:rFonts w:ascii="宋体" w:hAnsi="宋体" w:cs="宋体"/>
                <w:color w:val="auto"/>
                <w:szCs w:val="21"/>
                <w:highlight w:val="none"/>
              </w:rPr>
            </w:pPr>
            <w:r>
              <w:rPr>
                <w:rFonts w:hint="eastAsia" w:ascii="宋体" w:hAnsi="宋体" w:cs="宋体"/>
                <w:color w:val="auto"/>
                <w:szCs w:val="21"/>
                <w:highlight w:val="none"/>
              </w:rPr>
              <w:t>(b) 评标委员会成员依据招标文件规定，按附录12《资格审查表》对各投标人递交的投标文件进行资格审查。</w:t>
            </w:r>
          </w:p>
          <w:p w14:paraId="6F0531AA">
            <w:pPr>
              <w:jc w:val="both"/>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14:paraId="7B4C37FB">
            <w:pPr>
              <w:jc w:val="both"/>
              <w:rPr>
                <w:rFonts w:ascii="宋体" w:hAnsi="宋体" w:cs="宋体"/>
                <w:color w:val="auto"/>
                <w:szCs w:val="21"/>
                <w:highlight w:val="none"/>
              </w:rPr>
            </w:pPr>
            <w:r>
              <w:rPr>
                <w:rFonts w:hint="eastAsia" w:ascii="宋体" w:hAnsi="宋体" w:cs="宋体"/>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EE8A2C6">
            <w:pPr>
              <w:jc w:val="both"/>
              <w:rPr>
                <w:rFonts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以差额选举逐轮淘汰的记名投票方式选出所有投标方案的排序。（方案补偿费按(h)步骤确定的最终排序进行补偿）。</w:t>
            </w:r>
          </w:p>
          <w:p w14:paraId="64438120">
            <w:pPr>
              <w:jc w:val="both"/>
              <w:rPr>
                <w:rFonts w:ascii="宋体" w:hAnsi="宋体" w:cs="宋体"/>
                <w:color w:val="auto"/>
                <w:szCs w:val="21"/>
                <w:highlight w:val="none"/>
              </w:rPr>
            </w:pPr>
            <w:r>
              <w:rPr>
                <w:rFonts w:hint="eastAsia" w:ascii="宋体" w:hAnsi="宋体" w:cs="宋体"/>
                <w:color w:val="auto"/>
                <w:szCs w:val="21"/>
                <w:highlight w:val="none"/>
              </w:rPr>
              <w:t>(f) 评标委员会揭晓投标人身份。</w:t>
            </w:r>
          </w:p>
          <w:p w14:paraId="3054C3BF">
            <w:pPr>
              <w:jc w:val="both"/>
              <w:rPr>
                <w:rFonts w:ascii="宋体" w:hAnsi="宋体" w:cs="宋体"/>
                <w:color w:val="auto"/>
                <w:szCs w:val="21"/>
                <w:highlight w:val="none"/>
              </w:rPr>
            </w:pPr>
            <w:r>
              <w:rPr>
                <w:rFonts w:hint="eastAsia" w:ascii="宋体" w:hAnsi="宋体" w:cs="宋体"/>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B10988F">
            <w:pPr>
              <w:jc w:val="both"/>
              <w:rPr>
                <w:rFonts w:ascii="宋体" w:hAnsi="宋体" w:cs="宋体"/>
                <w:color w:val="auto"/>
                <w:szCs w:val="21"/>
                <w:highlight w:val="none"/>
              </w:rPr>
            </w:pPr>
            <w:r>
              <w:rPr>
                <w:rFonts w:hint="eastAsia" w:ascii="宋体" w:hAnsi="宋体" w:cs="宋体"/>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5D4B5355">
            <w:pPr>
              <w:jc w:val="both"/>
              <w:rPr>
                <w:rFonts w:ascii="宋体" w:hAnsi="宋体" w:cs="宋体"/>
                <w:color w:val="auto"/>
                <w:szCs w:val="21"/>
                <w:highlight w:val="none"/>
              </w:rPr>
            </w:pPr>
            <w:r>
              <w:rPr>
                <w:rFonts w:hint="eastAsia" w:ascii="宋体" w:hAnsi="宋体" w:cs="宋体"/>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4F21D5E3">
            <w:pPr>
              <w:jc w:val="both"/>
              <w:rPr>
                <w:rFonts w:ascii="宋体" w:hAnsi="宋体" w:cs="宋体"/>
                <w:color w:val="auto"/>
                <w:szCs w:val="21"/>
                <w:highlight w:val="none"/>
              </w:rPr>
            </w:pPr>
            <w:r>
              <w:rPr>
                <w:rFonts w:hint="eastAsia" w:ascii="宋体" w:hAnsi="宋体" w:cs="宋体"/>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648952">
            <w:pPr>
              <w:jc w:val="center"/>
              <w:rPr>
                <w:rFonts w:ascii="宋体" w:hAnsi="宋体" w:cs="宋体"/>
                <w:color w:val="auto"/>
                <w:szCs w:val="21"/>
                <w:highlight w:val="none"/>
              </w:rPr>
            </w:pPr>
            <w:r>
              <w:rPr>
                <w:rFonts w:hint="eastAsia" w:ascii="宋体" w:hAnsi="宋体" w:cs="宋体"/>
                <w:b/>
                <w:color w:val="auto"/>
                <w:szCs w:val="21"/>
                <w:highlight w:val="none"/>
              </w:rPr>
              <w:t>删除</w:t>
            </w:r>
          </w:p>
        </w:tc>
      </w:tr>
      <w:tr w14:paraId="721F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DD9B8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C3D9D0">
            <w:pPr>
              <w:jc w:val="center"/>
              <w:rPr>
                <w:rFonts w:ascii="宋体" w:hAnsi="宋体" w:cs="宋体"/>
                <w:color w:val="auto"/>
                <w:szCs w:val="21"/>
                <w:highlight w:val="none"/>
              </w:rPr>
            </w:pPr>
            <w:r>
              <w:rPr>
                <w:rFonts w:hint="eastAsia" w:ascii="宋体" w:hAnsi="宋体" w:cs="宋体"/>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E3315F">
            <w:pPr>
              <w:jc w:val="both"/>
              <w:rPr>
                <w:rFonts w:ascii="宋体" w:hAnsi="宋体" w:cs="宋体"/>
                <w:color w:val="auto"/>
                <w:szCs w:val="21"/>
                <w:highlight w:val="none"/>
              </w:rPr>
            </w:pPr>
            <w:r>
              <w:rPr>
                <w:rFonts w:hint="eastAsia" w:ascii="宋体" w:hAnsi="宋体" w:cs="宋体"/>
                <w:color w:val="auto"/>
                <w:szCs w:val="21"/>
                <w:highlight w:val="none"/>
              </w:rPr>
              <w:t>4.5.3    采用评定分离项目的评标及定标办法</w:t>
            </w:r>
          </w:p>
          <w:p w14:paraId="1E6684F9">
            <w:pPr>
              <w:jc w:val="both"/>
              <w:rPr>
                <w:rFonts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14:paraId="36586E73">
            <w:pPr>
              <w:jc w:val="both"/>
              <w:rPr>
                <w:rFonts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规定的步骤进行：</w:t>
            </w:r>
          </w:p>
          <w:p w14:paraId="0D8FD87C">
            <w:pPr>
              <w:jc w:val="both"/>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方法一（设有资格审查环节的一阶段评标法）：a、b、c、d、e、f、g、h、i、j</w:t>
            </w:r>
          </w:p>
          <w:p w14:paraId="5C1855FA">
            <w:pPr>
              <w:jc w:val="both"/>
              <w:rPr>
                <w:rFonts w:ascii="宋体" w:hAnsi="宋体" w:cs="宋体"/>
                <w:color w:val="auto"/>
                <w:szCs w:val="21"/>
                <w:highlight w:val="none"/>
              </w:rPr>
            </w:pPr>
            <w:r>
              <w:rPr>
                <w:rFonts w:hint="eastAsia" w:ascii="宋体" w:hAnsi="宋体" w:cs="宋体"/>
                <w:color w:val="auto"/>
                <w:szCs w:val="21"/>
                <w:highlight w:val="none"/>
              </w:rPr>
              <w:t xml:space="preserve">       方法二（未设资格审查环节的一阶段评标法）：a、d、e、f、g、h、i、j</w:t>
            </w:r>
          </w:p>
          <w:p w14:paraId="6542881F">
            <w:pPr>
              <w:jc w:val="both"/>
              <w:rPr>
                <w:rFonts w:ascii="宋体" w:hAnsi="宋体" w:cs="宋体"/>
                <w:color w:val="auto"/>
                <w:szCs w:val="21"/>
                <w:highlight w:val="none"/>
              </w:rPr>
            </w:pPr>
            <w:r>
              <w:rPr>
                <w:rFonts w:hint="eastAsia" w:ascii="宋体" w:hAnsi="宋体" w:cs="宋体"/>
                <w:color w:val="auto"/>
                <w:szCs w:val="21"/>
                <w:highlight w:val="none"/>
              </w:rPr>
              <w:t xml:space="preserve">(a)评标委员会成员依据招标文件规定，否决两个（含两个）以上的加密打包投标文件电脑机器特征码一致的投标人，不参与下一阶段评审。 </w:t>
            </w:r>
          </w:p>
          <w:p w14:paraId="424761C2">
            <w:pPr>
              <w:jc w:val="both"/>
              <w:rPr>
                <w:rFonts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(b)评标委员会成员业主代表及专家依据招标文件规定，按附录12《资格审查表》对各投标人递交的投标文件进行资格审查。</w:t>
            </w:r>
          </w:p>
          <w:p w14:paraId="63010D4F">
            <w:pPr>
              <w:jc w:val="both"/>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14:paraId="623D55A1">
            <w:pPr>
              <w:jc w:val="both"/>
              <w:rPr>
                <w:rFonts w:ascii="宋体" w:hAnsi="宋体" w:cs="宋体"/>
                <w:color w:val="auto"/>
                <w:szCs w:val="21"/>
                <w:highlight w:val="none"/>
              </w:rPr>
            </w:pPr>
            <w:r>
              <w:rPr>
                <w:rFonts w:hint="eastAsia" w:ascii="宋体" w:hAnsi="宋体" w:cs="宋体"/>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5D6B0165">
            <w:pPr>
              <w:jc w:val="both"/>
              <w:rPr>
                <w:rFonts w:ascii="宋体" w:hAnsi="宋体" w:cs="宋体"/>
                <w:color w:val="auto"/>
                <w:szCs w:val="21"/>
                <w:highlight w:val="none"/>
              </w:rPr>
            </w:pPr>
            <w:r>
              <w:rPr>
                <w:rFonts w:hint="eastAsia" w:ascii="宋体" w:hAnsi="宋体" w:cs="宋体"/>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7458A1CD">
            <w:pPr>
              <w:jc w:val="both"/>
              <w:rPr>
                <w:rFonts w:ascii="宋体" w:hAnsi="宋体" w:cs="宋体"/>
                <w:color w:val="auto"/>
                <w:szCs w:val="21"/>
                <w:highlight w:val="none"/>
              </w:rPr>
            </w:pPr>
            <w:r>
              <w:rPr>
                <w:rFonts w:hint="eastAsia" w:ascii="宋体" w:hAnsi="宋体" w:cs="宋体"/>
                <w:color w:val="auto"/>
                <w:szCs w:val="21"/>
                <w:highlight w:val="none"/>
              </w:rPr>
              <w:t xml:space="preserve">(f) 评标委员会揭晓投标人身份。 </w:t>
            </w:r>
          </w:p>
          <w:p w14:paraId="439AE160">
            <w:pPr>
              <w:jc w:val="both"/>
              <w:rPr>
                <w:rFonts w:ascii="宋体" w:hAnsi="宋体" w:cs="宋体"/>
                <w:color w:val="auto"/>
                <w:szCs w:val="21"/>
                <w:highlight w:val="none"/>
              </w:rPr>
            </w:pPr>
            <w:r>
              <w:rPr>
                <w:rFonts w:hint="eastAsia" w:ascii="宋体" w:hAnsi="宋体" w:cs="宋体"/>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。评标委员会按上述方式推荐入围定标阶段的投标人。投标经济补偿费按投标方案的最终排序（采取排序方式的）或             （采取直接确定入围方式的）确定进行补偿。</w:t>
            </w:r>
          </w:p>
          <w:p w14:paraId="4F5C5237">
            <w:pPr>
              <w:jc w:val="both"/>
              <w:rPr>
                <w:rFonts w:ascii="宋体" w:hAnsi="宋体" w:cs="宋体"/>
                <w:color w:val="auto"/>
                <w:szCs w:val="21"/>
                <w:highlight w:val="none"/>
              </w:rPr>
            </w:pPr>
            <w:r>
              <w:rPr>
                <w:rFonts w:hint="eastAsia" w:ascii="宋体" w:hAnsi="宋体" w:cs="宋体"/>
                <w:color w:val="auto"/>
                <w:szCs w:val="21"/>
                <w:highlight w:val="none"/>
              </w:rPr>
              <w:t>(h) 编写、签署评标报告，评标报告由评标委员会全体成员签字，对评标结论持有异议的评标委员会成员可以书面方式阐述其不同意见和理由。</w:t>
            </w:r>
          </w:p>
          <w:p w14:paraId="26E163FE">
            <w:pPr>
              <w:jc w:val="both"/>
              <w:rPr>
                <w:rFonts w:ascii="宋体" w:hAnsi="宋体" w:cs="宋体"/>
                <w:color w:val="auto"/>
                <w:szCs w:val="21"/>
                <w:highlight w:val="none"/>
              </w:rPr>
            </w:pPr>
            <w:r>
              <w:rPr>
                <w:rFonts w:hint="eastAsia" w:ascii="宋体" w:hAnsi="宋体" w:cs="宋体"/>
                <w:color w:val="auto"/>
                <w:szCs w:val="21"/>
                <w:highlight w:val="none"/>
              </w:rPr>
              <w:t>(i) 评标委员会向招标人提交书面评标报告后即告解散，评标过程中使用的文件、表格以及其他资料应当即时归还招标人（招标代理机构）。</w:t>
            </w:r>
          </w:p>
          <w:p w14:paraId="58FFAA1E">
            <w:pPr>
              <w:jc w:val="both"/>
              <w:rPr>
                <w:rFonts w:ascii="宋体" w:hAnsi="宋体" w:cs="宋体"/>
                <w:color w:val="auto"/>
                <w:szCs w:val="21"/>
                <w:highlight w:val="none"/>
              </w:rPr>
            </w:pPr>
            <w:r>
              <w:rPr>
                <w:rFonts w:hint="eastAsia" w:ascii="宋体" w:hAnsi="宋体" w:cs="宋体"/>
                <w:color w:val="auto"/>
                <w:szCs w:val="21"/>
                <w:highlight w:val="none"/>
              </w:rPr>
              <w:t>（j）定标委员会定标。定标委员会按附录16《定标原则》确定    名（不多于3名）中标候选人（排序），也可直接确定中标人。</w:t>
            </w:r>
          </w:p>
          <w:p w14:paraId="799D72D7">
            <w:pPr>
              <w:jc w:val="both"/>
              <w:rPr>
                <w:rFonts w:ascii="宋体" w:hAnsi="宋体" w:cs="宋体"/>
                <w:color w:val="auto"/>
                <w:szCs w:val="21"/>
                <w:highlight w:val="none"/>
              </w:rPr>
            </w:pPr>
          </w:p>
        </w:tc>
        <w:tc>
          <w:tcPr>
            <w:tcW w:w="3708" w:type="dxa"/>
            <w:tcBorders>
              <w:top w:val="single" w:color="auto" w:sz="4" w:space="0"/>
              <w:left w:val="single" w:color="auto" w:sz="4" w:space="0"/>
              <w:bottom w:val="single" w:color="auto" w:sz="4" w:space="0"/>
              <w:right w:val="single" w:color="auto" w:sz="4" w:space="0"/>
            </w:tcBorders>
            <w:noWrap w:val="0"/>
            <w:vAlign w:val="top"/>
          </w:tcPr>
          <w:p w14:paraId="20A99C33">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4.5.3     采用评定分离项目的评标及定标办法</w:t>
            </w:r>
          </w:p>
          <w:p w14:paraId="6324284D">
            <w:pPr>
              <w:rPr>
                <w:rFonts w:ascii="宋体" w:hAnsi="宋体" w:cs="宋体"/>
                <w:color w:val="auto"/>
                <w:szCs w:val="21"/>
                <w:highlight w:val="none"/>
              </w:rPr>
            </w:pPr>
            <w:r>
              <w:rPr>
                <w:rFonts w:hint="eastAsia" w:ascii="宋体" w:hAnsi="宋体" w:cs="宋体"/>
                <w:color w:val="auto"/>
                <w:szCs w:val="21"/>
                <w:highlight w:val="none"/>
              </w:rPr>
              <w:t>4.5.3.1招标人（招标代理机构）在不透露投标人身份的前提下（资格审查文件除外）将投标文件交给评标委员会，不需要投标人派代表介绍投标方案。</w:t>
            </w:r>
          </w:p>
          <w:p w14:paraId="25D3BE94">
            <w:pPr>
              <w:rPr>
                <w:rFonts w:ascii="宋体" w:hAnsi="宋体" w:cs="宋体"/>
                <w:color w:val="auto"/>
                <w:szCs w:val="21"/>
                <w:highlight w:val="none"/>
              </w:rPr>
            </w:pPr>
            <w:r>
              <w:rPr>
                <w:rFonts w:hint="eastAsia" w:ascii="宋体" w:hAnsi="宋体" w:cs="宋体"/>
                <w:color w:val="auto"/>
                <w:szCs w:val="21"/>
                <w:highlight w:val="none"/>
              </w:rPr>
              <w:t>4.5.3.2如果评标委员会成员在交易服务机构评标，将按方法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一 </w:t>
            </w:r>
            <w:r>
              <w:rPr>
                <w:rFonts w:hint="eastAsia" w:ascii="宋体" w:hAnsi="宋体" w:cs="宋体"/>
                <w:color w:val="auto"/>
                <w:szCs w:val="21"/>
                <w:highlight w:val="none"/>
              </w:rPr>
              <w:t>规定的步骤进行：</w:t>
            </w:r>
          </w:p>
          <w:p w14:paraId="086A6D79">
            <w:pPr>
              <w:rPr>
                <w:rFonts w:ascii="宋体" w:hAnsi="宋体" w:cs="宋体"/>
                <w:color w:val="auto"/>
                <w:szCs w:val="21"/>
                <w:highlight w:val="none"/>
              </w:rPr>
            </w:pPr>
            <w:r>
              <w:rPr>
                <w:rFonts w:hint="eastAsia" w:ascii="宋体" w:hAnsi="宋体" w:cs="宋体"/>
                <w:color w:val="auto"/>
                <w:szCs w:val="21"/>
                <w:highlight w:val="none"/>
              </w:rPr>
              <w:t xml:space="preserve">   方法一（设有资格审查环节的一阶段评标法）：a、b、c、d、e、f、g、h、i、j</w:t>
            </w:r>
          </w:p>
          <w:p w14:paraId="0EB54108">
            <w:pPr>
              <w:rPr>
                <w:rFonts w:ascii="宋体" w:hAnsi="宋体" w:cs="宋体"/>
                <w:strike/>
                <w:color w:val="auto"/>
                <w:szCs w:val="21"/>
                <w:highlight w:val="none"/>
              </w:rPr>
            </w:pPr>
            <w:r>
              <w:rPr>
                <w:rFonts w:hint="eastAsia" w:ascii="宋体" w:hAnsi="宋体" w:cs="宋体"/>
                <w:strike/>
                <w:color w:val="auto"/>
                <w:szCs w:val="21"/>
                <w:highlight w:val="none"/>
              </w:rPr>
              <w:t xml:space="preserve">   方法二（未设资格审查环节的一阶段评标法）：a、d、e、f、g、h、i、j</w:t>
            </w:r>
          </w:p>
          <w:p w14:paraId="13A27A1D">
            <w:pPr>
              <w:rPr>
                <w:rFonts w:ascii="宋体" w:hAnsi="宋体" w:cs="宋体"/>
                <w:color w:val="auto"/>
                <w:szCs w:val="21"/>
                <w:highlight w:val="none"/>
              </w:rPr>
            </w:pPr>
          </w:p>
          <w:p w14:paraId="06D57E7A">
            <w:pPr>
              <w:rPr>
                <w:rFonts w:ascii="宋体" w:hAnsi="宋体" w:cs="宋体"/>
                <w:color w:val="auto"/>
                <w:szCs w:val="21"/>
                <w:highlight w:val="none"/>
              </w:rPr>
            </w:pPr>
            <w:r>
              <w:rPr>
                <w:rFonts w:hint="eastAsia" w:ascii="宋体" w:hAnsi="宋体" w:cs="宋体"/>
                <w:color w:val="auto"/>
                <w:szCs w:val="21"/>
                <w:highlight w:val="none"/>
              </w:rPr>
              <w:t xml:space="preserve">(a)评标委员会成员依据招标文件规定，否决两个（含两个）以上的加密打包投标文件电脑机器特征码一致的投标人，不参与下一阶段评审。 </w:t>
            </w:r>
          </w:p>
          <w:p w14:paraId="4941AFA3">
            <w:pPr>
              <w:rPr>
                <w:rFonts w:ascii="宋体" w:hAnsi="宋体" w:cs="宋体"/>
                <w:color w:val="auto"/>
                <w:szCs w:val="21"/>
                <w:highlight w:val="none"/>
              </w:rPr>
            </w:pPr>
            <w:r>
              <w:rPr>
                <w:rFonts w:hint="eastAsia" w:ascii="宋体" w:hAnsi="宋体" w:cs="宋体"/>
                <w:color w:val="auto"/>
                <w:szCs w:val="21"/>
                <w:highlight w:val="none"/>
              </w:rPr>
              <w:t>(b)评标委员会成员业主代表及专家依据招标文件规定，按</w:t>
            </w:r>
            <w:r>
              <w:rPr>
                <w:rFonts w:hint="eastAsia" w:ascii="宋体" w:hAnsi="宋体" w:cs="宋体"/>
                <w:color w:val="auto"/>
                <w:szCs w:val="21"/>
                <w:highlight w:val="none"/>
                <w:u w:val="single"/>
              </w:rPr>
              <w:t>附录9《资格审查表》</w:t>
            </w:r>
            <w:r>
              <w:rPr>
                <w:rFonts w:hint="eastAsia" w:ascii="宋体" w:hAnsi="宋体" w:cs="宋体"/>
                <w:color w:val="auto"/>
                <w:szCs w:val="21"/>
                <w:highlight w:val="none"/>
              </w:rPr>
              <w:t>对各投标人递交的投标文件进行资格审查。</w:t>
            </w:r>
          </w:p>
          <w:p w14:paraId="28D9CDD1">
            <w:pPr>
              <w:rPr>
                <w:rFonts w:ascii="宋体" w:hAnsi="宋体" w:cs="宋体"/>
                <w:color w:val="auto"/>
                <w:szCs w:val="21"/>
                <w:highlight w:val="none"/>
              </w:rPr>
            </w:pPr>
            <w:r>
              <w:rPr>
                <w:rFonts w:hint="eastAsia" w:ascii="宋体" w:hAnsi="宋体" w:cs="宋体"/>
                <w:color w:val="auto"/>
                <w:szCs w:val="21"/>
                <w:highlight w:val="none"/>
              </w:rPr>
              <w:t>(c) 评标委员会成员汇总资格审查结果，编写资格审查报告。</w:t>
            </w:r>
          </w:p>
          <w:p w14:paraId="630D5200">
            <w:pPr>
              <w:rPr>
                <w:rFonts w:ascii="宋体" w:hAnsi="宋体" w:cs="宋体"/>
                <w:color w:val="auto"/>
                <w:szCs w:val="21"/>
                <w:highlight w:val="none"/>
              </w:rPr>
            </w:pPr>
            <w:r>
              <w:rPr>
                <w:rFonts w:hint="eastAsia" w:ascii="宋体" w:hAnsi="宋体" w:cs="宋体"/>
                <w:color w:val="auto"/>
                <w:szCs w:val="21"/>
                <w:highlight w:val="none"/>
              </w:rPr>
              <w:t>(d)评标委员会专家依据招标文件规定，</w:t>
            </w:r>
            <w:r>
              <w:rPr>
                <w:rFonts w:hint="eastAsia" w:ascii="宋体" w:hAnsi="宋体" w:cs="宋体"/>
                <w:color w:val="auto"/>
                <w:szCs w:val="21"/>
                <w:highlight w:val="none"/>
                <w:u w:val="single"/>
              </w:rPr>
              <w:t>按附录12《有效性审查表》、附录1</w:t>
            </w:r>
            <w:r>
              <w:rPr>
                <w:rFonts w:hint="eastAsia" w:ascii="宋体"/>
                <w:color w:val="auto"/>
                <w:szCs w:val="21"/>
                <w:highlight w:val="none"/>
                <w:u w:val="single"/>
              </w:rPr>
              <w:t>2</w:t>
            </w:r>
            <w:r>
              <w:rPr>
                <w:rFonts w:hint="eastAsia" w:ascii="宋体" w:hAnsi="宋体" w:cs="宋体"/>
                <w:color w:val="auto"/>
                <w:szCs w:val="21"/>
                <w:highlight w:val="none"/>
                <w:u w:val="single"/>
              </w:rPr>
              <w:t>-1《投标报价算术复核表》、附录13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《建筑工程设计方案评审记录表》、附录1</w:t>
            </w:r>
            <w:r>
              <w:rPr>
                <w:rFonts w:hint="eastAsia" w:ascii="宋体"/>
                <w:color w:val="auto"/>
                <w:szCs w:val="21"/>
                <w:highlight w:val="none"/>
                <w:u w:val="single"/>
              </w:rPr>
              <w:t>4</w:t>
            </w:r>
            <w:r>
              <w:rPr>
                <w:rFonts w:hint="eastAsia" w:ascii="宋体" w:hAnsi="宋体" w:cs="宋体"/>
                <w:color w:val="auto"/>
                <w:szCs w:val="21"/>
                <w:highlight w:val="none"/>
                <w:u w:val="single"/>
              </w:rPr>
              <w:t>《投标方案评语》对各投标人递交的投标文件进行评审。</w:t>
            </w:r>
            <w:r>
              <w:rPr>
                <w:rFonts w:hint="eastAsia" w:ascii="宋体" w:hAnsi="宋体" w:cs="宋体"/>
                <w:color w:val="auto"/>
                <w:szCs w:val="21"/>
                <w:highlight w:val="none"/>
              </w:rPr>
              <w:t xml:space="preserve">如果有否决投标提议，则评标委员会成员共同表决，按照少数服从多数的原则决定是否否决。 </w:t>
            </w:r>
          </w:p>
          <w:p w14:paraId="1B9FC074">
            <w:pPr>
              <w:rPr>
                <w:rFonts w:hint="eastAsia" w:ascii="宋体" w:hAnsi="宋体" w:cs="宋体"/>
                <w:color w:val="auto"/>
                <w:szCs w:val="21"/>
                <w:highlight w:val="none"/>
                <w:u w:val="single"/>
              </w:rPr>
            </w:pPr>
            <w:r>
              <w:rPr>
                <w:rFonts w:hint="eastAsia" w:ascii="宋体" w:hAnsi="宋体" w:cs="宋体"/>
                <w:color w:val="auto"/>
                <w:szCs w:val="21"/>
                <w:highlight w:val="none"/>
              </w:rPr>
              <w:t xml:space="preserve">(e) </w:t>
            </w:r>
            <w:r>
              <w:rPr>
                <w:rFonts w:hint="eastAsia" w:ascii="宋体" w:hAnsi="宋体" w:cs="宋体"/>
                <w:color w:val="auto"/>
                <w:szCs w:val="21"/>
                <w:highlight w:val="none"/>
                <w:u w:val="single"/>
              </w:rPr>
              <w:t>按照</w:t>
            </w:r>
            <w:r>
              <w:rPr>
                <w:rFonts w:hint="eastAsia" w:ascii="宋体" w:hAnsi="宋体"/>
                <w:color w:val="auto"/>
                <w:szCs w:val="21"/>
                <w:highlight w:val="none"/>
                <w:u w:val="single"/>
              </w:rPr>
              <w:t>4.5.1约定推荐入围定标阶段中标候选人</w:t>
            </w:r>
            <w:r>
              <w:rPr>
                <w:rFonts w:hint="eastAsia" w:ascii="宋体" w:hAnsi="宋体" w:cs="宋体"/>
                <w:color w:val="auto"/>
                <w:szCs w:val="21"/>
                <w:highlight w:val="none"/>
                <w:u w:val="single"/>
              </w:rPr>
              <w:t>。</w:t>
            </w:r>
          </w:p>
          <w:p w14:paraId="19FC0385">
            <w:pPr>
              <w:pStyle w:val="22"/>
              <w:widowControl w:val="0"/>
              <w:spacing w:beforeAutospacing="0" w:afterAutospacing="0"/>
              <w:jc w:val="both"/>
              <w:rPr>
                <w:rFonts w:ascii="Times New Roman" w:hAnsi="Times New Roman"/>
                <w:color w:val="auto"/>
                <w:kern w:val="2"/>
                <w:sz w:val="21"/>
                <w:szCs w:val="21"/>
                <w:highlight w:val="none"/>
              </w:rPr>
            </w:pPr>
            <w:r>
              <w:rPr>
                <w:rFonts w:cs="宋体"/>
                <w:color w:val="auto"/>
                <w:kern w:val="2"/>
                <w:sz w:val="21"/>
                <w:szCs w:val="21"/>
                <w:highlight w:val="none"/>
              </w:rPr>
              <w:t>(f)评标委员会揭晓投标人身份。</w:t>
            </w:r>
          </w:p>
          <w:p w14:paraId="40932889">
            <w:pPr>
              <w:rPr>
                <w:rFonts w:ascii="宋体" w:hAnsi="宋体"/>
                <w:color w:val="auto"/>
                <w:szCs w:val="21"/>
                <w:highlight w:val="none"/>
              </w:rPr>
            </w:pPr>
            <w:r>
              <w:rPr>
                <w:rFonts w:hint="eastAsia" w:ascii="宋体" w:hAnsi="宋体" w:cs="宋体"/>
                <w:color w:val="auto"/>
                <w:szCs w:val="21"/>
                <w:highlight w:val="none"/>
              </w:rPr>
              <w:t>(g) 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color w:val="auto"/>
                <w:szCs w:val="21"/>
                <w:highlight w:val="none"/>
                <w:u w:val="single"/>
              </w:rPr>
              <w:t>合格的中标候选人（联合体投标的社会信用代码选取联合体</w:t>
            </w:r>
            <w:r>
              <w:rPr>
                <w:rFonts w:hint="eastAsia" w:ascii="宋体" w:hAnsi="宋体" w:cs="宋体"/>
                <w:color w:val="auto"/>
                <w:szCs w:val="21"/>
                <w:highlight w:val="none"/>
                <w:u w:val="single"/>
                <w:lang w:eastAsia="zh-CN"/>
              </w:rPr>
              <w:t>牵头人</w:t>
            </w:r>
            <w:r>
              <w:rPr>
                <w:rFonts w:hint="eastAsia" w:ascii="宋体" w:hAnsi="宋体" w:cs="宋体"/>
                <w:color w:val="auto"/>
                <w:szCs w:val="21"/>
                <w:highlight w:val="none"/>
                <w:u w:val="single"/>
              </w:rPr>
              <w:t>）按其统一社会信用代码后4位（除校验码外）从大到小进行排位，不排序</w:t>
            </w:r>
            <w:r>
              <w:rPr>
                <w:rFonts w:hint="eastAsia" w:ascii="宋体" w:hAnsi="宋体" w:cs="宋体"/>
                <w:color w:val="auto"/>
                <w:szCs w:val="21"/>
                <w:highlight w:val="none"/>
                <w:u w:val="single"/>
                <w:lang w:eastAsia="zh-CN"/>
              </w:rPr>
              <w:t>（</w:t>
            </w:r>
            <w:r>
              <w:rPr>
                <w:rFonts w:hint="eastAsia" w:ascii="宋体" w:hAnsi="宋体" w:eastAsia="宋体" w:cs="宋体"/>
                <w:color w:val="auto"/>
                <w:sz w:val="21"/>
                <w:szCs w:val="21"/>
                <w:highlight w:val="none"/>
                <w:u w:val="single"/>
                <w:lang w:val="en-US" w:eastAsia="zh-CN"/>
              </w:rPr>
              <w:t>如</w:t>
            </w:r>
            <w:r>
              <w:rPr>
                <w:rFonts w:hint="eastAsia" w:ascii="宋体" w:hAnsi="宋体" w:eastAsia="宋体" w:cs="宋体"/>
                <w:color w:val="auto"/>
                <w:sz w:val="21"/>
                <w:szCs w:val="21"/>
                <w:highlight w:val="none"/>
                <w:u w:val="single"/>
              </w:rPr>
              <w:t>统一社会信用代码后</w:t>
            </w:r>
            <w:r>
              <w:rPr>
                <w:rFonts w:hint="eastAsia" w:ascii="宋体" w:hAnsi="宋体" w:eastAsia="宋体" w:cs="宋体"/>
                <w:color w:val="auto"/>
                <w:sz w:val="21"/>
                <w:szCs w:val="21"/>
                <w:highlight w:val="none"/>
                <w:u w:val="single"/>
                <w:lang w:val="en-US" w:eastAsia="zh-CN"/>
              </w:rPr>
              <w:t>4位出现字母情况的，字母以“0”进行代替大小排位；如出现</w:t>
            </w:r>
            <w:r>
              <w:rPr>
                <w:rFonts w:hint="eastAsia" w:ascii="宋体" w:hAnsi="宋体" w:eastAsia="宋体" w:cs="宋体"/>
                <w:color w:val="auto"/>
                <w:sz w:val="21"/>
                <w:szCs w:val="21"/>
                <w:highlight w:val="none"/>
                <w:u w:val="single"/>
              </w:rPr>
              <w:t>后4位（除校验码外）</w:t>
            </w:r>
            <w:r>
              <w:rPr>
                <w:rFonts w:hint="eastAsia" w:ascii="宋体" w:hAnsi="宋体" w:eastAsia="宋体" w:cs="宋体"/>
                <w:color w:val="auto"/>
                <w:sz w:val="21"/>
                <w:szCs w:val="21"/>
                <w:highlight w:val="none"/>
                <w:u w:val="single"/>
                <w:lang w:val="en-US" w:eastAsia="zh-CN"/>
              </w:rPr>
              <w:t>大小一致的，则随机排位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。合格的中标候选人少于</w:t>
            </w:r>
            <w:r>
              <w:rPr>
                <w:rFonts w:hint="eastAsia" w:ascii="宋体" w:hAnsi="宋体"/>
                <w:color w:val="auto"/>
                <w:szCs w:val="21"/>
                <w:highlight w:val="none"/>
                <w:u w:val="single"/>
              </w:rPr>
              <w:t>3家的，应当重新招标。</w:t>
            </w:r>
          </w:p>
          <w:p w14:paraId="1BC8BDD3">
            <w:pPr>
              <w:rPr>
                <w:rFonts w:ascii="宋体" w:hAnsi="宋体" w:cs="宋体"/>
                <w:color w:val="auto"/>
                <w:szCs w:val="21"/>
                <w:highlight w:val="none"/>
              </w:rPr>
            </w:pPr>
            <w:r>
              <w:rPr>
                <w:rFonts w:hint="eastAsia" w:ascii="宋体" w:hAnsi="宋体" w:cs="宋体"/>
                <w:color w:val="auto"/>
                <w:szCs w:val="21"/>
                <w:highlight w:val="none"/>
              </w:rPr>
              <w:t>（h）编写、签署评标报告，评标报告由评标委员会全体成员签字，对评标结论持有异议的评标委员会成员可以书面方式阐述其不同意见和理由。</w:t>
            </w:r>
          </w:p>
          <w:p w14:paraId="6B48F31D">
            <w:pPr>
              <w:rPr>
                <w:rFonts w:ascii="宋体" w:hAnsi="宋体" w:cs="宋体"/>
                <w:color w:val="auto"/>
                <w:szCs w:val="21"/>
                <w:highlight w:val="none"/>
              </w:rPr>
            </w:pPr>
            <w:r>
              <w:rPr>
                <w:rFonts w:hint="eastAsia" w:ascii="宋体" w:hAnsi="宋体" w:cs="宋体"/>
                <w:color w:val="auto"/>
                <w:szCs w:val="21"/>
                <w:highlight w:val="none"/>
              </w:rPr>
              <w:t>(i) 评标委员会向招标人提交书面评标报告后即告解散，评标过程中使用的文件、表格以及其他资料应当即时归还招标人（招标代理机构）。</w:t>
            </w:r>
          </w:p>
          <w:p w14:paraId="0212B716">
            <w:pPr>
              <w:rPr>
                <w:rFonts w:ascii="宋体" w:hAnsi="宋体" w:cs="宋体"/>
                <w:color w:val="auto"/>
                <w:szCs w:val="21"/>
                <w:highlight w:val="none"/>
                <w:u w:val="single"/>
              </w:rPr>
            </w:pPr>
            <w:r>
              <w:rPr>
                <w:rFonts w:hint="eastAsia" w:ascii="宋体" w:hAnsi="宋体" w:cs="宋体"/>
                <w:color w:val="auto"/>
                <w:szCs w:val="21"/>
                <w:highlight w:val="none"/>
              </w:rPr>
              <w:t>（j）定标委员会定标。</w:t>
            </w:r>
            <w:r>
              <w:rPr>
                <w:rFonts w:hint="eastAsia" w:ascii="宋体" w:hAnsi="宋体" w:cs="宋体"/>
                <w:color w:val="auto"/>
                <w:szCs w:val="21"/>
                <w:highlight w:val="none"/>
                <w:u w:val="single"/>
              </w:rPr>
              <w:t>定标委员会按附录16《定标原则》确定中标人。</w:t>
            </w:r>
          </w:p>
        </w:tc>
      </w:tr>
      <w:tr w14:paraId="3723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E29CD8">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9B05E1">
            <w:pPr>
              <w:jc w:val="center"/>
              <w:rPr>
                <w:rFonts w:hint="eastAsia" w:ascii="宋体" w:hAnsi="宋体" w:cs="宋体"/>
                <w:color w:val="auto"/>
                <w:szCs w:val="21"/>
                <w:highlight w:val="none"/>
              </w:rPr>
            </w:pPr>
            <w:r>
              <w:rPr>
                <w:rFonts w:hint="eastAsia" w:ascii="宋体" w:hAnsi="宋体" w:cs="宋体"/>
                <w:color w:val="auto"/>
                <w:highlight w:val="none"/>
              </w:rPr>
              <w:t>4.5.</w:t>
            </w:r>
            <w:r>
              <w:rPr>
                <w:rFonts w:ascii="宋体" w:hAnsi="宋体" w:cs="宋体"/>
                <w:color w:val="auto"/>
                <w:highlight w:val="none"/>
              </w:rPr>
              <w:t>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DDD391C">
            <w:pPr>
              <w:jc w:val="both"/>
              <w:rPr>
                <w:rFonts w:ascii="宋体" w:hAnsi="宋体" w:cs="宋体"/>
                <w:color w:val="auto"/>
                <w:szCs w:val="21"/>
                <w:highlight w:val="none"/>
              </w:rPr>
            </w:pPr>
            <w:r>
              <w:rPr>
                <w:rFonts w:hint="eastAsia" w:ascii="宋体" w:hAnsi="宋体" w:cs="宋体"/>
                <w:color w:val="auto"/>
                <w:highlight w:val="none"/>
              </w:rPr>
              <w:t>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306DF38">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1B7AB75B">
            <w:pPr>
              <w:rPr>
                <w:rFonts w:hint="eastAsia" w:ascii="宋体" w:hAnsi="宋体" w:cs="宋体"/>
                <w:color w:val="auto"/>
                <w:highlight w:val="none"/>
                <w:u w:val="single"/>
              </w:rPr>
            </w:pPr>
            <w:r>
              <w:rPr>
                <w:rFonts w:hint="eastAsia" w:ascii="宋体" w:hAnsi="宋体" w:cs="宋体"/>
                <w:color w:val="auto"/>
                <w:highlight w:val="none"/>
                <w:u w:val="single"/>
              </w:rPr>
              <w:t>4.5.4    评标结果异议</w:t>
            </w:r>
          </w:p>
          <w:p w14:paraId="38589FD1">
            <w:pPr>
              <w:rPr>
                <w:rFonts w:hint="eastAsia" w:ascii="宋体" w:hAnsi="宋体" w:cs="宋体"/>
                <w:color w:val="auto"/>
                <w:szCs w:val="21"/>
                <w:highlight w:val="none"/>
              </w:rPr>
            </w:pPr>
            <w:r>
              <w:rPr>
                <w:rFonts w:hint="eastAsia" w:ascii="宋体" w:hAnsi="宋体" w:cs="宋体"/>
                <w:color w:val="auto"/>
                <w:highlight w:val="none"/>
                <w:u w:val="single"/>
              </w:rPr>
              <w:t>投标人或者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招标人将在收到异议之日起3日内作出答复；作出答复前，将暂停招标投标活动。</w:t>
            </w:r>
          </w:p>
        </w:tc>
      </w:tr>
      <w:tr w14:paraId="1B9D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E8AE59">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8DFF03">
            <w:pPr>
              <w:jc w:val="center"/>
              <w:rPr>
                <w:rFonts w:ascii="宋体" w:hAnsi="宋体" w:cs="宋体"/>
                <w:color w:val="auto"/>
                <w:szCs w:val="21"/>
                <w:highlight w:val="none"/>
              </w:rPr>
            </w:pPr>
            <w:r>
              <w:rPr>
                <w:rFonts w:hint="eastAsia" w:ascii="宋体" w:hAnsi="宋体" w:cs="宋体"/>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B39C6D4">
            <w:pPr>
              <w:jc w:val="both"/>
              <w:rPr>
                <w:rFonts w:ascii="宋体" w:hAnsi="宋体" w:cs="宋体"/>
                <w:b/>
                <w:color w:val="auto"/>
                <w:szCs w:val="21"/>
                <w:highlight w:val="none"/>
              </w:rPr>
            </w:pPr>
            <w:r>
              <w:rPr>
                <w:rFonts w:hint="eastAsia" w:ascii="宋体" w:hAnsi="宋体" w:cs="宋体"/>
                <w:b/>
                <w:color w:val="auto"/>
                <w:szCs w:val="21"/>
                <w:highlight w:val="none"/>
              </w:rPr>
              <w:t>5.1    确定中标人</w:t>
            </w:r>
          </w:p>
          <w:p w14:paraId="4671621D">
            <w:pPr>
              <w:jc w:val="both"/>
              <w:rPr>
                <w:rFonts w:ascii="宋体" w:hAnsi="宋体" w:cs="宋体"/>
                <w:color w:val="auto"/>
                <w:szCs w:val="21"/>
                <w:highlight w:val="none"/>
              </w:rPr>
            </w:pPr>
            <w:r>
              <w:rPr>
                <w:rFonts w:hint="eastAsia" w:ascii="宋体" w:hAnsi="宋体" w:cs="宋体"/>
                <w:color w:val="auto"/>
                <w:szCs w:val="21"/>
                <w:highlight w:val="none"/>
              </w:rPr>
              <w:t>采用方式确定中标人：</w:t>
            </w:r>
          </w:p>
          <w:p w14:paraId="5343C3FC">
            <w:pPr>
              <w:jc w:val="both"/>
              <w:rPr>
                <w:rFonts w:ascii="宋体" w:hAnsi="宋体" w:cs="宋体"/>
                <w:b/>
                <w:color w:val="auto"/>
                <w:szCs w:val="21"/>
                <w:highlight w:val="none"/>
              </w:rPr>
            </w:pPr>
            <w:r>
              <w:rPr>
                <w:rFonts w:hint="eastAsia" w:ascii="宋体" w:hAnsi="宋体" w:cs="宋体"/>
                <w:b/>
                <w:color w:val="auto"/>
                <w:szCs w:val="21"/>
                <w:highlight w:val="none"/>
              </w:rPr>
              <w:t>方式一（适用于设置资格审查环节的项目）：</w:t>
            </w:r>
          </w:p>
          <w:p w14:paraId="779048DC">
            <w:pPr>
              <w:jc w:val="both"/>
              <w:rPr>
                <w:rFonts w:ascii="宋体" w:hAnsi="宋体" w:cs="宋体"/>
                <w:color w:val="auto"/>
                <w:szCs w:val="21"/>
                <w:highlight w:val="none"/>
              </w:rPr>
            </w:pPr>
            <w:r>
              <w:rPr>
                <w:rFonts w:hint="eastAsia" w:ascii="宋体" w:hAnsi="宋体" w:cs="宋体"/>
                <w:color w:val="auto"/>
                <w:szCs w:val="21"/>
                <w:highlight w:val="none"/>
              </w:rPr>
              <w:t>5.1.1  招标人在评标委员会或定标委员会推荐的中标候选人中确定中标人。</w:t>
            </w:r>
          </w:p>
          <w:p w14:paraId="66EE447A">
            <w:pPr>
              <w:jc w:val="both"/>
              <w:rPr>
                <w:rFonts w:ascii="宋体" w:hAnsi="宋体" w:cs="宋体"/>
                <w:color w:val="auto"/>
                <w:szCs w:val="21"/>
                <w:highlight w:val="none"/>
              </w:rPr>
            </w:pPr>
            <w:r>
              <w:rPr>
                <w:rFonts w:hint="eastAsia" w:ascii="宋体" w:hAnsi="宋体" w:cs="宋体"/>
                <w:color w:val="auto"/>
                <w:szCs w:val="21"/>
                <w:highlight w:val="none"/>
              </w:rPr>
              <w:t>5.1.2  招标人确定中标人：</w:t>
            </w:r>
          </w:p>
          <w:p w14:paraId="418F95B3">
            <w:pPr>
              <w:jc w:val="both"/>
              <w:rPr>
                <w:rFonts w:ascii="宋体" w:hAnsi="宋体" w:cs="宋体"/>
                <w:color w:val="auto"/>
                <w:szCs w:val="21"/>
                <w:highlight w:val="none"/>
              </w:rPr>
            </w:pPr>
            <w:r>
              <w:rPr>
                <w:rFonts w:hint="eastAsia" w:ascii="宋体" w:hAnsi="宋体" w:cs="宋体"/>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0B64E4FC">
            <w:pPr>
              <w:pStyle w:val="22"/>
              <w:widowControl w:val="0"/>
              <w:spacing w:beforeAutospacing="0" w:afterAutospacing="0"/>
              <w:ind w:firstLine="400" w:firstLineChars="200"/>
              <w:jc w:val="both"/>
              <w:rPr>
                <w:rFonts w:cs="宋体"/>
                <w:color w:val="auto"/>
                <w:sz w:val="20"/>
                <w:szCs w:val="20"/>
                <w:highlight w:val="none"/>
              </w:rPr>
            </w:pPr>
            <w:r>
              <w:rPr>
                <w:rFonts w:cs="宋体"/>
                <w:color w:val="auto"/>
                <w:sz w:val="20"/>
                <w:szCs w:val="20"/>
                <w:highlight w:val="none"/>
              </w:rPr>
              <w:t>5.1.3 在产生中标候选人后，招标人将中标候选人的投标文件商务部分（包括报价清单、人员、业绩、奖项等资料）在交易平台和广东省招标投标监管网公开。</w:t>
            </w:r>
          </w:p>
          <w:p w14:paraId="117F45D7">
            <w:pPr>
              <w:jc w:val="both"/>
              <w:rPr>
                <w:rFonts w:ascii="宋体" w:hAnsi="宋体" w:cs="宋体"/>
                <w:b/>
                <w:color w:val="auto"/>
                <w:szCs w:val="21"/>
                <w:highlight w:val="none"/>
              </w:rPr>
            </w:pPr>
            <w:r>
              <w:rPr>
                <w:rFonts w:hint="eastAsia" w:ascii="宋体" w:hAnsi="宋体" w:cs="宋体"/>
                <w:b/>
                <w:color w:val="auto"/>
                <w:szCs w:val="21"/>
                <w:highlight w:val="none"/>
              </w:rPr>
              <w:t>方式二（适用于未设资格审查环节的项目）：</w:t>
            </w:r>
          </w:p>
          <w:p w14:paraId="3040ABA7">
            <w:pPr>
              <w:jc w:val="both"/>
              <w:rPr>
                <w:rFonts w:ascii="宋体" w:hAnsi="宋体" w:cs="宋体"/>
                <w:color w:val="auto"/>
                <w:szCs w:val="21"/>
                <w:highlight w:val="none"/>
              </w:rPr>
            </w:pPr>
            <w:r>
              <w:rPr>
                <w:rFonts w:hint="eastAsia" w:ascii="宋体" w:hAnsi="宋体" w:cs="宋体"/>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0E70CA90">
            <w:pPr>
              <w:jc w:val="both"/>
              <w:rPr>
                <w:rFonts w:ascii="宋体" w:hAnsi="宋体" w:cs="宋体"/>
                <w:color w:val="auto"/>
                <w:szCs w:val="21"/>
                <w:highlight w:val="none"/>
              </w:rPr>
            </w:pPr>
            <w:r>
              <w:rPr>
                <w:rFonts w:hint="eastAsia" w:ascii="宋体" w:hAnsi="宋体" w:cs="宋体"/>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0301CBB0">
            <w:pPr>
              <w:jc w:val="both"/>
              <w:rPr>
                <w:rFonts w:ascii="宋体" w:hAnsi="宋体" w:cs="宋体"/>
                <w:color w:val="auto"/>
                <w:szCs w:val="21"/>
                <w:highlight w:val="none"/>
              </w:rPr>
            </w:pPr>
            <w:r>
              <w:rPr>
                <w:rFonts w:hint="eastAsia" w:ascii="宋体" w:hAnsi="宋体" w:cs="宋体"/>
                <w:color w:val="auto"/>
                <w:szCs w:val="21"/>
                <w:highlight w:val="none"/>
              </w:rPr>
              <w:t>5.1.3  定标委员会直接确定中标人，中标人未能通过资格复核的，招标失败。招标人应重新组织招标。</w:t>
            </w:r>
          </w:p>
          <w:p w14:paraId="4E39209C">
            <w:pPr>
              <w:pStyle w:val="22"/>
              <w:widowControl w:val="0"/>
              <w:spacing w:beforeAutospacing="0" w:afterAutospacing="0"/>
              <w:jc w:val="both"/>
              <w:rPr>
                <w:rFonts w:ascii="Times New Roman" w:hAnsi="Times New Roman"/>
                <w:color w:val="auto"/>
                <w:sz w:val="20"/>
                <w:szCs w:val="20"/>
                <w:highlight w:val="none"/>
              </w:rPr>
            </w:pPr>
            <w:r>
              <w:rPr>
                <w:rFonts w:cs="宋体"/>
                <w:color w:val="auto"/>
                <w:sz w:val="21"/>
                <w:szCs w:val="21"/>
                <w:highlight w:val="none"/>
              </w:rPr>
              <w:t>5.1.4  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E9EFE9E">
            <w:pPr>
              <w:jc w:val="left"/>
              <w:rPr>
                <w:rFonts w:ascii="宋体" w:hAnsi="宋体" w:cs="宋体"/>
                <w:b/>
                <w:color w:val="auto"/>
                <w:szCs w:val="21"/>
                <w:highlight w:val="none"/>
              </w:rPr>
            </w:pPr>
            <w:r>
              <w:rPr>
                <w:rFonts w:hint="eastAsia" w:ascii="宋体" w:hAnsi="宋体" w:cs="宋体"/>
                <w:b/>
                <w:color w:val="auto"/>
                <w:szCs w:val="21"/>
                <w:highlight w:val="none"/>
              </w:rPr>
              <w:t>修改：5.1    确定中标人</w:t>
            </w:r>
          </w:p>
          <w:p w14:paraId="0152E7BE">
            <w:pPr>
              <w:jc w:val="left"/>
              <w:rPr>
                <w:rFonts w:ascii="宋体" w:hAnsi="宋体" w:cs="宋体"/>
                <w:color w:val="auto"/>
                <w:szCs w:val="21"/>
                <w:highlight w:val="none"/>
              </w:rPr>
            </w:pPr>
            <w:r>
              <w:rPr>
                <w:rFonts w:hint="eastAsia" w:ascii="宋体" w:hAnsi="宋体" w:cs="宋体"/>
                <w:color w:val="auto"/>
                <w:szCs w:val="21"/>
                <w:highlight w:val="none"/>
              </w:rPr>
              <w:t>采用方式</w:t>
            </w:r>
            <w:r>
              <w:rPr>
                <w:rFonts w:hint="eastAsia" w:ascii="宋体" w:hAnsi="宋体" w:cs="宋体"/>
                <w:color w:val="auto"/>
                <w:szCs w:val="21"/>
                <w:highlight w:val="none"/>
                <w:u w:val="single"/>
              </w:rPr>
              <w:t>一</w:t>
            </w:r>
            <w:r>
              <w:rPr>
                <w:rFonts w:hint="eastAsia" w:ascii="宋体" w:hAnsi="宋体" w:cs="宋体"/>
                <w:color w:val="auto"/>
                <w:szCs w:val="21"/>
                <w:highlight w:val="none"/>
              </w:rPr>
              <w:t>确定中标人：</w:t>
            </w:r>
          </w:p>
          <w:p w14:paraId="6CB67546">
            <w:pPr>
              <w:jc w:val="left"/>
              <w:rPr>
                <w:rFonts w:ascii="宋体" w:hAnsi="宋体" w:cs="宋体"/>
                <w:b/>
                <w:color w:val="auto"/>
                <w:szCs w:val="21"/>
                <w:highlight w:val="none"/>
              </w:rPr>
            </w:pPr>
            <w:bookmarkStart w:id="1" w:name="OLE_LINK23"/>
            <w:r>
              <w:rPr>
                <w:rFonts w:hint="eastAsia" w:ascii="宋体" w:hAnsi="宋体" w:cs="宋体"/>
                <w:b/>
                <w:color w:val="auto"/>
                <w:szCs w:val="21"/>
                <w:highlight w:val="none"/>
              </w:rPr>
              <w:t>方式一（适用于设置资格审查环节的项目）</w:t>
            </w:r>
            <w:bookmarkEnd w:id="1"/>
            <w:r>
              <w:rPr>
                <w:rFonts w:hint="eastAsia" w:ascii="宋体" w:hAnsi="宋体" w:cs="宋体"/>
                <w:b/>
                <w:color w:val="auto"/>
                <w:szCs w:val="21"/>
                <w:highlight w:val="none"/>
              </w:rPr>
              <w:t>：</w:t>
            </w:r>
          </w:p>
          <w:p w14:paraId="06681C7E">
            <w:pPr>
              <w:pStyle w:val="22"/>
              <w:widowControl w:val="0"/>
              <w:spacing w:beforeAutospacing="0" w:afterAutospacing="0"/>
              <w:ind w:firstLine="21" w:firstLineChars="10"/>
              <w:jc w:val="both"/>
              <w:rPr>
                <w:rFonts w:cs="宋体"/>
                <w:color w:val="auto"/>
                <w:sz w:val="21"/>
                <w:szCs w:val="21"/>
                <w:highlight w:val="none"/>
              </w:rPr>
            </w:pPr>
            <w:r>
              <w:rPr>
                <w:rFonts w:cs="宋体"/>
                <w:color w:val="auto"/>
                <w:sz w:val="21"/>
                <w:szCs w:val="21"/>
                <w:highlight w:val="none"/>
              </w:rPr>
              <w:t>5.1.1  评标委员会按按照4.5.1约定推荐入围定标阶段中标候选人；定标委员会直接确定中标人。</w:t>
            </w:r>
          </w:p>
          <w:p w14:paraId="5320DEA4">
            <w:pPr>
              <w:pStyle w:val="22"/>
              <w:widowControl w:val="0"/>
              <w:spacing w:beforeAutospacing="0" w:afterAutospacing="0"/>
              <w:ind w:firstLine="21" w:firstLineChars="10"/>
              <w:jc w:val="both"/>
              <w:rPr>
                <w:rFonts w:cs="宋体"/>
                <w:color w:val="auto"/>
                <w:sz w:val="21"/>
                <w:szCs w:val="21"/>
                <w:highlight w:val="none"/>
              </w:rPr>
            </w:pPr>
            <w:r>
              <w:rPr>
                <w:rFonts w:cs="宋体"/>
                <w:color w:val="auto"/>
                <w:sz w:val="21"/>
                <w:szCs w:val="21"/>
                <w:highlight w:val="none"/>
              </w:rPr>
              <w:t>5.1.2 （删除）</w:t>
            </w:r>
          </w:p>
          <w:p w14:paraId="224DF840">
            <w:pPr>
              <w:pStyle w:val="22"/>
              <w:widowControl w:val="0"/>
              <w:spacing w:beforeAutospacing="0" w:afterAutospacing="0"/>
              <w:jc w:val="both"/>
              <w:rPr>
                <w:rFonts w:cs="宋体"/>
                <w:color w:val="auto"/>
                <w:sz w:val="21"/>
                <w:szCs w:val="21"/>
                <w:highlight w:val="none"/>
              </w:rPr>
            </w:pPr>
            <w:r>
              <w:rPr>
                <w:rFonts w:cs="宋体"/>
                <w:color w:val="auto"/>
                <w:sz w:val="21"/>
                <w:szCs w:val="21"/>
                <w:highlight w:val="none"/>
              </w:rPr>
              <w:t>5.1.3 在产生中标</w:t>
            </w:r>
            <w:r>
              <w:rPr>
                <w:rFonts w:cs="宋体"/>
                <w:color w:val="auto"/>
                <w:kern w:val="2"/>
                <w:sz w:val="21"/>
                <w:szCs w:val="21"/>
                <w:highlight w:val="none"/>
              </w:rPr>
              <w:t>候选人</w:t>
            </w:r>
            <w:r>
              <w:rPr>
                <w:rFonts w:cs="宋体"/>
                <w:color w:val="auto"/>
                <w:sz w:val="21"/>
                <w:szCs w:val="21"/>
                <w:highlight w:val="none"/>
              </w:rPr>
              <w:t>后，招标人将中标候选人的投标文件（包括人员、业绩、奖项等资料）在交易平台和广东省招标投标监管网公开。</w:t>
            </w:r>
          </w:p>
          <w:p w14:paraId="212771B6">
            <w:pPr>
              <w:pStyle w:val="22"/>
              <w:widowControl w:val="0"/>
              <w:spacing w:beforeAutospacing="0" w:afterAutospacing="0"/>
              <w:jc w:val="both"/>
              <w:rPr>
                <w:rFonts w:cs="宋体"/>
                <w:color w:val="auto"/>
                <w:sz w:val="21"/>
                <w:szCs w:val="21"/>
                <w:highlight w:val="none"/>
              </w:rPr>
            </w:pPr>
            <w:r>
              <w:rPr>
                <w:rFonts w:cs="宋体"/>
                <w:color w:val="auto"/>
                <w:sz w:val="21"/>
                <w:szCs w:val="21"/>
                <w:highlight w:val="none"/>
                <w:u w:val="single"/>
              </w:rPr>
              <w:t>5.1.4招标人将</w:t>
            </w:r>
            <w:r>
              <w:rPr>
                <w:rFonts w:hint="eastAsia" w:cs="宋体"/>
                <w:color w:val="auto"/>
                <w:sz w:val="21"/>
                <w:szCs w:val="21"/>
                <w:highlight w:val="none"/>
                <w:u w:val="single"/>
              </w:rPr>
              <w:t>在广州交易集团有限公司（广州公共资源交易中心）交易平台、广州国企阳光采购信息发布平台、</w:t>
            </w:r>
            <w:r>
              <w:rPr>
                <w:rFonts w:cs="宋体"/>
                <w:color w:val="auto"/>
                <w:sz w:val="21"/>
                <w:szCs w:val="21"/>
                <w:highlight w:val="none"/>
                <w:u w:val="single"/>
              </w:rPr>
              <w:t>广东省招标投标监管网和中国招标投标公共服务平台公示中标候选人，公示期为三天。</w:t>
            </w:r>
            <w:r>
              <w:rPr>
                <w:rFonts w:cs="宋体"/>
                <w:b/>
                <w:bCs/>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1AE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1766BB6">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D5C3BC">
            <w:pPr>
              <w:jc w:val="center"/>
              <w:rPr>
                <w:rFonts w:ascii="宋体" w:hAnsi="宋体" w:cs="宋体"/>
                <w:color w:val="auto"/>
                <w:szCs w:val="21"/>
                <w:highlight w:val="none"/>
              </w:rPr>
            </w:pPr>
            <w:r>
              <w:rPr>
                <w:rFonts w:hint="eastAsia" w:ascii="宋体" w:hAnsi="宋体" w:cs="宋体"/>
                <w:color w:val="auto"/>
                <w:szCs w:val="21"/>
                <w:highlight w:val="none"/>
              </w:rPr>
              <w:t>5.2.3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FC80CD8">
            <w:pPr>
              <w:jc w:val="both"/>
              <w:rPr>
                <w:rFonts w:hint="eastAsia" w:ascii="宋体" w:hAnsi="宋体" w:cs="宋体"/>
                <w:b/>
                <w:color w:val="auto"/>
                <w:szCs w:val="21"/>
                <w:highlight w:val="none"/>
              </w:rPr>
            </w:pPr>
            <w:bookmarkStart w:id="2" w:name="OLE_LINK25"/>
            <w:r>
              <w:rPr>
                <w:rFonts w:hint="eastAsia" w:ascii="宋体" w:hAnsi="宋体" w:cs="宋体"/>
                <w:bCs/>
                <w:color w:val="auto"/>
                <w:szCs w:val="21"/>
                <w:highlight w:val="none"/>
              </w:rPr>
              <w:t>5.2.3  如果中标候选人的报价不符合招标文件规定，招标人有权作出修正，招标人的修正备忘录在得到中标候选人的同意后向其颁发中标通知书。</w:t>
            </w:r>
            <w:bookmarkEnd w:id="2"/>
          </w:p>
        </w:tc>
        <w:tc>
          <w:tcPr>
            <w:tcW w:w="3708" w:type="dxa"/>
            <w:tcBorders>
              <w:top w:val="single" w:color="auto" w:sz="4" w:space="0"/>
              <w:left w:val="single" w:color="auto" w:sz="4" w:space="0"/>
              <w:bottom w:val="single" w:color="auto" w:sz="4" w:space="0"/>
              <w:right w:val="single" w:color="auto" w:sz="4" w:space="0"/>
            </w:tcBorders>
            <w:noWrap w:val="0"/>
            <w:vAlign w:val="center"/>
          </w:tcPr>
          <w:p w14:paraId="413BAFFC">
            <w:pPr>
              <w:jc w:val="left"/>
              <w:rPr>
                <w:rFonts w:hint="eastAsia"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bCs/>
                <w:color w:val="auto"/>
                <w:szCs w:val="21"/>
                <w:highlight w:val="none"/>
              </w:rPr>
              <w:t xml:space="preserve">5.2.3  </w:t>
            </w:r>
            <w:r>
              <w:rPr>
                <w:rFonts w:hint="eastAsia" w:ascii="宋体" w:hAnsi="宋体" w:cs="宋体"/>
                <w:bCs/>
                <w:color w:val="auto"/>
                <w:szCs w:val="21"/>
                <w:highlight w:val="none"/>
                <w:u w:val="single"/>
              </w:rPr>
              <w:t>如果中标候选人的报价不符合招标文件规定，招标人有权要求中标候选人进行相应的调整，以确保报价符合规定。所有修改均应以书面形式确认，并作为投标文件的组成部分。中标候选人提供的报价未经招标人的书面确认视为无效。</w:t>
            </w:r>
          </w:p>
        </w:tc>
      </w:tr>
      <w:tr w14:paraId="738D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5E5D335">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159E7E">
            <w:pPr>
              <w:jc w:val="center"/>
              <w:rPr>
                <w:rFonts w:ascii="宋体" w:hAnsi="宋体" w:cs="宋体"/>
                <w:color w:val="auto"/>
                <w:szCs w:val="21"/>
                <w:highlight w:val="none"/>
              </w:rPr>
            </w:pPr>
            <w:r>
              <w:rPr>
                <w:rFonts w:hint="eastAsia" w:ascii="宋体" w:hAnsi="宋体" w:cs="宋体"/>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FC14C29">
            <w:pPr>
              <w:jc w:val="both"/>
              <w:rPr>
                <w:rFonts w:ascii="宋体" w:hAnsi="宋体" w:cs="宋体"/>
                <w:b/>
                <w:color w:val="auto"/>
                <w:szCs w:val="21"/>
                <w:highlight w:val="none"/>
              </w:rPr>
            </w:pPr>
            <w:r>
              <w:rPr>
                <w:rFonts w:hint="eastAsia" w:ascii="宋体" w:hAnsi="宋体" w:cs="宋体"/>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EF147C4">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19EB6090">
            <w:pPr>
              <w:jc w:val="left"/>
              <w:rPr>
                <w:rFonts w:ascii="宋体" w:hAnsi="宋体" w:cs="宋体"/>
                <w:color w:val="auto"/>
                <w:szCs w:val="21"/>
                <w:highlight w:val="none"/>
              </w:rPr>
            </w:pPr>
            <w:r>
              <w:rPr>
                <w:rFonts w:hint="eastAsia" w:ascii="宋体" w:hAnsi="宋体"/>
                <w:color w:val="auto"/>
                <w:szCs w:val="21"/>
                <w:highlight w:val="none"/>
              </w:rPr>
              <w:t>5.2.6</w:t>
            </w:r>
            <w:r>
              <w:rPr>
                <w:rFonts w:hint="eastAsia" w:ascii="宋体" w:hAnsi="宋体" w:cs="宋体"/>
                <w:color w:val="auto"/>
                <w:szCs w:val="21"/>
                <w:highlight w:val="none"/>
                <w:u w:val="single"/>
              </w:rPr>
              <w:t>中标人在中标结果公示后，签订合同前，须提供与所递交投标电子标书内容一致且加盖单位公章的纸质文件</w:t>
            </w:r>
            <w:r>
              <w:rPr>
                <w:rFonts w:hint="eastAsia" w:ascii="宋体" w:hAnsi="宋体" w:cs="宋体"/>
                <w:color w:val="auto"/>
                <w:szCs w:val="21"/>
                <w:highlight w:val="none"/>
                <w:u w:val="single"/>
                <w:lang w:eastAsia="zh-CN"/>
              </w:rPr>
              <w:t>两</w:t>
            </w:r>
            <w:r>
              <w:rPr>
                <w:rFonts w:hint="eastAsia" w:ascii="宋体" w:hAnsi="宋体" w:cs="宋体"/>
                <w:color w:val="auto"/>
                <w:szCs w:val="21"/>
                <w:highlight w:val="none"/>
                <w:u w:val="single"/>
              </w:rPr>
              <w:t>套及电子文件</w:t>
            </w:r>
            <w:r>
              <w:rPr>
                <w:rFonts w:hint="eastAsia" w:ascii="宋体" w:hAnsi="宋体" w:cs="宋体"/>
                <w:color w:val="auto"/>
                <w:szCs w:val="21"/>
                <w:highlight w:val="none"/>
                <w:u w:val="single"/>
                <w:lang w:eastAsia="zh-CN"/>
              </w:rPr>
              <w:t>一</w:t>
            </w:r>
            <w:r>
              <w:rPr>
                <w:rFonts w:hint="eastAsia" w:ascii="宋体" w:hAnsi="宋体" w:cs="宋体"/>
                <w:color w:val="auto"/>
                <w:szCs w:val="21"/>
                <w:highlight w:val="none"/>
                <w:u w:val="single"/>
              </w:rPr>
              <w:t>套（包括所递交投标电子标书内容一致的设计方案</w:t>
            </w:r>
            <w:r>
              <w:rPr>
                <w:rFonts w:hint="eastAsia" w:ascii="宋体" w:hAnsi="宋体"/>
                <w:color w:val="auto"/>
                <w:szCs w:val="21"/>
                <w:highlight w:val="none"/>
                <w:u w:val="single"/>
              </w:rPr>
              <w:t>A3版及设计图纸、资格审查文件、</w:t>
            </w:r>
            <w:r>
              <w:rPr>
                <w:rFonts w:hint="eastAsia" w:ascii="宋体" w:hAnsi="宋体"/>
                <w:color w:val="auto"/>
                <w:szCs w:val="21"/>
                <w:highlight w:val="none"/>
                <w:u w:val="single"/>
                <w:lang w:eastAsia="zh-CN"/>
              </w:rPr>
              <w:t>报价</w:t>
            </w:r>
            <w:r>
              <w:rPr>
                <w:rFonts w:hint="eastAsia" w:ascii="宋体" w:hAnsi="宋体"/>
                <w:color w:val="auto"/>
                <w:szCs w:val="21"/>
                <w:highlight w:val="none"/>
                <w:u w:val="single"/>
              </w:rPr>
              <w:t>文件等投标文件；补齐遗漏表格及相关内容或者无条件接受招标人给出的表格及相关内容。电子文件介质使用CD-R光盘</w:t>
            </w:r>
            <w:r>
              <w:rPr>
                <w:rFonts w:hint="eastAsia" w:ascii="宋体" w:hAnsi="宋体" w:cs="宋体"/>
                <w:b/>
                <w:color w:val="auto"/>
                <w:szCs w:val="21"/>
                <w:highlight w:val="none"/>
                <w:u w:val="single"/>
                <w:lang w:eastAsia="zh-CN"/>
              </w:rPr>
              <w:t>（</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 w:val="21"/>
                <w:szCs w:val="21"/>
                <w:highlight w:val="none"/>
                <w:u w:val="single"/>
                <w:lang w:eastAsia="zh-CN"/>
              </w:rPr>
              <w:t>）</w:t>
            </w:r>
            <w:r>
              <w:rPr>
                <w:rFonts w:hint="eastAsia" w:ascii="宋体" w:hAnsi="宋体"/>
                <w:color w:val="auto"/>
                <w:szCs w:val="21"/>
                <w:highlight w:val="none"/>
                <w:u w:val="single"/>
              </w:rPr>
              <w:t>，所有电子文件不能采用压缩处理）给招标人</w:t>
            </w:r>
            <w:r>
              <w:rPr>
                <w:rFonts w:hint="eastAsia" w:ascii="宋体" w:hAnsi="宋体" w:cs="宋体"/>
                <w:color w:val="auto"/>
                <w:szCs w:val="21"/>
                <w:highlight w:val="none"/>
              </w:rPr>
              <w:t>。</w:t>
            </w:r>
          </w:p>
        </w:tc>
      </w:tr>
      <w:tr w14:paraId="5C00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56575">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41AF35">
            <w:pPr>
              <w:jc w:val="center"/>
              <w:rPr>
                <w:rFonts w:ascii="宋体" w:hAnsi="宋体" w:cs="宋体"/>
                <w:color w:val="auto"/>
                <w:szCs w:val="21"/>
                <w:highlight w:val="none"/>
              </w:rPr>
            </w:pPr>
            <w:r>
              <w:rPr>
                <w:rFonts w:hint="eastAsia" w:ascii="宋体" w:hAnsi="宋体"/>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D1E3B9E">
            <w:pPr>
              <w:jc w:val="both"/>
              <w:rPr>
                <w:rFonts w:ascii="宋体" w:hAnsi="宋体" w:cs="宋体"/>
                <w:b/>
                <w:color w:val="auto"/>
                <w:szCs w:val="21"/>
                <w:highlight w:val="none"/>
              </w:rPr>
            </w:pPr>
            <w:r>
              <w:rPr>
                <w:rFonts w:hint="eastAsia" w:ascii="宋体" w:hAnsi="宋体" w:cs="宋体"/>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F9E2B3">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740CB505">
            <w:pPr>
              <w:jc w:val="left"/>
              <w:rPr>
                <w:rFonts w:ascii="宋体" w:hAnsi="宋体"/>
                <w:color w:val="auto"/>
                <w:szCs w:val="21"/>
                <w:highlight w:val="none"/>
              </w:rPr>
            </w:pPr>
            <w:r>
              <w:rPr>
                <w:rFonts w:hint="eastAsia" w:ascii="宋体" w:hAnsi="宋体"/>
                <w:color w:val="auto"/>
                <w:szCs w:val="21"/>
                <w:highlight w:val="none"/>
              </w:rPr>
              <w:t xml:space="preserve">5.3.5 </w:t>
            </w:r>
            <w:r>
              <w:rPr>
                <w:rFonts w:hint="eastAsia" w:ascii="宋体" w:hAnsi="宋体" w:cs="宋体"/>
                <w:color w:val="auto"/>
                <w:szCs w:val="21"/>
                <w:highlight w:val="none"/>
                <w:u w:val="single"/>
              </w:rPr>
              <w:t>中标人应按合同规定提交中标价款（人民币）</w:t>
            </w:r>
            <w:r>
              <w:rPr>
                <w:rFonts w:hint="eastAsia" w:ascii="宋体" w:hAnsi="宋体"/>
                <w:color w:val="auto"/>
                <w:szCs w:val="21"/>
                <w:highlight w:val="none"/>
                <w:u w:val="single"/>
              </w:rPr>
              <w:t>10 %的</w:t>
            </w:r>
            <w:r>
              <w:rPr>
                <w:rFonts w:hint="eastAsia" w:ascii="宋体" w:hAnsi="宋体" w:cs="宋体"/>
                <w:color w:val="auto"/>
                <w:szCs w:val="21"/>
                <w:highlight w:val="none"/>
                <w:u w:val="single"/>
              </w:rPr>
              <w:t>履约担保。</w:t>
            </w:r>
          </w:p>
        </w:tc>
      </w:tr>
      <w:tr w14:paraId="63FB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564F3F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120979">
            <w:pPr>
              <w:jc w:val="center"/>
              <w:rPr>
                <w:rFonts w:ascii="宋体" w:hAnsi="宋体"/>
                <w:color w:val="auto"/>
                <w:szCs w:val="21"/>
                <w:highlight w:val="none"/>
              </w:rPr>
            </w:pPr>
            <w:r>
              <w:rPr>
                <w:rFonts w:hint="eastAsia" w:ascii="宋体" w:hAnsi="宋体"/>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E7FCCB8">
            <w:pPr>
              <w:jc w:val="both"/>
              <w:rPr>
                <w:rFonts w:ascii="宋体" w:hAnsi="宋体" w:cs="宋体"/>
                <w:b/>
                <w:color w:val="auto"/>
                <w:szCs w:val="21"/>
                <w:highlight w:val="none"/>
              </w:rPr>
            </w:pPr>
            <w:r>
              <w:rPr>
                <w:rFonts w:hint="eastAsia" w:ascii="宋体" w:hAnsi="宋体" w:cs="宋体"/>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7278FE4">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06CF6F05">
            <w:pPr>
              <w:jc w:val="left"/>
              <w:rPr>
                <w:rFonts w:ascii="宋体" w:hAnsi="宋体"/>
                <w:color w:val="auto"/>
                <w:szCs w:val="21"/>
                <w:highlight w:val="none"/>
              </w:rPr>
            </w:pPr>
            <w:r>
              <w:rPr>
                <w:rFonts w:hint="eastAsia" w:ascii="宋体" w:hAnsi="宋体"/>
                <w:color w:val="auto"/>
                <w:szCs w:val="21"/>
                <w:highlight w:val="none"/>
              </w:rPr>
              <w:t>6.1.6</w:t>
            </w:r>
            <w:r>
              <w:rPr>
                <w:rFonts w:hint="eastAsia" w:ascii="宋体" w:hAnsi="宋体" w:cs="宋体"/>
                <w:color w:val="auto"/>
                <w:szCs w:val="21"/>
                <w:highlight w:val="none"/>
                <w:u w:val="single"/>
              </w:rPr>
              <w:t>中标通知书发出之日起</w:t>
            </w:r>
            <w:r>
              <w:rPr>
                <w:rFonts w:hint="eastAsia" w:ascii="宋体" w:hAnsi="宋体"/>
                <w:color w:val="auto"/>
                <w:szCs w:val="21"/>
                <w:highlight w:val="none"/>
                <w:u w:val="single"/>
              </w:rPr>
              <w:t>30日内，中标人应按照招标文件和中标人的投标文件积极配合招标人完成合同签订工作。中标通知书发出之日起30日后，中标人无正当理由不与招标人订立合同的，招标人有权解除中标通知书，并根据</w:t>
            </w:r>
            <w:r>
              <w:rPr>
                <w:rFonts w:hint="eastAsia" w:ascii="宋体" w:hAnsi="宋体" w:cs="宋体"/>
                <w:color w:val="auto"/>
                <w:kern w:val="0"/>
                <w:szCs w:val="21"/>
                <w:highlight w:val="none"/>
                <w:u w:val="single"/>
              </w:rPr>
              <w:t>定标委员会确定的定标综合排序依序</w:t>
            </w:r>
            <w:r>
              <w:rPr>
                <w:rFonts w:hint="eastAsia" w:ascii="宋体" w:hAnsi="宋体" w:cs="宋体"/>
                <w:color w:val="auto"/>
                <w:szCs w:val="21"/>
                <w:highlight w:val="none"/>
                <w:u w:val="single"/>
              </w:rPr>
              <w:t>确定中标人或重新招标。</w:t>
            </w:r>
          </w:p>
        </w:tc>
      </w:tr>
      <w:tr w14:paraId="2B8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B34806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DD4A06">
            <w:pPr>
              <w:jc w:val="center"/>
              <w:rPr>
                <w:rFonts w:ascii="宋体" w:hAnsi="宋体" w:cs="宋体"/>
                <w:color w:val="auto"/>
                <w:szCs w:val="21"/>
                <w:highlight w:val="none"/>
              </w:rPr>
            </w:pPr>
            <w:r>
              <w:rPr>
                <w:rFonts w:hint="eastAsia" w:ascii="宋体" w:hAnsi="宋体"/>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FE2F1A">
            <w:pPr>
              <w:jc w:val="both"/>
              <w:rPr>
                <w:rFonts w:ascii="宋体" w:hAnsi="宋体" w:cs="宋体"/>
                <w:color w:val="auto"/>
                <w:szCs w:val="21"/>
                <w:highlight w:val="none"/>
              </w:rPr>
            </w:pPr>
            <w:r>
              <w:rPr>
                <w:rFonts w:hint="eastAsia" w:ascii="宋体" w:hAnsi="宋体" w:cs="宋体"/>
                <w:color w:val="auto"/>
                <w:szCs w:val="21"/>
                <w:highlight w:val="none"/>
              </w:rPr>
              <w:t>7.2.1  授予合同</w:t>
            </w:r>
            <w:bookmarkStart w:id="3" w:name="OLE_LINK11"/>
            <w:r>
              <w:rPr>
                <w:rFonts w:hint="eastAsia" w:ascii="宋体" w:hAnsi="宋体" w:cs="宋体"/>
                <w:color w:val="auto"/>
                <w:szCs w:val="21"/>
                <w:highlight w:val="none"/>
              </w:rPr>
              <w:t>并支付定金</w:t>
            </w:r>
            <w:bookmarkEnd w:id="3"/>
            <w:r>
              <w:rPr>
                <w:rFonts w:hint="eastAsia" w:ascii="宋体" w:hAnsi="宋体" w:cs="宋体"/>
                <w:color w:val="auto"/>
                <w:szCs w:val="21"/>
                <w:highlight w:val="none"/>
              </w:rPr>
              <w:t>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065EAE2">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7.2.1  授予合同后，中标方案的发表权、展览权、使用权归招标人和中标人共有。</w:t>
            </w:r>
          </w:p>
        </w:tc>
      </w:tr>
      <w:tr w14:paraId="3008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79AA9F1">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815EFC">
            <w:pPr>
              <w:jc w:val="center"/>
              <w:rPr>
                <w:rFonts w:hint="eastAsia" w:ascii="宋体" w:hAnsi="宋体"/>
                <w:color w:val="auto"/>
                <w:szCs w:val="21"/>
                <w:highlight w:val="none"/>
              </w:rPr>
            </w:pPr>
            <w:r>
              <w:rPr>
                <w:rFonts w:ascii="宋体" w:hAnsi="宋体" w:cs="宋体"/>
                <w:color w:val="auto"/>
                <w:szCs w:val="21"/>
                <w:highlight w:val="none"/>
              </w:rPr>
              <w:t>7.2.2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C7E51A">
            <w:pPr>
              <w:jc w:val="both"/>
              <w:rPr>
                <w:rFonts w:hint="eastAsia" w:ascii="宋体" w:hAnsi="宋体" w:cs="宋体"/>
                <w:b/>
                <w:color w:val="auto"/>
                <w:szCs w:val="21"/>
                <w:highlight w:val="none"/>
              </w:rPr>
            </w:pPr>
            <w:r>
              <w:rPr>
                <w:rFonts w:ascii="宋体" w:hAnsi="宋体" w:cs="宋体"/>
                <w:color w:val="auto"/>
                <w:szCs w:val="21"/>
                <w:highlight w:val="none"/>
              </w:rPr>
              <w:t xml:space="preserve">7.2.2  </w:t>
            </w:r>
            <w:r>
              <w:rPr>
                <w:rFonts w:hint="eastAsia" w:ascii="宋体" w:hAnsi="宋体" w:cs="宋体"/>
                <w:color w:val="auto"/>
                <w:szCs w:val="21"/>
                <w:highlight w:val="none"/>
              </w:rPr>
              <w:t>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受到损害的，有权要求中标人予以赔偿，如果招标人、中标人使用</w:t>
            </w:r>
            <w:bookmarkStart w:id="4" w:name="OLE_LINK1"/>
            <w:r>
              <w:rPr>
                <w:rFonts w:hint="eastAsia" w:ascii="宋体" w:hAnsi="宋体" w:cs="宋体"/>
                <w:color w:val="auto"/>
                <w:szCs w:val="21"/>
                <w:highlight w:val="none"/>
              </w:rPr>
              <w:t>未中标方案</w:t>
            </w:r>
            <w:bookmarkEnd w:id="4"/>
            <w:r>
              <w:rPr>
                <w:rFonts w:hint="eastAsia" w:ascii="宋体" w:hAnsi="宋体" w:cs="宋体"/>
                <w:color w:val="auto"/>
                <w:szCs w:val="21"/>
                <w:highlight w:val="none"/>
              </w:rPr>
              <w:t>作为本项目实施方案，招标人按招标文件规定向提交方案的投标人付给使用费后，该方案的发表权、展览权、使用权归招标人和中标人共有。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85FF093">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ascii="宋体" w:hAnsi="宋体" w:cs="宋体"/>
                <w:color w:val="auto"/>
                <w:szCs w:val="21"/>
                <w:highlight w:val="none"/>
              </w:rPr>
              <w:t xml:space="preserve">7.2.2  </w:t>
            </w:r>
            <w:r>
              <w:rPr>
                <w:rFonts w:hint="eastAsia" w:ascii="宋体" w:hAnsi="宋体" w:cs="宋体"/>
                <w:color w:val="auto"/>
                <w:szCs w:val="21"/>
                <w:highlight w:val="none"/>
              </w:rPr>
              <w:t>授予合同后，招标人有权在招标标的中使用中标方案中中标人享有合法权利的著作权、专利权，对于中标方案中涉及的他人所有的知识产权，中标人有义务获得许可，否则招标人有权解除合同并要求退还已支付的费用，招标人因此受到损害的，有权要求中标人予以赔偿，如果招标人、中标人</w:t>
            </w:r>
            <w:r>
              <w:rPr>
                <w:rFonts w:hint="eastAsia" w:ascii="宋体" w:hAnsi="宋体" w:cs="宋体"/>
                <w:color w:val="auto"/>
                <w:szCs w:val="21"/>
                <w:highlight w:val="none"/>
                <w:u w:val="single"/>
              </w:rPr>
              <w:t>参考</w:t>
            </w:r>
            <w:r>
              <w:rPr>
                <w:rFonts w:hint="eastAsia" w:ascii="宋体" w:hAnsi="宋体" w:cs="宋体"/>
                <w:color w:val="auto"/>
                <w:szCs w:val="21"/>
                <w:highlight w:val="none"/>
              </w:rPr>
              <w:t>使用未中标方案</w:t>
            </w:r>
            <w:r>
              <w:rPr>
                <w:rFonts w:hint="eastAsia" w:ascii="宋体" w:hAnsi="宋体" w:cs="宋体"/>
                <w:color w:val="auto"/>
                <w:szCs w:val="21"/>
                <w:highlight w:val="none"/>
                <w:u w:val="single"/>
              </w:rPr>
              <w:t>成果的部分内容（且不另行支付费用），该参考部分内容</w:t>
            </w:r>
            <w:r>
              <w:rPr>
                <w:rFonts w:hint="eastAsia" w:ascii="宋体" w:hAnsi="宋体" w:cs="宋体"/>
                <w:color w:val="auto"/>
                <w:szCs w:val="21"/>
                <w:highlight w:val="none"/>
              </w:rPr>
              <w:t>的发表权、展览权、使用权归招标人所有。</w:t>
            </w:r>
          </w:p>
        </w:tc>
      </w:tr>
      <w:tr w14:paraId="3C75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D6AFD6F">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6ADEF7">
            <w:pPr>
              <w:jc w:val="center"/>
              <w:rPr>
                <w:rFonts w:ascii="宋体" w:hAnsi="宋体"/>
                <w:color w:val="auto"/>
                <w:szCs w:val="21"/>
                <w:highlight w:val="none"/>
              </w:rPr>
            </w:pPr>
            <w:r>
              <w:rPr>
                <w:rFonts w:hint="eastAsia" w:ascii="宋体" w:hAnsi="宋体"/>
                <w:color w:val="auto"/>
                <w:szCs w:val="21"/>
                <w:highlight w:val="none"/>
              </w:rPr>
              <w:t>7.3.2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9044D88">
            <w:pPr>
              <w:jc w:val="both"/>
              <w:rPr>
                <w:rFonts w:hint="eastAsia" w:ascii="宋体" w:hAnsi="宋体" w:cs="宋体"/>
                <w:b/>
                <w:color w:val="auto"/>
                <w:szCs w:val="21"/>
                <w:highlight w:val="none"/>
              </w:rPr>
            </w:pPr>
            <w:bookmarkStart w:id="5" w:name="OLE_LINK27"/>
            <w:r>
              <w:rPr>
                <w:rFonts w:hint="eastAsia" w:ascii="宋体" w:hAnsi="宋体" w:cs="宋体"/>
                <w:bCs/>
                <w:color w:val="auto"/>
                <w:szCs w:val="21"/>
                <w:highlight w:val="none"/>
              </w:rPr>
              <w:t>7.3.2  投标人保证投标文件及资料均未侵犯他人的知识产权，否则必须承担全部责任。若投标人使用了他人的专利、专有技术，涉及的费用由投标人负责。</w:t>
            </w:r>
            <w:bookmarkEnd w:id="5"/>
          </w:p>
        </w:tc>
        <w:tc>
          <w:tcPr>
            <w:tcW w:w="3708" w:type="dxa"/>
            <w:tcBorders>
              <w:top w:val="single" w:color="auto" w:sz="4" w:space="0"/>
              <w:left w:val="single" w:color="auto" w:sz="4" w:space="0"/>
              <w:bottom w:val="single" w:color="auto" w:sz="4" w:space="0"/>
              <w:right w:val="single" w:color="auto" w:sz="4" w:space="0"/>
            </w:tcBorders>
            <w:noWrap w:val="0"/>
            <w:vAlign w:val="center"/>
          </w:tcPr>
          <w:p w14:paraId="64303CFD">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bCs/>
                <w:color w:val="auto"/>
                <w:szCs w:val="21"/>
                <w:highlight w:val="none"/>
              </w:rPr>
              <w:t>7.3.2  投标人保证投标文件及资料均未侵犯他人的知识产权，否则必须承担全部责任。若投标人使用了他人的专利、专有技术，涉及的费用由投标人负责。</w:t>
            </w:r>
            <w:r>
              <w:rPr>
                <w:rFonts w:hint="eastAsia" w:ascii="宋体" w:hAnsi="宋体" w:cs="宋体"/>
                <w:bCs/>
                <w:color w:val="auto"/>
                <w:szCs w:val="21"/>
                <w:highlight w:val="none"/>
                <w:u w:val="single"/>
              </w:rPr>
              <w:t>投标人应确保在签订合同前，就其所使用的所有专利、专有技术、商标及其他知识产权取得合法授权或获得权利人的准予，且随时准备向招标人展示所持有的相关合法使用证明。</w:t>
            </w:r>
          </w:p>
        </w:tc>
      </w:tr>
      <w:tr w14:paraId="16EC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CB2277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F1966C">
            <w:pPr>
              <w:jc w:val="center"/>
              <w:rPr>
                <w:rFonts w:ascii="宋体" w:hAnsi="宋体"/>
                <w:color w:val="auto"/>
                <w:szCs w:val="21"/>
                <w:highlight w:val="none"/>
              </w:rPr>
            </w:pPr>
            <w:r>
              <w:rPr>
                <w:rFonts w:hint="eastAsia" w:ascii="宋体" w:hAnsi="宋体"/>
                <w:color w:val="auto"/>
                <w:szCs w:val="21"/>
                <w:highlight w:val="none"/>
              </w:rPr>
              <w:t>7.3.5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8111228">
            <w:pPr>
              <w:jc w:val="both"/>
              <w:rPr>
                <w:rFonts w:hint="eastAsia" w:ascii="宋体" w:hAnsi="宋体" w:cs="宋体"/>
                <w:color w:val="auto"/>
                <w:szCs w:val="21"/>
                <w:highlight w:val="none"/>
              </w:rPr>
            </w:pPr>
            <w:r>
              <w:rPr>
                <w:rFonts w:hint="eastAsia" w:ascii="宋体" w:hAnsi="宋体" w:cs="宋体"/>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5633946">
            <w:pPr>
              <w:rPr>
                <w:rFonts w:hint="eastAsia" w:ascii="宋体" w:hAnsi="宋体" w:cs="宋体"/>
                <w:b/>
                <w:color w:val="auto"/>
                <w:szCs w:val="21"/>
                <w:highlight w:val="none"/>
              </w:rPr>
            </w:pPr>
            <w:r>
              <w:rPr>
                <w:rFonts w:hint="eastAsia" w:ascii="宋体" w:hAnsi="宋体" w:cs="宋体"/>
                <w:b/>
                <w:color w:val="auto"/>
                <w:szCs w:val="21"/>
                <w:highlight w:val="none"/>
              </w:rPr>
              <w:t>增加：</w:t>
            </w:r>
          </w:p>
          <w:p w14:paraId="6CD98527">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7.3.5.1  费用承担</w:t>
            </w:r>
          </w:p>
          <w:p w14:paraId="12C96BEE">
            <w:pPr>
              <w:adjustRightInd w:val="0"/>
              <w:snapToGrid w:val="0"/>
              <w:rPr>
                <w:rFonts w:hint="eastAsia" w:ascii="宋体" w:hAnsi="宋体" w:cs="宋体"/>
                <w:b/>
                <w:color w:val="auto"/>
                <w:szCs w:val="21"/>
                <w:highlight w:val="none"/>
              </w:rPr>
            </w:pPr>
            <w:r>
              <w:rPr>
                <w:rFonts w:hint="eastAsia" w:ascii="宋体" w:hAnsi="宋体"/>
                <w:color w:val="auto"/>
                <w:szCs w:val="21"/>
                <w:highlight w:val="none"/>
                <w:u w:val="single"/>
              </w:rPr>
              <w:t>7.3.5.1.1 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150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4653240">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0724AA">
            <w:pPr>
              <w:ind w:left="2"/>
              <w:jc w:val="center"/>
              <w:rPr>
                <w:rFonts w:ascii="宋体" w:hAnsi="宋体"/>
                <w:color w:val="auto"/>
                <w:szCs w:val="21"/>
                <w:highlight w:val="none"/>
              </w:rPr>
            </w:pPr>
            <w:r>
              <w:rPr>
                <w:rFonts w:hint="eastAsia" w:ascii="宋体" w:hAnsi="宋体" w:cs="宋体"/>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9BA2880">
            <w:pPr>
              <w:ind w:left="2"/>
              <w:jc w:val="both"/>
              <w:rPr>
                <w:rFonts w:ascii="宋体" w:hAnsi="宋体"/>
                <w:color w:val="auto"/>
                <w:szCs w:val="21"/>
                <w:highlight w:val="none"/>
              </w:rPr>
            </w:pPr>
            <w:r>
              <w:rPr>
                <w:rFonts w:hint="eastAsia" w:ascii="宋体" w:hAnsi="宋体" w:cs="宋体"/>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67A02AE">
            <w:pPr>
              <w:ind w:left="2"/>
              <w:rPr>
                <w:rFonts w:ascii="宋体" w:hAnsi="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合同条款（另册）</w:t>
            </w:r>
          </w:p>
        </w:tc>
      </w:tr>
      <w:tr w14:paraId="000C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1B350C4">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9E548C">
            <w:pPr>
              <w:jc w:val="center"/>
              <w:rPr>
                <w:rFonts w:ascii="宋体" w:hAnsi="宋体" w:cs="宋体"/>
                <w:color w:val="auto"/>
                <w:szCs w:val="21"/>
                <w:highlight w:val="none"/>
              </w:rPr>
            </w:pPr>
            <w:r>
              <w:rPr>
                <w:rFonts w:hint="eastAsia" w:ascii="宋体" w:hAnsi="宋体" w:cs="宋体"/>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FBF5D8">
            <w:pPr>
              <w:jc w:val="both"/>
              <w:rPr>
                <w:rFonts w:ascii="宋体" w:hAnsi="宋体" w:cs="宋体"/>
                <w:color w:val="auto"/>
                <w:szCs w:val="21"/>
                <w:highlight w:val="none"/>
              </w:rPr>
            </w:pPr>
            <w:r>
              <w:rPr>
                <w:rFonts w:hint="eastAsia" w:ascii="宋体" w:hAnsi="宋体" w:cs="宋体"/>
                <w:color w:val="auto"/>
                <w:szCs w:val="21"/>
                <w:highlight w:val="none"/>
              </w:rPr>
              <w:t>投标申请表（投入人员承诺）（见范本）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879345">
            <w:pPr>
              <w:jc w:val="left"/>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修改：</w:t>
            </w:r>
            <w:r>
              <w:rPr>
                <w:rFonts w:hint="eastAsia" w:ascii="宋体" w:hAnsi="宋体" w:cs="宋体"/>
                <w:color w:val="auto"/>
                <w:szCs w:val="21"/>
                <w:highlight w:val="none"/>
              </w:rPr>
              <w:t>投标申请表（投入人员承诺）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详见附录1</w:t>
            </w:r>
            <w:r>
              <w:rPr>
                <w:rFonts w:hint="eastAsia" w:ascii="宋体" w:hAnsi="宋体" w:cs="宋体"/>
                <w:color w:val="auto"/>
                <w:szCs w:val="21"/>
                <w:highlight w:val="none"/>
                <w:lang w:eastAsia="zh-CN"/>
              </w:rPr>
              <w:t>）</w:t>
            </w:r>
          </w:p>
        </w:tc>
      </w:tr>
      <w:tr w14:paraId="59BA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E3037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F97EA8">
            <w:pPr>
              <w:jc w:val="center"/>
              <w:rPr>
                <w:rFonts w:ascii="宋体" w:hAnsi="宋体" w:cs="宋体"/>
                <w:color w:val="auto"/>
                <w:szCs w:val="21"/>
                <w:highlight w:val="none"/>
              </w:rPr>
            </w:pPr>
            <w:r>
              <w:rPr>
                <w:rFonts w:hint="eastAsia" w:ascii="宋体" w:hAnsi="宋体" w:cs="宋体"/>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68AB425">
            <w:pPr>
              <w:jc w:val="both"/>
              <w:rPr>
                <w:rFonts w:ascii="宋体" w:hAnsi="宋体" w:cs="宋体"/>
                <w:color w:val="auto"/>
                <w:szCs w:val="21"/>
                <w:highlight w:val="none"/>
              </w:rPr>
            </w:pPr>
            <w:r>
              <w:rPr>
                <w:rFonts w:hint="eastAsia" w:ascii="宋体" w:hAnsi="宋体" w:cs="宋体"/>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B70FEDC">
            <w:pPr>
              <w:jc w:val="left"/>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olor w:val="auto"/>
                <w:szCs w:val="21"/>
                <w:highlight w:val="none"/>
                <w:u w:val="single"/>
              </w:rPr>
              <w:t>勘察</w:t>
            </w:r>
            <w:r>
              <w:rPr>
                <w:rFonts w:hint="eastAsia" w:ascii="宋体" w:hAnsi="宋体" w:cs="宋体"/>
                <w:color w:val="auto"/>
                <w:szCs w:val="21"/>
                <w:highlight w:val="none"/>
              </w:rPr>
              <w:t>设计投标文件编制要求</w:t>
            </w:r>
            <w:r>
              <w:rPr>
                <w:rFonts w:hint="eastAsia" w:ascii="宋体" w:hAnsi="宋体" w:cs="宋体"/>
                <w:color w:val="auto"/>
                <w:szCs w:val="21"/>
                <w:highlight w:val="none"/>
                <w:u w:val="single"/>
              </w:rPr>
              <w:t>（详见附件2）</w:t>
            </w:r>
          </w:p>
        </w:tc>
      </w:tr>
      <w:tr w14:paraId="5E7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81C9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84C2A4">
            <w:pPr>
              <w:jc w:val="center"/>
              <w:rPr>
                <w:rFonts w:ascii="宋体" w:hAnsi="宋体" w:cs="宋体"/>
                <w:color w:val="auto"/>
                <w:szCs w:val="21"/>
                <w:highlight w:val="none"/>
              </w:rPr>
            </w:pPr>
            <w:r>
              <w:rPr>
                <w:rFonts w:hint="eastAsia" w:ascii="宋体" w:hAnsi="宋体" w:cs="宋体"/>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FD46B64">
            <w:pPr>
              <w:jc w:val="both"/>
              <w:rPr>
                <w:rFonts w:ascii="宋体" w:hAnsi="宋体" w:cs="宋体"/>
                <w:color w:val="auto"/>
                <w:szCs w:val="21"/>
                <w:highlight w:val="none"/>
              </w:rPr>
            </w:pPr>
            <w:r>
              <w:rPr>
                <w:rFonts w:hint="eastAsia" w:ascii="宋体" w:hAnsi="宋体" w:cs="宋体"/>
                <w:color w:val="auto"/>
                <w:szCs w:val="21"/>
                <w:highlight w:val="none"/>
              </w:rPr>
              <w:t>勘察设计费报价表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D23B7A8">
            <w:pPr>
              <w:rPr>
                <w:rFonts w:ascii="宋体" w:hAnsi="宋体" w:cs="宋体"/>
                <w:color w:val="auto"/>
                <w:szCs w:val="21"/>
                <w:highlight w:val="none"/>
              </w:rPr>
            </w:pPr>
            <w:r>
              <w:rPr>
                <w:rFonts w:hint="eastAsia" w:ascii="宋体" w:hAnsi="宋体" w:cs="宋体"/>
                <w:b/>
                <w:color w:val="auto"/>
                <w:szCs w:val="21"/>
                <w:highlight w:val="none"/>
              </w:rPr>
              <w:t>附件</w:t>
            </w:r>
            <w:r>
              <w:rPr>
                <w:rFonts w:hint="eastAsia" w:ascii="宋体" w:hAnsi="宋体"/>
                <w:b/>
                <w:color w:val="auto"/>
                <w:szCs w:val="21"/>
                <w:highlight w:val="none"/>
              </w:rPr>
              <w:t>3</w:t>
            </w:r>
            <w:r>
              <w:rPr>
                <w:rFonts w:hint="eastAsia" w:ascii="宋体" w:hAnsi="宋体" w:cs="宋体"/>
                <w:color w:val="auto"/>
                <w:szCs w:val="21"/>
                <w:highlight w:val="none"/>
                <w:u w:val="single"/>
              </w:rPr>
              <w:t>（工程勘察设计费</w:t>
            </w:r>
            <w:r>
              <w:rPr>
                <w:rFonts w:hint="eastAsia" w:ascii="宋体" w:hAnsi="宋体" w:cs="宋体"/>
                <w:color w:val="auto"/>
                <w:szCs w:val="21"/>
                <w:highlight w:val="none"/>
                <w:u w:val="single"/>
                <w:lang w:eastAsia="zh-CN"/>
              </w:rPr>
              <w:t>投标</w:t>
            </w:r>
            <w:r>
              <w:rPr>
                <w:rFonts w:hint="eastAsia" w:ascii="宋体" w:hAnsi="宋体" w:cs="宋体"/>
                <w:color w:val="auto"/>
                <w:szCs w:val="21"/>
                <w:highlight w:val="none"/>
                <w:u w:val="single"/>
              </w:rPr>
              <w:t>报价汇总表）</w:t>
            </w:r>
          </w:p>
        </w:tc>
      </w:tr>
      <w:tr w14:paraId="6CC4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6421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9882BB">
            <w:pPr>
              <w:jc w:val="center"/>
              <w:rPr>
                <w:rFonts w:ascii="宋体" w:hAnsi="宋体" w:cs="宋体"/>
                <w:color w:val="auto"/>
                <w:szCs w:val="21"/>
                <w:highlight w:val="none"/>
              </w:rPr>
            </w:pPr>
            <w:r>
              <w:rPr>
                <w:rFonts w:hint="eastAsia" w:ascii="宋体" w:hAnsi="宋体" w:cs="宋体"/>
                <w:b/>
                <w:color w:val="auto"/>
                <w:szCs w:val="21"/>
                <w:highlight w:val="none"/>
              </w:rPr>
              <w:t>附件</w:t>
            </w:r>
            <w:r>
              <w:rPr>
                <w:rFonts w:hint="eastAsia" w:ascii="宋体" w:hAnsi="宋体"/>
                <w:b/>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9815E9">
            <w:pPr>
              <w:jc w:val="both"/>
              <w:rPr>
                <w:rFonts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2759861">
            <w:pPr>
              <w:rPr>
                <w:rFonts w:ascii="宋体" w:hAnsi="宋体"/>
                <w:b/>
                <w:color w:val="auto"/>
                <w:szCs w:val="21"/>
                <w:highlight w:val="none"/>
              </w:rPr>
            </w:pPr>
            <w:r>
              <w:rPr>
                <w:rFonts w:hint="eastAsia" w:ascii="宋体" w:hAnsi="宋体" w:cs="宋体"/>
                <w:b/>
                <w:color w:val="auto"/>
                <w:szCs w:val="21"/>
                <w:highlight w:val="none"/>
              </w:rPr>
              <w:t>附件</w:t>
            </w:r>
            <w:r>
              <w:rPr>
                <w:rFonts w:hint="eastAsia" w:ascii="宋体" w:hAnsi="宋体"/>
                <w:b/>
                <w:color w:val="auto"/>
                <w:szCs w:val="21"/>
                <w:highlight w:val="none"/>
              </w:rPr>
              <w:t>3－1：工程</w:t>
            </w:r>
            <w:r>
              <w:rPr>
                <w:rFonts w:hint="eastAsia" w:ascii="宋体" w:hAnsi="宋体"/>
                <w:b/>
                <w:color w:val="auto"/>
                <w:szCs w:val="21"/>
                <w:highlight w:val="none"/>
                <w:lang w:val="en-US" w:eastAsia="zh-CN"/>
              </w:rPr>
              <w:t>勘察费投标报价</w:t>
            </w:r>
            <w:r>
              <w:rPr>
                <w:rFonts w:hint="eastAsia" w:ascii="宋体" w:hAnsi="宋体"/>
                <w:b/>
                <w:color w:val="auto"/>
                <w:szCs w:val="21"/>
                <w:highlight w:val="none"/>
              </w:rPr>
              <w:t>表</w:t>
            </w:r>
          </w:p>
        </w:tc>
      </w:tr>
      <w:tr w14:paraId="261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34400C1">
            <w:pPr>
              <w:jc w:val="center"/>
              <w:rPr>
                <w:rFonts w:hint="eastAsia" w:ascii="宋体" w:hAnsi="宋体" w:eastAsia="宋体" w:cs="宋体"/>
                <w:color w:val="auto"/>
                <w:kern w:val="2"/>
                <w:sz w:val="21"/>
                <w:szCs w:val="21"/>
                <w:highlight w:val="none"/>
                <w:lang w:val="en-US" w:eastAsia="zh-CN" w:bidi="ar-SA"/>
              </w:rPr>
            </w:pPr>
            <w:bookmarkStart w:id="6" w:name="OLE_LINK9" w:colFirst="1" w:colLast="2"/>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03302D">
            <w:pPr>
              <w:jc w:val="center"/>
              <w:rPr>
                <w:rFonts w:ascii="宋体" w:hAnsi="宋体" w:cs="宋体"/>
                <w:color w:val="auto"/>
                <w:szCs w:val="21"/>
                <w:highlight w:val="none"/>
              </w:rPr>
            </w:pPr>
            <w:r>
              <w:rPr>
                <w:rFonts w:hint="eastAsia" w:ascii="宋体" w:hAnsi="宋体" w:cs="宋体"/>
                <w:b/>
                <w:color w:val="auto"/>
                <w:szCs w:val="21"/>
                <w:highlight w:val="none"/>
              </w:rPr>
              <w:t>附件</w:t>
            </w:r>
            <w:r>
              <w:rPr>
                <w:rFonts w:hint="eastAsia" w:ascii="宋体" w:hAnsi="宋体"/>
                <w:b/>
                <w:color w:val="auto"/>
                <w:szCs w:val="21"/>
                <w:highlight w:val="none"/>
              </w:rPr>
              <w:t>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C2FEB85">
            <w:pPr>
              <w:jc w:val="both"/>
              <w:rPr>
                <w:rFonts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29673EB">
            <w:pPr>
              <w:rPr>
                <w:rFonts w:hint="default" w:ascii="宋体" w:hAnsi="宋体" w:eastAsia="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b/>
                <w:color w:val="auto"/>
                <w:szCs w:val="21"/>
                <w:highlight w:val="none"/>
              </w:rPr>
              <w:t>3－2：</w:t>
            </w:r>
            <w:r>
              <w:rPr>
                <w:rFonts w:hint="eastAsia" w:ascii="宋体" w:hAnsi="宋体"/>
                <w:b/>
                <w:color w:val="auto"/>
                <w:szCs w:val="21"/>
                <w:highlight w:val="none"/>
                <w:lang w:val="en-US" w:eastAsia="zh-CN"/>
              </w:rPr>
              <w:t>地下管线探测费投标报价表</w:t>
            </w:r>
          </w:p>
        </w:tc>
      </w:tr>
      <w:tr w14:paraId="7C25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5C8415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DEBCF7">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附件3-3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970FB6">
            <w:pPr>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C609E06">
            <w:pP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附件3-3：工程设计费投标报价表</w:t>
            </w:r>
          </w:p>
        </w:tc>
      </w:tr>
      <w:tr w14:paraId="5B3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046D14">
            <w:pPr>
              <w:jc w:val="center"/>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40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A4D75F">
            <w:pPr>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附件3-4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9BD3A7C">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E047443">
            <w:pPr>
              <w:rPr>
                <w:rFonts w:hint="eastAsia" w:ascii="宋体" w:hAnsi="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附件3-4：BIM技术应用费（方案及初步设计阶段）投标报价表</w:t>
            </w:r>
          </w:p>
        </w:tc>
      </w:tr>
      <w:bookmarkEnd w:id="6"/>
      <w:tr w14:paraId="3955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1CAEAC">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40A64E">
            <w:pPr>
              <w:jc w:val="center"/>
              <w:rPr>
                <w:rFonts w:hint="eastAsia" w:ascii="宋体" w:hAnsi="宋体" w:cs="宋体"/>
                <w:color w:val="auto"/>
                <w:szCs w:val="21"/>
                <w:highlight w:val="none"/>
              </w:rPr>
            </w:pPr>
            <w:r>
              <w:rPr>
                <w:rFonts w:hint="eastAsia" w:ascii="宋体" w:hAnsi="宋体" w:cs="宋体"/>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60CE81">
            <w:pPr>
              <w:jc w:val="both"/>
              <w:rPr>
                <w:rFonts w:hint="eastAsia" w:ascii="宋体" w:hAnsi="宋体" w:cs="宋体"/>
                <w:color w:val="auto"/>
                <w:szCs w:val="21"/>
                <w:highlight w:val="none"/>
              </w:rPr>
            </w:pPr>
            <w:r>
              <w:rPr>
                <w:rFonts w:hint="eastAsia" w:ascii="宋体" w:hAnsi="宋体" w:cs="宋体"/>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683BFCF">
            <w:pPr>
              <w:rPr>
                <w:rFonts w:hint="eastAsia" w:ascii="宋体" w:hAnsi="宋体" w:cs="宋体"/>
                <w:color w:val="auto"/>
                <w:szCs w:val="21"/>
                <w:highlight w:val="none"/>
              </w:rPr>
            </w:pPr>
            <w:r>
              <w:rPr>
                <w:rFonts w:hint="eastAsia" w:ascii="宋体" w:hAnsi="宋体" w:cs="宋体"/>
                <w:b/>
                <w:color w:val="auto"/>
                <w:szCs w:val="21"/>
                <w:highlight w:val="none"/>
              </w:rPr>
              <w:t>删除</w:t>
            </w:r>
          </w:p>
        </w:tc>
      </w:tr>
      <w:tr w14:paraId="5D3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83B7A0">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B29D0C">
            <w:pPr>
              <w:jc w:val="center"/>
              <w:rPr>
                <w:rFonts w:ascii="宋体" w:hAnsi="宋体" w:cs="宋体"/>
                <w:color w:val="auto"/>
                <w:szCs w:val="21"/>
                <w:highlight w:val="none"/>
              </w:rPr>
            </w:pPr>
            <w:r>
              <w:rPr>
                <w:rFonts w:hint="eastAsia" w:ascii="宋体" w:hAnsi="宋体" w:cs="宋体"/>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40E4925">
            <w:pPr>
              <w:jc w:val="both"/>
              <w:rPr>
                <w:rFonts w:ascii="宋体" w:hAnsi="宋体" w:cs="宋体"/>
                <w:color w:val="auto"/>
                <w:szCs w:val="21"/>
                <w:highlight w:val="none"/>
              </w:rPr>
            </w:pPr>
            <w:r>
              <w:rPr>
                <w:rFonts w:hint="eastAsia" w:ascii="宋体" w:hAnsi="宋体" w:cs="宋体"/>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20A6C99">
            <w:pPr>
              <w:rPr>
                <w:rFonts w:ascii="宋体" w:hAnsi="宋体" w:cs="宋体"/>
                <w:color w:val="auto"/>
                <w:szCs w:val="21"/>
                <w:highlight w:val="none"/>
              </w:rPr>
            </w:pPr>
            <w:r>
              <w:rPr>
                <w:rFonts w:hint="eastAsia" w:ascii="宋体" w:hAnsi="宋体" w:cs="宋体"/>
                <w:b/>
                <w:color w:val="auto"/>
                <w:szCs w:val="21"/>
                <w:highlight w:val="none"/>
              </w:rPr>
              <w:t>删除</w:t>
            </w:r>
          </w:p>
        </w:tc>
      </w:tr>
      <w:tr w14:paraId="5DA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0180305">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C0EBDB">
            <w:pPr>
              <w:jc w:val="center"/>
              <w:rPr>
                <w:rFonts w:ascii="宋体" w:hAnsi="宋体" w:cs="宋体"/>
                <w:color w:val="auto"/>
                <w:szCs w:val="21"/>
                <w:highlight w:val="none"/>
              </w:rPr>
            </w:pPr>
            <w:r>
              <w:rPr>
                <w:rFonts w:hint="eastAsia" w:ascii="宋体" w:hAnsi="宋体" w:cs="宋体"/>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617758F">
            <w:pPr>
              <w:jc w:val="both"/>
              <w:rPr>
                <w:rFonts w:ascii="宋体" w:hAnsi="宋体" w:cs="宋体"/>
                <w:color w:val="auto"/>
                <w:szCs w:val="21"/>
                <w:highlight w:val="none"/>
              </w:rPr>
            </w:pPr>
            <w:r>
              <w:rPr>
                <w:rFonts w:hint="eastAsia" w:ascii="宋体" w:hAnsi="宋体" w:cs="宋体"/>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601CAAB">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w:t>
            </w:r>
            <w:r>
              <w:rPr>
                <w:rFonts w:hint="eastAsia" w:ascii="宋体" w:hAnsi="宋体"/>
                <w:color w:val="auto"/>
                <w:szCs w:val="21"/>
                <w:highlight w:val="none"/>
              </w:rPr>
              <w:t xml:space="preserve">6 </w:t>
            </w:r>
            <w:r>
              <w:rPr>
                <w:rFonts w:hint="eastAsia" w:ascii="宋体" w:hAnsi="宋体" w:cs="宋体"/>
                <w:color w:val="auto"/>
                <w:szCs w:val="21"/>
                <w:highlight w:val="none"/>
              </w:rPr>
              <w:t>投标书</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6）</w:t>
            </w:r>
          </w:p>
        </w:tc>
      </w:tr>
      <w:tr w14:paraId="2EDF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09D85C7">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645015">
            <w:pPr>
              <w:jc w:val="center"/>
              <w:rPr>
                <w:rFonts w:ascii="宋体" w:hAnsi="宋体" w:cs="宋体"/>
                <w:color w:val="auto"/>
                <w:szCs w:val="21"/>
                <w:highlight w:val="none"/>
              </w:rPr>
            </w:pPr>
            <w:r>
              <w:rPr>
                <w:rFonts w:hint="eastAsia" w:ascii="宋体" w:hAnsi="宋体" w:cs="宋体"/>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CB8E84F">
            <w:pPr>
              <w:jc w:val="both"/>
              <w:rPr>
                <w:rFonts w:ascii="宋体" w:hAnsi="宋体" w:cs="宋体"/>
                <w:color w:val="auto"/>
                <w:szCs w:val="21"/>
                <w:highlight w:val="none"/>
              </w:rPr>
            </w:pPr>
            <w:r>
              <w:rPr>
                <w:rFonts w:hint="eastAsia" w:ascii="宋体" w:hAnsi="宋体" w:cs="宋体"/>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0E2C776">
            <w:pPr>
              <w:rPr>
                <w:rFonts w:ascii="宋体" w:hAnsi="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w:t>
            </w:r>
            <w:r>
              <w:rPr>
                <w:rFonts w:hint="eastAsia" w:ascii="宋体" w:hAnsi="宋体"/>
                <w:color w:val="auto"/>
                <w:szCs w:val="21"/>
                <w:highlight w:val="none"/>
              </w:rPr>
              <w:t>7</w:t>
            </w:r>
            <w:r>
              <w:rPr>
                <w:rFonts w:hint="eastAsia" w:ascii="宋体" w:hAnsi="宋体" w:cs="宋体"/>
                <w:color w:val="auto"/>
                <w:szCs w:val="21"/>
                <w:highlight w:val="none"/>
              </w:rPr>
              <w:t>联合体共同投标协议</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7</w:t>
            </w:r>
            <w:r>
              <w:rPr>
                <w:rFonts w:hint="eastAsia" w:ascii="宋体" w:hAnsi="宋体" w:cs="宋体"/>
                <w:color w:val="auto"/>
                <w:szCs w:val="21"/>
                <w:highlight w:val="none"/>
                <w:u w:val="single"/>
              </w:rPr>
              <w:t>）</w:t>
            </w:r>
          </w:p>
        </w:tc>
      </w:tr>
      <w:tr w14:paraId="10B6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BE433A9">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4EE575">
            <w:pPr>
              <w:jc w:val="center"/>
              <w:rPr>
                <w:rFonts w:hint="eastAsia" w:ascii="宋体" w:hAnsi="宋体" w:cs="宋体"/>
                <w:color w:val="auto"/>
                <w:szCs w:val="21"/>
                <w:highlight w:val="none"/>
              </w:rPr>
            </w:pPr>
            <w:r>
              <w:rPr>
                <w:rFonts w:hint="eastAsia" w:ascii="宋体" w:hAnsi="宋体" w:cs="宋体"/>
                <w:color w:val="auto"/>
                <w:szCs w:val="21"/>
                <w:highlight w:val="none"/>
              </w:rPr>
              <w:t>附录 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5D5B7DE">
            <w:pPr>
              <w:jc w:val="both"/>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1D46CB">
            <w:pPr>
              <w:jc w:val="left"/>
              <w:rPr>
                <w:rFonts w:hint="eastAsia" w:ascii="宋体" w:hAnsi="宋体" w:cs="宋体"/>
                <w:b/>
                <w:color w:val="auto"/>
                <w:szCs w:val="21"/>
                <w:highlight w:val="none"/>
              </w:rPr>
            </w:pPr>
            <w:r>
              <w:rPr>
                <w:rFonts w:hint="eastAsia" w:ascii="宋体" w:hAnsi="宋体" w:cs="宋体"/>
                <w:b/>
                <w:color w:val="auto"/>
                <w:kern w:val="44"/>
                <w:szCs w:val="21"/>
                <w:highlight w:val="none"/>
              </w:rPr>
              <w:t>附录</w:t>
            </w:r>
            <w:r>
              <w:rPr>
                <w:rFonts w:hint="eastAsia" w:ascii="宋体" w:hAnsi="宋体"/>
                <w:b/>
                <w:color w:val="auto"/>
                <w:kern w:val="44"/>
                <w:szCs w:val="21"/>
                <w:highlight w:val="none"/>
              </w:rPr>
              <w:t xml:space="preserve"> 7-1（</w:t>
            </w:r>
            <w:r>
              <w:rPr>
                <w:rFonts w:hint="eastAsia" w:ascii="宋体" w:hAnsi="宋体" w:cs="宋体"/>
                <w:b/>
                <w:color w:val="auto"/>
                <w:kern w:val="44"/>
                <w:szCs w:val="21"/>
                <w:highlight w:val="none"/>
                <w:u w:val="single"/>
              </w:rPr>
              <w:t>适用于合作设计</w:t>
            </w:r>
            <w:r>
              <w:rPr>
                <w:rFonts w:hint="eastAsia" w:ascii="宋体" w:hAnsi="宋体" w:cs="宋体"/>
                <w:b/>
                <w:color w:val="auto"/>
                <w:kern w:val="44"/>
                <w:szCs w:val="21"/>
                <w:highlight w:val="none"/>
              </w:rPr>
              <w:t>）</w:t>
            </w:r>
            <w:r>
              <w:rPr>
                <w:rFonts w:hint="eastAsia" w:ascii="宋体" w:hAnsi="宋体" w:cs="宋体"/>
                <w:b/>
                <w:color w:val="auto"/>
                <w:szCs w:val="21"/>
                <w:highlight w:val="none"/>
              </w:rPr>
              <w:t>合作设计协议书</w:t>
            </w:r>
          </w:p>
        </w:tc>
      </w:tr>
      <w:tr w14:paraId="6B20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341BF6C">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76550">
            <w:pPr>
              <w:jc w:val="center"/>
              <w:rPr>
                <w:rFonts w:hint="eastAsia" w:ascii="宋体" w:hAnsi="宋体" w:cs="宋体"/>
                <w:color w:val="auto"/>
                <w:szCs w:val="21"/>
                <w:highlight w:val="none"/>
              </w:rPr>
            </w:pPr>
            <w:r>
              <w:rPr>
                <w:rFonts w:hint="eastAsia" w:ascii="宋体" w:hAnsi="宋体" w:cs="宋体"/>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8A350CA">
            <w:pPr>
              <w:jc w:val="both"/>
              <w:rPr>
                <w:rFonts w:hint="eastAsia" w:ascii="宋体" w:hAnsi="宋体" w:cs="宋体"/>
                <w:color w:val="auto"/>
                <w:szCs w:val="21"/>
                <w:highlight w:val="none"/>
              </w:rPr>
            </w:pPr>
            <w:r>
              <w:rPr>
                <w:rFonts w:hint="eastAsia" w:ascii="宋体" w:hAnsi="宋体" w:cs="宋体"/>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87CD38A">
            <w:pPr>
              <w:jc w:val="cente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w:t>
            </w:r>
            <w:r>
              <w:rPr>
                <w:rFonts w:hint="eastAsia" w:ascii="宋体" w:hAnsi="宋体"/>
                <w:color w:val="auto"/>
                <w:szCs w:val="21"/>
                <w:highlight w:val="none"/>
              </w:rPr>
              <w:t xml:space="preserve">8 </w:t>
            </w: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8）</w:t>
            </w:r>
          </w:p>
        </w:tc>
      </w:tr>
      <w:tr w14:paraId="4D6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1D1EDC">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226699">
            <w:pPr>
              <w:jc w:val="center"/>
              <w:rPr>
                <w:rFonts w:ascii="宋体" w:hAnsi="宋体" w:cs="宋体"/>
                <w:color w:val="auto"/>
                <w:szCs w:val="21"/>
                <w:highlight w:val="none"/>
              </w:rPr>
            </w:pPr>
            <w:r>
              <w:rPr>
                <w:rFonts w:hint="eastAsia" w:ascii="宋体" w:hAnsi="宋体" w:cs="宋体"/>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2DBA110">
            <w:pPr>
              <w:jc w:val="both"/>
              <w:rPr>
                <w:rFonts w:ascii="宋体" w:hAnsi="宋体" w:cs="宋体"/>
                <w:color w:val="auto"/>
                <w:szCs w:val="21"/>
                <w:highlight w:val="none"/>
              </w:rPr>
            </w:pPr>
            <w:r>
              <w:rPr>
                <w:rFonts w:hint="eastAsia" w:ascii="宋体" w:hAnsi="宋体" w:cs="宋体"/>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2B1A135">
            <w:pPr>
              <w:jc w:val="cente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w:t>
            </w:r>
            <w:r>
              <w:rPr>
                <w:rFonts w:hint="eastAsia" w:ascii="宋体" w:hAnsi="宋体"/>
                <w:color w:val="auto"/>
                <w:szCs w:val="21"/>
                <w:highlight w:val="none"/>
              </w:rPr>
              <w:t xml:space="preserve">9 </w:t>
            </w:r>
            <w:r>
              <w:rPr>
                <w:rFonts w:hint="eastAsia" w:ascii="宋体" w:hAnsi="宋体" w:cs="宋体"/>
                <w:color w:val="auto"/>
                <w:szCs w:val="21"/>
                <w:highlight w:val="none"/>
              </w:rPr>
              <w:t>资格审查表</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9）</w:t>
            </w:r>
          </w:p>
        </w:tc>
      </w:tr>
      <w:tr w14:paraId="5AF5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C545D0F">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3A339D">
            <w:pPr>
              <w:jc w:val="center"/>
              <w:rPr>
                <w:rFonts w:ascii="宋体" w:hAnsi="宋体" w:cs="宋体"/>
                <w:color w:val="auto"/>
                <w:szCs w:val="21"/>
                <w:highlight w:val="none"/>
              </w:rPr>
            </w:pPr>
            <w:r>
              <w:rPr>
                <w:rFonts w:hint="eastAsia" w:ascii="宋体" w:hAnsi="宋体" w:cs="宋体"/>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0E34AC3">
            <w:pPr>
              <w:jc w:val="both"/>
              <w:rPr>
                <w:rFonts w:ascii="宋体" w:hAnsi="宋体" w:cs="宋体"/>
                <w:color w:val="auto"/>
                <w:szCs w:val="21"/>
                <w:highlight w:val="none"/>
              </w:rPr>
            </w:pPr>
            <w:r>
              <w:rPr>
                <w:rFonts w:hint="eastAsia" w:ascii="宋体" w:hAnsi="宋体" w:cs="宋体"/>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CCB52D6">
            <w:pPr>
              <w:rPr>
                <w:rFonts w:ascii="宋体" w:hAnsi="宋体" w:cs="宋体"/>
                <w:color w:val="auto"/>
                <w:szCs w:val="21"/>
                <w:highlight w:val="none"/>
              </w:rPr>
            </w:pPr>
            <w:r>
              <w:rPr>
                <w:rFonts w:hint="eastAsia" w:ascii="宋体" w:hAnsi="宋体" w:cs="宋体"/>
                <w:b/>
                <w:color w:val="auto"/>
                <w:szCs w:val="21"/>
                <w:highlight w:val="none"/>
              </w:rPr>
              <w:t>删除</w:t>
            </w:r>
          </w:p>
        </w:tc>
      </w:tr>
      <w:tr w14:paraId="6378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12F9446">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513168">
            <w:pPr>
              <w:jc w:val="center"/>
              <w:rPr>
                <w:rFonts w:ascii="宋体" w:hAnsi="宋体" w:cs="宋体"/>
                <w:color w:val="auto"/>
                <w:szCs w:val="21"/>
                <w:highlight w:val="none"/>
              </w:rPr>
            </w:pPr>
            <w:r>
              <w:rPr>
                <w:rFonts w:hint="eastAsia" w:ascii="宋体" w:hAnsi="宋体" w:cs="宋体"/>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EDF8F93">
            <w:pPr>
              <w:jc w:val="both"/>
              <w:rPr>
                <w:rFonts w:ascii="宋体" w:hAnsi="宋体" w:cs="宋体"/>
                <w:color w:val="auto"/>
                <w:szCs w:val="21"/>
                <w:highlight w:val="none"/>
              </w:rPr>
            </w:pPr>
            <w:r>
              <w:rPr>
                <w:rFonts w:hint="eastAsia" w:ascii="宋体" w:hAnsi="宋体" w:cs="宋体"/>
                <w:color w:val="auto"/>
                <w:szCs w:val="21"/>
                <w:highlight w:val="none"/>
              </w:rPr>
              <w:t>附录11投票汇总表格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B0D78BC">
            <w:pPr>
              <w:rPr>
                <w:rFonts w:ascii="宋体" w:hAnsi="宋体" w:cs="宋体"/>
                <w:color w:val="auto"/>
                <w:szCs w:val="21"/>
                <w:highlight w:val="none"/>
              </w:rPr>
            </w:pPr>
            <w:r>
              <w:rPr>
                <w:rFonts w:hint="eastAsia" w:ascii="宋体" w:hAnsi="宋体" w:cs="宋体"/>
                <w:b/>
                <w:color w:val="auto"/>
                <w:szCs w:val="21"/>
                <w:highlight w:val="none"/>
              </w:rPr>
              <w:t>删除</w:t>
            </w:r>
          </w:p>
        </w:tc>
      </w:tr>
      <w:tr w14:paraId="250C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4A1A7F">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FE275B">
            <w:pPr>
              <w:jc w:val="center"/>
              <w:rPr>
                <w:rFonts w:ascii="宋体" w:hAnsi="宋体" w:cs="宋体"/>
                <w:color w:val="auto"/>
                <w:szCs w:val="21"/>
                <w:highlight w:val="none"/>
              </w:rPr>
            </w:pPr>
            <w:r>
              <w:rPr>
                <w:rFonts w:hint="eastAsia" w:ascii="宋体" w:hAnsi="宋体" w:cs="宋体"/>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1B88C0B">
            <w:pPr>
              <w:jc w:val="both"/>
              <w:rPr>
                <w:rFonts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D2A7228">
            <w:pPr>
              <w:jc w:val="left"/>
              <w:rPr>
                <w:rFonts w:ascii="宋体" w:hAnsi="宋体" w:cs="宋体"/>
                <w:color w:val="auto"/>
                <w:szCs w:val="21"/>
                <w:highlight w:val="none"/>
              </w:rPr>
            </w:pPr>
            <w:r>
              <w:rPr>
                <w:rFonts w:hint="eastAsia" w:ascii="宋体" w:hAnsi="宋体" w:cs="宋体"/>
                <w:b/>
                <w:color w:val="auto"/>
                <w:szCs w:val="21"/>
                <w:highlight w:val="none"/>
              </w:rPr>
              <w:t>附录12</w:t>
            </w:r>
            <w:r>
              <w:rPr>
                <w:rFonts w:hint="eastAsia" w:ascii="宋体" w:hAnsi="宋体" w:cs="宋体"/>
                <w:b/>
                <w:color w:val="auto"/>
                <w:szCs w:val="21"/>
                <w:highlight w:val="none"/>
                <w:u w:val="single"/>
              </w:rPr>
              <w:t>《有效性审查表》</w:t>
            </w:r>
          </w:p>
        </w:tc>
      </w:tr>
      <w:tr w14:paraId="20F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A00469">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6BDC8A">
            <w:pPr>
              <w:jc w:val="center"/>
              <w:rPr>
                <w:rFonts w:hint="eastAsia" w:ascii="宋体" w:hAnsi="宋体" w:cs="宋体"/>
                <w:color w:val="auto"/>
                <w:szCs w:val="21"/>
                <w:highlight w:val="none"/>
              </w:rPr>
            </w:pPr>
            <w:r>
              <w:rPr>
                <w:rFonts w:hint="eastAsia" w:ascii="宋体" w:hAnsi="宋体" w:cs="宋体"/>
                <w:color w:val="auto"/>
                <w:szCs w:val="21"/>
                <w:highlight w:val="none"/>
              </w:rPr>
              <w:t>附录</w:t>
            </w:r>
            <w:r>
              <w:rPr>
                <w:rFonts w:hint="eastAsia" w:ascii="宋体" w:hAnsi="宋体"/>
                <w:color w:val="auto"/>
                <w:szCs w:val="21"/>
                <w:highlight w:val="none"/>
              </w:rPr>
              <w:t>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12FC1D1">
            <w:pPr>
              <w:jc w:val="both"/>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DFA757">
            <w:pPr>
              <w:pStyle w:val="2"/>
              <w:widowControl/>
              <w:spacing w:line="240" w:lineRule="auto"/>
              <w:rPr>
                <w:rFonts w:hint="eastAsia" w:ascii="宋体" w:hAnsi="宋体" w:cs="宋体"/>
                <w:color w:val="auto"/>
                <w:szCs w:val="21"/>
                <w:highlight w:val="none"/>
              </w:rPr>
            </w:pPr>
            <w:r>
              <w:rPr>
                <w:rFonts w:hint="eastAsia" w:ascii="宋体" w:hAnsi="宋体" w:cs="宋体"/>
                <w:color w:val="auto"/>
                <w:sz w:val="21"/>
                <w:szCs w:val="21"/>
                <w:highlight w:val="none"/>
              </w:rPr>
              <w:t>附录</w:t>
            </w:r>
            <w:r>
              <w:rPr>
                <w:rFonts w:hint="eastAsia" w:ascii="宋体" w:hAnsi="宋体"/>
                <w:color w:val="auto"/>
                <w:sz w:val="21"/>
                <w:szCs w:val="21"/>
                <w:highlight w:val="none"/>
              </w:rPr>
              <w:t xml:space="preserve">12-1 </w:t>
            </w:r>
            <w:r>
              <w:rPr>
                <w:rFonts w:hint="eastAsia" w:ascii="宋体" w:hAnsi="宋体" w:cs="宋体"/>
                <w:color w:val="auto"/>
                <w:sz w:val="21"/>
                <w:szCs w:val="21"/>
                <w:highlight w:val="none"/>
              </w:rPr>
              <w:t>投标报价算术复核表</w:t>
            </w:r>
          </w:p>
        </w:tc>
      </w:tr>
      <w:tr w14:paraId="5991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E76AE63">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09F94A">
            <w:pPr>
              <w:jc w:val="center"/>
              <w:rPr>
                <w:rFonts w:hint="eastAsia" w:ascii="宋体" w:hAnsi="宋体" w:cs="宋体"/>
                <w:color w:val="auto"/>
                <w:szCs w:val="21"/>
                <w:highlight w:val="none"/>
              </w:rPr>
            </w:pPr>
            <w:r>
              <w:rPr>
                <w:rFonts w:hint="eastAsia" w:ascii="宋体" w:hAnsi="宋体" w:cs="宋体"/>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CF87235">
            <w:pPr>
              <w:jc w:val="both"/>
              <w:rPr>
                <w:rFonts w:hint="eastAsia" w:ascii="宋体" w:hAnsi="宋体" w:cs="宋体"/>
                <w:color w:val="auto"/>
                <w:szCs w:val="21"/>
                <w:highlight w:val="none"/>
              </w:rPr>
            </w:pPr>
            <w:r>
              <w:rPr>
                <w:rFonts w:hint="eastAsia" w:ascii="宋体" w:hAnsi="宋体" w:cs="宋体"/>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216654F">
            <w:pPr>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附录13建筑工程设计方案评审记录表</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13）</w:t>
            </w:r>
          </w:p>
        </w:tc>
      </w:tr>
      <w:tr w14:paraId="2552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647D44">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161BF7">
            <w:pPr>
              <w:ind w:left="2"/>
              <w:jc w:val="center"/>
              <w:rPr>
                <w:rFonts w:ascii="宋体" w:hAnsi="宋体" w:cs="宋体"/>
                <w:color w:val="auto"/>
                <w:szCs w:val="21"/>
                <w:highlight w:val="none"/>
              </w:rPr>
            </w:pPr>
            <w:r>
              <w:rPr>
                <w:rFonts w:hint="eastAsia" w:ascii="宋体" w:hAnsi="宋体" w:cs="宋体"/>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3D20CDB">
            <w:pPr>
              <w:ind w:left="2"/>
              <w:jc w:val="both"/>
              <w:rPr>
                <w:rFonts w:ascii="宋体" w:hAnsi="宋体" w:cs="宋体"/>
                <w:color w:val="auto"/>
                <w:szCs w:val="21"/>
                <w:highlight w:val="none"/>
              </w:rPr>
            </w:pPr>
            <w:r>
              <w:rPr>
                <w:rFonts w:ascii="宋体" w:hAnsi="宋体" w:cs="宋体"/>
                <w:color w:val="auto"/>
                <w:szCs w:val="21"/>
                <w:highlight w:val="none"/>
              </w:rPr>
              <w:t>基础资料和勘察设计任务书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C40DD1">
            <w:pPr>
              <w:rPr>
                <w:rFonts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附录14投标方案评语</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14</w:t>
            </w:r>
            <w:r>
              <w:rPr>
                <w:rFonts w:hint="eastAsia" w:ascii="宋体" w:hAnsi="宋体" w:cs="宋体"/>
                <w:color w:val="auto"/>
                <w:szCs w:val="21"/>
                <w:highlight w:val="none"/>
                <w:u w:val="single"/>
              </w:rPr>
              <w:t>）</w:t>
            </w:r>
          </w:p>
        </w:tc>
      </w:tr>
      <w:tr w14:paraId="025B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BB0966C">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89F6DA">
            <w:pPr>
              <w:jc w:val="center"/>
              <w:rPr>
                <w:rFonts w:ascii="宋体" w:hAnsi="宋体" w:cs="宋体"/>
                <w:color w:val="auto"/>
                <w:szCs w:val="21"/>
                <w:highlight w:val="none"/>
              </w:rPr>
            </w:pPr>
            <w:r>
              <w:rPr>
                <w:rFonts w:hint="eastAsia" w:ascii="宋体" w:hAnsi="宋体" w:cs="宋体"/>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58DD09A">
            <w:pPr>
              <w:jc w:val="both"/>
              <w:rPr>
                <w:rFonts w:ascii="宋体" w:hAnsi="宋体" w:cs="宋体"/>
                <w:color w:val="auto"/>
                <w:szCs w:val="21"/>
                <w:highlight w:val="none"/>
              </w:rPr>
            </w:pPr>
            <w:r>
              <w:rPr>
                <w:rFonts w:hint="eastAsia" w:ascii="宋体" w:hAnsi="宋体" w:cs="宋体"/>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DB9637C">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附录15定标委员会的组成</w:t>
            </w:r>
          </w:p>
          <w:p w14:paraId="3F25A9EA">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15</w:t>
            </w:r>
            <w:r>
              <w:rPr>
                <w:rFonts w:hint="eastAsia" w:ascii="宋体" w:hAnsi="宋体" w:cs="宋体"/>
                <w:color w:val="auto"/>
                <w:szCs w:val="21"/>
                <w:highlight w:val="none"/>
              </w:rPr>
              <w:t>）</w:t>
            </w:r>
          </w:p>
        </w:tc>
      </w:tr>
      <w:tr w14:paraId="0999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2B60143">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2B39D5">
            <w:pPr>
              <w:jc w:val="center"/>
              <w:rPr>
                <w:rFonts w:ascii="宋体" w:hAnsi="宋体" w:cs="宋体"/>
                <w:color w:val="auto"/>
                <w:szCs w:val="21"/>
                <w:highlight w:val="none"/>
              </w:rPr>
            </w:pPr>
            <w:r>
              <w:rPr>
                <w:rFonts w:hint="eastAsia" w:ascii="宋体" w:hAnsi="宋体" w:cs="宋体"/>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70D14CB">
            <w:pPr>
              <w:jc w:val="both"/>
              <w:rPr>
                <w:rFonts w:ascii="宋体" w:hAnsi="宋体" w:cs="宋体"/>
                <w:color w:val="auto"/>
                <w:szCs w:val="21"/>
                <w:highlight w:val="none"/>
              </w:rPr>
            </w:pPr>
            <w:r>
              <w:rPr>
                <w:rFonts w:hint="eastAsia" w:ascii="宋体" w:hAnsi="宋体" w:cs="宋体"/>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0EB4B2">
            <w:pPr>
              <w:jc w:val="left"/>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附录16定标原则</w:t>
            </w:r>
            <w:r>
              <w:rPr>
                <w:rFonts w:hint="eastAsia" w:ascii="宋体" w:hAnsi="宋体" w:cs="宋体"/>
                <w:color w:val="auto"/>
                <w:szCs w:val="21"/>
                <w:highlight w:val="none"/>
                <w:u w:val="single"/>
              </w:rPr>
              <w:t>（详见附录</w:t>
            </w:r>
            <w:r>
              <w:rPr>
                <w:rFonts w:hint="eastAsia" w:ascii="宋体" w:hAnsi="宋体"/>
                <w:color w:val="auto"/>
                <w:szCs w:val="21"/>
                <w:highlight w:val="none"/>
                <w:u w:val="single"/>
              </w:rPr>
              <w:t>16）</w:t>
            </w:r>
          </w:p>
        </w:tc>
      </w:tr>
      <w:tr w14:paraId="19B8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934957">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7DB580">
            <w:pPr>
              <w:jc w:val="center"/>
              <w:rPr>
                <w:rFonts w:ascii="宋体" w:hAnsi="宋体" w:cs="宋体"/>
                <w:b/>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9E2A05">
            <w:pPr>
              <w:jc w:val="both"/>
              <w:rPr>
                <w:rFonts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EA2E678">
            <w:pPr>
              <w:jc w:val="left"/>
              <w:rPr>
                <w:rFonts w:ascii="宋体" w:hAnsi="宋体" w:cs="宋体"/>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16-1</w:t>
            </w:r>
            <w:r>
              <w:rPr>
                <w:rFonts w:hint="eastAsia" w:ascii="宋体" w:hAnsi="宋体" w:cs="宋体"/>
                <w:b/>
                <w:color w:val="auto"/>
                <w:szCs w:val="21"/>
                <w:highlight w:val="none"/>
                <w:u w:val="single"/>
              </w:rPr>
              <w:t>《定标评语》</w:t>
            </w:r>
          </w:p>
        </w:tc>
      </w:tr>
      <w:tr w14:paraId="7C75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2F9DB7">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D1693C">
            <w:pPr>
              <w:jc w:val="center"/>
              <w:rPr>
                <w:rFonts w:ascii="宋体" w:hAnsi="宋体"/>
                <w:b/>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16-2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BBFCF78">
            <w:pPr>
              <w:jc w:val="both"/>
              <w:rPr>
                <w:rFonts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C404ADC">
            <w:pPr>
              <w:jc w:val="left"/>
              <w:rPr>
                <w:rFonts w:hint="eastAsia" w:ascii="宋体" w:hAnsi="宋体" w:eastAsia="宋体" w:cs="宋体"/>
                <w:color w:val="auto"/>
                <w:szCs w:val="21"/>
                <w:highlight w:val="none"/>
                <w:u w:val="single"/>
                <w:lang w:eastAsia="zh-CN"/>
              </w:rPr>
            </w:pPr>
            <w:r>
              <w:rPr>
                <w:rFonts w:hint="eastAsia" w:ascii="宋体" w:hAnsi="宋体" w:cs="宋体"/>
                <w:b/>
                <w:color w:val="auto"/>
                <w:szCs w:val="21"/>
                <w:highlight w:val="none"/>
              </w:rPr>
              <w:t>附录</w:t>
            </w:r>
            <w:r>
              <w:rPr>
                <w:rFonts w:hint="eastAsia" w:ascii="宋体" w:hAnsi="宋体"/>
                <w:b/>
                <w:color w:val="auto"/>
                <w:szCs w:val="21"/>
                <w:highlight w:val="none"/>
              </w:rPr>
              <w:t>16-2</w:t>
            </w:r>
            <w:r>
              <w:rPr>
                <w:rFonts w:hint="eastAsia" w:ascii="宋体" w:hAnsi="宋体" w:cs="宋体"/>
                <w:b/>
                <w:color w:val="auto"/>
                <w:szCs w:val="21"/>
                <w:highlight w:val="none"/>
                <w:u w:val="single"/>
              </w:rPr>
              <w:t>《投票表格》</w:t>
            </w:r>
            <w:r>
              <w:rPr>
                <w:rFonts w:hint="eastAsia" w:ascii="宋体" w:hAnsi="宋体" w:cs="宋体"/>
                <w:b/>
                <w:color w:val="auto"/>
                <w:szCs w:val="21"/>
                <w:highlight w:val="none"/>
                <w:u w:val="single"/>
                <w:lang w:eastAsia="zh-CN"/>
              </w:rPr>
              <w:t>、</w:t>
            </w:r>
            <w:r>
              <w:rPr>
                <w:rFonts w:hint="eastAsia" w:ascii="宋体" w:hAnsi="宋体" w:cs="宋体"/>
                <w:b/>
                <w:color w:val="auto"/>
                <w:szCs w:val="21"/>
                <w:highlight w:val="none"/>
                <w:u w:val="single"/>
              </w:rPr>
              <w:t>《</w:t>
            </w:r>
            <w:r>
              <w:rPr>
                <w:rFonts w:hint="eastAsia" w:ascii="宋体" w:hAnsi="宋体" w:cs="宋体"/>
                <w:b/>
                <w:color w:val="auto"/>
                <w:szCs w:val="21"/>
                <w:highlight w:val="none"/>
                <w:u w:val="single"/>
                <w:lang w:eastAsia="zh-CN"/>
              </w:rPr>
              <w:t>投票汇总表格（定标阶段）</w:t>
            </w:r>
            <w:r>
              <w:rPr>
                <w:rFonts w:hint="eastAsia" w:ascii="宋体" w:hAnsi="宋体" w:cs="宋体"/>
                <w:b/>
                <w:color w:val="auto"/>
                <w:szCs w:val="21"/>
                <w:highlight w:val="none"/>
                <w:u w:val="single"/>
              </w:rPr>
              <w:t>》</w:t>
            </w:r>
          </w:p>
        </w:tc>
      </w:tr>
      <w:tr w14:paraId="1982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1745B45">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ACF6D6">
            <w:pPr>
              <w:pStyle w:val="22"/>
              <w:snapToGrid w:val="0"/>
              <w:spacing w:beforeAutospacing="0" w:afterAutospacing="0"/>
              <w:jc w:val="center"/>
              <w:rPr>
                <w:color w:val="auto"/>
                <w:sz w:val="21"/>
                <w:szCs w:val="21"/>
                <w:highlight w:val="none"/>
              </w:rPr>
            </w:pPr>
            <w:r>
              <w:rPr>
                <w:rFonts w:cs="宋体"/>
                <w:color w:val="auto"/>
                <w:sz w:val="21"/>
                <w:szCs w:val="21"/>
                <w:highlight w:val="none"/>
              </w:rPr>
              <w:t>附录</w:t>
            </w:r>
            <w:r>
              <w:rPr>
                <w:color w:val="auto"/>
                <w:sz w:val="21"/>
                <w:szCs w:val="21"/>
                <w:highlight w:val="none"/>
              </w:rPr>
              <w:t>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3662C4">
            <w:pPr>
              <w:jc w:val="both"/>
              <w:rPr>
                <w:rFonts w:ascii="宋体" w:hAnsi="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C117B55">
            <w:pPr>
              <w:jc w:val="left"/>
              <w:rPr>
                <w:rFonts w:ascii="宋体" w:hAnsi="宋体"/>
                <w:b/>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17</w:t>
            </w:r>
            <w:r>
              <w:rPr>
                <w:rFonts w:hint="eastAsia" w:ascii="宋体" w:hAnsi="宋体"/>
                <w:b/>
                <w:bCs/>
                <w:color w:val="auto"/>
                <w:highlight w:val="none"/>
              </w:rPr>
              <w:t>《法定代表人证明书》</w:t>
            </w:r>
          </w:p>
        </w:tc>
      </w:tr>
      <w:tr w14:paraId="7C61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547472">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59</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409DB2">
            <w:pPr>
              <w:pStyle w:val="22"/>
              <w:snapToGrid w:val="0"/>
              <w:spacing w:beforeAutospacing="0" w:afterAutospacing="0"/>
              <w:jc w:val="center"/>
              <w:rPr>
                <w:color w:val="auto"/>
                <w:sz w:val="21"/>
                <w:szCs w:val="21"/>
                <w:highlight w:val="none"/>
              </w:rPr>
            </w:pPr>
            <w:r>
              <w:rPr>
                <w:rFonts w:cs="宋体"/>
                <w:color w:val="auto"/>
                <w:sz w:val="21"/>
                <w:szCs w:val="21"/>
                <w:highlight w:val="none"/>
              </w:rPr>
              <w:t>附录</w:t>
            </w:r>
            <w:r>
              <w:rPr>
                <w:color w:val="auto"/>
                <w:sz w:val="21"/>
                <w:szCs w:val="21"/>
                <w:highlight w:val="none"/>
              </w:rPr>
              <w:t>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BABB442">
            <w:pPr>
              <w:jc w:val="both"/>
              <w:rPr>
                <w:rFonts w:ascii="宋体" w:hAnsi="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09525EC">
            <w:pPr>
              <w:jc w:val="left"/>
              <w:rPr>
                <w:rFonts w:ascii="宋体" w:hAnsi="宋体"/>
                <w:b/>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18</w:t>
            </w:r>
            <w:r>
              <w:rPr>
                <w:rFonts w:hint="eastAsia" w:ascii="宋体" w:hAnsi="宋体"/>
                <w:b/>
                <w:bCs/>
                <w:color w:val="auto"/>
                <w:highlight w:val="none"/>
              </w:rPr>
              <w:t>《授权委托书》</w:t>
            </w:r>
          </w:p>
        </w:tc>
      </w:tr>
      <w:tr w14:paraId="0E89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3494A40">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314587">
            <w:pPr>
              <w:pStyle w:val="22"/>
              <w:snapToGrid w:val="0"/>
              <w:spacing w:beforeAutospacing="0" w:afterAutospacing="0"/>
              <w:jc w:val="center"/>
              <w:rPr>
                <w:color w:val="auto"/>
                <w:sz w:val="21"/>
                <w:szCs w:val="21"/>
                <w:highlight w:val="none"/>
              </w:rPr>
            </w:pPr>
            <w:r>
              <w:rPr>
                <w:rFonts w:cs="宋体"/>
                <w:color w:val="auto"/>
                <w:sz w:val="21"/>
                <w:szCs w:val="21"/>
                <w:highlight w:val="none"/>
              </w:rPr>
              <w:t>附录</w:t>
            </w:r>
            <w:r>
              <w:rPr>
                <w:color w:val="auto"/>
                <w:sz w:val="21"/>
                <w:szCs w:val="21"/>
                <w:highlight w:val="none"/>
              </w:rPr>
              <w:t>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75C3E59">
            <w:pPr>
              <w:jc w:val="both"/>
              <w:rPr>
                <w:rFonts w:ascii="宋体" w:hAnsi="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C6986E2">
            <w:pPr>
              <w:jc w:val="left"/>
              <w:rPr>
                <w:rFonts w:ascii="宋体" w:hAnsi="宋体"/>
                <w:b/>
                <w:color w:val="auto"/>
                <w:szCs w:val="21"/>
                <w:highlight w:val="none"/>
              </w:rPr>
            </w:pPr>
            <w:r>
              <w:rPr>
                <w:rFonts w:hint="eastAsia" w:ascii="宋体" w:hAnsi="宋体" w:cs="宋体"/>
                <w:b/>
                <w:color w:val="auto"/>
                <w:szCs w:val="21"/>
                <w:highlight w:val="none"/>
              </w:rPr>
              <w:t>附录</w:t>
            </w:r>
            <w:r>
              <w:rPr>
                <w:rFonts w:hint="eastAsia" w:ascii="宋体" w:hAnsi="宋体"/>
                <w:b/>
                <w:color w:val="auto"/>
                <w:szCs w:val="21"/>
                <w:highlight w:val="none"/>
              </w:rPr>
              <w:t>19</w:t>
            </w:r>
            <w:r>
              <w:rPr>
                <w:rFonts w:hint="eastAsia" w:ascii="宋体" w:hAnsi="宋体"/>
                <w:b/>
                <w:color w:val="auto"/>
                <w:szCs w:val="21"/>
                <w:highlight w:val="none"/>
                <w:lang w:eastAsia="zh-CN"/>
              </w:rPr>
              <w:t>天河区柯木塱村城中村改造项目-首开区凤凰汇西侧地块复建安置房及配套设施工程勘察及初步</w:t>
            </w:r>
            <w:r>
              <w:rPr>
                <w:rFonts w:ascii="宋体" w:hAnsi="宋体" w:cs="宋体"/>
                <w:b/>
                <w:color w:val="auto"/>
                <w:szCs w:val="21"/>
                <w:highlight w:val="none"/>
              </w:rPr>
              <w:t>设计</w:t>
            </w:r>
            <w:r>
              <w:rPr>
                <w:rFonts w:hint="eastAsia" w:ascii="宋体" w:hAnsi="宋体" w:cs="宋体"/>
                <w:b/>
                <w:color w:val="auto"/>
                <w:szCs w:val="21"/>
                <w:highlight w:val="none"/>
                <w:lang w:val="en-US" w:eastAsia="zh-CN"/>
              </w:rPr>
              <w:t>任务</w:t>
            </w:r>
            <w:r>
              <w:rPr>
                <w:rFonts w:ascii="宋体" w:hAnsi="宋体" w:cs="宋体"/>
                <w:b/>
                <w:color w:val="auto"/>
                <w:szCs w:val="21"/>
                <w:highlight w:val="none"/>
              </w:rPr>
              <w:t>书</w:t>
            </w:r>
          </w:p>
        </w:tc>
      </w:tr>
      <w:tr w14:paraId="3494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FFD78C">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45D03">
            <w:pPr>
              <w:pStyle w:val="22"/>
              <w:snapToGrid w:val="0"/>
              <w:spacing w:beforeAutospacing="0" w:afterAutospacing="0"/>
              <w:jc w:val="center"/>
              <w:rPr>
                <w:rFonts w:hint="eastAsia" w:cs="宋体"/>
                <w:color w:val="auto"/>
                <w:sz w:val="21"/>
                <w:szCs w:val="21"/>
                <w:highlight w:val="none"/>
              </w:rPr>
            </w:pPr>
            <w:r>
              <w:rPr>
                <w:rFonts w:hint="eastAsia" w:cs="宋体"/>
                <w:color w:val="auto"/>
                <w:sz w:val="21"/>
                <w:szCs w:val="21"/>
                <w:highlight w:val="none"/>
              </w:rPr>
              <w:t>附录20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0D7FD79">
            <w:pPr>
              <w:jc w:val="both"/>
              <w:rPr>
                <w:rFonts w:hint="eastAsia" w:ascii="宋体" w:hAnsi="宋体" w:cs="宋体"/>
                <w:color w:val="auto"/>
                <w:szCs w:val="21"/>
                <w:highlight w:val="none"/>
              </w:rPr>
            </w:pPr>
            <w:r>
              <w:rPr>
                <w:rFonts w:hint="eastAsia" w:ascii="宋体" w:hAnsi="宋体" w:cs="宋体"/>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C8A5816">
            <w:pPr>
              <w:jc w:val="left"/>
              <w:rPr>
                <w:rFonts w:hint="eastAsia" w:ascii="宋体" w:hAnsi="宋体" w:cs="宋体"/>
                <w:b/>
                <w:color w:val="auto"/>
                <w:szCs w:val="21"/>
                <w:highlight w:val="none"/>
              </w:rPr>
            </w:pPr>
            <w:r>
              <w:rPr>
                <w:rFonts w:hint="eastAsia" w:ascii="宋体" w:hAnsi="宋体" w:cs="宋体"/>
                <w:b/>
                <w:color w:val="auto"/>
                <w:szCs w:val="21"/>
                <w:highlight w:val="none"/>
              </w:rPr>
              <w:t>附录20 评标委员会成员声明</w:t>
            </w:r>
          </w:p>
        </w:tc>
      </w:tr>
    </w:tbl>
    <w:p w14:paraId="1B36F4B0">
      <w:pPr>
        <w:pStyle w:val="15"/>
        <w:rPr>
          <w:rFonts w:hint="eastAsia"/>
          <w:color w:val="auto"/>
          <w:highlight w:val="none"/>
        </w:rPr>
      </w:pPr>
    </w:p>
    <w:p w14:paraId="08F5B37D">
      <w:pPr>
        <w:ind w:firstLine="420"/>
        <w:rPr>
          <w:rFonts w:hint="eastAsia"/>
          <w:color w:val="auto"/>
          <w:szCs w:val="21"/>
          <w:highlight w:val="none"/>
        </w:rPr>
      </w:pPr>
    </w:p>
    <w:p w14:paraId="003A076D">
      <w:pPr>
        <w:jc w:val="center"/>
        <w:rPr>
          <w:rFonts w:hint="eastAsia"/>
          <w:b/>
          <w:color w:val="auto"/>
          <w:sz w:val="32"/>
          <w:szCs w:val="32"/>
          <w:highlight w:val="none"/>
          <w:lang w:val="zh-CN"/>
        </w:rPr>
      </w:pPr>
      <w:r>
        <w:rPr>
          <w:b/>
          <w:color w:val="auto"/>
          <w:sz w:val="32"/>
          <w:szCs w:val="32"/>
          <w:highlight w:val="none"/>
          <w:lang w:val="zh-CN"/>
        </w:rPr>
        <w:br w:type="page"/>
      </w:r>
      <w:r>
        <w:rPr>
          <w:b/>
          <w:color w:val="auto"/>
          <w:sz w:val="32"/>
          <w:szCs w:val="32"/>
          <w:highlight w:val="none"/>
          <w:lang w:val="zh-CN"/>
        </w:rPr>
        <w:t>目</w:t>
      </w:r>
      <w:r>
        <w:rPr>
          <w:rFonts w:hint="eastAsia"/>
          <w:b/>
          <w:color w:val="auto"/>
          <w:sz w:val="32"/>
          <w:szCs w:val="32"/>
          <w:highlight w:val="none"/>
          <w:lang w:val="zh-CN"/>
        </w:rPr>
        <w:t xml:space="preserve"> </w:t>
      </w:r>
      <w:r>
        <w:rPr>
          <w:b/>
          <w:color w:val="auto"/>
          <w:sz w:val="32"/>
          <w:szCs w:val="32"/>
          <w:highlight w:val="none"/>
          <w:lang w:val="zh-CN"/>
        </w:rPr>
        <w:t>录</w:t>
      </w:r>
    </w:p>
    <w:p w14:paraId="0ECE32D4">
      <w:pPr>
        <w:jc w:val="center"/>
        <w:rPr>
          <w:b/>
          <w:color w:val="auto"/>
          <w:sz w:val="32"/>
          <w:szCs w:val="32"/>
          <w:highlight w:val="none"/>
        </w:rPr>
      </w:pPr>
    </w:p>
    <w:p w14:paraId="4FA93F15">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5E36371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_Toc26268 </w:instrText>
      </w:r>
      <w:r>
        <w:rPr>
          <w:color w:val="auto"/>
          <w:highlight w:val="none"/>
        </w:rPr>
        <w:fldChar w:fldCharType="separate"/>
      </w:r>
      <w:r>
        <w:rPr>
          <w:rFonts w:hint="eastAsia"/>
          <w:color w:val="auto"/>
          <w:szCs w:val="36"/>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_Toc26268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AFA866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_Toc7715 </w:instrText>
      </w:r>
      <w:r>
        <w:rPr>
          <w:color w:val="auto"/>
          <w:highlight w:val="none"/>
        </w:rPr>
        <w:fldChar w:fldCharType="separate"/>
      </w:r>
      <w:r>
        <w:rPr>
          <w:rFonts w:hint="eastAsia"/>
          <w:color w:val="auto"/>
          <w:szCs w:val="36"/>
          <w:highlight w:val="none"/>
        </w:rPr>
        <w:t>第二章  招标</w:t>
      </w:r>
      <w:r>
        <w:rPr>
          <w:color w:val="auto"/>
          <w:highlight w:val="none"/>
        </w:rPr>
        <w:tab/>
      </w:r>
      <w:r>
        <w:rPr>
          <w:color w:val="auto"/>
          <w:highlight w:val="none"/>
        </w:rPr>
        <w:fldChar w:fldCharType="begin"/>
      </w:r>
      <w:r>
        <w:rPr>
          <w:color w:val="auto"/>
          <w:highlight w:val="none"/>
        </w:rPr>
        <w:instrText xml:space="preserve"> PAGEREF _Toc7715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275B03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_Toc11847 </w:instrText>
      </w:r>
      <w:r>
        <w:rPr>
          <w:color w:val="auto"/>
          <w:highlight w:val="none"/>
        </w:rPr>
        <w:fldChar w:fldCharType="separate"/>
      </w:r>
      <w:r>
        <w:rPr>
          <w:rFonts w:hint="eastAsia"/>
          <w:color w:val="auto"/>
          <w:szCs w:val="36"/>
          <w:highlight w:val="none"/>
        </w:rPr>
        <w:t>第三章  投标</w:t>
      </w:r>
      <w:r>
        <w:rPr>
          <w:color w:val="auto"/>
          <w:highlight w:val="none"/>
        </w:rPr>
        <w:tab/>
      </w:r>
      <w:r>
        <w:rPr>
          <w:color w:val="auto"/>
          <w:highlight w:val="none"/>
        </w:rPr>
        <w:fldChar w:fldCharType="begin"/>
      </w:r>
      <w:r>
        <w:rPr>
          <w:color w:val="auto"/>
          <w:highlight w:val="none"/>
        </w:rPr>
        <w:instrText xml:space="preserve"> PAGEREF _Toc11847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90371DF">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_Toc1438 </w:instrText>
      </w:r>
      <w:r>
        <w:rPr>
          <w:color w:val="auto"/>
          <w:highlight w:val="none"/>
        </w:rPr>
        <w:fldChar w:fldCharType="separate"/>
      </w:r>
      <w:r>
        <w:rPr>
          <w:rFonts w:hint="eastAsia"/>
          <w:color w:val="auto"/>
          <w:highlight w:val="none"/>
        </w:rPr>
        <w:t>第四章  评标</w:t>
      </w:r>
      <w:r>
        <w:rPr>
          <w:color w:val="auto"/>
          <w:highlight w:val="none"/>
        </w:rPr>
        <w:tab/>
      </w:r>
      <w:r>
        <w:rPr>
          <w:color w:val="auto"/>
          <w:highlight w:val="none"/>
        </w:rPr>
        <w:fldChar w:fldCharType="begin"/>
      </w:r>
      <w:r>
        <w:rPr>
          <w:color w:val="auto"/>
          <w:highlight w:val="none"/>
        </w:rPr>
        <w:instrText xml:space="preserve"> PAGEREF _Toc1438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B1AA05A">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_Toc9350 </w:instrText>
      </w:r>
      <w:r>
        <w:rPr>
          <w:color w:val="auto"/>
          <w:highlight w:val="none"/>
        </w:rPr>
        <w:fldChar w:fldCharType="separate"/>
      </w:r>
      <w:r>
        <w:rPr>
          <w:rFonts w:hint="eastAsia"/>
          <w:color w:val="auto"/>
          <w:szCs w:val="36"/>
          <w:highlight w:val="none"/>
        </w:rPr>
        <w:t>第五章  定标</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5A1F609">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_Toc25721 </w:instrText>
      </w:r>
      <w:r>
        <w:rPr>
          <w:color w:val="auto"/>
          <w:highlight w:val="none"/>
        </w:rPr>
        <w:fldChar w:fldCharType="separate"/>
      </w:r>
      <w:r>
        <w:rPr>
          <w:rFonts w:hint="eastAsia"/>
          <w:color w:val="auto"/>
          <w:szCs w:val="36"/>
          <w:highlight w:val="none"/>
        </w:rPr>
        <w:t>第六章  授予合同</w:t>
      </w:r>
      <w:r>
        <w:rPr>
          <w:color w:val="auto"/>
          <w:highlight w:val="none"/>
        </w:rPr>
        <w:tab/>
      </w:r>
      <w:r>
        <w:rPr>
          <w:color w:val="auto"/>
          <w:highlight w:val="none"/>
        </w:rPr>
        <w:fldChar w:fldCharType="begin"/>
      </w:r>
      <w:r>
        <w:rPr>
          <w:color w:val="auto"/>
          <w:highlight w:val="none"/>
        </w:rPr>
        <w:instrText xml:space="preserve"> PAGEREF _Toc25721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4F73B48">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_Toc27723 </w:instrText>
      </w:r>
      <w:r>
        <w:rPr>
          <w:color w:val="auto"/>
          <w:highlight w:val="none"/>
        </w:rPr>
        <w:fldChar w:fldCharType="separate"/>
      </w:r>
      <w:r>
        <w:rPr>
          <w:rFonts w:hint="eastAsia"/>
          <w:color w:val="auto"/>
          <w:szCs w:val="36"/>
          <w:highlight w:val="none"/>
        </w:rPr>
        <w:t>第七章  知识产权</w:t>
      </w:r>
      <w:r>
        <w:rPr>
          <w:color w:val="auto"/>
          <w:highlight w:val="none"/>
        </w:rPr>
        <w:tab/>
      </w:r>
      <w:r>
        <w:rPr>
          <w:color w:val="auto"/>
          <w:highlight w:val="none"/>
        </w:rPr>
        <w:fldChar w:fldCharType="begin"/>
      </w:r>
      <w:r>
        <w:rPr>
          <w:color w:val="auto"/>
          <w:highlight w:val="none"/>
        </w:rPr>
        <w:instrText xml:space="preserve"> PAGEREF _Toc27723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297931E">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_Toc25791 </w:instrText>
      </w:r>
      <w:r>
        <w:rPr>
          <w:color w:val="auto"/>
          <w:highlight w:val="none"/>
        </w:rPr>
        <w:fldChar w:fldCharType="separate"/>
      </w:r>
      <w:r>
        <w:rPr>
          <w:rFonts w:hint="eastAsia"/>
          <w:color w:val="auto"/>
          <w:szCs w:val="36"/>
          <w:highlight w:val="none"/>
        </w:rPr>
        <w:t>第八章  合同条款</w:t>
      </w:r>
      <w:r>
        <w:rPr>
          <w:color w:val="auto"/>
          <w:highlight w:val="none"/>
        </w:rPr>
        <w:tab/>
      </w:r>
      <w:r>
        <w:rPr>
          <w:color w:val="auto"/>
          <w:highlight w:val="none"/>
        </w:rPr>
        <w:fldChar w:fldCharType="begin"/>
      </w:r>
      <w:r>
        <w:rPr>
          <w:color w:val="auto"/>
          <w:highlight w:val="none"/>
        </w:rPr>
        <w:instrText xml:space="preserve"> PAGEREF _Toc25791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C885D1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_Toc22234 </w:instrText>
      </w:r>
      <w:r>
        <w:rPr>
          <w:color w:val="auto"/>
          <w:highlight w:val="none"/>
        </w:rPr>
        <w:fldChar w:fldCharType="separate"/>
      </w:r>
      <w:r>
        <w:rPr>
          <w:rFonts w:hint="eastAsia" w:ascii="宋体" w:hAnsi="宋体" w:cs="宋体"/>
          <w:strike w:val="0"/>
          <w:color w:val="auto"/>
          <w:kern w:val="44"/>
          <w:szCs w:val="21"/>
          <w:highlight w:val="none"/>
        </w:rPr>
        <w:t>附录</w:t>
      </w:r>
      <w:r>
        <w:rPr>
          <w:rFonts w:hint="eastAsia" w:ascii="宋体" w:hAnsi="宋体"/>
          <w:strike w:val="0"/>
          <w:color w:val="auto"/>
          <w:kern w:val="44"/>
          <w:szCs w:val="21"/>
          <w:highlight w:val="none"/>
        </w:rPr>
        <w:t xml:space="preserve">1 </w:t>
      </w:r>
      <w:r>
        <w:rPr>
          <w:rFonts w:hint="eastAsia" w:ascii="宋体" w:hAnsi="宋体" w:cs="宋体"/>
          <w:strike w:val="0"/>
          <w:color w:val="auto"/>
          <w:kern w:val="44"/>
          <w:szCs w:val="21"/>
          <w:highlight w:val="none"/>
        </w:rPr>
        <w:t>投标申请表（投入人员承诺）</w:t>
      </w:r>
      <w:r>
        <w:rPr>
          <w:color w:val="auto"/>
          <w:highlight w:val="none"/>
        </w:rPr>
        <w:tab/>
      </w:r>
      <w:r>
        <w:rPr>
          <w:color w:val="auto"/>
          <w:highlight w:val="none"/>
        </w:rPr>
        <w:fldChar w:fldCharType="begin"/>
      </w:r>
      <w:r>
        <w:rPr>
          <w:color w:val="auto"/>
          <w:highlight w:val="none"/>
        </w:rPr>
        <w:instrText xml:space="preserve"> PAGEREF _Toc22234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3546F4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_Toc3226 </w:instrText>
      </w:r>
      <w:r>
        <w:rPr>
          <w:color w:val="auto"/>
          <w:highlight w:val="none"/>
        </w:rPr>
        <w:fldChar w:fldCharType="separate"/>
      </w:r>
      <w:r>
        <w:rPr>
          <w:rFonts w:hint="eastAsia" w:ascii="宋体" w:hAnsi="宋体"/>
          <w:color w:val="auto"/>
          <w:szCs w:val="21"/>
          <w:highlight w:val="none"/>
        </w:rPr>
        <w:t>附件2勘察设计投标文件编制要求</w:t>
      </w:r>
      <w:r>
        <w:rPr>
          <w:color w:val="auto"/>
          <w:highlight w:val="none"/>
        </w:rPr>
        <w:tab/>
      </w:r>
      <w:r>
        <w:rPr>
          <w:color w:val="auto"/>
          <w:highlight w:val="none"/>
        </w:rPr>
        <w:fldChar w:fldCharType="begin"/>
      </w:r>
      <w:r>
        <w:rPr>
          <w:color w:val="auto"/>
          <w:highlight w:val="none"/>
        </w:rPr>
        <w:instrText xml:space="preserve"> PAGEREF _Toc3226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5D0AB83">
      <w:pPr>
        <w:pStyle w:val="20"/>
        <w:tabs>
          <w:tab w:val="right" w:leader="dot" w:pos="9000"/>
          <w:tab w:val="clear" w:pos="8990"/>
        </w:tabs>
        <w:rPr>
          <w:rFonts w:hint="eastAsia" w:eastAsia="宋体"/>
          <w:b w:val="0"/>
          <w:bCs w:val="0"/>
          <w:color w:val="auto"/>
          <w:highlight w:val="none"/>
          <w:lang w:val="en-US" w:eastAsia="zh-CN"/>
        </w:rPr>
      </w:pPr>
      <w:r>
        <w:rPr>
          <w:b w:val="0"/>
          <w:bCs w:val="0"/>
          <w:color w:val="auto"/>
          <w:highlight w:val="none"/>
        </w:rPr>
        <w:fldChar w:fldCharType="begin"/>
      </w:r>
      <w:r>
        <w:rPr>
          <w:b w:val="0"/>
          <w:bCs w:val="0"/>
          <w:color w:val="auto"/>
          <w:highlight w:val="none"/>
        </w:rPr>
        <w:instrText xml:space="preserve"> HYPERLINK \l _Toc11221 </w:instrText>
      </w:r>
      <w:r>
        <w:rPr>
          <w:b w:val="0"/>
          <w:bCs w:val="0"/>
          <w:color w:val="auto"/>
          <w:highlight w:val="none"/>
        </w:rPr>
        <w:fldChar w:fldCharType="separate"/>
      </w:r>
      <w:r>
        <w:rPr>
          <w:rFonts w:hint="eastAsia" w:ascii="宋体" w:hAnsi="宋体"/>
          <w:b w:val="0"/>
          <w:bCs w:val="0"/>
          <w:color w:val="auto"/>
          <w:szCs w:val="21"/>
          <w:highlight w:val="none"/>
        </w:rPr>
        <w:t>附件3工程勘察设计费</w:t>
      </w:r>
      <w:r>
        <w:rPr>
          <w:rFonts w:hint="eastAsia" w:ascii="宋体" w:hAnsi="宋体"/>
          <w:b w:val="0"/>
          <w:bCs w:val="0"/>
          <w:color w:val="auto"/>
          <w:szCs w:val="21"/>
          <w:highlight w:val="none"/>
          <w:lang w:eastAsia="zh-CN"/>
        </w:rPr>
        <w:t>投标</w:t>
      </w:r>
      <w:r>
        <w:rPr>
          <w:rFonts w:hint="eastAsia" w:ascii="宋体" w:hAnsi="宋体"/>
          <w:b w:val="0"/>
          <w:bCs w:val="0"/>
          <w:color w:val="auto"/>
          <w:szCs w:val="21"/>
          <w:highlight w:val="none"/>
        </w:rPr>
        <w:t>报价汇总表</w:t>
      </w:r>
      <w:r>
        <w:rPr>
          <w:b w:val="0"/>
          <w:bCs w:val="0"/>
          <w:color w:val="auto"/>
          <w:highlight w:val="none"/>
        </w:rPr>
        <w:tab/>
      </w:r>
      <w:r>
        <w:rPr>
          <w:b w:val="0"/>
          <w:bCs w:val="0"/>
          <w:color w:val="auto"/>
          <w:highlight w:val="none"/>
        </w:rPr>
        <w:fldChar w:fldCharType="end"/>
      </w:r>
      <w:r>
        <w:rPr>
          <w:rFonts w:hint="eastAsia"/>
          <w:b w:val="0"/>
          <w:bCs w:val="0"/>
          <w:color w:val="auto"/>
          <w:highlight w:val="none"/>
          <w:lang w:val="en-US" w:eastAsia="zh-CN"/>
        </w:rPr>
        <w:t>43</w:t>
      </w:r>
    </w:p>
    <w:p w14:paraId="3690DEF0">
      <w:pPr>
        <w:pStyle w:val="20"/>
        <w:tabs>
          <w:tab w:val="right" w:leader="dot" w:pos="9000"/>
          <w:tab w:val="clear" w:pos="8990"/>
        </w:tabs>
        <w:rPr>
          <w:rFonts w:hint="eastAsia"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_Toc11221 </w:instrText>
      </w:r>
      <w:r>
        <w:rPr>
          <w:rFonts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附件3－1：工程</w:t>
      </w:r>
      <w:r>
        <w:rPr>
          <w:rFonts w:hint="eastAsia" w:ascii="Times New Roman" w:hAnsi="Times New Roman" w:eastAsia="宋体" w:cs="Times New Roman"/>
          <w:color w:val="auto"/>
          <w:highlight w:val="none"/>
          <w:lang w:val="en-US" w:eastAsia="zh-CN"/>
        </w:rPr>
        <w:t>勘察费投标报价</w:t>
      </w:r>
      <w:r>
        <w:rPr>
          <w:rFonts w:hint="eastAsia" w:ascii="Times New Roman" w:hAnsi="Times New Roman" w:eastAsia="宋体" w:cs="Times New Roman"/>
          <w:color w:val="auto"/>
          <w:highlight w:val="none"/>
        </w:rPr>
        <w:t>表</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lang w:val="en-US" w:eastAsia="zh-CN"/>
        </w:rPr>
        <w:t>44</w:t>
      </w:r>
    </w:p>
    <w:p w14:paraId="0CCB2B4E">
      <w:pPr>
        <w:pStyle w:val="20"/>
        <w:tabs>
          <w:tab w:val="right" w:leader="dot" w:pos="9000"/>
          <w:tab w:val="clear" w:pos="8990"/>
        </w:tabs>
        <w:rPr>
          <w:rFonts w:hint="eastAsia" w:eastAsia="宋体"/>
          <w:b w:val="0"/>
          <w:bCs w:val="0"/>
          <w:color w:val="auto"/>
          <w:highlight w:val="none"/>
          <w:lang w:val="en-US" w:eastAsia="zh-CN"/>
        </w:rPr>
      </w:pPr>
      <w:r>
        <w:rPr>
          <w:b w:val="0"/>
          <w:bCs w:val="0"/>
          <w:color w:val="auto"/>
          <w:highlight w:val="none"/>
        </w:rPr>
        <w:fldChar w:fldCharType="begin"/>
      </w:r>
      <w:r>
        <w:rPr>
          <w:b w:val="0"/>
          <w:bCs w:val="0"/>
          <w:color w:val="auto"/>
          <w:highlight w:val="none"/>
        </w:rPr>
        <w:instrText xml:space="preserve"> HYPERLINK \l _Toc11221 </w:instrText>
      </w:r>
      <w:r>
        <w:rPr>
          <w:b w:val="0"/>
          <w:bCs w:val="0"/>
          <w:color w:val="auto"/>
          <w:highlight w:val="none"/>
        </w:rPr>
        <w:fldChar w:fldCharType="separate"/>
      </w:r>
      <w:r>
        <w:rPr>
          <w:rFonts w:hint="eastAsia"/>
          <w:b w:val="0"/>
          <w:bCs w:val="0"/>
          <w:color w:val="auto"/>
          <w:highlight w:val="none"/>
        </w:rPr>
        <w:t>附件3－2：</w:t>
      </w:r>
      <w:r>
        <w:rPr>
          <w:rFonts w:hint="eastAsia"/>
          <w:b w:val="0"/>
          <w:bCs w:val="0"/>
          <w:color w:val="auto"/>
          <w:highlight w:val="none"/>
          <w:lang w:val="en-US" w:eastAsia="zh-CN"/>
        </w:rPr>
        <w:t>地下管线探测费投标报价表</w:t>
      </w:r>
      <w:r>
        <w:rPr>
          <w:b w:val="0"/>
          <w:bCs w:val="0"/>
          <w:color w:val="auto"/>
          <w:highlight w:val="none"/>
        </w:rPr>
        <w:tab/>
      </w:r>
      <w:r>
        <w:rPr>
          <w:b w:val="0"/>
          <w:bCs w:val="0"/>
          <w:color w:val="auto"/>
          <w:highlight w:val="none"/>
        </w:rPr>
        <w:fldChar w:fldCharType="end"/>
      </w:r>
      <w:r>
        <w:rPr>
          <w:rFonts w:hint="eastAsia"/>
          <w:b w:val="0"/>
          <w:bCs w:val="0"/>
          <w:color w:val="auto"/>
          <w:highlight w:val="none"/>
          <w:lang w:val="en-US" w:eastAsia="zh-CN"/>
        </w:rPr>
        <w:t>45</w:t>
      </w:r>
    </w:p>
    <w:p w14:paraId="53A201B7">
      <w:pPr>
        <w:pStyle w:val="20"/>
        <w:tabs>
          <w:tab w:val="right" w:leader="dot" w:pos="9000"/>
          <w:tab w:val="clear" w:pos="8990"/>
        </w:tabs>
        <w:rPr>
          <w:rFonts w:hint="eastAsia"/>
          <w:b w:val="0"/>
          <w:bCs w:val="0"/>
          <w:color w:val="auto"/>
          <w:highlight w:val="none"/>
          <w:lang w:val="en-US" w:eastAsia="zh-CN"/>
        </w:rPr>
      </w:pPr>
      <w:r>
        <w:rPr>
          <w:b w:val="0"/>
          <w:bCs w:val="0"/>
          <w:color w:val="auto"/>
          <w:highlight w:val="none"/>
        </w:rPr>
        <w:fldChar w:fldCharType="begin"/>
      </w:r>
      <w:r>
        <w:rPr>
          <w:b w:val="0"/>
          <w:bCs w:val="0"/>
          <w:color w:val="auto"/>
          <w:highlight w:val="none"/>
        </w:rPr>
        <w:instrText xml:space="preserve"> HYPERLINK \l _Toc11221 </w:instrText>
      </w:r>
      <w:r>
        <w:rPr>
          <w:b w:val="0"/>
          <w:bCs w:val="0"/>
          <w:color w:val="auto"/>
          <w:highlight w:val="none"/>
        </w:rPr>
        <w:fldChar w:fldCharType="separate"/>
      </w:r>
      <w:r>
        <w:rPr>
          <w:rFonts w:hint="eastAsia"/>
          <w:b w:val="0"/>
          <w:bCs w:val="0"/>
          <w:color w:val="auto"/>
          <w:highlight w:val="none"/>
          <w:lang w:val="en-US" w:eastAsia="zh-CN"/>
        </w:rPr>
        <w:t>附件3-3：工程设计费投标报价表</w:t>
      </w:r>
      <w:r>
        <w:rPr>
          <w:b w:val="0"/>
          <w:bCs w:val="0"/>
          <w:color w:val="auto"/>
          <w:highlight w:val="none"/>
        </w:rPr>
        <w:tab/>
      </w:r>
      <w:r>
        <w:rPr>
          <w:b w:val="0"/>
          <w:bCs w:val="0"/>
          <w:color w:val="auto"/>
          <w:highlight w:val="none"/>
        </w:rPr>
        <w:fldChar w:fldCharType="end"/>
      </w:r>
      <w:r>
        <w:rPr>
          <w:rFonts w:hint="eastAsia"/>
          <w:b w:val="0"/>
          <w:bCs w:val="0"/>
          <w:color w:val="auto"/>
          <w:highlight w:val="none"/>
          <w:lang w:val="en-US" w:eastAsia="zh-CN"/>
        </w:rPr>
        <w:t>46</w:t>
      </w:r>
    </w:p>
    <w:p w14:paraId="7BF90C34">
      <w:pPr>
        <w:pStyle w:val="20"/>
        <w:tabs>
          <w:tab w:val="right" w:leader="dot" w:pos="9000"/>
          <w:tab w:val="clear" w:pos="8990"/>
        </w:tabs>
        <w:rPr>
          <w:rFonts w:hint="eastAsia"/>
          <w:b w:val="0"/>
          <w:bCs w:val="0"/>
          <w:color w:val="auto"/>
          <w:highlight w:val="none"/>
          <w:lang w:val="en-US" w:eastAsia="zh-CN"/>
        </w:rPr>
      </w:pPr>
      <w:r>
        <w:rPr>
          <w:b w:val="0"/>
          <w:bCs w:val="0"/>
          <w:color w:val="auto"/>
          <w:highlight w:val="none"/>
        </w:rPr>
        <w:fldChar w:fldCharType="begin"/>
      </w:r>
      <w:r>
        <w:rPr>
          <w:b w:val="0"/>
          <w:bCs w:val="0"/>
          <w:color w:val="auto"/>
          <w:highlight w:val="none"/>
        </w:rPr>
        <w:instrText xml:space="preserve"> HYPERLINK \l _Toc11221 </w:instrText>
      </w:r>
      <w:r>
        <w:rPr>
          <w:b w:val="0"/>
          <w:bCs w:val="0"/>
          <w:color w:val="auto"/>
          <w:highlight w:val="none"/>
        </w:rPr>
        <w:fldChar w:fldCharType="separate"/>
      </w:r>
      <w:r>
        <w:rPr>
          <w:rFonts w:hint="eastAsia"/>
          <w:b w:val="0"/>
          <w:bCs w:val="0"/>
          <w:color w:val="auto"/>
          <w:highlight w:val="none"/>
          <w:lang w:val="en-US" w:eastAsia="zh-CN"/>
        </w:rPr>
        <w:t>附件3-4：BIM技术应用费（方案及初步设计阶段）投标报价表</w:t>
      </w:r>
      <w:r>
        <w:rPr>
          <w:b w:val="0"/>
          <w:bCs w:val="0"/>
          <w:color w:val="auto"/>
          <w:highlight w:val="none"/>
        </w:rPr>
        <w:tab/>
      </w:r>
      <w:r>
        <w:rPr>
          <w:b w:val="0"/>
          <w:bCs w:val="0"/>
          <w:color w:val="auto"/>
          <w:highlight w:val="none"/>
        </w:rPr>
        <w:fldChar w:fldCharType="end"/>
      </w:r>
      <w:r>
        <w:rPr>
          <w:rFonts w:hint="eastAsia"/>
          <w:b w:val="0"/>
          <w:bCs w:val="0"/>
          <w:color w:val="auto"/>
          <w:highlight w:val="none"/>
          <w:lang w:val="en-US" w:eastAsia="zh-CN"/>
        </w:rPr>
        <w:t>47</w:t>
      </w:r>
    </w:p>
    <w:p w14:paraId="252A5CEB">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_Toc7840 </w:instrText>
      </w:r>
      <w:r>
        <w:rPr>
          <w:color w:val="auto"/>
          <w:highlight w:val="none"/>
        </w:rPr>
        <w:fldChar w:fldCharType="separate"/>
      </w:r>
      <w:r>
        <w:rPr>
          <w:rFonts w:hint="eastAsia" w:ascii="宋体" w:hAnsi="宋体"/>
          <w:strike/>
          <w:color w:val="auto"/>
          <w:szCs w:val="21"/>
          <w:highlight w:val="none"/>
        </w:rPr>
        <w:t>附录4建筑工程设计方案测试记录表</w:t>
      </w:r>
      <w:r>
        <w:rPr>
          <w:color w:val="auto"/>
          <w:highlight w:val="none"/>
        </w:rPr>
        <w:tab/>
      </w:r>
      <w:r>
        <w:rPr>
          <w:color w:val="auto"/>
          <w:highlight w:val="none"/>
        </w:rPr>
        <w:fldChar w:fldCharType="begin"/>
      </w:r>
      <w:r>
        <w:rPr>
          <w:color w:val="auto"/>
          <w:highlight w:val="none"/>
        </w:rPr>
        <w:instrText xml:space="preserve"> PAGEREF _Toc7840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0DC698B">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_Toc24314 </w:instrText>
      </w:r>
      <w:r>
        <w:rPr>
          <w:color w:val="auto"/>
          <w:highlight w:val="none"/>
        </w:rPr>
        <w:fldChar w:fldCharType="separate"/>
      </w:r>
      <w:r>
        <w:rPr>
          <w:rFonts w:hint="eastAsia" w:ascii="宋体" w:hAnsi="宋体"/>
          <w:strike/>
          <w:color w:val="auto"/>
          <w:szCs w:val="21"/>
          <w:highlight w:val="none"/>
        </w:rPr>
        <w:t>附件5勘察投标文件编制要求</w:t>
      </w:r>
      <w:r>
        <w:rPr>
          <w:color w:val="auto"/>
          <w:highlight w:val="none"/>
        </w:rPr>
        <w:tab/>
      </w:r>
      <w:r>
        <w:rPr>
          <w:color w:val="auto"/>
          <w:highlight w:val="none"/>
        </w:rPr>
        <w:fldChar w:fldCharType="begin"/>
      </w:r>
      <w:r>
        <w:rPr>
          <w:color w:val="auto"/>
          <w:highlight w:val="none"/>
        </w:rPr>
        <w:instrText xml:space="preserve"> PAGEREF _Toc24314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A75C36D">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_Toc29997 </w:instrText>
      </w:r>
      <w:r>
        <w:rPr>
          <w:color w:val="auto"/>
          <w:highlight w:val="none"/>
        </w:rPr>
        <w:fldChar w:fldCharType="separate"/>
      </w:r>
      <w:r>
        <w:rPr>
          <w:rFonts w:hint="eastAsia" w:ascii="宋体" w:hAnsi="宋体"/>
          <w:color w:val="auto"/>
          <w:szCs w:val="21"/>
          <w:highlight w:val="none"/>
        </w:rPr>
        <w:t>附录6 投标书</w:t>
      </w:r>
      <w:r>
        <w:rPr>
          <w:color w:val="auto"/>
          <w:highlight w:val="none"/>
        </w:rPr>
        <w:tab/>
      </w:r>
      <w:r>
        <w:rPr>
          <w:color w:val="auto"/>
          <w:highlight w:val="none"/>
        </w:rPr>
        <w:fldChar w:fldCharType="begin"/>
      </w:r>
      <w:r>
        <w:rPr>
          <w:color w:val="auto"/>
          <w:highlight w:val="none"/>
        </w:rPr>
        <w:instrText xml:space="preserve"> PAGEREF _Toc29997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508A0BC">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_Toc2171 </w:instrText>
      </w:r>
      <w:r>
        <w:rPr>
          <w:color w:val="auto"/>
          <w:highlight w:val="none"/>
        </w:rPr>
        <w:fldChar w:fldCharType="separate"/>
      </w:r>
      <w:r>
        <w:rPr>
          <w:rFonts w:hint="eastAsia" w:ascii="宋体" w:hAnsi="宋体"/>
          <w:color w:val="auto"/>
          <w:szCs w:val="21"/>
          <w:highlight w:val="none"/>
        </w:rPr>
        <w:t>附录7 联合体共同投标协议</w:t>
      </w:r>
      <w:r>
        <w:rPr>
          <w:color w:val="auto"/>
          <w:highlight w:val="none"/>
        </w:rPr>
        <w:tab/>
      </w:r>
      <w:r>
        <w:rPr>
          <w:color w:val="auto"/>
          <w:highlight w:val="none"/>
        </w:rPr>
        <w:fldChar w:fldCharType="begin"/>
      </w:r>
      <w:r>
        <w:rPr>
          <w:color w:val="auto"/>
          <w:highlight w:val="none"/>
        </w:rPr>
        <w:instrText xml:space="preserve"> PAGEREF _Toc2171 \h </w:instrText>
      </w:r>
      <w:r>
        <w:rPr>
          <w:color w:val="auto"/>
          <w:highlight w:val="none"/>
        </w:rPr>
        <w:fldChar w:fldCharType="separate"/>
      </w:r>
      <w:r>
        <w:rPr>
          <w:color w:val="auto"/>
          <w:highlight w:val="none"/>
        </w:rPr>
        <w:t>54</w:t>
      </w:r>
    </w:p>
    <w:p w14:paraId="01355D3A">
      <w:pPr>
        <w:pStyle w:val="20"/>
        <w:tabs>
          <w:tab w:val="right" w:leader="dot" w:pos="9000"/>
          <w:tab w:val="clear" w:pos="899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_Toc2171 </w:instrText>
      </w:r>
      <w:r>
        <w:rPr>
          <w:color w:val="auto"/>
          <w:highlight w:val="none"/>
        </w:rPr>
        <w:fldChar w:fldCharType="separate"/>
      </w:r>
      <w:r>
        <w:rPr>
          <w:rFonts w:hint="eastAsia" w:ascii="宋体" w:hAnsi="宋体"/>
          <w:color w:val="auto"/>
          <w:szCs w:val="21"/>
          <w:highlight w:val="none"/>
        </w:rPr>
        <w:t>附录7</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合作设计协议书（适用于合作设计）</w:t>
      </w:r>
      <w:r>
        <w:rPr>
          <w:color w:val="auto"/>
          <w:highlight w:val="none"/>
        </w:rPr>
        <w:tab/>
      </w:r>
      <w:r>
        <w:rPr>
          <w:color w:val="auto"/>
          <w:highlight w:val="none"/>
        </w:rPr>
        <w:fldChar w:fldCharType="begin"/>
      </w:r>
      <w:r>
        <w:rPr>
          <w:color w:val="auto"/>
          <w:highlight w:val="none"/>
        </w:rPr>
        <w:instrText xml:space="preserve"> PAGEREF _Toc2171 \h </w:instrText>
      </w:r>
      <w:r>
        <w:rPr>
          <w:color w:val="auto"/>
          <w:highlight w:val="none"/>
        </w:rPr>
        <w:fldChar w:fldCharType="separate"/>
      </w:r>
      <w:r>
        <w:rPr>
          <w:color w:val="auto"/>
          <w:highlight w:val="none"/>
        </w:rPr>
        <w:t>5</w:t>
      </w:r>
      <w:r>
        <w:rPr>
          <w:rFonts w:hint="eastAsia"/>
          <w:color w:val="auto"/>
          <w:highlight w:val="none"/>
          <w:lang w:val="en-US" w:eastAsia="zh-CN"/>
        </w:rPr>
        <w:t>5</w:t>
      </w:r>
    </w:p>
    <w:p w14:paraId="1941F402">
      <w:pPr>
        <w:pStyle w:val="20"/>
        <w:tabs>
          <w:tab w:val="right" w:leader="dot" w:pos="9000"/>
          <w:tab w:val="clear" w:pos="8990"/>
        </w:tabs>
        <w:rPr>
          <w:color w:val="auto"/>
          <w:highlight w:val="none"/>
        </w:rPr>
      </w:pPr>
      <w:r>
        <w:rPr>
          <w:color w:val="auto"/>
          <w:highlight w:val="none"/>
        </w:rPr>
        <w:fldChar w:fldCharType="end"/>
      </w:r>
      <w:r>
        <w:rPr>
          <w:color w:val="auto"/>
          <w:highlight w:val="none"/>
        </w:rPr>
        <w:fldChar w:fldCharType="end"/>
      </w:r>
      <w:r>
        <w:rPr>
          <w:color w:val="auto"/>
          <w:highlight w:val="none"/>
        </w:rPr>
        <w:fldChar w:fldCharType="end"/>
      </w:r>
      <w:r>
        <w:rPr>
          <w:color w:val="auto"/>
          <w:highlight w:val="none"/>
        </w:rPr>
        <w:fldChar w:fldCharType="end"/>
      </w:r>
      <w:r>
        <w:rPr>
          <w:color w:val="auto"/>
          <w:highlight w:val="none"/>
        </w:rPr>
        <w:fldChar w:fldCharType="begin"/>
      </w:r>
      <w:r>
        <w:rPr>
          <w:color w:val="auto"/>
          <w:highlight w:val="none"/>
        </w:rPr>
        <w:instrText xml:space="preserve"> HYPERLINK \l _Toc31182 </w:instrText>
      </w:r>
      <w:r>
        <w:rPr>
          <w:color w:val="auto"/>
          <w:highlight w:val="none"/>
        </w:rPr>
        <w:fldChar w:fldCharType="separate"/>
      </w:r>
      <w:r>
        <w:rPr>
          <w:rFonts w:hint="eastAsia" w:ascii="宋体" w:hAnsi="宋体"/>
          <w:color w:val="auto"/>
          <w:szCs w:val="21"/>
          <w:highlight w:val="none"/>
        </w:rPr>
        <w:t>附录8 投标人声明</w:t>
      </w:r>
      <w:r>
        <w:rPr>
          <w:color w:val="auto"/>
          <w:highlight w:val="none"/>
        </w:rPr>
        <w:tab/>
      </w:r>
      <w:r>
        <w:rPr>
          <w:color w:val="auto"/>
          <w:highlight w:val="none"/>
        </w:rPr>
        <w:fldChar w:fldCharType="begin"/>
      </w:r>
      <w:r>
        <w:rPr>
          <w:color w:val="auto"/>
          <w:highlight w:val="none"/>
        </w:rPr>
        <w:instrText xml:space="preserve"> PAGEREF _Toc31182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0E5264B8">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_Toc23886 </w:instrText>
      </w:r>
      <w:r>
        <w:rPr>
          <w:color w:val="auto"/>
          <w:highlight w:val="none"/>
        </w:rPr>
        <w:fldChar w:fldCharType="separate"/>
      </w:r>
      <w:r>
        <w:rPr>
          <w:rFonts w:hint="eastAsia"/>
          <w:color w:val="auto"/>
          <w:szCs w:val="22"/>
          <w:highlight w:val="none"/>
        </w:rPr>
        <w:t>附录9 资格审查表</w:t>
      </w:r>
      <w:r>
        <w:rPr>
          <w:color w:val="auto"/>
          <w:highlight w:val="none"/>
        </w:rPr>
        <w:tab/>
      </w:r>
      <w:r>
        <w:rPr>
          <w:color w:val="auto"/>
          <w:highlight w:val="none"/>
        </w:rPr>
        <w:fldChar w:fldCharType="begin"/>
      </w:r>
      <w:r>
        <w:rPr>
          <w:color w:val="auto"/>
          <w:highlight w:val="none"/>
        </w:rPr>
        <w:instrText xml:space="preserve"> PAGEREF _Toc23886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4CFA8D7">
      <w:pPr>
        <w:pStyle w:val="20"/>
        <w:tabs>
          <w:tab w:val="right" w:leader="dot" w:pos="9000"/>
          <w:tab w:val="clear" w:pos="8990"/>
        </w:tabs>
        <w:rPr>
          <w:strike/>
          <w:color w:val="auto"/>
          <w:highlight w:val="none"/>
        </w:rPr>
      </w:pPr>
      <w:r>
        <w:rPr>
          <w:strike/>
          <w:color w:val="auto"/>
          <w:highlight w:val="none"/>
        </w:rPr>
        <w:fldChar w:fldCharType="begin"/>
      </w:r>
      <w:r>
        <w:rPr>
          <w:strike/>
          <w:color w:val="auto"/>
          <w:highlight w:val="none"/>
        </w:rPr>
        <w:instrText xml:space="preserve"> HYPERLINK \l _Toc8400 </w:instrText>
      </w:r>
      <w:r>
        <w:rPr>
          <w:strike/>
          <w:color w:val="auto"/>
          <w:highlight w:val="none"/>
        </w:rPr>
        <w:fldChar w:fldCharType="separate"/>
      </w:r>
      <w:r>
        <w:rPr>
          <w:rFonts w:hint="eastAsia" w:ascii="宋体" w:hAnsi="宋体"/>
          <w:strike/>
          <w:color w:val="auto"/>
          <w:szCs w:val="21"/>
          <w:highlight w:val="none"/>
        </w:rPr>
        <w:t>附件10 投票表格</w:t>
      </w:r>
      <w:r>
        <w:rPr>
          <w:strike/>
          <w:color w:val="auto"/>
          <w:highlight w:val="none"/>
        </w:rPr>
        <w:tab/>
      </w:r>
      <w:r>
        <w:rPr>
          <w:strike/>
          <w:color w:val="auto"/>
          <w:highlight w:val="none"/>
        </w:rPr>
        <w:fldChar w:fldCharType="begin"/>
      </w:r>
      <w:r>
        <w:rPr>
          <w:strike/>
          <w:color w:val="auto"/>
          <w:highlight w:val="none"/>
        </w:rPr>
        <w:instrText xml:space="preserve"> PAGEREF _Toc8400 \h </w:instrText>
      </w:r>
      <w:r>
        <w:rPr>
          <w:strike/>
          <w:color w:val="auto"/>
          <w:highlight w:val="none"/>
        </w:rPr>
        <w:fldChar w:fldCharType="separate"/>
      </w:r>
      <w:r>
        <w:rPr>
          <w:strike/>
          <w:color w:val="auto"/>
          <w:highlight w:val="none"/>
        </w:rPr>
        <w:t>59</w:t>
      </w:r>
      <w:r>
        <w:rPr>
          <w:strike/>
          <w:color w:val="auto"/>
          <w:highlight w:val="none"/>
        </w:rPr>
        <w:fldChar w:fldCharType="end"/>
      </w:r>
      <w:r>
        <w:rPr>
          <w:strike/>
          <w:color w:val="auto"/>
          <w:highlight w:val="none"/>
        </w:rPr>
        <w:fldChar w:fldCharType="end"/>
      </w:r>
    </w:p>
    <w:p w14:paraId="09D5F1E1">
      <w:pPr>
        <w:pStyle w:val="20"/>
        <w:tabs>
          <w:tab w:val="right" w:leader="dot" w:pos="9000"/>
          <w:tab w:val="clear" w:pos="8990"/>
        </w:tabs>
        <w:rPr>
          <w:strike/>
          <w:color w:val="auto"/>
          <w:highlight w:val="none"/>
        </w:rPr>
      </w:pPr>
      <w:r>
        <w:rPr>
          <w:strike/>
          <w:color w:val="auto"/>
          <w:highlight w:val="none"/>
        </w:rPr>
        <w:fldChar w:fldCharType="begin"/>
      </w:r>
      <w:r>
        <w:rPr>
          <w:strike/>
          <w:color w:val="auto"/>
          <w:highlight w:val="none"/>
        </w:rPr>
        <w:instrText xml:space="preserve"> HYPERLINK \l _Toc3833 </w:instrText>
      </w:r>
      <w:r>
        <w:rPr>
          <w:strike/>
          <w:color w:val="auto"/>
          <w:highlight w:val="none"/>
        </w:rPr>
        <w:fldChar w:fldCharType="separate"/>
      </w:r>
      <w:r>
        <w:rPr>
          <w:rFonts w:hint="eastAsia" w:ascii="宋体" w:hAnsi="宋体"/>
          <w:strike/>
          <w:color w:val="auto"/>
          <w:szCs w:val="21"/>
          <w:highlight w:val="none"/>
        </w:rPr>
        <w:t>附录11 投票汇总表格</w:t>
      </w:r>
      <w:r>
        <w:rPr>
          <w:strike/>
          <w:color w:val="auto"/>
          <w:highlight w:val="none"/>
        </w:rPr>
        <w:tab/>
      </w:r>
      <w:r>
        <w:rPr>
          <w:strike/>
          <w:color w:val="auto"/>
          <w:highlight w:val="none"/>
        </w:rPr>
        <w:fldChar w:fldCharType="begin"/>
      </w:r>
      <w:r>
        <w:rPr>
          <w:strike/>
          <w:color w:val="auto"/>
          <w:highlight w:val="none"/>
        </w:rPr>
        <w:instrText xml:space="preserve"> PAGEREF _Toc3833 \h </w:instrText>
      </w:r>
      <w:r>
        <w:rPr>
          <w:strike/>
          <w:color w:val="auto"/>
          <w:highlight w:val="none"/>
        </w:rPr>
        <w:fldChar w:fldCharType="separate"/>
      </w:r>
      <w:r>
        <w:rPr>
          <w:strike/>
          <w:color w:val="auto"/>
          <w:highlight w:val="none"/>
        </w:rPr>
        <w:t>60</w:t>
      </w:r>
      <w:r>
        <w:rPr>
          <w:strike/>
          <w:color w:val="auto"/>
          <w:highlight w:val="none"/>
        </w:rPr>
        <w:fldChar w:fldCharType="end"/>
      </w:r>
      <w:r>
        <w:rPr>
          <w:strike/>
          <w:color w:val="auto"/>
          <w:highlight w:val="none"/>
        </w:rPr>
        <w:fldChar w:fldCharType="end"/>
      </w:r>
    </w:p>
    <w:p w14:paraId="0784EF24">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_Toc21094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12有效性审查表</w:t>
      </w:r>
      <w:r>
        <w:rPr>
          <w:color w:val="auto"/>
          <w:highlight w:val="none"/>
        </w:rPr>
        <w:tab/>
      </w:r>
      <w:r>
        <w:rPr>
          <w:color w:val="auto"/>
          <w:highlight w:val="none"/>
        </w:rPr>
        <w:fldChar w:fldCharType="begin"/>
      </w:r>
      <w:r>
        <w:rPr>
          <w:color w:val="auto"/>
          <w:highlight w:val="none"/>
        </w:rPr>
        <w:instrText xml:space="preserve"> PAGEREF _Toc21094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65916FD">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_Toc30357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 xml:space="preserve">12-1 </w:t>
      </w:r>
      <w:r>
        <w:rPr>
          <w:rFonts w:hint="eastAsia" w:ascii="宋体" w:hAnsi="宋体" w:cs="宋体"/>
          <w:color w:val="auto"/>
          <w:szCs w:val="21"/>
          <w:highlight w:val="none"/>
        </w:rPr>
        <w:t>投标报价算术复核表</w:t>
      </w:r>
      <w:r>
        <w:rPr>
          <w:color w:val="auto"/>
          <w:highlight w:val="none"/>
        </w:rPr>
        <w:tab/>
      </w:r>
      <w:r>
        <w:rPr>
          <w:color w:val="auto"/>
          <w:highlight w:val="none"/>
        </w:rPr>
        <w:fldChar w:fldCharType="begin"/>
      </w:r>
      <w:r>
        <w:rPr>
          <w:color w:val="auto"/>
          <w:highlight w:val="none"/>
        </w:rPr>
        <w:instrText xml:space="preserve"> PAGEREF _Toc30357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609A102">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_Toc13844 </w:instrText>
      </w:r>
      <w:r>
        <w:rPr>
          <w:color w:val="auto"/>
          <w:highlight w:val="none"/>
        </w:rPr>
        <w:fldChar w:fldCharType="separate"/>
      </w:r>
      <w:r>
        <w:rPr>
          <w:rFonts w:hint="eastAsia" w:ascii="宋体" w:hAnsi="宋体"/>
          <w:color w:val="auto"/>
          <w:szCs w:val="21"/>
          <w:highlight w:val="none"/>
        </w:rPr>
        <w:t>附录13 建筑工程设计方案评审记录表</w:t>
      </w:r>
      <w:r>
        <w:rPr>
          <w:color w:val="auto"/>
          <w:highlight w:val="none"/>
        </w:rPr>
        <w:tab/>
      </w:r>
      <w:r>
        <w:rPr>
          <w:color w:val="auto"/>
          <w:highlight w:val="none"/>
        </w:rPr>
        <w:fldChar w:fldCharType="begin"/>
      </w:r>
      <w:r>
        <w:rPr>
          <w:color w:val="auto"/>
          <w:highlight w:val="none"/>
        </w:rPr>
        <w:instrText xml:space="preserve"> PAGEREF _Toc13844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AC066CA">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_Toc19749 </w:instrText>
      </w:r>
      <w:r>
        <w:rPr>
          <w:color w:val="auto"/>
          <w:highlight w:val="none"/>
        </w:rPr>
        <w:fldChar w:fldCharType="separate"/>
      </w:r>
      <w:r>
        <w:rPr>
          <w:rFonts w:hint="eastAsia" w:ascii="宋体" w:hAnsi="宋体"/>
          <w:color w:val="auto"/>
          <w:szCs w:val="21"/>
          <w:highlight w:val="none"/>
        </w:rPr>
        <w:t>附录14 投标方案评语</w:t>
      </w:r>
      <w:r>
        <w:rPr>
          <w:color w:val="auto"/>
          <w:highlight w:val="none"/>
        </w:rPr>
        <w:tab/>
      </w:r>
      <w:r>
        <w:rPr>
          <w:color w:val="auto"/>
          <w:highlight w:val="none"/>
        </w:rPr>
        <w:fldChar w:fldCharType="begin"/>
      </w:r>
      <w:r>
        <w:rPr>
          <w:color w:val="auto"/>
          <w:highlight w:val="none"/>
        </w:rPr>
        <w:instrText xml:space="preserve"> PAGEREF _Toc19749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149DA8D7">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_Toc14899 </w:instrText>
      </w:r>
      <w:r>
        <w:rPr>
          <w:color w:val="auto"/>
          <w:highlight w:val="none"/>
        </w:rPr>
        <w:fldChar w:fldCharType="separate"/>
      </w:r>
      <w:r>
        <w:rPr>
          <w:rFonts w:hint="eastAsia"/>
          <w:bCs/>
          <w:color w:val="auto"/>
          <w:highlight w:val="none"/>
        </w:rPr>
        <w:t>附录15</w:t>
      </w:r>
      <w:r>
        <w:rPr>
          <w:bCs/>
          <w:color w:val="auto"/>
          <w:highlight w:val="none"/>
        </w:rPr>
        <w:t xml:space="preserve"> </w:t>
      </w:r>
      <w:r>
        <w:rPr>
          <w:rFonts w:hint="eastAsia"/>
          <w:bCs/>
          <w:color w:val="auto"/>
          <w:highlight w:val="none"/>
        </w:rPr>
        <w:t>定标委员会的组成</w:t>
      </w:r>
      <w:r>
        <w:rPr>
          <w:color w:val="auto"/>
          <w:highlight w:val="none"/>
        </w:rPr>
        <w:tab/>
      </w:r>
      <w:r>
        <w:rPr>
          <w:color w:val="auto"/>
          <w:highlight w:val="none"/>
        </w:rPr>
        <w:fldChar w:fldCharType="begin"/>
      </w:r>
      <w:r>
        <w:rPr>
          <w:color w:val="auto"/>
          <w:highlight w:val="none"/>
        </w:rPr>
        <w:instrText xml:space="preserve"> PAGEREF _Toc14899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8B28000">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_Toc888 </w:instrText>
      </w:r>
      <w:r>
        <w:rPr>
          <w:color w:val="auto"/>
          <w:highlight w:val="none"/>
        </w:rPr>
        <w:fldChar w:fldCharType="separate"/>
      </w:r>
      <w:r>
        <w:rPr>
          <w:rFonts w:hint="eastAsia" w:ascii="宋体" w:hAnsi="宋体"/>
          <w:color w:val="auto"/>
          <w:szCs w:val="21"/>
          <w:highlight w:val="none"/>
        </w:rPr>
        <w:t>附录1</w:t>
      </w:r>
      <w:r>
        <w:rPr>
          <w:rFonts w:ascii="宋体" w:hAnsi="宋体"/>
          <w:color w:val="auto"/>
          <w:szCs w:val="21"/>
          <w:highlight w:val="none"/>
        </w:rPr>
        <w:t xml:space="preserve">6 </w:t>
      </w:r>
      <w:r>
        <w:rPr>
          <w:rFonts w:hint="eastAsia" w:ascii="宋体" w:hAnsi="宋体"/>
          <w:color w:val="auto"/>
          <w:szCs w:val="21"/>
          <w:highlight w:val="none"/>
        </w:rPr>
        <w:t>定标原则</w:t>
      </w:r>
      <w:r>
        <w:rPr>
          <w:color w:val="auto"/>
          <w:highlight w:val="none"/>
        </w:rPr>
        <w:tab/>
      </w:r>
      <w:r>
        <w:rPr>
          <w:color w:val="auto"/>
          <w:highlight w:val="none"/>
        </w:rPr>
        <w:fldChar w:fldCharType="begin"/>
      </w:r>
      <w:r>
        <w:rPr>
          <w:color w:val="auto"/>
          <w:highlight w:val="none"/>
        </w:rPr>
        <w:instrText xml:space="preserve"> PAGEREF _Toc888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40A5DAA">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_Toc16585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 xml:space="preserve">16-1 </w:t>
      </w:r>
      <w:r>
        <w:rPr>
          <w:rFonts w:hint="eastAsia" w:ascii="宋体" w:hAnsi="宋体" w:cs="宋体"/>
          <w:color w:val="auto"/>
          <w:szCs w:val="21"/>
          <w:highlight w:val="none"/>
        </w:rPr>
        <w:t>定标评语</w:t>
      </w:r>
      <w:r>
        <w:rPr>
          <w:color w:val="auto"/>
          <w:highlight w:val="none"/>
        </w:rPr>
        <w:tab/>
      </w:r>
      <w:r>
        <w:rPr>
          <w:color w:val="auto"/>
          <w:highlight w:val="none"/>
        </w:rPr>
        <w:fldChar w:fldCharType="begin"/>
      </w:r>
      <w:r>
        <w:rPr>
          <w:color w:val="auto"/>
          <w:highlight w:val="none"/>
        </w:rPr>
        <w:instrText xml:space="preserve"> PAGEREF _Toc16585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52386994">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_Toc7717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 xml:space="preserve">16-2 </w:t>
      </w:r>
      <w:r>
        <w:rPr>
          <w:rFonts w:hint="eastAsia" w:ascii="宋体" w:hAnsi="宋体" w:cs="宋体"/>
          <w:color w:val="auto"/>
          <w:szCs w:val="21"/>
          <w:highlight w:val="none"/>
        </w:rPr>
        <w:t>投票表格</w:t>
      </w:r>
      <w:r>
        <w:rPr>
          <w:color w:val="auto"/>
          <w:highlight w:val="none"/>
        </w:rPr>
        <w:tab/>
      </w:r>
      <w:r>
        <w:rPr>
          <w:color w:val="auto"/>
          <w:highlight w:val="none"/>
        </w:rPr>
        <w:fldChar w:fldCharType="begin"/>
      </w:r>
      <w:r>
        <w:rPr>
          <w:color w:val="auto"/>
          <w:highlight w:val="none"/>
        </w:rPr>
        <w:instrText xml:space="preserve"> PAGEREF _Toc7717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8880CAD">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_Toc25623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17</w:t>
      </w:r>
      <w:r>
        <w:rPr>
          <w:rFonts w:hint="eastAsia" w:ascii="宋体" w:hAnsi="宋体" w:cs="宋体"/>
          <w:color w:val="auto"/>
          <w:szCs w:val="21"/>
          <w:highlight w:val="none"/>
          <w:lang w:eastAsia="zh-CN"/>
        </w:rPr>
        <w:t>法定代表人证明书</w:t>
      </w:r>
      <w:r>
        <w:rPr>
          <w:color w:val="auto"/>
          <w:highlight w:val="none"/>
        </w:rPr>
        <w:tab/>
      </w:r>
      <w:r>
        <w:rPr>
          <w:color w:val="auto"/>
          <w:highlight w:val="none"/>
        </w:rPr>
        <w:fldChar w:fldCharType="begin"/>
      </w:r>
      <w:r>
        <w:rPr>
          <w:color w:val="auto"/>
          <w:highlight w:val="none"/>
        </w:rPr>
        <w:instrText xml:space="preserve"> PAGEREF _Toc25623 \h </w:instrText>
      </w:r>
      <w:r>
        <w:rPr>
          <w:color w:val="auto"/>
          <w:highlight w:val="none"/>
        </w:rPr>
        <w:fldChar w:fldCharType="separate"/>
      </w:r>
      <w:r>
        <w:rPr>
          <w:color w:val="auto"/>
          <w:highlight w:val="none"/>
        </w:rPr>
        <w:t>7</w:t>
      </w:r>
      <w:r>
        <w:rPr>
          <w:rFonts w:hint="eastAsia"/>
          <w:color w:val="auto"/>
          <w:highlight w:val="none"/>
          <w:lang w:val="en-US" w:eastAsia="zh-CN"/>
        </w:rPr>
        <w:t>3</w:t>
      </w:r>
      <w:r>
        <w:rPr>
          <w:color w:val="auto"/>
          <w:highlight w:val="none"/>
        </w:rPr>
        <w:fldChar w:fldCharType="end"/>
      </w:r>
      <w:r>
        <w:rPr>
          <w:color w:val="auto"/>
          <w:highlight w:val="none"/>
        </w:rPr>
        <w:fldChar w:fldCharType="end"/>
      </w:r>
    </w:p>
    <w:p w14:paraId="6C05C799">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_Toc24165 </w:instrText>
      </w:r>
      <w:r>
        <w:rPr>
          <w:color w:val="auto"/>
          <w:highlight w:val="none"/>
        </w:rPr>
        <w:fldChar w:fldCharType="separate"/>
      </w:r>
      <w:r>
        <w:rPr>
          <w:rFonts w:hint="eastAsia" w:ascii="宋体" w:hAnsi="宋体" w:cs="宋体"/>
          <w:color w:val="auto"/>
          <w:szCs w:val="21"/>
          <w:highlight w:val="none"/>
        </w:rPr>
        <w:t>附录</w:t>
      </w:r>
      <w:r>
        <w:rPr>
          <w:rFonts w:hint="eastAsia" w:ascii="宋体" w:hAnsi="宋体"/>
          <w:color w:val="auto"/>
          <w:szCs w:val="21"/>
          <w:highlight w:val="none"/>
        </w:rPr>
        <w:t xml:space="preserve">18 </w:t>
      </w:r>
      <w:r>
        <w:rPr>
          <w:rFonts w:hint="eastAsia" w:ascii="宋体" w:hAnsi="宋体" w:cs="宋体"/>
          <w:color w:val="auto"/>
          <w:szCs w:val="21"/>
          <w:highlight w:val="none"/>
          <w:lang w:eastAsia="zh-CN"/>
        </w:rPr>
        <w:t>授权委托书</w:t>
      </w:r>
      <w:r>
        <w:rPr>
          <w:color w:val="auto"/>
          <w:highlight w:val="none"/>
        </w:rPr>
        <w:tab/>
      </w:r>
      <w:r>
        <w:rPr>
          <w:color w:val="auto"/>
          <w:highlight w:val="none"/>
        </w:rPr>
        <w:fldChar w:fldCharType="begin"/>
      </w:r>
      <w:r>
        <w:rPr>
          <w:color w:val="auto"/>
          <w:highlight w:val="none"/>
        </w:rPr>
        <w:instrText xml:space="preserve"> PAGEREF _Toc24165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25EFB6A">
      <w:pPr>
        <w:pStyle w:val="20"/>
        <w:tabs>
          <w:tab w:val="right" w:leader="dot" w:pos="9000"/>
          <w:tab w:val="clear" w:pos="8990"/>
        </w:tabs>
        <w:rPr>
          <w:color w:val="auto"/>
          <w:highlight w:val="none"/>
        </w:rPr>
      </w:pPr>
      <w:r>
        <w:rPr>
          <w:color w:val="auto"/>
          <w:highlight w:val="none"/>
        </w:rPr>
        <w:fldChar w:fldCharType="begin"/>
      </w:r>
      <w:r>
        <w:rPr>
          <w:color w:val="auto"/>
          <w:highlight w:val="none"/>
        </w:rPr>
        <w:instrText xml:space="preserve"> HYPERLINK \l _Toc6269 </w:instrText>
      </w:r>
      <w:r>
        <w:rPr>
          <w:color w:val="auto"/>
          <w:highlight w:val="none"/>
        </w:rPr>
        <w:fldChar w:fldCharType="separate"/>
      </w:r>
      <w:r>
        <w:rPr>
          <w:rFonts w:hint="eastAsia" w:ascii="宋体" w:hAnsi="宋体"/>
          <w:bCs/>
          <w:color w:val="auto"/>
          <w:highlight w:val="none"/>
        </w:rPr>
        <w:t xml:space="preserve">附录19 </w:t>
      </w:r>
      <w:r>
        <w:rPr>
          <w:rFonts w:hint="eastAsia" w:ascii="宋体" w:hAnsi="宋体"/>
          <w:bCs/>
          <w:color w:val="auto"/>
          <w:highlight w:val="none"/>
          <w:lang w:eastAsia="zh-CN"/>
        </w:rPr>
        <w:t>天河区柯木塱村城中村改造项目-首开区凤凰汇西侧地块复建安置房及配套设施工程勘察及初步</w:t>
      </w:r>
      <w:r>
        <w:rPr>
          <w:rFonts w:hint="eastAsia" w:ascii="宋体" w:hAnsi="宋体"/>
          <w:bCs/>
          <w:color w:val="auto"/>
          <w:highlight w:val="none"/>
        </w:rPr>
        <w:t>设计任务书</w:t>
      </w:r>
      <w:r>
        <w:rPr>
          <w:color w:val="auto"/>
          <w:highlight w:val="none"/>
        </w:rPr>
        <w:tab/>
      </w:r>
      <w:r>
        <w:rPr>
          <w:color w:val="auto"/>
          <w:highlight w:val="none"/>
        </w:rPr>
        <w:fldChar w:fldCharType="begin"/>
      </w:r>
      <w:r>
        <w:rPr>
          <w:color w:val="auto"/>
          <w:highlight w:val="none"/>
        </w:rPr>
        <w:instrText xml:space="preserve"> PAGEREF _Toc6269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9606CE6">
      <w:pPr>
        <w:pStyle w:val="20"/>
        <w:tabs>
          <w:tab w:val="right" w:leader="dot" w:pos="9000"/>
          <w:tab w:val="clear" w:pos="8990"/>
        </w:tabs>
        <w:rPr>
          <w:rFonts w:hint="default" w:eastAsia="宋体"/>
          <w:color w:val="auto"/>
          <w:highlight w:val="none"/>
          <w:lang w:val="en-US" w:eastAsia="zh-CN"/>
        </w:rPr>
      </w:pPr>
      <w:r>
        <w:rPr>
          <w:color w:val="auto"/>
          <w:highlight w:val="none"/>
        </w:rPr>
        <w:fldChar w:fldCharType="end"/>
      </w:r>
      <w:r>
        <w:rPr>
          <w:rFonts w:hint="eastAsia"/>
          <w:color w:val="auto"/>
          <w:highlight w:val="none"/>
        </w:rPr>
        <w:t>附录20 评标委员会</w:t>
      </w:r>
      <w:r>
        <w:rPr>
          <w:rFonts w:hint="eastAsia"/>
          <w:color w:val="auto"/>
          <w:highlight w:val="none"/>
          <w:lang w:eastAsia="zh-CN"/>
        </w:rPr>
        <w:t>成员</w:t>
      </w:r>
      <w:r>
        <w:rPr>
          <w:rFonts w:hint="eastAsia"/>
          <w:color w:val="auto"/>
          <w:highlight w:val="none"/>
        </w:rPr>
        <w:t>声明</w:t>
      </w:r>
      <w:r>
        <w:rPr>
          <w:color w:val="auto"/>
          <w:highlight w:val="none"/>
        </w:rPr>
        <w:tab/>
      </w:r>
      <w:r>
        <w:rPr>
          <w:rFonts w:hint="eastAsia"/>
          <w:color w:val="auto"/>
          <w:highlight w:val="none"/>
          <w:lang w:val="en-US" w:eastAsia="zh-CN"/>
        </w:rPr>
        <w:t>76</w:t>
      </w:r>
    </w:p>
    <w:p w14:paraId="43C381DA">
      <w:pPr>
        <w:rPr>
          <w:rFonts w:hint="eastAsia"/>
          <w:color w:val="auto"/>
          <w:highlight w:val="none"/>
        </w:rPr>
      </w:pPr>
    </w:p>
    <w:p w14:paraId="4A2C1055">
      <w:pPr>
        <w:rPr>
          <w:rFonts w:hint="eastAsia" w:ascii="宋体" w:hAnsi="宋体"/>
          <w:color w:val="auto"/>
          <w:highlight w:val="none"/>
        </w:rPr>
      </w:pPr>
    </w:p>
    <w:p w14:paraId="3D281899">
      <w:pPr>
        <w:rPr>
          <w:rFonts w:hint="eastAsia" w:ascii="宋体" w:hAnsi="宋体"/>
          <w:color w:val="auto"/>
          <w:highlight w:val="none"/>
        </w:rPr>
      </w:pPr>
    </w:p>
    <w:p w14:paraId="281F7A18">
      <w:pPr>
        <w:pStyle w:val="2"/>
        <w:jc w:val="center"/>
        <w:rPr>
          <w:rFonts w:hint="eastAsia"/>
          <w:color w:val="auto"/>
          <w:sz w:val="36"/>
          <w:szCs w:val="36"/>
          <w:highlight w:val="none"/>
        </w:rPr>
      </w:pPr>
      <w:bookmarkStart w:id="7" w:name="_Toc26268"/>
      <w:r>
        <w:rPr>
          <w:rFonts w:hint="eastAsia"/>
          <w:color w:val="auto"/>
          <w:sz w:val="36"/>
          <w:szCs w:val="36"/>
          <w:highlight w:val="none"/>
        </w:rPr>
        <w:br w:type="page"/>
      </w:r>
      <w:r>
        <w:rPr>
          <w:rFonts w:hint="eastAsia"/>
          <w:color w:val="auto"/>
          <w:sz w:val="36"/>
          <w:szCs w:val="36"/>
          <w:highlight w:val="none"/>
        </w:rPr>
        <w:t>第一章  招标公告</w:t>
      </w:r>
      <w:bookmarkEnd w:id="7"/>
    </w:p>
    <w:p w14:paraId="65F814A5">
      <w:pPr>
        <w:spacing w:line="360" w:lineRule="auto"/>
        <w:jc w:val="center"/>
        <w:rPr>
          <w:rFonts w:hint="eastAsia" w:ascii="宋体" w:hAnsi="宋体"/>
          <w:color w:val="auto"/>
          <w:sz w:val="24"/>
          <w:highlight w:val="none"/>
        </w:rPr>
      </w:pPr>
      <w:r>
        <w:rPr>
          <w:rFonts w:hint="eastAsia" w:ascii="宋体" w:hAnsi="宋体" w:cs="宋体"/>
          <w:color w:val="auto"/>
          <w:szCs w:val="21"/>
          <w:highlight w:val="none"/>
          <w:u w:val="single"/>
        </w:rPr>
        <w:t>详见《招标公告》</w:t>
      </w:r>
    </w:p>
    <w:p w14:paraId="63A4CD5B">
      <w:pPr>
        <w:pStyle w:val="2"/>
        <w:jc w:val="center"/>
        <w:rPr>
          <w:rFonts w:hint="eastAsia"/>
          <w:color w:val="auto"/>
          <w:sz w:val="36"/>
          <w:szCs w:val="36"/>
          <w:highlight w:val="none"/>
        </w:rPr>
      </w:pPr>
      <w:bookmarkStart w:id="8" w:name="_Toc7715"/>
    </w:p>
    <w:p w14:paraId="2D7E7A84">
      <w:pPr>
        <w:rPr>
          <w:rFonts w:hint="eastAsia"/>
          <w:color w:val="auto"/>
          <w:sz w:val="36"/>
          <w:szCs w:val="36"/>
          <w:highlight w:val="none"/>
        </w:rPr>
      </w:pPr>
    </w:p>
    <w:p w14:paraId="6645F820">
      <w:pPr>
        <w:pStyle w:val="15"/>
        <w:rPr>
          <w:rFonts w:hint="eastAsia"/>
          <w:color w:val="auto"/>
          <w:sz w:val="36"/>
          <w:szCs w:val="36"/>
          <w:highlight w:val="none"/>
        </w:rPr>
      </w:pPr>
    </w:p>
    <w:p w14:paraId="095FEF44">
      <w:pPr>
        <w:rPr>
          <w:rFonts w:hint="eastAsia"/>
          <w:color w:val="auto"/>
          <w:sz w:val="36"/>
          <w:szCs w:val="36"/>
          <w:highlight w:val="none"/>
        </w:rPr>
      </w:pPr>
    </w:p>
    <w:p w14:paraId="400126CE">
      <w:pPr>
        <w:pStyle w:val="15"/>
        <w:rPr>
          <w:rFonts w:hint="eastAsia"/>
          <w:color w:val="auto"/>
          <w:sz w:val="36"/>
          <w:szCs w:val="36"/>
          <w:highlight w:val="none"/>
        </w:rPr>
      </w:pPr>
    </w:p>
    <w:p w14:paraId="65C4229A">
      <w:pPr>
        <w:rPr>
          <w:rFonts w:hint="eastAsia"/>
          <w:color w:val="auto"/>
          <w:sz w:val="36"/>
          <w:szCs w:val="36"/>
          <w:highlight w:val="none"/>
        </w:rPr>
      </w:pPr>
    </w:p>
    <w:p w14:paraId="08A3D717">
      <w:pPr>
        <w:pStyle w:val="15"/>
        <w:rPr>
          <w:rFonts w:hint="eastAsia"/>
          <w:color w:val="auto"/>
          <w:sz w:val="36"/>
          <w:szCs w:val="36"/>
          <w:highlight w:val="none"/>
        </w:rPr>
      </w:pPr>
    </w:p>
    <w:p w14:paraId="04934F64">
      <w:pPr>
        <w:pStyle w:val="15"/>
        <w:rPr>
          <w:rFonts w:hint="eastAsia"/>
          <w:color w:val="auto"/>
          <w:sz w:val="36"/>
          <w:szCs w:val="36"/>
          <w:highlight w:val="none"/>
        </w:rPr>
      </w:pPr>
    </w:p>
    <w:p w14:paraId="587863E0">
      <w:pPr>
        <w:rPr>
          <w:rFonts w:hint="eastAsia"/>
          <w:color w:val="auto"/>
          <w:highlight w:val="none"/>
        </w:rPr>
      </w:pPr>
    </w:p>
    <w:p w14:paraId="79F0FDF0">
      <w:pPr>
        <w:pStyle w:val="15"/>
        <w:rPr>
          <w:rFonts w:hint="eastAsia"/>
          <w:color w:val="auto"/>
          <w:highlight w:val="none"/>
        </w:rPr>
      </w:pPr>
    </w:p>
    <w:p w14:paraId="18F75ACC">
      <w:pPr>
        <w:rPr>
          <w:rFonts w:hint="eastAsia"/>
          <w:color w:val="auto"/>
          <w:highlight w:val="none"/>
        </w:rPr>
      </w:pPr>
    </w:p>
    <w:p w14:paraId="33A49CE0">
      <w:pPr>
        <w:pStyle w:val="15"/>
        <w:rPr>
          <w:rFonts w:hint="eastAsia"/>
          <w:color w:val="auto"/>
          <w:highlight w:val="none"/>
        </w:rPr>
      </w:pPr>
    </w:p>
    <w:p w14:paraId="4E7DF453">
      <w:pPr>
        <w:rPr>
          <w:rFonts w:hint="eastAsia"/>
          <w:color w:val="auto"/>
          <w:highlight w:val="none"/>
        </w:rPr>
      </w:pPr>
    </w:p>
    <w:p w14:paraId="26897C72">
      <w:pPr>
        <w:pStyle w:val="15"/>
        <w:rPr>
          <w:rFonts w:hint="eastAsia"/>
          <w:color w:val="auto"/>
          <w:highlight w:val="none"/>
        </w:rPr>
      </w:pPr>
    </w:p>
    <w:p w14:paraId="1A0CF662">
      <w:pPr>
        <w:rPr>
          <w:rFonts w:hint="eastAsia"/>
          <w:color w:val="auto"/>
          <w:highlight w:val="none"/>
        </w:rPr>
      </w:pPr>
    </w:p>
    <w:p w14:paraId="038DCC5B">
      <w:pPr>
        <w:pStyle w:val="15"/>
        <w:rPr>
          <w:rFonts w:hint="eastAsia"/>
          <w:color w:val="auto"/>
          <w:highlight w:val="none"/>
        </w:rPr>
      </w:pPr>
    </w:p>
    <w:p w14:paraId="3C5071A9">
      <w:pPr>
        <w:rPr>
          <w:rFonts w:hint="eastAsia"/>
          <w:color w:val="auto"/>
          <w:sz w:val="36"/>
          <w:szCs w:val="36"/>
          <w:highlight w:val="none"/>
        </w:rPr>
      </w:pPr>
    </w:p>
    <w:p w14:paraId="72A77ABB">
      <w:pPr>
        <w:pStyle w:val="15"/>
        <w:rPr>
          <w:rFonts w:hint="eastAsia"/>
          <w:color w:val="auto"/>
          <w:sz w:val="36"/>
          <w:szCs w:val="36"/>
          <w:highlight w:val="none"/>
        </w:rPr>
      </w:pPr>
    </w:p>
    <w:p w14:paraId="508B350E">
      <w:pPr>
        <w:rPr>
          <w:rFonts w:hint="eastAsia"/>
          <w:color w:val="auto"/>
          <w:sz w:val="36"/>
          <w:szCs w:val="36"/>
          <w:highlight w:val="none"/>
        </w:rPr>
      </w:pPr>
    </w:p>
    <w:p w14:paraId="33FE42A0">
      <w:pPr>
        <w:pStyle w:val="15"/>
        <w:rPr>
          <w:rFonts w:hint="eastAsia"/>
          <w:color w:val="auto"/>
          <w:highlight w:val="none"/>
        </w:rPr>
      </w:pPr>
    </w:p>
    <w:p w14:paraId="0EF710A5">
      <w:pPr>
        <w:pStyle w:val="2"/>
        <w:jc w:val="center"/>
        <w:rPr>
          <w:rFonts w:hint="eastAsia" w:ascii="宋体" w:hAnsi="宋体"/>
          <w:b w:val="0"/>
          <w:color w:val="auto"/>
          <w:sz w:val="36"/>
          <w:szCs w:val="36"/>
          <w:highlight w:val="none"/>
        </w:rPr>
      </w:pPr>
      <w:r>
        <w:rPr>
          <w:rFonts w:hint="eastAsia"/>
          <w:color w:val="auto"/>
          <w:sz w:val="36"/>
          <w:szCs w:val="36"/>
          <w:highlight w:val="none"/>
        </w:rPr>
        <w:t>第二章  招标</w:t>
      </w:r>
      <w:bookmarkEnd w:id="8"/>
    </w:p>
    <w:p w14:paraId="4BD754CB">
      <w:pPr>
        <w:rPr>
          <w:rFonts w:hint="eastAsia" w:ascii="宋体" w:hAnsi="宋体"/>
          <w:color w:val="auto"/>
          <w:highlight w:val="none"/>
        </w:rPr>
      </w:pPr>
    </w:p>
    <w:p w14:paraId="03E9A5F7">
      <w:pPr>
        <w:spacing w:line="360" w:lineRule="auto"/>
        <w:ind w:left="824" w:hanging="820" w:hangingChars="342"/>
        <w:rPr>
          <w:rFonts w:hint="eastAsia" w:ascii="宋体" w:hAnsi="宋体"/>
          <w:b/>
          <w:color w:val="auto"/>
          <w:sz w:val="24"/>
          <w:highlight w:val="none"/>
        </w:rPr>
      </w:pPr>
      <w:r>
        <w:rPr>
          <w:rFonts w:hint="eastAsia" w:ascii="宋体" w:hAnsi="宋体"/>
          <w:b/>
          <w:color w:val="auto"/>
          <w:sz w:val="24"/>
          <w:highlight w:val="none"/>
        </w:rPr>
        <w:t>2.1    释义</w:t>
      </w:r>
    </w:p>
    <w:p w14:paraId="71F5FC9D">
      <w:pPr>
        <w:spacing w:line="360" w:lineRule="auto"/>
        <w:ind w:left="821" w:hanging="820" w:hangingChars="342"/>
        <w:rPr>
          <w:rFonts w:hint="eastAsia" w:ascii="宋体" w:hAnsi="宋体"/>
          <w:color w:val="auto"/>
          <w:sz w:val="24"/>
          <w:highlight w:val="none"/>
        </w:rPr>
      </w:pPr>
    </w:p>
    <w:p w14:paraId="533E4496">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2.1.1  “设计”是指</w:t>
      </w:r>
      <w:r>
        <w:rPr>
          <w:rFonts w:hint="eastAsia"/>
          <w:color w:val="auto"/>
          <w:sz w:val="24"/>
          <w:highlight w:val="none"/>
        </w:rPr>
        <w:t>根据建设工程的要求，对建设工程所需的技术、经济、资源、环境等条件进行综合分析、论证，编制建设工程设计文件的活动。</w:t>
      </w:r>
    </w:p>
    <w:p w14:paraId="729F75BF">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2.1.2  “勘察”是指</w:t>
      </w:r>
      <w:r>
        <w:rPr>
          <w:rFonts w:hint="eastAsia"/>
          <w:color w:val="auto"/>
          <w:sz w:val="24"/>
          <w:highlight w:val="none"/>
        </w:rPr>
        <w:t>根据建设工程的要求，查明、分析、评价建设场地的地质地理环境特征和岩土工程条件，编制建设工程勘察文件的活动。</w:t>
      </w:r>
    </w:p>
    <w:p w14:paraId="59A8D66D">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2.1.3  “招标”是指</w:t>
      </w:r>
      <w:r>
        <w:rPr>
          <w:rFonts w:hint="eastAsia"/>
          <w:color w:val="auto"/>
          <w:sz w:val="24"/>
          <w:highlight w:val="none"/>
        </w:rPr>
        <w:t>发包人通过建设工程的勘察、设计等方案招标，将工程相应的任务发包给符合勘察设计资质条件的建设工程承包单位的行为。</w:t>
      </w:r>
    </w:p>
    <w:p w14:paraId="6C5B19EE">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2.1.4  “招标人”是指</w:t>
      </w:r>
      <w:r>
        <w:rPr>
          <w:rFonts w:hint="eastAsia"/>
          <w:color w:val="auto"/>
          <w:sz w:val="24"/>
          <w:highlight w:val="none"/>
        </w:rPr>
        <w:t>提出招标项目、进行招标的法人或者其他组织。</w:t>
      </w:r>
    </w:p>
    <w:p w14:paraId="07E311D3">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2.1.5  “招标代理机构”是指</w:t>
      </w:r>
      <w:r>
        <w:rPr>
          <w:rFonts w:hint="eastAsia"/>
          <w:color w:val="auto"/>
          <w:sz w:val="24"/>
          <w:highlight w:val="none"/>
        </w:rPr>
        <w:t>从事招标代理业务并提供相关服务的社会中介组织。</w:t>
      </w:r>
    </w:p>
    <w:p w14:paraId="1F6D9DA8">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2.1.6  “投标人”是指</w:t>
      </w:r>
      <w:r>
        <w:rPr>
          <w:rFonts w:hint="eastAsia"/>
          <w:color w:val="auto"/>
          <w:sz w:val="24"/>
          <w:highlight w:val="none"/>
        </w:rPr>
        <w:t>响应招标、参加投标竞争的法人或者其他组织。</w:t>
      </w:r>
    </w:p>
    <w:p w14:paraId="249FF7E4">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2.1.7  “监督机构”是指招标活动的监督机构。</w:t>
      </w:r>
    </w:p>
    <w:p w14:paraId="2657C3E1">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2.1.8 “招标管理机构”是指受监督机构委托管理招标活动的机构。</w:t>
      </w:r>
    </w:p>
    <w:p w14:paraId="0439CAFC">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2.1.9 “交易服务机构”是指</w:t>
      </w:r>
      <w:r>
        <w:rPr>
          <w:rFonts w:hint="eastAsia"/>
          <w:color w:val="auto"/>
          <w:sz w:val="24"/>
          <w:highlight w:val="none"/>
        </w:rPr>
        <w:t>为招标人和投标人提供场所、信息和咨询服务，见证招标过程，确认中标通知书的服务机构。</w:t>
      </w:r>
    </w:p>
    <w:p w14:paraId="1A5EB04C">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2.1.10 “招标文件”是指招标人（招标代理机构）发出的包括招标预告、招标公告、招标程序和规则、技术规范、合同条件、附录、图表、说明、投资立项批准文件、建设用地批准文件及其它一切补充资料的书面文件和电子文件。</w:t>
      </w:r>
    </w:p>
    <w:p w14:paraId="0A1BF619">
      <w:pPr>
        <w:spacing w:line="360" w:lineRule="auto"/>
        <w:rPr>
          <w:rFonts w:hint="eastAsia" w:ascii="宋体" w:hAnsi="宋体"/>
          <w:color w:val="auto"/>
          <w:sz w:val="24"/>
          <w:highlight w:val="none"/>
        </w:rPr>
      </w:pPr>
    </w:p>
    <w:p w14:paraId="12CB0A66">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2.2    免责条款</w:t>
      </w:r>
    </w:p>
    <w:p w14:paraId="26CB3DC6">
      <w:pPr>
        <w:spacing w:line="360" w:lineRule="auto"/>
        <w:rPr>
          <w:rFonts w:hint="eastAsia" w:ascii="宋体" w:hAnsi="宋体"/>
          <w:color w:val="auto"/>
          <w:sz w:val="24"/>
          <w:highlight w:val="none"/>
        </w:rPr>
      </w:pPr>
    </w:p>
    <w:p w14:paraId="30DF86BC">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2.2.1  招标文件的解释权归招标人所有，招标人有权在法律允许范围内调整本次招标活动的细节及保留最终解释权。</w:t>
      </w:r>
    </w:p>
    <w:p w14:paraId="5D1E58CC">
      <w:pPr>
        <w:spacing w:line="360" w:lineRule="auto"/>
        <w:ind w:left="821" w:hanging="820" w:hangingChars="342"/>
        <w:jc w:val="left"/>
        <w:rPr>
          <w:rFonts w:hint="eastAsia" w:ascii="宋体" w:hAnsi="宋体"/>
          <w:color w:val="auto"/>
          <w:sz w:val="24"/>
          <w:highlight w:val="none"/>
        </w:rPr>
      </w:pPr>
      <w:bookmarkStart w:id="9" w:name="OLE_LINK18"/>
      <w:r>
        <w:rPr>
          <w:rFonts w:hint="eastAsia" w:ascii="宋体" w:hAnsi="宋体"/>
          <w:color w:val="auto"/>
          <w:sz w:val="24"/>
          <w:highlight w:val="none"/>
        </w:rPr>
        <w:t>2.2.2  招标人不受将合同授予任何投标人的约束，招标人有权接受任何一份投标文件的全部或部分内容。</w:t>
      </w:r>
      <w:bookmarkEnd w:id="9"/>
    </w:p>
    <w:p w14:paraId="0E6F036D">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2.2.3  招标人向投标人提供的资料和数据，是招标人现有的能使投标人利用的资料，招标人对投标人由此而作出的推论、理解和结论概不负责。</w:t>
      </w:r>
    </w:p>
    <w:p w14:paraId="236774A4">
      <w:pPr>
        <w:pStyle w:val="15"/>
        <w:spacing w:line="360" w:lineRule="auto"/>
        <w:ind w:left="821" w:hanging="820" w:hangingChars="342"/>
        <w:jc w:val="left"/>
        <w:rPr>
          <w:rFonts w:hint="eastAsia" w:hAnsi="宋体"/>
          <w:color w:val="auto"/>
          <w:sz w:val="24"/>
          <w:szCs w:val="24"/>
          <w:highlight w:val="none"/>
        </w:rPr>
      </w:pPr>
      <w:bookmarkStart w:id="10" w:name="OLE_LINK19"/>
      <w:r>
        <w:rPr>
          <w:rFonts w:hint="eastAsia" w:hAnsi="宋体"/>
          <w:color w:val="auto"/>
          <w:sz w:val="24"/>
          <w:szCs w:val="24"/>
          <w:highlight w:val="none"/>
        </w:rPr>
        <w:t>2.2.4  投标人应承担其现场考察、编制和提交投标文件有关的一切费用、损害和人身伤亡事故责任，不管投标结果如何，招标人对上述费用不负任何责任。</w:t>
      </w:r>
      <w:bookmarkEnd w:id="10"/>
    </w:p>
    <w:p w14:paraId="49294F8C">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2.2.5  </w:t>
      </w:r>
      <w:r>
        <w:rPr>
          <w:rFonts w:hint="eastAsia" w:hAnsi="宋体"/>
          <w:color w:val="auto"/>
          <w:sz w:val="24"/>
          <w:highlight w:val="none"/>
        </w:rPr>
        <w:t>招标人对投标人的失误不负任何责任，</w:t>
      </w:r>
      <w:r>
        <w:rPr>
          <w:rFonts w:hint="eastAsia" w:ascii="宋体" w:hAnsi="宋体"/>
          <w:color w:val="auto"/>
          <w:sz w:val="24"/>
          <w:highlight w:val="none"/>
        </w:rPr>
        <w:t>投标人应指定一名投标事务负责人，专门负责跟踪、接收、阅读和理解招标文件及随后收到的有关资料，向招标人发出质疑，检查投标文件，协助有关人员尽力克服各种投标失误。</w:t>
      </w:r>
    </w:p>
    <w:p w14:paraId="6D15B020">
      <w:pPr>
        <w:spacing w:line="360" w:lineRule="auto"/>
        <w:ind w:left="821" w:hanging="820" w:hangingChars="342"/>
        <w:jc w:val="left"/>
        <w:rPr>
          <w:rFonts w:hint="eastAsia" w:ascii="宋体" w:hAnsi="宋体"/>
          <w:color w:val="auto"/>
          <w:sz w:val="24"/>
          <w:highlight w:val="none"/>
        </w:rPr>
      </w:pPr>
      <w:bookmarkStart w:id="11" w:name="OLE_LINK21"/>
      <w:r>
        <w:rPr>
          <w:rFonts w:hint="eastAsia" w:ascii="宋体" w:hAnsi="宋体"/>
          <w:color w:val="auto"/>
          <w:sz w:val="24"/>
          <w:highlight w:val="none"/>
        </w:rPr>
        <w:t xml:space="preserve">2.2.6  </w:t>
      </w:r>
      <w:bookmarkEnd w:id="11"/>
      <w:bookmarkStart w:id="12" w:name="OLE_LINK20"/>
      <w:r>
        <w:rPr>
          <w:rFonts w:hint="eastAsia" w:ascii="宋体" w:hAnsi="宋体"/>
          <w:color w:val="auto"/>
          <w:sz w:val="24"/>
          <w:highlight w:val="none"/>
        </w:rPr>
        <w:t>评标委员会成员</w:t>
      </w:r>
      <w:r>
        <w:rPr>
          <w:rFonts w:hint="eastAsia" w:hAnsi="宋体"/>
          <w:color w:val="auto"/>
          <w:sz w:val="24"/>
          <w:highlight w:val="none"/>
        </w:rPr>
        <w:t>应承担其参加评标有关的一切费用、损害和人身伤亡事故责任，招标人除提供评标酬金和差旅费用外，对其他费用不负任何责任。</w:t>
      </w:r>
      <w:bookmarkEnd w:id="12"/>
    </w:p>
    <w:p w14:paraId="61B9EB6A">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2.2.7  如果投标人实质上不符合投标资格，即使已购买招标文件、参加投标并缴纳各种费用，招标人可以随时取消其投标或中标资格，招标人对该投标人的一切损失不负任何责任。</w:t>
      </w:r>
    </w:p>
    <w:p w14:paraId="47904AE1">
      <w:pPr>
        <w:spacing w:line="360" w:lineRule="auto"/>
        <w:ind w:left="821" w:hanging="820" w:hangingChars="342"/>
        <w:rPr>
          <w:rFonts w:hint="eastAsia" w:ascii="宋体" w:hAnsi="宋体"/>
          <w:color w:val="auto"/>
          <w:sz w:val="24"/>
          <w:highlight w:val="none"/>
        </w:rPr>
      </w:pPr>
    </w:p>
    <w:p w14:paraId="44F7B4A1">
      <w:pPr>
        <w:spacing w:line="360" w:lineRule="auto"/>
        <w:rPr>
          <w:rFonts w:hint="eastAsia" w:ascii="宋体" w:hAnsi="宋体"/>
          <w:b/>
          <w:color w:val="auto"/>
          <w:sz w:val="24"/>
          <w:highlight w:val="none"/>
        </w:rPr>
      </w:pPr>
      <w:r>
        <w:rPr>
          <w:rFonts w:hint="eastAsia" w:ascii="宋体" w:hAnsi="宋体"/>
          <w:b/>
          <w:color w:val="auto"/>
          <w:sz w:val="24"/>
          <w:highlight w:val="none"/>
        </w:rPr>
        <w:t>2.3    招标文件效力</w:t>
      </w:r>
    </w:p>
    <w:p w14:paraId="5EA34DC6">
      <w:pPr>
        <w:spacing w:line="360" w:lineRule="auto"/>
        <w:rPr>
          <w:rFonts w:hint="eastAsia" w:ascii="宋体" w:hAnsi="宋体"/>
          <w:color w:val="auto"/>
          <w:sz w:val="24"/>
          <w:highlight w:val="none"/>
        </w:rPr>
      </w:pPr>
    </w:p>
    <w:p w14:paraId="2F475D38">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2.3.1  招标文件是招标人发出的</w:t>
      </w:r>
      <w:r>
        <w:rPr>
          <w:rFonts w:ascii="宋体" w:hAnsi="宋体"/>
          <w:color w:val="auto"/>
          <w:sz w:val="24"/>
          <w:highlight w:val="none"/>
        </w:rPr>
        <w:t>要约寻求</w:t>
      </w:r>
      <w:r>
        <w:rPr>
          <w:rFonts w:hint="eastAsia" w:ascii="宋体" w:hAnsi="宋体"/>
          <w:color w:val="auto"/>
          <w:sz w:val="24"/>
          <w:highlight w:val="none"/>
        </w:rPr>
        <w:t>，投标人参加投标均视为承认招标公告、招标文件及附件的所有条款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14:paraId="356404C7">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2.3.2  招标人或招标代理机构与投标人之间使用电子邮箱传送的文件，与公开登载的文件或者盖章发出的文件一样具有同等效力。</w:t>
      </w:r>
    </w:p>
    <w:p w14:paraId="3E7A50B6">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2.3.3  招标人通过交易服务机构公开登载的文件，与盖章发出的文件一样具有同等效力。</w:t>
      </w:r>
    </w:p>
    <w:p w14:paraId="34B81C4A">
      <w:pPr>
        <w:spacing w:line="360" w:lineRule="auto"/>
        <w:rPr>
          <w:rFonts w:hint="eastAsia" w:ascii="宋体" w:hAnsi="宋体"/>
          <w:color w:val="auto"/>
          <w:sz w:val="24"/>
          <w:highlight w:val="none"/>
        </w:rPr>
      </w:pPr>
    </w:p>
    <w:p w14:paraId="7398E319">
      <w:pPr>
        <w:spacing w:line="360" w:lineRule="auto"/>
        <w:rPr>
          <w:rFonts w:hint="eastAsia" w:ascii="宋体" w:hAnsi="宋体"/>
          <w:dstrike/>
          <w:color w:val="auto"/>
          <w:sz w:val="24"/>
          <w:highlight w:val="none"/>
        </w:rPr>
      </w:pPr>
    </w:p>
    <w:p w14:paraId="2EE18C84">
      <w:pPr>
        <w:spacing w:line="360" w:lineRule="auto"/>
        <w:rPr>
          <w:rFonts w:hint="eastAsia" w:ascii="宋体" w:hAnsi="宋体"/>
          <w:dstrike/>
          <w:color w:val="auto"/>
          <w:sz w:val="24"/>
          <w:highlight w:val="none"/>
        </w:rPr>
      </w:pPr>
    </w:p>
    <w:p w14:paraId="4C9CAC5C">
      <w:pPr>
        <w:spacing w:line="360" w:lineRule="auto"/>
        <w:rPr>
          <w:rFonts w:hint="eastAsia" w:ascii="宋体" w:hAnsi="宋体"/>
          <w:dstrike/>
          <w:color w:val="auto"/>
          <w:sz w:val="24"/>
          <w:highlight w:val="none"/>
        </w:rPr>
      </w:pPr>
    </w:p>
    <w:p w14:paraId="5912A01F">
      <w:pPr>
        <w:pStyle w:val="2"/>
        <w:spacing w:line="360" w:lineRule="auto"/>
        <w:jc w:val="center"/>
        <w:rPr>
          <w:rFonts w:hint="eastAsia" w:ascii="宋体" w:hAnsi="宋体"/>
          <w:b w:val="0"/>
          <w:color w:val="auto"/>
          <w:sz w:val="36"/>
          <w:szCs w:val="36"/>
          <w:highlight w:val="none"/>
        </w:rPr>
      </w:pPr>
      <w:r>
        <w:rPr>
          <w:rFonts w:ascii="宋体" w:hAnsi="宋体"/>
          <w:color w:val="auto"/>
          <w:sz w:val="24"/>
          <w:szCs w:val="24"/>
          <w:highlight w:val="none"/>
        </w:rPr>
        <w:br w:type="page"/>
      </w:r>
      <w:bookmarkStart w:id="13" w:name="_Toc11847"/>
      <w:r>
        <w:rPr>
          <w:rFonts w:hint="eastAsia"/>
          <w:color w:val="auto"/>
          <w:sz w:val="36"/>
          <w:szCs w:val="36"/>
          <w:highlight w:val="none"/>
        </w:rPr>
        <w:t>第三章  投标</w:t>
      </w:r>
      <w:bookmarkEnd w:id="13"/>
    </w:p>
    <w:p w14:paraId="3256A5E1">
      <w:pPr>
        <w:spacing w:line="360" w:lineRule="auto"/>
        <w:ind w:left="850" w:hanging="849" w:hangingChars="354"/>
        <w:rPr>
          <w:rFonts w:hint="eastAsia" w:ascii="宋体" w:hAnsi="宋体"/>
          <w:color w:val="auto"/>
          <w:sz w:val="24"/>
          <w:highlight w:val="none"/>
        </w:rPr>
      </w:pPr>
    </w:p>
    <w:p w14:paraId="0242D524">
      <w:pPr>
        <w:spacing w:line="360" w:lineRule="auto"/>
        <w:ind w:left="853" w:hanging="849" w:hangingChars="354"/>
        <w:jc w:val="left"/>
        <w:rPr>
          <w:rFonts w:hint="eastAsia" w:ascii="宋体" w:hAnsi="宋体"/>
          <w:b/>
          <w:color w:val="auto"/>
          <w:sz w:val="24"/>
          <w:highlight w:val="none"/>
        </w:rPr>
      </w:pPr>
      <w:r>
        <w:rPr>
          <w:rFonts w:hint="eastAsia" w:ascii="宋体" w:hAnsi="宋体"/>
          <w:b/>
          <w:color w:val="auto"/>
          <w:sz w:val="24"/>
          <w:highlight w:val="none"/>
        </w:rPr>
        <w:t>3.1    现场考察</w:t>
      </w:r>
    </w:p>
    <w:p w14:paraId="16F798E2">
      <w:pPr>
        <w:spacing w:line="360" w:lineRule="auto"/>
        <w:ind w:left="850" w:hanging="849" w:hangingChars="354"/>
        <w:jc w:val="left"/>
        <w:rPr>
          <w:rFonts w:hint="eastAsia" w:ascii="宋体" w:hAnsi="宋体"/>
          <w:color w:val="auto"/>
          <w:sz w:val="24"/>
          <w:highlight w:val="none"/>
        </w:rPr>
      </w:pPr>
    </w:p>
    <w:p w14:paraId="754E2798">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3.1.1  招标人安排投标人代表对工程现场进行考察，目的是使每个投标人查看现场并获得编制投标文件所需要的一切资料。</w:t>
      </w:r>
    </w:p>
    <w:p w14:paraId="0B7F65A3">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3.1.2  每个投标人参加现场考察的人数不宜超过3人，外国投标人代表应自带中文翻译。</w:t>
      </w:r>
    </w:p>
    <w:p w14:paraId="03115DD3">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3.1.3  现场考察期间招标人接受投标人代表的提问。</w:t>
      </w:r>
    </w:p>
    <w:p w14:paraId="4C0EF5E4">
      <w:pPr>
        <w:spacing w:line="360" w:lineRule="auto"/>
        <w:ind w:left="850" w:hanging="849" w:hangingChars="354"/>
        <w:jc w:val="left"/>
        <w:rPr>
          <w:rFonts w:hint="eastAsia" w:ascii="宋体" w:hAnsi="宋体"/>
          <w:color w:val="auto"/>
          <w:sz w:val="24"/>
          <w:highlight w:val="none"/>
        </w:rPr>
      </w:pPr>
    </w:p>
    <w:p w14:paraId="1A167097">
      <w:pPr>
        <w:spacing w:line="360" w:lineRule="auto"/>
        <w:ind w:left="853" w:hanging="849" w:hangingChars="354"/>
        <w:rPr>
          <w:rFonts w:hint="eastAsia" w:ascii="宋体" w:hAnsi="宋体"/>
          <w:color w:val="auto"/>
          <w:sz w:val="24"/>
          <w:highlight w:val="none"/>
        </w:rPr>
      </w:pPr>
      <w:r>
        <w:rPr>
          <w:rFonts w:hint="eastAsia" w:ascii="宋体" w:hAnsi="宋体"/>
          <w:b/>
          <w:bCs/>
          <w:color w:val="auto"/>
          <w:sz w:val="24"/>
          <w:highlight w:val="none"/>
        </w:rPr>
        <w:t>3.2    质疑和澄清</w:t>
      </w:r>
    </w:p>
    <w:p w14:paraId="61E3C7B6">
      <w:pPr>
        <w:spacing w:line="360" w:lineRule="auto"/>
        <w:ind w:left="850" w:hanging="849" w:hangingChars="354"/>
        <w:jc w:val="left"/>
        <w:rPr>
          <w:rFonts w:hint="eastAsia" w:ascii="宋体" w:hAnsi="宋体"/>
          <w:color w:val="auto"/>
          <w:sz w:val="24"/>
          <w:highlight w:val="none"/>
        </w:rPr>
      </w:pPr>
    </w:p>
    <w:p w14:paraId="0BFC3DBE">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3.2.1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14:paraId="62B5580B">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3.2.2  </w:t>
      </w:r>
      <w:r>
        <w:rPr>
          <w:rFonts w:hint="eastAsia" w:ascii="_x000B__x000C_" w:hAnsi="_x000B__x000C_"/>
          <w:color w:val="auto"/>
          <w:sz w:val="24"/>
          <w:highlight w:val="none"/>
        </w:rPr>
        <w:t>投标人和其他利害关系人</w:t>
      </w:r>
      <w:r>
        <w:rPr>
          <w:rFonts w:hint="eastAsia" w:ascii="宋体" w:hAnsi="宋体"/>
          <w:color w:val="auto"/>
          <w:sz w:val="24"/>
          <w:highlight w:val="none"/>
        </w:rPr>
        <w:t>如对招标文件及随后收到的有关资料有任何异议的，应当在投标截止时间10日前向招标人提出。招标人应当自收到异议之日起3日内作出答复；作出答复前，应当暂停招标投标活动。</w:t>
      </w:r>
    </w:p>
    <w:p w14:paraId="7187229D">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573A0ABB">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3.2.4  澄清或答疑纪要是招标文件的组成部分，对投标人起约束作用。若招标答疑纪要或澄清与招标文件有矛盾时，以交易平台网站最后发布的答疑纪要或澄清为准。</w:t>
      </w:r>
    </w:p>
    <w:p w14:paraId="59229A38">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3.2.5  网上答疑的</w:t>
      </w:r>
      <w:r>
        <w:rPr>
          <w:rFonts w:hint="eastAsia" w:hAnsi="宋体" w:cs="宋体"/>
          <w:color w:val="auto"/>
          <w:sz w:val="24"/>
          <w:highlight w:val="none"/>
        </w:rPr>
        <w:t>具体操作详见交易平台发布的相关操作指引</w:t>
      </w:r>
      <w:r>
        <w:rPr>
          <w:rFonts w:hint="eastAsia" w:ascii="宋体" w:hAnsi="宋体"/>
          <w:color w:val="auto"/>
          <w:sz w:val="24"/>
          <w:highlight w:val="none"/>
        </w:rPr>
        <w:t>。</w:t>
      </w:r>
    </w:p>
    <w:p w14:paraId="52366B8F">
      <w:pPr>
        <w:spacing w:line="360" w:lineRule="auto"/>
        <w:ind w:left="850" w:hanging="849" w:hangingChars="354"/>
        <w:rPr>
          <w:rFonts w:hint="eastAsia" w:ascii="宋体" w:hAnsi="宋体"/>
          <w:color w:val="auto"/>
          <w:sz w:val="24"/>
          <w:highlight w:val="none"/>
        </w:rPr>
      </w:pPr>
    </w:p>
    <w:p w14:paraId="10A02365">
      <w:pPr>
        <w:spacing w:line="360" w:lineRule="auto"/>
        <w:ind w:left="853" w:hanging="849" w:hangingChars="354"/>
        <w:rPr>
          <w:rFonts w:hint="eastAsia" w:ascii="宋体" w:hAnsi="宋体"/>
          <w:color w:val="auto"/>
          <w:sz w:val="24"/>
          <w:highlight w:val="none"/>
        </w:rPr>
      </w:pPr>
      <w:r>
        <w:rPr>
          <w:rFonts w:hint="eastAsia" w:ascii="宋体" w:hAnsi="宋体"/>
          <w:b/>
          <w:bCs/>
          <w:color w:val="auto"/>
          <w:sz w:val="24"/>
          <w:highlight w:val="none"/>
        </w:rPr>
        <w:t>3.3    投标文件编制要求</w:t>
      </w:r>
    </w:p>
    <w:p w14:paraId="65448C36">
      <w:pPr>
        <w:spacing w:line="360" w:lineRule="auto"/>
        <w:ind w:left="850" w:hanging="849" w:hangingChars="354"/>
        <w:rPr>
          <w:rFonts w:hint="eastAsia" w:ascii="宋体" w:hAnsi="宋体"/>
          <w:color w:val="auto"/>
          <w:sz w:val="24"/>
          <w:highlight w:val="none"/>
        </w:rPr>
      </w:pPr>
    </w:p>
    <w:p w14:paraId="24AFB09D">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3.3.1  投标文件应做到清晰、完整，文本、图纸文件</w:t>
      </w:r>
      <w:r>
        <w:rPr>
          <w:rFonts w:ascii="宋体" w:hAnsi="宋体"/>
          <w:color w:val="auto"/>
          <w:sz w:val="24"/>
          <w:highlight w:val="none"/>
        </w:rPr>
        <w:t>大小应满足交易平台</w:t>
      </w:r>
      <w:r>
        <w:rPr>
          <w:rFonts w:hint="eastAsia" w:ascii="宋体" w:hAnsi="宋体"/>
          <w:color w:val="auto"/>
          <w:sz w:val="24"/>
          <w:highlight w:val="none"/>
        </w:rPr>
        <w:t>的</w:t>
      </w:r>
      <w:r>
        <w:rPr>
          <w:rFonts w:ascii="宋体" w:hAnsi="宋体"/>
          <w:color w:val="auto"/>
          <w:sz w:val="24"/>
          <w:highlight w:val="none"/>
        </w:rPr>
        <w:t>要求</w:t>
      </w:r>
      <w:r>
        <w:rPr>
          <w:rFonts w:hint="eastAsia" w:ascii="宋体" w:hAnsi="宋体"/>
          <w:color w:val="auto"/>
          <w:sz w:val="24"/>
          <w:highlight w:val="none"/>
        </w:rPr>
        <w:t>。</w:t>
      </w:r>
      <w:r>
        <w:rPr>
          <w:rFonts w:hint="eastAsia" w:hAnsi="宋体"/>
          <w:color w:val="auto"/>
          <w:sz w:val="24"/>
          <w:highlight w:val="none"/>
        </w:rPr>
        <w:t>除非另有规定，否则投标文件的</w:t>
      </w:r>
      <w:r>
        <w:rPr>
          <w:rFonts w:hint="eastAsia" w:ascii="宋体" w:hAnsi="宋体"/>
          <w:color w:val="auto"/>
          <w:sz w:val="24"/>
          <w:highlight w:val="none"/>
        </w:rPr>
        <w:t>计量单位宜采用国际标准计量单位，尺寸齐全、准确，</w:t>
      </w:r>
      <w:r>
        <w:rPr>
          <w:rFonts w:hint="eastAsia" w:hAnsi="宋体"/>
          <w:color w:val="auto"/>
          <w:sz w:val="24"/>
          <w:highlight w:val="none"/>
        </w:rPr>
        <w:t>所有文字说明和文字标注以中文为准，报价均为人民币，时间均为北京时间。</w:t>
      </w:r>
    </w:p>
    <w:p w14:paraId="72AC0464">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3.3.2  每个投标人报送一个投标方案，投标文件应达到招标文件规定的深度，满足评审需要。不响应招标文件要求的投标文件可能被拒绝，责任由投标人自负。</w:t>
      </w:r>
    </w:p>
    <w:p w14:paraId="25857BC6">
      <w:pPr>
        <w:spacing w:line="360" w:lineRule="auto"/>
        <w:ind w:left="850" w:hanging="849" w:hangingChars="354"/>
        <w:jc w:val="left"/>
        <w:rPr>
          <w:rFonts w:hint="eastAsia" w:ascii="宋体" w:hAnsi="宋体"/>
          <w:color w:val="auto"/>
          <w:kern w:val="0"/>
          <w:sz w:val="24"/>
          <w:highlight w:val="none"/>
        </w:rPr>
      </w:pPr>
      <w:r>
        <w:rPr>
          <w:rFonts w:hint="eastAsia" w:ascii="宋体" w:hAnsi="宋体"/>
          <w:color w:val="auto"/>
          <w:sz w:val="24"/>
          <w:highlight w:val="none"/>
        </w:rPr>
        <w:t xml:space="preserve">3.3.3 </w:t>
      </w:r>
      <w:r>
        <w:rPr>
          <w:rFonts w:hint="eastAsia" w:hAnsi="宋体" w:cs="宋体"/>
          <w:color w:val="auto"/>
          <w:sz w:val="24"/>
          <w:highlight w:val="none"/>
        </w:rPr>
        <w:t xml:space="preserve"> 投标文件全部采用电子文档，投标文件所附证书证件均为原件扫描件或</w:t>
      </w:r>
      <w:r>
        <w:rPr>
          <w:rFonts w:hAnsi="宋体" w:cs="宋体"/>
          <w:color w:val="auto"/>
          <w:sz w:val="24"/>
          <w:highlight w:val="none"/>
        </w:rPr>
        <w:t>电子证书</w:t>
      </w:r>
      <w:r>
        <w:rPr>
          <w:rFonts w:hint="eastAsia" w:hAnsi="宋体" w:cs="宋体"/>
          <w:color w:val="auto"/>
          <w:sz w:val="24"/>
          <w:highlight w:val="none"/>
        </w:rPr>
        <w:t>，并采用单位数字证书，按招标文件要求在相应位置加盖电子印章，投标文件中需个人签字或盖章的，应手签后扫描上传，具体操作详见交易平台发布的相关操作指引。</w:t>
      </w:r>
    </w:p>
    <w:p w14:paraId="3CD4C79E">
      <w:pPr>
        <w:spacing w:line="360" w:lineRule="auto"/>
        <w:ind w:left="850" w:hanging="849" w:hangingChars="354"/>
        <w:rPr>
          <w:rFonts w:hint="eastAsia"/>
          <w:color w:val="auto"/>
          <w:sz w:val="24"/>
          <w:highlight w:val="none"/>
        </w:rPr>
      </w:pPr>
      <w:r>
        <w:rPr>
          <w:rFonts w:hint="eastAsia" w:ascii="宋体" w:hAnsi="宋体"/>
          <w:color w:val="auto"/>
          <w:sz w:val="24"/>
          <w:highlight w:val="none"/>
        </w:rPr>
        <w:t xml:space="preserve">3.3.4  </w:t>
      </w:r>
      <w:r>
        <w:rPr>
          <w:rFonts w:hint="eastAsia" w:hAnsi="宋体" w:cs="宋体"/>
          <w:color w:val="auto"/>
          <w:sz w:val="24"/>
          <w:highlight w:val="none"/>
        </w:rPr>
        <w:t>投标文件加密要求</w:t>
      </w:r>
    </w:p>
    <w:p w14:paraId="7FCF9721">
      <w:pPr>
        <w:spacing w:line="360" w:lineRule="auto"/>
        <w:ind w:left="850" w:hanging="849" w:hangingChars="354"/>
        <w:rPr>
          <w:rFonts w:hint="eastAsia" w:hAnsi="宋体" w:cs="宋体"/>
          <w:color w:val="auto"/>
          <w:sz w:val="24"/>
          <w:highlight w:val="none"/>
        </w:rPr>
      </w:pPr>
      <w:r>
        <w:rPr>
          <w:rFonts w:hint="eastAsia" w:hAnsi="宋体" w:cs="宋体"/>
          <w:color w:val="auto"/>
          <w:sz w:val="24"/>
          <w:highlight w:val="none"/>
        </w:rPr>
        <w:t>3.3.4.1递交的电子投标文件必须进行加密。具体操作详见交易平台发布的相关操作指引。</w:t>
      </w:r>
    </w:p>
    <w:p w14:paraId="26333B3C">
      <w:pPr>
        <w:spacing w:line="360" w:lineRule="auto"/>
        <w:ind w:left="850" w:hanging="849" w:hangingChars="354"/>
        <w:rPr>
          <w:rFonts w:hint="eastAsia" w:hAnsi="宋体" w:cs="宋体"/>
          <w:color w:val="auto"/>
          <w:sz w:val="24"/>
          <w:highlight w:val="none"/>
        </w:rPr>
      </w:pPr>
      <w:r>
        <w:rPr>
          <w:rFonts w:hint="eastAsia" w:hAnsi="宋体" w:cs="宋体"/>
          <w:color w:val="auto"/>
          <w:sz w:val="24"/>
          <w:highlight w:val="none"/>
        </w:rPr>
        <w:t>3.3.4.2 未按要求加密的投标文件，交易平台将予以拒收。</w:t>
      </w:r>
    </w:p>
    <w:p w14:paraId="35A783E2">
      <w:pPr>
        <w:spacing w:line="360" w:lineRule="auto"/>
        <w:ind w:left="850" w:hanging="849" w:hangingChars="354"/>
        <w:rPr>
          <w:rFonts w:hint="eastAsia" w:ascii="宋体" w:hAnsi="宋体"/>
          <w:color w:val="auto"/>
          <w:sz w:val="24"/>
          <w:highlight w:val="none"/>
        </w:rPr>
      </w:pPr>
    </w:p>
    <w:p w14:paraId="11A97D98">
      <w:pPr>
        <w:pStyle w:val="15"/>
        <w:spacing w:line="360" w:lineRule="auto"/>
        <w:ind w:left="853" w:hanging="849" w:hangingChars="354"/>
        <w:rPr>
          <w:rFonts w:hint="eastAsia" w:hAnsi="宋体"/>
          <w:b/>
          <w:bCs/>
          <w:color w:val="auto"/>
          <w:sz w:val="24"/>
          <w:szCs w:val="24"/>
          <w:highlight w:val="none"/>
        </w:rPr>
      </w:pPr>
      <w:r>
        <w:rPr>
          <w:rFonts w:hint="eastAsia" w:hAnsi="宋体"/>
          <w:b/>
          <w:bCs/>
          <w:color w:val="auto"/>
          <w:sz w:val="24"/>
          <w:szCs w:val="24"/>
          <w:highlight w:val="none"/>
        </w:rPr>
        <w:t>3.4    延期</w:t>
      </w:r>
    </w:p>
    <w:p w14:paraId="1DE22D71">
      <w:pPr>
        <w:spacing w:line="360" w:lineRule="auto"/>
        <w:ind w:left="850" w:hanging="849" w:hangingChars="354"/>
        <w:rPr>
          <w:rFonts w:ascii="宋体" w:hAnsi="宋体"/>
          <w:color w:val="auto"/>
          <w:sz w:val="24"/>
          <w:highlight w:val="none"/>
        </w:rPr>
      </w:pPr>
    </w:p>
    <w:p w14:paraId="208FA1A6">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3.4.1  如果招标过程出现监督机构、招标管理机构要求暂停、重新评标等意外情形，招标投标各项期限相应延长</w:t>
      </w:r>
      <w:r>
        <w:rPr>
          <w:rFonts w:hAnsi="宋体"/>
          <w:color w:val="auto"/>
          <w:kern w:val="0"/>
          <w:sz w:val="24"/>
          <w:szCs w:val="24"/>
          <w:highlight w:val="none"/>
        </w:rPr>
        <w:t>。</w:t>
      </w:r>
    </w:p>
    <w:p w14:paraId="61656795">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3.4.2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14:paraId="3C9D3A6E">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3.4.3  </w:t>
      </w:r>
      <w:r>
        <w:rPr>
          <w:rFonts w:hAnsi="宋体"/>
          <w:color w:val="auto"/>
          <w:kern w:val="0"/>
          <w:sz w:val="24"/>
          <w:szCs w:val="24"/>
          <w:highlight w:val="none"/>
        </w:rPr>
        <w:t>某几个</w:t>
      </w:r>
      <w:r>
        <w:rPr>
          <w:rFonts w:hint="eastAsia" w:hAnsi="宋体"/>
          <w:color w:val="auto"/>
          <w:kern w:val="0"/>
          <w:sz w:val="24"/>
          <w:szCs w:val="24"/>
          <w:highlight w:val="none"/>
        </w:rPr>
        <w:t>投标人</w:t>
      </w:r>
      <w:r>
        <w:rPr>
          <w:rFonts w:hAnsi="宋体"/>
          <w:color w:val="auto"/>
          <w:kern w:val="0"/>
          <w:sz w:val="24"/>
          <w:szCs w:val="24"/>
          <w:highlight w:val="none"/>
        </w:rPr>
        <w:t>因无法控制的原因不能</w:t>
      </w:r>
      <w:r>
        <w:rPr>
          <w:rFonts w:hint="eastAsia" w:hAnsi="宋体"/>
          <w:color w:val="auto"/>
          <w:kern w:val="0"/>
          <w:sz w:val="24"/>
          <w:szCs w:val="24"/>
          <w:highlight w:val="none"/>
        </w:rPr>
        <w:t>如</w:t>
      </w:r>
      <w:r>
        <w:rPr>
          <w:rFonts w:hAnsi="宋体"/>
          <w:color w:val="auto"/>
          <w:kern w:val="0"/>
          <w:sz w:val="24"/>
          <w:szCs w:val="24"/>
          <w:highlight w:val="none"/>
        </w:rPr>
        <w:t>期提交投标</w:t>
      </w:r>
      <w:r>
        <w:rPr>
          <w:rFonts w:hint="eastAsia" w:hAnsi="宋体"/>
          <w:color w:val="auto"/>
          <w:kern w:val="0"/>
          <w:sz w:val="24"/>
          <w:szCs w:val="24"/>
          <w:highlight w:val="none"/>
        </w:rPr>
        <w:t>文件</w:t>
      </w:r>
      <w:r>
        <w:rPr>
          <w:rFonts w:hAnsi="宋体"/>
          <w:color w:val="auto"/>
          <w:kern w:val="0"/>
          <w:sz w:val="24"/>
          <w:szCs w:val="24"/>
          <w:highlight w:val="none"/>
        </w:rPr>
        <w:t>，</w:t>
      </w:r>
      <w:r>
        <w:rPr>
          <w:rFonts w:hint="eastAsia" w:hAnsi="宋体"/>
          <w:color w:val="auto"/>
          <w:kern w:val="0"/>
          <w:sz w:val="24"/>
          <w:szCs w:val="24"/>
          <w:highlight w:val="none"/>
        </w:rPr>
        <w:t>影响到提交投标文件的人数少于三人，招标人</w:t>
      </w:r>
      <w:r>
        <w:rPr>
          <w:rFonts w:hAnsi="宋体"/>
          <w:color w:val="auto"/>
          <w:kern w:val="0"/>
          <w:sz w:val="24"/>
          <w:szCs w:val="24"/>
          <w:highlight w:val="none"/>
        </w:rPr>
        <w:t>可以决定展延截止日期。</w:t>
      </w:r>
      <w:r>
        <w:rPr>
          <w:rFonts w:hint="eastAsia" w:hAnsi="宋体"/>
          <w:color w:val="auto"/>
          <w:sz w:val="24"/>
          <w:szCs w:val="24"/>
          <w:highlight w:val="none"/>
        </w:rPr>
        <w:t>延长提交投标文件截标日期和截止时间的决定由招标人作出。</w:t>
      </w:r>
    </w:p>
    <w:p w14:paraId="5F1B9EC9">
      <w:pPr>
        <w:spacing w:line="360" w:lineRule="auto"/>
        <w:ind w:left="850" w:hanging="849" w:hangingChars="354"/>
        <w:rPr>
          <w:rFonts w:hint="eastAsia" w:ascii="宋体" w:hAnsi="宋体"/>
          <w:color w:val="auto"/>
          <w:sz w:val="24"/>
          <w:highlight w:val="none"/>
        </w:rPr>
      </w:pPr>
    </w:p>
    <w:p w14:paraId="2173CA6E">
      <w:pPr>
        <w:spacing w:line="360" w:lineRule="auto"/>
        <w:ind w:left="853" w:hanging="849" w:hangingChars="354"/>
        <w:rPr>
          <w:rFonts w:hint="eastAsia" w:ascii="宋体" w:hAnsi="宋体"/>
          <w:b/>
          <w:bCs/>
          <w:color w:val="auto"/>
          <w:sz w:val="24"/>
          <w:highlight w:val="none"/>
        </w:rPr>
      </w:pPr>
      <w:r>
        <w:rPr>
          <w:rFonts w:hint="eastAsia" w:ascii="宋体" w:hAnsi="宋体"/>
          <w:b/>
          <w:bCs/>
          <w:color w:val="auto"/>
          <w:sz w:val="24"/>
          <w:highlight w:val="none"/>
        </w:rPr>
        <w:t>3.5    投标时间</w:t>
      </w:r>
    </w:p>
    <w:p w14:paraId="380BEF96">
      <w:pPr>
        <w:spacing w:line="360" w:lineRule="auto"/>
        <w:ind w:left="850" w:hanging="849" w:hangingChars="354"/>
        <w:rPr>
          <w:rFonts w:hint="eastAsia" w:ascii="宋体" w:hAnsi="宋体"/>
          <w:color w:val="auto"/>
          <w:sz w:val="24"/>
          <w:highlight w:val="none"/>
        </w:rPr>
      </w:pPr>
    </w:p>
    <w:p w14:paraId="59D2A187">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3.5.1  投标截止时间自本工程招标公告发布之日起计。</w:t>
      </w:r>
    </w:p>
    <w:p w14:paraId="39275B99">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3.5.2  具体投标截止时间以招标人（招标代理机构）的最新通知为准，请各投标人留意交易平台网站发布的本工程相关信息。</w:t>
      </w:r>
    </w:p>
    <w:p w14:paraId="1D12FBAE">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3.5.3  到投标截止时间止，招标人收到的投标文件少于3家的，招标人将重新组织招标（当N个标段同时招标且不允许兼中时，若有效投标人不足N+2家，则重新组织招标）。</w:t>
      </w:r>
    </w:p>
    <w:p w14:paraId="5B79F929">
      <w:pPr>
        <w:spacing w:line="360" w:lineRule="auto"/>
        <w:ind w:left="850" w:hanging="849" w:hangingChars="354"/>
        <w:rPr>
          <w:rFonts w:hint="eastAsia" w:ascii="宋体" w:hAnsi="宋体"/>
          <w:color w:val="auto"/>
          <w:sz w:val="24"/>
          <w:highlight w:val="none"/>
        </w:rPr>
      </w:pPr>
    </w:p>
    <w:p w14:paraId="473FF37B">
      <w:pPr>
        <w:spacing w:line="360" w:lineRule="auto"/>
        <w:ind w:left="853" w:hanging="849" w:hangingChars="354"/>
        <w:rPr>
          <w:rFonts w:hint="eastAsia" w:ascii="宋体" w:hAnsi="宋体"/>
          <w:b/>
          <w:bCs/>
          <w:color w:val="auto"/>
          <w:sz w:val="24"/>
          <w:highlight w:val="none"/>
        </w:rPr>
      </w:pPr>
      <w:r>
        <w:rPr>
          <w:rFonts w:hint="eastAsia" w:ascii="宋体" w:hAnsi="宋体"/>
          <w:b/>
          <w:bCs/>
          <w:color w:val="auto"/>
          <w:sz w:val="24"/>
          <w:highlight w:val="none"/>
        </w:rPr>
        <w:t>3.6    投标文件的递交和接受</w:t>
      </w:r>
    </w:p>
    <w:p w14:paraId="6C8351BF">
      <w:pPr>
        <w:spacing w:line="360" w:lineRule="auto"/>
        <w:ind w:left="850" w:hanging="849" w:hangingChars="354"/>
        <w:rPr>
          <w:rFonts w:ascii="宋体" w:hAnsi="宋体"/>
          <w:color w:val="auto"/>
          <w:sz w:val="24"/>
          <w:highlight w:val="none"/>
        </w:rPr>
      </w:pPr>
    </w:p>
    <w:p w14:paraId="1AB7FE4F">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3.6.1  </w:t>
      </w:r>
      <w:r>
        <w:rPr>
          <w:rFonts w:ascii="宋体" w:hAnsi="宋体"/>
          <w:color w:val="auto"/>
          <w:sz w:val="24"/>
          <w:highlight w:val="none"/>
        </w:rPr>
        <w:t>投标人通过下载招标文件的交易平台递交电子投标文件</w:t>
      </w:r>
      <w:r>
        <w:rPr>
          <w:rFonts w:hint="eastAsia" w:ascii="宋体" w:hAnsi="宋体"/>
          <w:color w:val="auto"/>
          <w:sz w:val="24"/>
          <w:highlight w:val="none"/>
        </w:rPr>
        <w:t>。</w:t>
      </w:r>
    </w:p>
    <w:p w14:paraId="6962D967">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3.6.2  </w:t>
      </w:r>
      <w:r>
        <w:rPr>
          <w:rFonts w:ascii="宋体" w:hAnsi="宋体"/>
          <w:color w:val="auto"/>
          <w:sz w:val="24"/>
          <w:highlight w:val="none"/>
        </w:rPr>
        <w:t>投标人完成电子投标文件上传后，交易平台即时向投标人发出递交回执通知。递交时间以递交回执通知载明的传输完成时间为准。</w:t>
      </w:r>
    </w:p>
    <w:p w14:paraId="79B3E97D">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3.6.3  如按招标公告要求需要提交</w:t>
      </w:r>
      <w:r>
        <w:rPr>
          <w:rFonts w:hint="eastAsia" w:ascii="宋体" w:hAnsi="宋体" w:cs="宋体"/>
          <w:color w:val="auto"/>
          <w:sz w:val="24"/>
          <w:highlight w:val="none"/>
        </w:rPr>
        <w:t>投标文件光盘（备用），备用光盘不得加密。如使用投标文件光盘（备用）时无法读取或导入的，则视为未提交投标文件。</w:t>
      </w:r>
    </w:p>
    <w:p w14:paraId="05A94641">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 xml:space="preserve">3.6.4  </w:t>
      </w:r>
      <w:r>
        <w:rPr>
          <w:rFonts w:ascii="宋体" w:hAnsi="宋体" w:cs="宋体"/>
          <w:color w:val="auto"/>
          <w:sz w:val="24"/>
          <w:highlight w:val="none"/>
        </w:rPr>
        <w:t>逾期送达的投标文件，交易平台将予以拒收。</w:t>
      </w:r>
    </w:p>
    <w:p w14:paraId="02EECBF1">
      <w:pPr>
        <w:spacing w:line="360" w:lineRule="auto"/>
        <w:ind w:left="850" w:hanging="849" w:hangingChars="354"/>
        <w:jc w:val="left"/>
        <w:rPr>
          <w:rFonts w:hint="eastAsia" w:ascii="宋体" w:hAnsi="宋体" w:cs="宋体"/>
          <w:color w:val="auto"/>
          <w:sz w:val="24"/>
          <w:highlight w:val="none"/>
        </w:rPr>
      </w:pPr>
    </w:p>
    <w:p w14:paraId="0AE04D3F">
      <w:pPr>
        <w:spacing w:line="360" w:lineRule="auto"/>
        <w:ind w:left="853" w:hanging="849" w:hangingChars="354"/>
        <w:jc w:val="left"/>
        <w:rPr>
          <w:rFonts w:hint="eastAsia"/>
          <w:b/>
          <w:color w:val="auto"/>
          <w:sz w:val="24"/>
          <w:highlight w:val="none"/>
        </w:rPr>
      </w:pPr>
      <w:r>
        <w:rPr>
          <w:rFonts w:hint="eastAsia" w:ascii="宋体" w:hAnsi="宋体"/>
          <w:b/>
          <w:color w:val="auto"/>
          <w:sz w:val="24"/>
          <w:highlight w:val="none"/>
        </w:rPr>
        <w:t xml:space="preserve">3.7    </w:t>
      </w:r>
      <w:r>
        <w:rPr>
          <w:b/>
          <w:color w:val="auto"/>
          <w:sz w:val="24"/>
          <w:highlight w:val="none"/>
        </w:rPr>
        <w:t>投标文件的修改与撤回</w:t>
      </w:r>
    </w:p>
    <w:p w14:paraId="27ED91FC">
      <w:pPr>
        <w:spacing w:line="360" w:lineRule="auto"/>
        <w:ind w:left="853" w:hanging="849" w:hangingChars="354"/>
        <w:jc w:val="left"/>
        <w:rPr>
          <w:rFonts w:hint="eastAsia"/>
          <w:b/>
          <w:color w:val="auto"/>
          <w:sz w:val="24"/>
          <w:highlight w:val="none"/>
        </w:rPr>
      </w:pPr>
    </w:p>
    <w:p w14:paraId="3500DEDA">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 xml:space="preserve">3.7.1  </w:t>
      </w:r>
      <w:r>
        <w:rPr>
          <w:rFonts w:ascii="宋体" w:hAnsi="宋体" w:cs="宋体"/>
          <w:color w:val="auto"/>
          <w:sz w:val="24"/>
          <w:highlight w:val="none"/>
        </w:rPr>
        <w:t>在规定的投标截止时间前，投标人可以修改或撤回已递交的投标文件。</w:t>
      </w:r>
    </w:p>
    <w:p w14:paraId="3143BE42">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 xml:space="preserve">3.7.2  </w:t>
      </w:r>
      <w:r>
        <w:rPr>
          <w:rFonts w:hint="eastAsia" w:ascii="宋体" w:hAnsi="宋体" w:cs="宋体"/>
          <w:color w:val="auto"/>
          <w:sz w:val="24"/>
          <w:highlight w:val="none"/>
        </w:rPr>
        <w:t>投标人修改或撤回已递交的投标文件，需在交易平台发出撤回通知，并按要求加盖电子印章。电子招标投标交易平台收到通知后，即时向投标人发布确认回执通知。</w:t>
      </w:r>
    </w:p>
    <w:p w14:paraId="36A89951">
      <w:pPr>
        <w:spacing w:line="360" w:lineRule="auto"/>
        <w:ind w:left="850" w:hanging="849" w:hangingChars="354"/>
        <w:jc w:val="left"/>
        <w:rPr>
          <w:rFonts w:hint="eastAsia" w:ascii="宋体" w:hAnsi="宋体" w:cs="宋体"/>
          <w:color w:val="auto"/>
          <w:sz w:val="24"/>
          <w:highlight w:val="none"/>
        </w:rPr>
      </w:pPr>
      <w:r>
        <w:rPr>
          <w:rFonts w:hint="eastAsia" w:ascii="宋体" w:hAnsi="宋体" w:cs="宋体"/>
          <w:color w:val="auto"/>
          <w:sz w:val="24"/>
          <w:highlight w:val="none"/>
        </w:rPr>
        <w:t>3.7.3  修改后再次递交的，按3.6的规定执行。</w:t>
      </w:r>
    </w:p>
    <w:p w14:paraId="3C7847D0">
      <w:pPr>
        <w:spacing w:line="360" w:lineRule="auto"/>
        <w:ind w:left="850" w:hanging="849" w:hangingChars="354"/>
        <w:jc w:val="left"/>
        <w:rPr>
          <w:rFonts w:hint="eastAsia" w:ascii="宋体" w:hAnsi="宋体" w:cs="宋体"/>
          <w:color w:val="auto"/>
          <w:sz w:val="24"/>
          <w:highlight w:val="none"/>
        </w:rPr>
      </w:pPr>
      <w:r>
        <w:rPr>
          <w:rFonts w:hint="eastAsia" w:ascii="宋体" w:hAnsi="宋体" w:cs="宋体"/>
          <w:color w:val="auto"/>
          <w:sz w:val="24"/>
          <w:highlight w:val="none"/>
        </w:rPr>
        <w:t>3.7.4  在投标截止时间后，投标人不得补充、修改或更换投标文件。</w:t>
      </w:r>
    </w:p>
    <w:p w14:paraId="41790FE8">
      <w:pPr>
        <w:spacing w:line="360" w:lineRule="auto"/>
        <w:ind w:left="850" w:hanging="849" w:hangingChars="354"/>
        <w:jc w:val="left"/>
        <w:rPr>
          <w:rFonts w:hint="eastAsia" w:ascii="宋体" w:hAnsi="宋体" w:cs="宋体"/>
          <w:color w:val="auto"/>
          <w:sz w:val="24"/>
          <w:highlight w:val="none"/>
        </w:rPr>
      </w:pPr>
    </w:p>
    <w:p w14:paraId="49E2D9F1">
      <w:pPr>
        <w:spacing w:line="360" w:lineRule="auto"/>
        <w:ind w:left="853" w:hanging="849" w:hangingChars="354"/>
        <w:jc w:val="left"/>
        <w:rPr>
          <w:rFonts w:hint="eastAsia"/>
          <w:b/>
          <w:color w:val="auto"/>
          <w:sz w:val="24"/>
          <w:highlight w:val="none"/>
        </w:rPr>
      </w:pPr>
      <w:r>
        <w:rPr>
          <w:rFonts w:hint="eastAsia" w:ascii="宋体" w:hAnsi="宋体"/>
          <w:b/>
          <w:color w:val="auto"/>
          <w:sz w:val="24"/>
          <w:highlight w:val="none"/>
        </w:rPr>
        <w:t xml:space="preserve">3.8    </w:t>
      </w:r>
      <w:r>
        <w:rPr>
          <w:rFonts w:hint="eastAsia"/>
          <w:b/>
          <w:color w:val="auto"/>
          <w:sz w:val="24"/>
          <w:highlight w:val="none"/>
        </w:rPr>
        <w:t>电子招标投标解密失败及突发状况的补救</w:t>
      </w:r>
    </w:p>
    <w:p w14:paraId="6B0E1140">
      <w:pPr>
        <w:spacing w:line="360" w:lineRule="auto"/>
        <w:ind w:left="853" w:hanging="849" w:hangingChars="354"/>
        <w:jc w:val="left"/>
        <w:rPr>
          <w:rFonts w:hint="eastAsia"/>
          <w:b/>
          <w:color w:val="auto"/>
          <w:sz w:val="24"/>
          <w:highlight w:val="none"/>
        </w:rPr>
      </w:pPr>
    </w:p>
    <w:p w14:paraId="547BE293">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3.8.1  提交投标文件光盘备用</w:t>
      </w:r>
    </w:p>
    <w:p w14:paraId="33D13D8B">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52A8BE2D">
      <w:pPr>
        <w:spacing w:line="360" w:lineRule="auto"/>
        <w:ind w:left="850" w:hanging="849" w:hangingChars="354"/>
        <w:jc w:val="left"/>
        <w:rPr>
          <w:rFonts w:hint="eastAsia" w:ascii="宋体" w:hAnsi="宋体" w:cs="宋体"/>
          <w:color w:val="auto"/>
          <w:sz w:val="24"/>
          <w:highlight w:val="none"/>
        </w:rPr>
      </w:pPr>
      <w:r>
        <w:rPr>
          <w:rFonts w:hint="eastAsia" w:ascii="宋体" w:hAnsi="宋体" w:cs="宋体"/>
          <w:color w:val="auto"/>
          <w:sz w:val="24"/>
          <w:highlight w:val="none"/>
        </w:rPr>
        <w:t>3.8.2  补救方案</w:t>
      </w:r>
    </w:p>
    <w:p w14:paraId="33F4D805">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3.8.2.1</w:t>
      </w:r>
      <w:r>
        <w:rPr>
          <w:rFonts w:hint="eastAsia" w:ascii="宋体" w:hAnsi="宋体" w:cs="宋体"/>
          <w:color w:val="auto"/>
          <w:sz w:val="24"/>
          <w:highlight w:val="non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9BF9883">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3.8.2.2</w:t>
      </w:r>
      <w:r>
        <w:rPr>
          <w:rFonts w:hint="eastAsia" w:ascii="宋体" w:hAnsi="宋体" w:cs="宋体"/>
          <w:color w:val="auto"/>
          <w:sz w:val="24"/>
          <w:highlight w:val="non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6AAC49ED">
      <w:pPr>
        <w:spacing w:line="360" w:lineRule="auto"/>
        <w:ind w:left="850" w:hanging="849" w:hangingChars="354"/>
        <w:jc w:val="left"/>
        <w:rPr>
          <w:rFonts w:hint="eastAsia" w:ascii="宋体" w:hAnsi="宋体" w:cs="宋体"/>
          <w:color w:val="auto"/>
          <w:sz w:val="24"/>
          <w:highlight w:val="none"/>
        </w:rPr>
      </w:pPr>
      <w:r>
        <w:rPr>
          <w:rFonts w:hint="eastAsia" w:ascii="宋体" w:hAnsi="宋体"/>
          <w:color w:val="auto"/>
          <w:sz w:val="24"/>
          <w:highlight w:val="none"/>
        </w:rPr>
        <w:t>3.8.2.3</w:t>
      </w:r>
      <w:r>
        <w:rPr>
          <w:rFonts w:hint="eastAsia" w:ascii="宋体" w:hAnsi="宋体" w:cs="宋体"/>
          <w:color w:val="auto"/>
          <w:sz w:val="24"/>
          <w:highlight w:val="none"/>
        </w:rPr>
        <w:t>除发生上述情况外，开标评标均以</w:t>
      </w:r>
      <w:bookmarkStart w:id="14" w:name="OLE_LINK17"/>
      <w:r>
        <w:rPr>
          <w:rFonts w:hint="eastAsia" w:ascii="宋体" w:hAnsi="宋体" w:cs="宋体"/>
          <w:color w:val="auto"/>
          <w:sz w:val="24"/>
          <w:highlight w:val="none"/>
        </w:rPr>
        <w:t>投标人通过交易平台网上递交的电子投标文件</w:t>
      </w:r>
      <w:bookmarkEnd w:id="14"/>
      <w:r>
        <w:rPr>
          <w:rFonts w:hint="eastAsia" w:ascii="宋体" w:hAnsi="宋体" w:cs="宋体"/>
          <w:color w:val="auto"/>
          <w:sz w:val="24"/>
          <w:highlight w:val="none"/>
        </w:rPr>
        <w:t>为准。</w:t>
      </w:r>
    </w:p>
    <w:p w14:paraId="2A8A79E7">
      <w:pPr>
        <w:spacing w:line="360" w:lineRule="auto"/>
        <w:ind w:left="850" w:hanging="849" w:hangingChars="354"/>
        <w:jc w:val="left"/>
        <w:rPr>
          <w:rFonts w:hint="eastAsia"/>
          <w:color w:val="auto"/>
          <w:sz w:val="24"/>
          <w:highlight w:val="none"/>
        </w:rPr>
      </w:pPr>
    </w:p>
    <w:p w14:paraId="0D6C1037">
      <w:pPr>
        <w:spacing w:line="360" w:lineRule="auto"/>
        <w:ind w:left="853" w:hanging="849" w:hangingChars="354"/>
        <w:rPr>
          <w:rFonts w:hint="eastAsia" w:ascii="宋体" w:hAnsi="宋体"/>
          <w:b/>
          <w:bCs/>
          <w:color w:val="auto"/>
          <w:sz w:val="24"/>
          <w:highlight w:val="none"/>
        </w:rPr>
      </w:pPr>
      <w:r>
        <w:rPr>
          <w:rFonts w:hint="eastAsia" w:ascii="宋体" w:hAnsi="宋体"/>
          <w:b/>
          <w:bCs/>
          <w:color w:val="auto"/>
          <w:sz w:val="24"/>
          <w:highlight w:val="none"/>
        </w:rPr>
        <w:t>3.9    开标及投标文件编号</w:t>
      </w:r>
    </w:p>
    <w:p w14:paraId="138A92CB">
      <w:pPr>
        <w:spacing w:line="360" w:lineRule="auto"/>
        <w:ind w:left="850" w:hanging="849" w:hangingChars="354"/>
        <w:jc w:val="left"/>
        <w:rPr>
          <w:rFonts w:hint="eastAsia" w:ascii="宋体" w:hAnsi="宋体"/>
          <w:color w:val="auto"/>
          <w:sz w:val="24"/>
          <w:highlight w:val="none"/>
        </w:rPr>
      </w:pPr>
    </w:p>
    <w:p w14:paraId="3EFBEFF7">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3.9.1  在投标截止时间后一个小时内，投标人通过</w:t>
      </w:r>
      <w:r>
        <w:rPr>
          <w:rFonts w:hint="eastAsia" w:ascii="宋体" w:hAnsi="宋体"/>
          <w:color w:val="auto"/>
          <w:sz w:val="24"/>
          <w:highlight w:val="none"/>
          <w:u w:val="single"/>
        </w:rPr>
        <w:t>递交投标</w:t>
      </w:r>
      <w:r>
        <w:rPr>
          <w:rFonts w:ascii="宋体" w:hAnsi="宋体"/>
          <w:color w:val="auto"/>
          <w:sz w:val="24"/>
          <w:highlight w:val="none"/>
          <w:u w:val="single"/>
        </w:rPr>
        <w:t>文件的</w:t>
      </w:r>
      <w:r>
        <w:rPr>
          <w:rFonts w:hint="eastAsia" w:ascii="宋体" w:hAnsi="宋体"/>
          <w:color w:val="auto"/>
          <w:sz w:val="24"/>
          <w:highlight w:val="none"/>
        </w:rPr>
        <w:t>交易平台对已递交的电子投标文件进行解密。投标人完成解密后，再由招标人进行解密。解密完成后，公布招标项目名称、投标人名称、开标信封文件和资格审查文件（如有）。未在规定时间内解密的投标</w:t>
      </w:r>
      <w:r>
        <w:rPr>
          <w:rFonts w:ascii="宋体" w:hAnsi="宋体"/>
          <w:color w:val="auto"/>
          <w:sz w:val="24"/>
          <w:highlight w:val="none"/>
        </w:rPr>
        <w:t>文件不参与开标</w:t>
      </w:r>
      <w:r>
        <w:rPr>
          <w:rFonts w:hint="eastAsia" w:ascii="宋体" w:hAnsi="宋体"/>
          <w:color w:val="auto"/>
          <w:sz w:val="24"/>
          <w:highlight w:val="none"/>
        </w:rPr>
        <w:t>、评标</w:t>
      </w:r>
      <w:r>
        <w:rPr>
          <w:rFonts w:ascii="宋体" w:hAnsi="宋体"/>
          <w:color w:val="auto"/>
          <w:sz w:val="24"/>
          <w:highlight w:val="none"/>
        </w:rPr>
        <w:t>。</w:t>
      </w:r>
    </w:p>
    <w:p w14:paraId="2CF99B68">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3.9.2  截标后，开标开始时间因故推迟的，相关评标信息仍以原定的开标开始时间的信息为准。</w:t>
      </w:r>
    </w:p>
    <w:p w14:paraId="703A9FC7">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3.9.3  备用光盘的读取按3</w:t>
      </w:r>
      <w:r>
        <w:rPr>
          <w:rFonts w:ascii="宋体" w:hAnsi="宋体"/>
          <w:color w:val="auto"/>
          <w:sz w:val="24"/>
          <w:highlight w:val="none"/>
        </w:rPr>
        <w:t>.8.2</w:t>
      </w:r>
      <w:r>
        <w:rPr>
          <w:rFonts w:hint="eastAsia" w:ascii="宋体" w:hAnsi="宋体"/>
          <w:color w:val="auto"/>
          <w:sz w:val="24"/>
          <w:highlight w:val="none"/>
        </w:rPr>
        <w:t>的规定执行。</w:t>
      </w:r>
    </w:p>
    <w:p w14:paraId="06868821">
      <w:pPr>
        <w:spacing w:line="360" w:lineRule="auto"/>
        <w:ind w:left="850" w:hanging="849" w:hangingChars="354"/>
        <w:rPr>
          <w:rFonts w:ascii="宋体" w:hAnsi="宋体"/>
          <w:color w:val="auto"/>
          <w:sz w:val="24"/>
          <w:highlight w:val="none"/>
        </w:rPr>
      </w:pPr>
      <w:r>
        <w:rPr>
          <w:rFonts w:hint="eastAsia" w:ascii="宋体" w:hAnsi="宋体"/>
          <w:color w:val="auto"/>
          <w:sz w:val="24"/>
          <w:highlight w:val="none"/>
        </w:rPr>
        <w:t>3.9.</w:t>
      </w:r>
      <w:r>
        <w:rPr>
          <w:rFonts w:ascii="宋体" w:hAnsi="宋体"/>
          <w:color w:val="auto"/>
          <w:sz w:val="24"/>
          <w:highlight w:val="none"/>
        </w:rPr>
        <w:t>4</w:t>
      </w:r>
      <w:r>
        <w:rPr>
          <w:rFonts w:hint="eastAsia" w:ascii="宋体" w:hAnsi="宋体"/>
          <w:color w:val="auto"/>
          <w:sz w:val="24"/>
          <w:highlight w:val="none"/>
        </w:rPr>
        <w:t xml:space="preserve">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00E2633">
      <w:pPr>
        <w:spacing w:line="360" w:lineRule="auto"/>
        <w:ind w:left="850" w:hanging="849" w:hangingChars="354"/>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.9.5  </w:t>
      </w:r>
      <w:r>
        <w:rPr>
          <w:rFonts w:hint="eastAsia" w:ascii="宋体" w:hAnsi="宋体"/>
          <w:color w:val="auto"/>
          <w:sz w:val="24"/>
          <w:highlight w:val="none"/>
        </w:rPr>
        <w:t>开标</w:t>
      </w:r>
      <w:r>
        <w:rPr>
          <w:rFonts w:ascii="宋体" w:hAnsi="宋体"/>
          <w:color w:val="auto"/>
          <w:sz w:val="24"/>
          <w:highlight w:val="none"/>
        </w:rPr>
        <w:t>方式</w:t>
      </w:r>
      <w:r>
        <w:rPr>
          <w:rFonts w:hint="eastAsia" w:ascii="宋体" w:hAnsi="宋体"/>
          <w:color w:val="auto"/>
          <w:sz w:val="24"/>
          <w:highlight w:val="none"/>
        </w:rPr>
        <w:t>采用</w:t>
      </w:r>
      <w:r>
        <w:rPr>
          <w:rFonts w:ascii="宋体" w:hAnsi="宋体"/>
          <w:color w:val="auto"/>
          <w:sz w:val="24"/>
          <w:highlight w:val="none"/>
        </w:rPr>
        <w:t>电子</w:t>
      </w:r>
      <w:r>
        <w:rPr>
          <w:rFonts w:hint="eastAsia" w:ascii="宋体" w:hAnsi="宋体"/>
          <w:color w:val="auto"/>
          <w:sz w:val="24"/>
          <w:highlight w:val="none"/>
        </w:rPr>
        <w:t>开标和现场</w:t>
      </w:r>
      <w:r>
        <w:rPr>
          <w:rFonts w:ascii="宋体" w:hAnsi="宋体"/>
          <w:color w:val="auto"/>
          <w:sz w:val="24"/>
          <w:highlight w:val="none"/>
        </w:rPr>
        <w:t>开标</w:t>
      </w:r>
      <w:r>
        <w:rPr>
          <w:rFonts w:hint="eastAsia" w:ascii="宋体" w:hAnsi="宋体"/>
          <w:color w:val="auto"/>
          <w:sz w:val="24"/>
          <w:highlight w:val="none"/>
        </w:rPr>
        <w:t>两种</w:t>
      </w:r>
      <w:r>
        <w:rPr>
          <w:rFonts w:ascii="宋体" w:hAnsi="宋体"/>
          <w:color w:val="auto"/>
          <w:sz w:val="24"/>
          <w:highlight w:val="none"/>
        </w:rPr>
        <w:t>模式</w:t>
      </w:r>
      <w:r>
        <w:rPr>
          <w:rFonts w:hint="eastAsia" w:ascii="宋体" w:hAnsi="宋体"/>
          <w:color w:val="auto"/>
          <w:sz w:val="24"/>
          <w:highlight w:val="none"/>
        </w:rPr>
        <w:t>，投标人可</w:t>
      </w:r>
      <w:r>
        <w:rPr>
          <w:rFonts w:ascii="宋体" w:hAnsi="宋体"/>
          <w:color w:val="auto"/>
          <w:sz w:val="24"/>
          <w:highlight w:val="none"/>
        </w:rPr>
        <w:t>选择在开标室参与开标或</w:t>
      </w:r>
      <w:r>
        <w:rPr>
          <w:rFonts w:hint="eastAsia" w:ascii="宋体" w:hAnsi="宋体"/>
          <w:color w:val="auto"/>
          <w:sz w:val="24"/>
          <w:highlight w:val="none"/>
        </w:rPr>
        <w:t>准时在线参加开标，</w:t>
      </w:r>
      <w:r>
        <w:rPr>
          <w:rFonts w:ascii="宋体" w:hAnsi="宋体"/>
          <w:color w:val="auto"/>
          <w:sz w:val="24"/>
          <w:highlight w:val="none"/>
        </w:rPr>
        <w:t>也可不参加开标</w:t>
      </w:r>
      <w:r>
        <w:rPr>
          <w:rFonts w:hint="eastAsia" w:ascii="宋体" w:hAnsi="宋体"/>
          <w:color w:val="auto"/>
          <w:sz w:val="24"/>
          <w:highlight w:val="none"/>
        </w:rPr>
        <w:t>。参加</w:t>
      </w:r>
      <w:r>
        <w:rPr>
          <w:rFonts w:ascii="宋体" w:hAnsi="宋体"/>
          <w:color w:val="auto"/>
          <w:sz w:val="24"/>
          <w:highlight w:val="none"/>
        </w:rPr>
        <w:t>在线开标的投标人登录交易平台实时查看开标</w:t>
      </w:r>
      <w:r>
        <w:rPr>
          <w:rFonts w:hint="eastAsia" w:ascii="宋体" w:hAnsi="宋体"/>
          <w:color w:val="auto"/>
          <w:sz w:val="24"/>
          <w:highlight w:val="none"/>
        </w:rPr>
        <w:t>、</w:t>
      </w:r>
      <w:r>
        <w:rPr>
          <w:rFonts w:ascii="宋体" w:hAnsi="宋体"/>
          <w:color w:val="auto"/>
          <w:sz w:val="24"/>
          <w:highlight w:val="none"/>
        </w:rPr>
        <w:t>唱标情况</w:t>
      </w:r>
      <w:r>
        <w:rPr>
          <w:rFonts w:hint="eastAsia" w:ascii="宋体" w:hAnsi="宋体"/>
          <w:color w:val="auto"/>
          <w:sz w:val="24"/>
          <w:highlight w:val="none"/>
        </w:rPr>
        <w:t>。交易平台生成开标记录并向社会公众公布。</w:t>
      </w:r>
    </w:p>
    <w:p w14:paraId="29E06D7B">
      <w:pPr>
        <w:spacing w:line="360" w:lineRule="auto"/>
        <w:ind w:left="850" w:hanging="849" w:hangingChars="354"/>
        <w:rPr>
          <w:rFonts w:ascii="宋体" w:hAnsi="宋体"/>
          <w:color w:val="auto"/>
          <w:sz w:val="24"/>
          <w:highlight w:val="none"/>
        </w:rPr>
      </w:pPr>
      <w:r>
        <w:rPr>
          <w:rFonts w:hint="eastAsia" w:ascii="宋体" w:hAnsi="宋体"/>
          <w:color w:val="auto"/>
          <w:sz w:val="24"/>
          <w:highlight w:val="none"/>
        </w:rPr>
        <w:t>3.9.6  参加</w:t>
      </w:r>
      <w:r>
        <w:rPr>
          <w:rFonts w:ascii="宋体" w:hAnsi="宋体"/>
          <w:color w:val="auto"/>
          <w:sz w:val="24"/>
          <w:highlight w:val="none"/>
        </w:rPr>
        <w:t>现场开标的投标人对开标结果有异议的，应当在开标现场提出，招标人应当当场作出答复，并制作记录。</w:t>
      </w:r>
    </w:p>
    <w:p w14:paraId="0FEFD456">
      <w:pPr>
        <w:spacing w:line="360" w:lineRule="auto"/>
        <w:ind w:left="850" w:hanging="849" w:hangingChars="354"/>
        <w:rPr>
          <w:rFonts w:ascii="宋体" w:hAnsi="宋体"/>
          <w:color w:val="auto"/>
          <w:sz w:val="24"/>
          <w:highlight w:val="none"/>
        </w:rPr>
      </w:pPr>
      <w:r>
        <w:rPr>
          <w:rFonts w:ascii="宋体" w:hAnsi="宋体"/>
          <w:color w:val="auto"/>
          <w:sz w:val="24"/>
          <w:highlight w:val="none"/>
        </w:rPr>
        <w:t xml:space="preserve">3.9.7  </w:t>
      </w:r>
      <w:r>
        <w:rPr>
          <w:rFonts w:hint="eastAsia" w:ascii="宋体" w:hAnsi="宋体"/>
          <w:color w:val="auto"/>
          <w:sz w:val="24"/>
          <w:highlight w:val="none"/>
        </w:rPr>
        <w:t>参加</w:t>
      </w:r>
      <w:r>
        <w:rPr>
          <w:rFonts w:ascii="宋体" w:hAnsi="宋体"/>
          <w:color w:val="auto"/>
          <w:sz w:val="24"/>
          <w:highlight w:val="none"/>
        </w:rPr>
        <w:t>在线开标的</w:t>
      </w:r>
      <w:r>
        <w:rPr>
          <w:rFonts w:hint="eastAsia" w:ascii="宋体" w:hAnsi="宋体"/>
          <w:color w:val="auto"/>
          <w:sz w:val="24"/>
          <w:highlight w:val="none"/>
        </w:rPr>
        <w:t>投标人对开标结果有异议的，应当在唱标</w:t>
      </w:r>
      <w:r>
        <w:rPr>
          <w:rFonts w:ascii="宋体" w:hAnsi="宋体"/>
          <w:color w:val="auto"/>
          <w:sz w:val="24"/>
          <w:highlight w:val="none"/>
        </w:rPr>
        <w:t>结束后</w:t>
      </w:r>
      <w:r>
        <w:rPr>
          <w:rFonts w:hint="eastAsia" w:ascii="宋体" w:hAnsi="宋体"/>
          <w:color w:val="auto"/>
          <w:sz w:val="24"/>
          <w:highlight w:val="none"/>
        </w:rPr>
        <w:t>的规定</w:t>
      </w:r>
      <w:r>
        <w:rPr>
          <w:rFonts w:ascii="宋体" w:hAnsi="宋体"/>
          <w:color w:val="auto"/>
          <w:sz w:val="24"/>
          <w:highlight w:val="none"/>
        </w:rPr>
        <w:t>时间内</w:t>
      </w:r>
      <w:r>
        <w:rPr>
          <w:rFonts w:hint="eastAsia" w:ascii="宋体" w:hAnsi="宋体"/>
          <w:color w:val="auto"/>
          <w:sz w:val="24"/>
          <w:highlight w:val="none"/>
        </w:rPr>
        <w:t>、</w:t>
      </w:r>
      <w:r>
        <w:rPr>
          <w:rFonts w:ascii="宋体" w:hAnsi="宋体"/>
          <w:color w:val="auto"/>
          <w:sz w:val="24"/>
          <w:highlight w:val="none"/>
        </w:rPr>
        <w:t>使用单位数字证书登录交易平台后通过交易平台提出。</w:t>
      </w:r>
      <w:r>
        <w:rPr>
          <w:rFonts w:hint="eastAsia" w:ascii="宋体" w:hAnsi="宋体"/>
          <w:color w:val="auto"/>
          <w:sz w:val="24"/>
          <w:highlight w:val="none"/>
        </w:rPr>
        <w:t>招标人</w:t>
      </w:r>
      <w:r>
        <w:rPr>
          <w:rFonts w:ascii="宋体" w:hAnsi="宋体"/>
          <w:color w:val="auto"/>
          <w:sz w:val="24"/>
          <w:highlight w:val="none"/>
        </w:rPr>
        <w:t>授权招标代理机构</w:t>
      </w:r>
      <w:r>
        <w:rPr>
          <w:rFonts w:hint="eastAsia" w:ascii="宋体" w:hAnsi="宋体"/>
          <w:color w:val="auto"/>
          <w:sz w:val="24"/>
          <w:highlight w:val="none"/>
        </w:rPr>
        <w:t>工作</w:t>
      </w:r>
      <w:r>
        <w:rPr>
          <w:rFonts w:ascii="宋体" w:hAnsi="宋体"/>
          <w:color w:val="auto"/>
          <w:sz w:val="24"/>
          <w:highlight w:val="none"/>
        </w:rPr>
        <w:t>人员使用</w:t>
      </w:r>
      <w:r>
        <w:rPr>
          <w:rFonts w:hint="eastAsia" w:ascii="宋体" w:hAnsi="宋体"/>
          <w:color w:val="auto"/>
          <w:sz w:val="24"/>
          <w:highlight w:val="none"/>
        </w:rPr>
        <w:t>招标</w:t>
      </w:r>
      <w:r>
        <w:rPr>
          <w:rFonts w:ascii="宋体" w:hAnsi="宋体"/>
          <w:color w:val="auto"/>
          <w:sz w:val="24"/>
          <w:highlight w:val="none"/>
        </w:rPr>
        <w:t>代理机构数字证书登录交易平台答复异议，异议答复是招标人真实意</w:t>
      </w:r>
      <w:r>
        <w:rPr>
          <w:rFonts w:hint="eastAsia" w:ascii="宋体" w:hAnsi="宋体"/>
          <w:color w:val="auto"/>
          <w:sz w:val="24"/>
          <w:highlight w:val="none"/>
        </w:rPr>
        <w:t>思表示</w:t>
      </w:r>
      <w:r>
        <w:rPr>
          <w:rFonts w:ascii="宋体" w:hAnsi="宋体"/>
          <w:color w:val="auto"/>
          <w:sz w:val="24"/>
          <w:highlight w:val="none"/>
        </w:rPr>
        <w:t>。</w:t>
      </w:r>
      <w:r>
        <w:rPr>
          <w:rFonts w:hint="eastAsia" w:ascii="宋体" w:hAnsi="宋体"/>
          <w:color w:val="auto"/>
          <w:sz w:val="24"/>
          <w:highlight w:val="none"/>
        </w:rPr>
        <w:t>未答复</w:t>
      </w:r>
      <w:r>
        <w:rPr>
          <w:rFonts w:ascii="宋体" w:hAnsi="宋体"/>
          <w:color w:val="auto"/>
          <w:sz w:val="24"/>
          <w:highlight w:val="none"/>
        </w:rPr>
        <w:t>的，开标程序不得结束。</w:t>
      </w:r>
    </w:p>
    <w:p w14:paraId="2CEF5420">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3.9.8  投标人</w:t>
      </w:r>
      <w:r>
        <w:rPr>
          <w:rFonts w:ascii="宋体" w:hAnsi="宋体"/>
          <w:color w:val="auto"/>
          <w:sz w:val="24"/>
          <w:highlight w:val="none"/>
        </w:rPr>
        <w:t>未参加开标或在规定的时间内未提出异议的，视为对开标无异议。</w:t>
      </w:r>
    </w:p>
    <w:p w14:paraId="097057E9">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w:t>
      </w:r>
      <w:r>
        <w:rPr>
          <w:rFonts w:ascii="宋体" w:hAnsi="宋体"/>
          <w:color w:val="auto"/>
          <w:sz w:val="24"/>
          <w:highlight w:val="none"/>
        </w:rPr>
        <w:t>9</w:t>
      </w:r>
      <w:r>
        <w:rPr>
          <w:rFonts w:hint="eastAsia" w:ascii="宋体" w:hAnsi="宋体"/>
          <w:color w:val="auto"/>
          <w:sz w:val="24"/>
          <w:highlight w:val="none"/>
        </w:rPr>
        <w:t xml:space="preserve">  开标时，两个（含两个）以上的投标人加密打包投标文件电脑机器特征码一致的，不参与下一程序，并由评标委员会否决其投标。</w:t>
      </w:r>
    </w:p>
    <w:p w14:paraId="0CCF6402">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3.9.</w:t>
      </w:r>
      <w:r>
        <w:rPr>
          <w:rFonts w:ascii="宋体" w:hAnsi="宋体"/>
          <w:color w:val="auto"/>
          <w:sz w:val="24"/>
          <w:highlight w:val="none"/>
        </w:rPr>
        <w:t xml:space="preserve">10 </w:t>
      </w:r>
      <w:r>
        <w:rPr>
          <w:rFonts w:hint="eastAsia" w:ascii="宋体" w:hAnsi="宋体"/>
          <w:color w:val="auto"/>
          <w:sz w:val="24"/>
          <w:highlight w:val="none"/>
        </w:rPr>
        <w:t>投标文件（设计方案）开标时不得开启，在</w:t>
      </w:r>
      <w:r>
        <w:rPr>
          <w:rFonts w:ascii="宋体" w:hAnsi="宋体"/>
          <w:color w:val="auto"/>
          <w:sz w:val="24"/>
          <w:highlight w:val="none"/>
        </w:rPr>
        <w:t>评标</w:t>
      </w:r>
      <w:r>
        <w:rPr>
          <w:rFonts w:hint="eastAsia" w:ascii="宋体" w:hAnsi="宋体"/>
          <w:color w:val="auto"/>
          <w:sz w:val="24"/>
          <w:highlight w:val="none"/>
        </w:rPr>
        <w:t>时由</w:t>
      </w:r>
      <w:r>
        <w:rPr>
          <w:rFonts w:ascii="宋体" w:hAnsi="宋体"/>
          <w:color w:val="auto"/>
          <w:sz w:val="24"/>
          <w:highlight w:val="none"/>
        </w:rPr>
        <w:t>交易平台</w:t>
      </w:r>
      <w:r>
        <w:rPr>
          <w:rFonts w:hint="eastAsia" w:ascii="宋体" w:hAnsi="宋体"/>
          <w:color w:val="auto"/>
          <w:sz w:val="24"/>
          <w:highlight w:val="none"/>
        </w:rPr>
        <w:t>随机编号后开启，交由评标委员会进行评审。编号所对应的投标人在投票结束前不得告知评标委员会、交易平台工作人员、招标人或招标代理机构。</w:t>
      </w:r>
    </w:p>
    <w:p w14:paraId="319E40CC">
      <w:pPr>
        <w:spacing w:line="360" w:lineRule="auto"/>
        <w:ind w:left="850" w:hanging="849" w:hangingChars="354"/>
        <w:jc w:val="left"/>
        <w:rPr>
          <w:rFonts w:hint="eastAsia" w:ascii="宋体" w:hAnsi="宋体"/>
          <w:color w:val="auto"/>
          <w:sz w:val="24"/>
          <w:highlight w:val="none"/>
        </w:rPr>
      </w:pPr>
    </w:p>
    <w:p w14:paraId="1397BB8F">
      <w:pPr>
        <w:spacing w:line="360" w:lineRule="auto"/>
        <w:ind w:left="853" w:hanging="849" w:hangingChars="354"/>
        <w:rPr>
          <w:rFonts w:hint="eastAsia" w:ascii="宋体" w:hAnsi="宋体"/>
          <w:b/>
          <w:bCs/>
          <w:color w:val="auto"/>
          <w:sz w:val="24"/>
          <w:highlight w:val="none"/>
        </w:rPr>
      </w:pPr>
      <w:r>
        <w:rPr>
          <w:rFonts w:hint="eastAsia" w:ascii="宋体" w:hAnsi="宋体"/>
          <w:b/>
          <w:bCs/>
          <w:color w:val="auto"/>
          <w:sz w:val="24"/>
          <w:highlight w:val="none"/>
        </w:rPr>
        <w:t>3.10   投标保证</w:t>
      </w:r>
    </w:p>
    <w:p w14:paraId="7B153965">
      <w:pPr>
        <w:spacing w:line="360" w:lineRule="auto"/>
        <w:ind w:left="850" w:hanging="849" w:hangingChars="354"/>
        <w:rPr>
          <w:rFonts w:hint="eastAsia" w:ascii="宋体" w:hAnsi="宋体"/>
          <w:color w:val="auto"/>
          <w:sz w:val="24"/>
          <w:highlight w:val="none"/>
        </w:rPr>
      </w:pPr>
    </w:p>
    <w:p w14:paraId="0264177F">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6D0AEBF6">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3.10.2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从提交投标文件截止日起计算。在提交投标文件截止时间后到招标文件规定的投标有效期终止之前，投标人不得补充、修改或者撤回其投标文件，否则其保证金将被没收。</w:t>
      </w:r>
    </w:p>
    <w:p w14:paraId="0CC2E2D1">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7C3A26DC">
      <w:pPr>
        <w:pStyle w:val="15"/>
        <w:spacing w:line="360" w:lineRule="auto"/>
        <w:ind w:left="850" w:hanging="849" w:hangingChars="354"/>
        <w:rPr>
          <w:rFonts w:hint="eastAsia" w:hAnsi="宋体"/>
          <w:color w:val="auto"/>
          <w:sz w:val="24"/>
          <w:szCs w:val="24"/>
          <w:highlight w:val="none"/>
        </w:rPr>
      </w:pPr>
    </w:p>
    <w:p w14:paraId="72008088">
      <w:pPr>
        <w:pStyle w:val="15"/>
        <w:spacing w:line="360" w:lineRule="auto"/>
        <w:ind w:left="853" w:hanging="849" w:hangingChars="354"/>
        <w:rPr>
          <w:rFonts w:hint="eastAsia" w:hAnsi="宋体"/>
          <w:color w:val="auto"/>
          <w:sz w:val="24"/>
          <w:szCs w:val="24"/>
          <w:highlight w:val="none"/>
        </w:rPr>
      </w:pPr>
      <w:r>
        <w:rPr>
          <w:rFonts w:hint="eastAsia" w:hAnsi="宋体"/>
          <w:b/>
          <w:bCs/>
          <w:color w:val="auto"/>
          <w:sz w:val="24"/>
          <w:szCs w:val="24"/>
          <w:highlight w:val="none"/>
        </w:rPr>
        <w:t>3.11    投标人不得存在下列情形之一：</w:t>
      </w:r>
    </w:p>
    <w:p w14:paraId="662C3A6C">
      <w:pPr>
        <w:pStyle w:val="15"/>
        <w:spacing w:line="360" w:lineRule="auto"/>
        <w:ind w:left="850" w:hanging="849" w:hangingChars="354"/>
        <w:rPr>
          <w:rFonts w:hint="eastAsia" w:hAnsi="宋体"/>
          <w:color w:val="auto"/>
          <w:sz w:val="24"/>
          <w:szCs w:val="24"/>
          <w:highlight w:val="none"/>
        </w:rPr>
      </w:pPr>
    </w:p>
    <w:p w14:paraId="4F5B406E">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（1）为招标人不具有独立法人资格的附属机构（单位）；</w:t>
      </w:r>
    </w:p>
    <w:p w14:paraId="3C9C67E7">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（2）与招标人存在利害关系且可能影响招标公正性；</w:t>
      </w:r>
    </w:p>
    <w:p w14:paraId="7847A946">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（3）与本招标项目的其他投标人为同一个单位负责人；</w:t>
      </w:r>
    </w:p>
    <w:p w14:paraId="2E7AD5AF">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（4）与本招标项目的其他投标人存在控股、管理关系；</w:t>
      </w:r>
    </w:p>
    <w:p w14:paraId="7B472FDC">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（5）为本招标项目的代建人；</w:t>
      </w:r>
    </w:p>
    <w:p w14:paraId="33EAD757">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（6）为本招标项目的招标代理机构；</w:t>
      </w:r>
    </w:p>
    <w:p w14:paraId="44DEFA01">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（7）与本招标项目的代建人或招标代理机构同为一个法定代表人；</w:t>
      </w:r>
    </w:p>
    <w:p w14:paraId="07572D40">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（8）与本招标项目的代建人或招标代理机构存在控股或参股关系；</w:t>
      </w:r>
    </w:p>
    <w:p w14:paraId="2FE52488">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（9）被依法暂停或者取消投标资格；</w:t>
      </w:r>
    </w:p>
    <w:p w14:paraId="3D05B93B">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（10）被责令停产停业、暂扣或者吊销许可证、暂扣或者吊销执照；</w:t>
      </w:r>
    </w:p>
    <w:p w14:paraId="27462FD3">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（11）进入清算程序，或被宣告破产，或其他丧失履约能力的情形；</w:t>
      </w:r>
    </w:p>
    <w:p w14:paraId="0C8F2695">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（12）在最近三年内发生重大设计质量问题（以相关行业主管部门的行政处罚决定或司法机关出具的有关法律文书为准）；</w:t>
      </w:r>
    </w:p>
    <w:p w14:paraId="24EDA5E6">
      <w:pPr>
        <w:pStyle w:val="15"/>
        <w:numPr>
          <w:ilvl w:val="0"/>
          <w:numId w:val="2"/>
        </w:numPr>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被工商行政管理机关在全国企业信用信息公示系统中列入严重违法失信企业名单；</w:t>
      </w:r>
    </w:p>
    <w:p w14:paraId="08ECB3EF">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（14）被最高人民法院在“信用中国”网站（www.creditchina.gov.cn）或各级信用信息共享平台中列入失信被执行人名单；</w:t>
      </w:r>
    </w:p>
    <w:p w14:paraId="018A838E">
      <w:pPr>
        <w:pStyle w:val="15"/>
        <w:spacing w:line="360" w:lineRule="auto"/>
        <w:ind w:left="850" w:hanging="849" w:hangingChars="354"/>
        <w:jc w:val="center"/>
        <w:rPr>
          <w:rFonts w:hAnsi="宋体"/>
          <w:color w:val="auto"/>
          <w:sz w:val="24"/>
          <w:szCs w:val="24"/>
          <w:highlight w:val="none"/>
        </w:rPr>
      </w:pPr>
      <w:r>
        <w:rPr>
          <w:rFonts w:hint="eastAsia" w:hAnsi="宋体"/>
          <w:color w:val="auto"/>
          <w:sz w:val="24"/>
          <w:szCs w:val="24"/>
          <w:highlight w:val="none"/>
        </w:rPr>
        <w:t>（15）在近三年内投标人或其法定代表人、拟委任的项目负责人有行贿犯罪行为的。</w:t>
      </w:r>
    </w:p>
    <w:p w14:paraId="1D190658">
      <w:pPr>
        <w:pStyle w:val="2"/>
        <w:jc w:val="center"/>
        <w:rPr>
          <w:rFonts w:hint="eastAsia"/>
          <w:color w:val="auto"/>
          <w:sz w:val="36"/>
          <w:szCs w:val="36"/>
          <w:highlight w:val="none"/>
        </w:rPr>
      </w:pPr>
      <w:r>
        <w:rPr>
          <w:rFonts w:hAnsi="宋体"/>
          <w:color w:val="auto"/>
          <w:highlight w:val="none"/>
        </w:rPr>
        <w:br w:type="page"/>
      </w:r>
      <w:bookmarkStart w:id="15" w:name="_Toc1438"/>
      <w:r>
        <w:rPr>
          <w:rFonts w:hint="eastAsia"/>
          <w:color w:val="auto"/>
          <w:highlight w:val="none"/>
        </w:rPr>
        <w:t>第四章  评标</w:t>
      </w:r>
      <w:bookmarkEnd w:id="15"/>
    </w:p>
    <w:p w14:paraId="77B0935C">
      <w:pPr>
        <w:pStyle w:val="15"/>
        <w:spacing w:line="360" w:lineRule="auto"/>
        <w:ind w:left="425" w:hanging="424" w:hangingChars="177"/>
        <w:rPr>
          <w:rFonts w:hint="eastAsia" w:hAnsi="宋体"/>
          <w:color w:val="auto"/>
          <w:sz w:val="24"/>
          <w:szCs w:val="24"/>
          <w:highlight w:val="none"/>
        </w:rPr>
      </w:pPr>
    </w:p>
    <w:p w14:paraId="2D09140C">
      <w:pPr>
        <w:spacing w:line="360" w:lineRule="auto"/>
        <w:ind w:left="426" w:hanging="424" w:hangingChars="177"/>
        <w:rPr>
          <w:rFonts w:hint="eastAsia" w:ascii="宋体" w:hAnsi="宋体"/>
          <w:b/>
          <w:bCs/>
          <w:color w:val="auto"/>
          <w:sz w:val="24"/>
          <w:highlight w:val="none"/>
        </w:rPr>
      </w:pPr>
      <w:r>
        <w:rPr>
          <w:rFonts w:hint="eastAsia" w:ascii="宋体" w:hAnsi="宋体"/>
          <w:b/>
          <w:bCs/>
          <w:color w:val="auto"/>
          <w:sz w:val="24"/>
          <w:highlight w:val="none"/>
        </w:rPr>
        <w:t>4.1    否决投标</w:t>
      </w:r>
    </w:p>
    <w:p w14:paraId="2E2282DB">
      <w:pPr>
        <w:spacing w:line="360" w:lineRule="auto"/>
        <w:ind w:left="425" w:hanging="424" w:hangingChars="177"/>
        <w:rPr>
          <w:rFonts w:hint="eastAsia" w:ascii="宋体" w:hAnsi="宋体"/>
          <w:color w:val="auto"/>
          <w:sz w:val="24"/>
          <w:highlight w:val="none"/>
        </w:rPr>
      </w:pPr>
    </w:p>
    <w:p w14:paraId="56949319">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.1</w:t>
      </w:r>
      <w:r>
        <w:rPr>
          <w:rFonts w:hint="eastAsia" w:ascii="宋体" w:hAnsi="宋体"/>
          <w:color w:val="auto"/>
          <w:sz w:val="24"/>
          <w:highlight w:val="none"/>
        </w:rPr>
        <w:t xml:space="preserve">  投标人有下列情况之一的，评标委员会应当否决其投标：</w:t>
      </w:r>
    </w:p>
    <w:p w14:paraId="6925B858">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(a) 投标人与招标人、评标委员会成员或者其他投标人串通投标；</w:t>
      </w:r>
    </w:p>
    <w:p w14:paraId="0B0D33C3">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(b) 投标人之间存在《广东省实施&lt;中华人民共和国招标投标法&gt;》第十六条所禁止的情形的；</w:t>
      </w:r>
    </w:p>
    <w:p w14:paraId="0D16DA9F">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4.1.2  有下列情况之一的，评标委员会应当否决其投标：</w:t>
      </w:r>
    </w:p>
    <w:p w14:paraId="51866229">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(a) 《投标书》未加盖投标人公章，也未经法定代表人或者其授权代表签字；</w:t>
      </w:r>
    </w:p>
    <w:p w14:paraId="780EF06B">
      <w:pPr>
        <w:spacing w:line="360" w:lineRule="auto"/>
        <w:ind w:left="425" w:hanging="424" w:hangingChars="177"/>
        <w:rPr>
          <w:rFonts w:ascii="宋体" w:hAnsi="宋体"/>
          <w:color w:val="auto"/>
          <w:sz w:val="24"/>
          <w:highlight w:val="none"/>
        </w:rPr>
      </w:pPr>
      <w:r>
        <w:rPr>
          <w:rFonts w:hint="eastAsia" w:ascii="宋体" w:hAnsi="宋体"/>
          <w:color w:val="auto"/>
          <w:sz w:val="24"/>
          <w:highlight w:val="none"/>
        </w:rPr>
        <w:t xml:space="preserve">   (b) 《投标书》包含有招标人不能接受的偏差，并且投标人拒绝书面撤回偏差；</w:t>
      </w:r>
    </w:p>
    <w:p w14:paraId="7F9CAD2D">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(c)</w:t>
      </w:r>
      <w:r>
        <w:rPr>
          <w:rFonts w:ascii="宋体" w:hAnsi="宋体"/>
          <w:color w:val="auto"/>
          <w:sz w:val="24"/>
          <w:highlight w:val="none"/>
        </w:rPr>
        <w:t xml:space="preserve"> </w:t>
      </w:r>
      <w:r>
        <w:rPr>
          <w:rFonts w:hint="eastAsia" w:ascii="宋体" w:hAnsi="宋体"/>
          <w:color w:val="auto"/>
          <w:sz w:val="24"/>
          <w:highlight w:val="none"/>
        </w:rPr>
        <w:t>《投标人声明》未按规定格式填写或未加盖投标人公章（适用于未设资格审查环节的项目）；</w:t>
      </w:r>
    </w:p>
    <w:p w14:paraId="5C86A384">
      <w:pPr>
        <w:spacing w:line="360" w:lineRule="auto"/>
        <w:ind w:left="425" w:hanging="424" w:hangingChars="177"/>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3  投标文件有下列情况之一的，评标委员会应当否决其投标：</w:t>
      </w:r>
    </w:p>
    <w:p w14:paraId="20D59925">
      <w:pPr>
        <w:spacing w:line="360" w:lineRule="auto"/>
        <w:ind w:left="425" w:hanging="424" w:hangingChars="177"/>
        <w:jc w:val="left"/>
        <w:rPr>
          <w:rFonts w:ascii="宋体" w:hAnsi="宋体"/>
          <w:color w:val="auto"/>
          <w:sz w:val="24"/>
          <w:highlight w:val="none"/>
        </w:rPr>
      </w:pPr>
      <w:r>
        <w:rPr>
          <w:rFonts w:hint="eastAsia" w:ascii="宋体" w:hAnsi="宋体"/>
          <w:color w:val="auto"/>
          <w:sz w:val="24"/>
          <w:highlight w:val="none"/>
        </w:rPr>
        <w:t xml:space="preserve">   (a) 投标人与其他投标人加密打包投标文件电脑机器特征码一致的；</w:t>
      </w:r>
    </w:p>
    <w:p w14:paraId="3E6C4A0D">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b</w:t>
      </w:r>
      <w:r>
        <w:rPr>
          <w:rFonts w:hint="eastAsia" w:ascii="宋体" w:hAnsi="宋体"/>
          <w:color w:val="auto"/>
          <w:sz w:val="24"/>
          <w:highlight w:val="none"/>
        </w:rPr>
        <w:t>) 投标人在设计方案内标注名称、印章、商标、图形等记认符号，使人辨认出投标人或其专业技术人员的身份；</w:t>
      </w:r>
    </w:p>
    <w:p w14:paraId="2A7730EE">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c</w:t>
      </w:r>
      <w:r>
        <w:rPr>
          <w:rFonts w:hint="eastAsia" w:ascii="宋体" w:hAnsi="宋体"/>
          <w:color w:val="auto"/>
          <w:sz w:val="24"/>
          <w:highlight w:val="none"/>
        </w:rPr>
        <w:t>)投标人之间存在《广东省实施&lt;中华人民共和国招标投标法&gt;》第十六条所禁止的情形的；</w:t>
      </w:r>
    </w:p>
    <w:p w14:paraId="143F45E8">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（d）投标报价高于最高投标限价的。</w:t>
      </w:r>
    </w:p>
    <w:p w14:paraId="51EB0C4E">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4.1.4  投标人有下列情况之一的，视为串通投标：</w:t>
      </w:r>
    </w:p>
    <w:p w14:paraId="1F50349E">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(a) 递交投标文件前，</w:t>
      </w:r>
      <w:r>
        <w:rPr>
          <w:rFonts w:hint="eastAsia"/>
          <w:color w:val="auto"/>
          <w:sz w:val="24"/>
          <w:highlight w:val="none"/>
        </w:rPr>
        <w:t>投标人</w:t>
      </w:r>
      <w:r>
        <w:rPr>
          <w:rFonts w:hint="eastAsia" w:ascii="宋体" w:hAnsi="宋体"/>
          <w:color w:val="auto"/>
          <w:sz w:val="24"/>
          <w:highlight w:val="none"/>
        </w:rPr>
        <w:t>私下向招标人或其雇员出示或告知投标文件内容；</w:t>
      </w:r>
    </w:p>
    <w:p w14:paraId="456AEF4C">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(b) 评标表决结束前，</w:t>
      </w:r>
      <w:r>
        <w:rPr>
          <w:rFonts w:hint="eastAsia"/>
          <w:color w:val="auto"/>
          <w:sz w:val="24"/>
          <w:highlight w:val="none"/>
        </w:rPr>
        <w:t>投标人私下</w:t>
      </w:r>
      <w:r>
        <w:rPr>
          <w:rFonts w:hint="eastAsia" w:ascii="宋体" w:hAnsi="宋体"/>
          <w:color w:val="auto"/>
          <w:sz w:val="24"/>
          <w:highlight w:val="none"/>
        </w:rPr>
        <w:t>向评标委员会成员出示或告知投标文件内容；</w:t>
      </w:r>
    </w:p>
    <w:p w14:paraId="01C1F83E">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(c) 评标结果揭晓前，</w:t>
      </w:r>
      <w:r>
        <w:rPr>
          <w:rFonts w:hint="eastAsia"/>
          <w:color w:val="auto"/>
          <w:sz w:val="24"/>
          <w:highlight w:val="none"/>
        </w:rPr>
        <w:t>投标人</w:t>
      </w:r>
      <w:r>
        <w:rPr>
          <w:rFonts w:hint="eastAsia" w:ascii="宋体" w:hAnsi="宋体"/>
          <w:color w:val="auto"/>
          <w:sz w:val="24"/>
          <w:highlight w:val="none"/>
        </w:rPr>
        <w:t>与招标人</w:t>
      </w:r>
      <w:r>
        <w:rPr>
          <w:rFonts w:hint="eastAsia"/>
          <w:color w:val="auto"/>
          <w:sz w:val="24"/>
          <w:highlight w:val="none"/>
        </w:rPr>
        <w:t>就投标价格、投标方案等实质性内容进行谈判。</w:t>
      </w:r>
    </w:p>
    <w:p w14:paraId="114894AF">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5  发生下列情形之一的，招标人应当重新组织招标：</w:t>
      </w:r>
    </w:p>
    <w:p w14:paraId="7CD48F24">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(a) 递交投标文件或通过资格审查的投标人不足三人；</w:t>
      </w:r>
    </w:p>
    <w:p w14:paraId="6F7FAA73">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(b) 所有投标被否决，或者经评议有效投标的投标人少于三人；</w:t>
      </w:r>
    </w:p>
    <w:p w14:paraId="291C28C8">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 xml:space="preserve">   (c) 经项目审批部门会同行业主管部门裁定招标投标结果无效；</w:t>
      </w:r>
    </w:p>
    <w:p w14:paraId="1B85E74F">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6  否决投标的决定由评标委员会作出，其他投标人无权干涉。</w:t>
      </w:r>
    </w:p>
    <w:p w14:paraId="5A7268BC">
      <w:pPr>
        <w:spacing w:line="360" w:lineRule="auto"/>
        <w:ind w:left="425" w:hanging="424" w:hangingChars="177"/>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7  投标文件如果隐瞒不符合评审标准的事实，一切法律责任由投标人承担。</w:t>
      </w:r>
    </w:p>
    <w:p w14:paraId="03C25452">
      <w:pPr>
        <w:spacing w:line="360" w:lineRule="auto"/>
        <w:ind w:left="425" w:hanging="424" w:hangingChars="177"/>
        <w:rPr>
          <w:rFonts w:hint="eastAsia" w:ascii="宋体" w:hAnsi="宋体"/>
          <w:color w:val="auto"/>
          <w:sz w:val="24"/>
          <w:highlight w:val="none"/>
        </w:rPr>
      </w:pPr>
    </w:p>
    <w:p w14:paraId="79998B0F">
      <w:pPr>
        <w:pStyle w:val="15"/>
        <w:spacing w:line="360" w:lineRule="auto"/>
        <w:ind w:left="426" w:hanging="424" w:hangingChars="177"/>
        <w:rPr>
          <w:rFonts w:hint="eastAsia" w:hAnsi="宋体"/>
          <w:b/>
          <w:bCs/>
          <w:color w:val="auto"/>
          <w:sz w:val="24"/>
          <w:szCs w:val="24"/>
          <w:highlight w:val="none"/>
        </w:rPr>
      </w:pPr>
      <w:r>
        <w:rPr>
          <w:rFonts w:hint="eastAsia" w:hAnsi="宋体"/>
          <w:b/>
          <w:bCs/>
          <w:color w:val="auto"/>
          <w:sz w:val="24"/>
          <w:szCs w:val="24"/>
          <w:highlight w:val="none"/>
        </w:rPr>
        <w:t>4.2    评标委员会</w:t>
      </w:r>
    </w:p>
    <w:p w14:paraId="33D9516F">
      <w:pPr>
        <w:pStyle w:val="15"/>
        <w:spacing w:line="360" w:lineRule="auto"/>
        <w:ind w:left="425" w:hanging="424" w:hangingChars="177"/>
        <w:rPr>
          <w:rFonts w:hint="eastAsia" w:hAnsi="宋体"/>
          <w:color w:val="auto"/>
          <w:sz w:val="24"/>
          <w:szCs w:val="24"/>
          <w:highlight w:val="none"/>
        </w:rPr>
      </w:pPr>
    </w:p>
    <w:p w14:paraId="2F0743EE">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w:t>
      </w:r>
      <w:r>
        <w:rPr>
          <w:rFonts w:hAnsi="宋体"/>
          <w:color w:val="auto"/>
          <w:sz w:val="24"/>
          <w:szCs w:val="24"/>
          <w:highlight w:val="none"/>
        </w:rPr>
        <w:t>.</w:t>
      </w:r>
      <w:r>
        <w:rPr>
          <w:rFonts w:hint="eastAsia" w:hAnsi="宋体"/>
          <w:color w:val="auto"/>
          <w:sz w:val="24"/>
          <w:szCs w:val="24"/>
          <w:highlight w:val="none"/>
        </w:rPr>
        <w:t>1  评标委员会由专家和业主代表组成，</w:t>
      </w:r>
      <w:r>
        <w:rPr>
          <w:rFonts w:hint="eastAsia"/>
          <w:color w:val="auto"/>
          <w:sz w:val="24"/>
          <w:szCs w:val="24"/>
          <w:highlight w:val="none"/>
        </w:rPr>
        <w:t>专家不得少于</w:t>
      </w:r>
      <w:r>
        <w:rPr>
          <w:rFonts w:hint="eastAsia" w:hAnsi="宋体"/>
          <w:color w:val="auto"/>
          <w:sz w:val="24"/>
          <w:szCs w:val="24"/>
          <w:highlight w:val="none"/>
        </w:rPr>
        <w:t>评标委员会成员</w:t>
      </w:r>
      <w:r>
        <w:rPr>
          <w:rFonts w:hint="eastAsia"/>
          <w:color w:val="auto"/>
          <w:sz w:val="24"/>
          <w:szCs w:val="24"/>
          <w:highlight w:val="none"/>
        </w:rPr>
        <w:t>总数的三分之二。</w:t>
      </w:r>
      <w:r>
        <w:rPr>
          <w:rFonts w:hint="eastAsia" w:hAnsi="宋体"/>
          <w:color w:val="auto"/>
          <w:sz w:val="24"/>
          <w:szCs w:val="24"/>
          <w:highlight w:val="none"/>
        </w:rPr>
        <w:t>专家一般从政府评标专家库随机抽取，技术特别复杂、专业性要求特别高或者国家有特别要求的项目，采取随机抽取方式确定的专家难以胜任的，可以由招标人直接确定。</w:t>
      </w:r>
    </w:p>
    <w:p w14:paraId="04809E38">
      <w:pPr>
        <w:pStyle w:val="15"/>
        <w:spacing w:line="360" w:lineRule="auto"/>
        <w:ind w:left="850" w:hanging="849" w:hangingChars="354"/>
        <w:rPr>
          <w:rFonts w:hint="eastAsia" w:hAnsi="宋体" w:cs="Arial"/>
          <w:color w:val="auto"/>
          <w:sz w:val="24"/>
          <w:szCs w:val="24"/>
          <w:highlight w:val="none"/>
        </w:rPr>
      </w:pPr>
      <w:r>
        <w:rPr>
          <w:rFonts w:hint="eastAsia" w:hAnsi="宋体"/>
          <w:color w:val="auto"/>
          <w:sz w:val="24"/>
          <w:szCs w:val="24"/>
          <w:highlight w:val="none"/>
        </w:rPr>
        <w:t>4.2.2  评标委员会随机产生一名负责人，主持评审工作，在每一轮投票中，负责人与其他成员有同等表决权。每一轮投票结束后，</w:t>
      </w:r>
      <w:r>
        <w:rPr>
          <w:rFonts w:hint="eastAsia" w:hAnsi="宋体" w:cs="Arial"/>
          <w:color w:val="auto"/>
          <w:sz w:val="24"/>
          <w:szCs w:val="24"/>
          <w:highlight w:val="none"/>
        </w:rPr>
        <w:t>如果有得票相同的投标方案，则评标委员会对得票相同的投标方案进行附加</w:t>
      </w:r>
      <w:r>
        <w:rPr>
          <w:rFonts w:hint="eastAsia" w:hAnsi="宋体"/>
          <w:color w:val="auto"/>
          <w:sz w:val="24"/>
          <w:szCs w:val="24"/>
          <w:highlight w:val="none"/>
        </w:rPr>
        <w:t>投票表决</w:t>
      </w:r>
      <w:r>
        <w:rPr>
          <w:rFonts w:hint="eastAsia" w:hAnsi="宋体" w:cs="Arial"/>
          <w:color w:val="auto"/>
          <w:sz w:val="24"/>
          <w:szCs w:val="24"/>
          <w:highlight w:val="none"/>
        </w:rPr>
        <w:t>排序和取舍。</w:t>
      </w:r>
    </w:p>
    <w:p w14:paraId="392851BF">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5364493">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4.2.4  下列人员不得担任评标委员会成员：</w:t>
      </w:r>
    </w:p>
    <w:p w14:paraId="038427E4">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(a) </w:t>
      </w:r>
      <w:r>
        <w:rPr>
          <w:rFonts w:hint="eastAsia"/>
          <w:color w:val="auto"/>
          <w:sz w:val="24"/>
          <w:szCs w:val="24"/>
          <w:highlight w:val="none"/>
        </w:rPr>
        <w:t>从事相关领域工作不满八年（</w:t>
      </w:r>
      <w:r>
        <w:rPr>
          <w:rFonts w:hint="eastAsia" w:hAnsi="宋体"/>
          <w:color w:val="auto"/>
          <w:sz w:val="24"/>
          <w:szCs w:val="24"/>
          <w:highlight w:val="none"/>
        </w:rPr>
        <w:t>招标人代表</w:t>
      </w:r>
      <w:r>
        <w:rPr>
          <w:rFonts w:hint="eastAsia"/>
          <w:color w:val="auto"/>
          <w:sz w:val="24"/>
          <w:szCs w:val="24"/>
          <w:highlight w:val="none"/>
        </w:rPr>
        <w:t>除外）；</w:t>
      </w:r>
    </w:p>
    <w:p w14:paraId="5DA8E3A4">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(b) </w:t>
      </w:r>
      <w:r>
        <w:rPr>
          <w:rFonts w:hint="eastAsia"/>
          <w:color w:val="auto"/>
          <w:sz w:val="24"/>
          <w:szCs w:val="24"/>
          <w:highlight w:val="none"/>
        </w:rPr>
        <w:t>不具有高级职称或者同等专业水平（</w:t>
      </w:r>
      <w:r>
        <w:rPr>
          <w:rFonts w:hint="eastAsia" w:hAnsi="宋体"/>
          <w:color w:val="auto"/>
          <w:sz w:val="24"/>
          <w:szCs w:val="24"/>
          <w:highlight w:val="none"/>
        </w:rPr>
        <w:t>招标人代表</w:t>
      </w:r>
      <w:r>
        <w:rPr>
          <w:rFonts w:hint="eastAsia"/>
          <w:color w:val="auto"/>
          <w:sz w:val="24"/>
          <w:szCs w:val="24"/>
          <w:highlight w:val="none"/>
        </w:rPr>
        <w:t>除外）；</w:t>
      </w:r>
    </w:p>
    <w:p w14:paraId="12EEC1FA">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(c) 不熟悉评审本项目所必须的专业知识</w:t>
      </w:r>
      <w:r>
        <w:rPr>
          <w:rFonts w:hint="eastAsia"/>
          <w:color w:val="auto"/>
          <w:sz w:val="24"/>
          <w:szCs w:val="24"/>
          <w:highlight w:val="none"/>
        </w:rPr>
        <w:t>（</w:t>
      </w:r>
      <w:r>
        <w:rPr>
          <w:rFonts w:hint="eastAsia" w:hAnsi="宋体"/>
          <w:color w:val="auto"/>
          <w:sz w:val="24"/>
          <w:szCs w:val="24"/>
          <w:highlight w:val="none"/>
        </w:rPr>
        <w:t>招标人代表</w:t>
      </w:r>
      <w:r>
        <w:rPr>
          <w:rFonts w:hint="eastAsia"/>
          <w:color w:val="auto"/>
          <w:sz w:val="24"/>
          <w:szCs w:val="24"/>
          <w:highlight w:val="none"/>
        </w:rPr>
        <w:t>除外）</w:t>
      </w:r>
      <w:r>
        <w:rPr>
          <w:rFonts w:hint="eastAsia" w:hAnsi="宋体"/>
          <w:color w:val="auto"/>
          <w:sz w:val="24"/>
          <w:szCs w:val="24"/>
          <w:highlight w:val="none"/>
        </w:rPr>
        <w:t>；</w:t>
      </w:r>
    </w:p>
    <w:p w14:paraId="29E6D831">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(d) 评标前浏览过本项目的某个投标文件；</w:t>
      </w:r>
    </w:p>
    <w:p w14:paraId="24BD78CE">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(e) 与投标人有利害关系；</w:t>
      </w:r>
    </w:p>
    <w:p w14:paraId="26C3E594">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 xml:space="preserve">   (f) 招标代理机构的工作人员。</w:t>
      </w:r>
    </w:p>
    <w:p w14:paraId="06256B69">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w:t>
      </w:r>
      <w:r>
        <w:rPr>
          <w:rFonts w:hAnsi="宋体"/>
          <w:color w:val="auto"/>
          <w:sz w:val="24"/>
          <w:szCs w:val="24"/>
          <w:highlight w:val="none"/>
        </w:rPr>
        <w:t>.</w:t>
      </w:r>
      <w:r>
        <w:rPr>
          <w:rFonts w:hint="eastAsia" w:hAnsi="宋体"/>
          <w:color w:val="auto"/>
          <w:sz w:val="24"/>
          <w:szCs w:val="24"/>
          <w:highlight w:val="none"/>
        </w:rPr>
        <w:t>5  如果评标专家到达评标地点后发现不符合本项目评标资格，酬金或交通费用按相关规定执行。</w:t>
      </w:r>
    </w:p>
    <w:p w14:paraId="70614E86">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w:t>
      </w:r>
      <w:r>
        <w:rPr>
          <w:rFonts w:hAnsi="宋体"/>
          <w:color w:val="auto"/>
          <w:sz w:val="24"/>
          <w:szCs w:val="24"/>
          <w:highlight w:val="none"/>
        </w:rPr>
        <w:t>.</w:t>
      </w:r>
      <w:r>
        <w:rPr>
          <w:rFonts w:hint="eastAsia" w:hAnsi="宋体"/>
          <w:color w:val="auto"/>
          <w:sz w:val="24"/>
          <w:szCs w:val="24"/>
          <w:highlight w:val="none"/>
        </w:rPr>
        <w:t>6  评标委员会成员不得私下接触投标人，不得收受投标人的财物或者其他好处。</w:t>
      </w:r>
    </w:p>
    <w:p w14:paraId="4AD64800">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4.2</w:t>
      </w:r>
      <w:r>
        <w:rPr>
          <w:rFonts w:ascii="宋体" w:hAnsi="宋体"/>
          <w:color w:val="auto"/>
          <w:sz w:val="24"/>
          <w:highlight w:val="none"/>
        </w:rPr>
        <w:t>.</w:t>
      </w:r>
      <w:r>
        <w:rPr>
          <w:rFonts w:hint="eastAsia" w:ascii="宋体" w:hAnsi="宋体"/>
          <w:color w:val="auto"/>
          <w:sz w:val="24"/>
          <w:highlight w:val="none"/>
        </w:rPr>
        <w:t>7  评标委员会开展工作期间发生的费用和劳务报酬由招标人承担，若招标人与招标代理机构另有协议，按协议执行。</w:t>
      </w:r>
    </w:p>
    <w:p w14:paraId="43AB4F68">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4.2.8  评标结果在评标结束后公示，接受公众监督。</w:t>
      </w:r>
    </w:p>
    <w:p w14:paraId="0F809BCE">
      <w:pPr>
        <w:pStyle w:val="15"/>
        <w:spacing w:line="360" w:lineRule="auto"/>
        <w:ind w:left="853" w:hanging="849" w:hangingChars="354"/>
        <w:rPr>
          <w:rFonts w:hAnsi="宋体"/>
          <w:b/>
          <w:color w:val="auto"/>
          <w:sz w:val="24"/>
          <w:szCs w:val="24"/>
          <w:highlight w:val="none"/>
        </w:rPr>
      </w:pPr>
      <w:r>
        <w:rPr>
          <w:rFonts w:hint="eastAsia" w:hAnsi="宋体"/>
          <w:b/>
          <w:color w:val="auto"/>
          <w:sz w:val="24"/>
          <w:szCs w:val="24"/>
          <w:highlight w:val="none"/>
        </w:rPr>
        <w:t>4.3    定标委员会（如有）</w:t>
      </w:r>
    </w:p>
    <w:p w14:paraId="1B63B3F1">
      <w:pPr>
        <w:pStyle w:val="15"/>
        <w:spacing w:line="360" w:lineRule="auto"/>
        <w:ind w:left="850" w:hanging="849" w:hangingChars="354"/>
        <w:rPr>
          <w:rFonts w:hint="eastAsia" w:hAnsi="宋体"/>
          <w:color w:val="auto"/>
          <w:sz w:val="24"/>
          <w:szCs w:val="24"/>
          <w:highlight w:val="none"/>
        </w:rPr>
      </w:pPr>
      <w:r>
        <w:rPr>
          <w:rFonts w:hint="eastAsia" w:hAnsi="宋体"/>
          <w:color w:val="auto"/>
          <w:sz w:val="24"/>
          <w:szCs w:val="24"/>
          <w:highlight w:val="none"/>
        </w:rPr>
        <w:t>4.3.1  定标委员会由招标人组建。组建办法详见附表15《定标委员会的组成》</w:t>
      </w:r>
    </w:p>
    <w:p w14:paraId="0123363B">
      <w:pPr>
        <w:pStyle w:val="15"/>
        <w:spacing w:line="360" w:lineRule="auto"/>
        <w:ind w:left="850" w:hanging="849" w:hangingChars="354"/>
        <w:rPr>
          <w:rFonts w:hint="eastAsia" w:hAnsi="宋体"/>
          <w:color w:val="auto"/>
          <w:sz w:val="24"/>
          <w:szCs w:val="24"/>
          <w:highlight w:val="none"/>
        </w:rPr>
      </w:pPr>
    </w:p>
    <w:p w14:paraId="2DFF6159">
      <w:pPr>
        <w:spacing w:line="360" w:lineRule="auto"/>
        <w:ind w:left="853" w:hanging="849" w:hangingChars="354"/>
        <w:rPr>
          <w:rFonts w:hint="eastAsia" w:ascii="宋体" w:hAnsi="宋体"/>
          <w:b/>
          <w:bCs/>
          <w:color w:val="auto"/>
          <w:sz w:val="24"/>
          <w:highlight w:val="none"/>
        </w:rPr>
      </w:pPr>
      <w:r>
        <w:rPr>
          <w:rFonts w:hint="eastAsia" w:ascii="宋体" w:hAnsi="宋体"/>
          <w:b/>
          <w:bCs/>
          <w:color w:val="auto"/>
          <w:sz w:val="24"/>
          <w:highlight w:val="none"/>
        </w:rPr>
        <w:t>4.4    评标原则</w:t>
      </w:r>
    </w:p>
    <w:p w14:paraId="44A7C61A">
      <w:pPr>
        <w:spacing w:line="360" w:lineRule="auto"/>
        <w:ind w:left="789" w:leftChars="200" w:hanging="369" w:hangingChars="154"/>
        <w:rPr>
          <w:rFonts w:hint="eastAsia" w:ascii="宋体" w:hAnsi="宋体"/>
          <w:color w:val="auto"/>
          <w:sz w:val="24"/>
          <w:highlight w:val="none"/>
        </w:rPr>
      </w:pPr>
      <w:r>
        <w:rPr>
          <w:rFonts w:hint="eastAsia" w:ascii="宋体" w:hAnsi="宋体"/>
          <w:color w:val="auto"/>
          <w:sz w:val="24"/>
          <w:highlight w:val="none"/>
        </w:rPr>
        <w:t>评标委员会在开始评标前，应了解评标专家的职责及守则，认真阅读附录20《评</w:t>
      </w:r>
    </w:p>
    <w:p w14:paraId="0BBFD94E">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标委员会成员声明》的内容并签名，签字后方可进行评标；</w:t>
      </w:r>
    </w:p>
    <w:p w14:paraId="49A6F851">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 xml:space="preserve">.1  </w:t>
      </w:r>
      <w:r>
        <w:rPr>
          <w:rFonts w:hint="eastAsia" w:hAnsi="宋体"/>
          <w:color w:val="auto"/>
          <w:sz w:val="24"/>
          <w:highlight w:val="none"/>
        </w:rPr>
        <w:t>评标委员会根据招标文件规定的评标标准和方法，对投标文件进行评审和比较，招标文件中没有规定的标准和方法不得作为评标的依据。</w:t>
      </w:r>
    </w:p>
    <w:p w14:paraId="6B54BBD1">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.2  在符合招标文件规定的前提下，评标委员会主要对投标方案</w:t>
      </w:r>
      <w:r>
        <w:rPr>
          <w:rFonts w:ascii="宋体" w:hAnsi="宋体"/>
          <w:color w:val="auto"/>
          <w:sz w:val="24"/>
          <w:highlight w:val="none"/>
        </w:rPr>
        <w:t>的经济性</w:t>
      </w:r>
      <w:r>
        <w:rPr>
          <w:rFonts w:hint="eastAsia" w:ascii="宋体" w:hAnsi="宋体"/>
          <w:color w:val="auto"/>
          <w:sz w:val="24"/>
          <w:highlight w:val="none"/>
        </w:rPr>
        <w:t>、</w:t>
      </w:r>
      <w:r>
        <w:rPr>
          <w:rFonts w:ascii="宋体" w:hAnsi="宋体"/>
          <w:color w:val="auto"/>
          <w:sz w:val="24"/>
          <w:highlight w:val="none"/>
        </w:rPr>
        <w:t>独创性</w:t>
      </w:r>
      <w:r>
        <w:rPr>
          <w:rFonts w:hint="eastAsia" w:ascii="宋体" w:hAnsi="宋体"/>
          <w:color w:val="auto"/>
          <w:sz w:val="24"/>
          <w:highlight w:val="none"/>
        </w:rPr>
        <w:t>、优越性、功能和造型、运行和维护费用、对环境的影响等进行比选、评价和裁定，确定方案的优劣。</w:t>
      </w:r>
    </w:p>
    <w:p w14:paraId="43D0A0C8">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251E29F5">
      <w:pPr>
        <w:spacing w:line="360" w:lineRule="auto"/>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73D37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若在评标期间</w:t>
      </w:r>
      <w:r>
        <w:rPr>
          <w:rFonts w:hint="eastAsia" w:ascii="宋体" w:hAnsi="宋体"/>
          <w:b/>
          <w:color w:val="auto"/>
          <w:sz w:val="24"/>
          <w:highlight w:val="none"/>
        </w:rPr>
        <w:t>（设计</w:t>
      </w:r>
      <w:r>
        <w:rPr>
          <w:rFonts w:ascii="宋体" w:hAnsi="宋体"/>
          <w:b/>
          <w:color w:val="auto"/>
          <w:sz w:val="24"/>
          <w:highlight w:val="none"/>
        </w:rPr>
        <w:t>方案评审阶段除外</w:t>
      </w:r>
      <w:r>
        <w:rPr>
          <w:rFonts w:hint="eastAsia" w:ascii="宋体" w:hAnsi="宋体"/>
          <w:b/>
          <w:color w:val="auto"/>
          <w:sz w:val="24"/>
          <w:highlight w:val="none"/>
        </w:rPr>
        <w:t>）</w:t>
      </w:r>
      <w:r>
        <w:rPr>
          <w:rFonts w:hint="eastAsia" w:ascii="宋体" w:hAnsi="宋体"/>
          <w:color w:val="auto"/>
          <w:sz w:val="24"/>
          <w:highlight w:val="none"/>
        </w:rPr>
        <w:t>，经评标委员会两人以上（含两人）以书面形式提出动议，评标委员会应当书面发出澄清通知，要求投标人对投标文件含义不明确的内容作出澄清。</w:t>
      </w:r>
    </w:p>
    <w:p w14:paraId="74B5B58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2B74AFFE">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评标委员会均应当阅读投标人的澄清，但应独立参考澄清对投标文件进行评审。</w:t>
      </w:r>
    </w:p>
    <w:p w14:paraId="16DBA69C">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5  如果少数投标人超越招标文件要求提交了模型、演示动画或发生其他特殊情况，评标委员会对超越招标文件要求的内容不进行评审，只评审该投标文件符合要求的内容。</w:t>
      </w:r>
    </w:p>
    <w:p w14:paraId="523D62E5">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6  评标委员会经评审，认为所有投标都不符合招标文件要求的，可以否决所有投标。如果所有投标被否决而重新招标，评标委员会成员及其从业机构不得参加投标。</w:t>
      </w:r>
    </w:p>
    <w:p w14:paraId="7318B3E9">
      <w:pPr>
        <w:spacing w:line="360" w:lineRule="auto"/>
        <w:ind w:left="850" w:hanging="849" w:hangingChars="354"/>
        <w:rPr>
          <w:rFonts w:hint="eastAsia" w:ascii="宋体" w:hAnsi="宋体"/>
          <w:color w:val="auto"/>
          <w:sz w:val="24"/>
          <w:highlight w:val="none"/>
        </w:rPr>
      </w:pPr>
    </w:p>
    <w:p w14:paraId="1C6DA0CD">
      <w:pPr>
        <w:spacing w:line="360" w:lineRule="auto"/>
        <w:ind w:left="853" w:hanging="849" w:hangingChars="354"/>
        <w:rPr>
          <w:rFonts w:ascii="宋体" w:hAnsi="宋体"/>
          <w:b/>
          <w:bCs/>
          <w:color w:val="auto"/>
          <w:sz w:val="24"/>
          <w:highlight w:val="none"/>
        </w:rPr>
      </w:pPr>
      <w:r>
        <w:rPr>
          <w:rFonts w:hint="eastAsia" w:ascii="宋体" w:hAnsi="宋体"/>
          <w:b/>
          <w:bCs/>
          <w:color w:val="auto"/>
          <w:sz w:val="24"/>
          <w:highlight w:val="none"/>
        </w:rPr>
        <w:t>4.</w:t>
      </w:r>
      <w:r>
        <w:rPr>
          <w:rFonts w:ascii="宋体" w:hAnsi="宋体"/>
          <w:b/>
          <w:bCs/>
          <w:color w:val="auto"/>
          <w:sz w:val="24"/>
          <w:highlight w:val="none"/>
        </w:rPr>
        <w:t>5</w:t>
      </w:r>
      <w:r>
        <w:rPr>
          <w:rFonts w:hint="eastAsia" w:ascii="宋体" w:hAnsi="宋体"/>
          <w:b/>
          <w:bCs/>
          <w:color w:val="auto"/>
          <w:sz w:val="24"/>
          <w:highlight w:val="none"/>
        </w:rPr>
        <w:t xml:space="preserve">    评标办法</w:t>
      </w:r>
    </w:p>
    <w:p w14:paraId="3AA2997B">
      <w:pPr>
        <w:spacing w:line="360" w:lineRule="auto"/>
        <w:ind w:left="850" w:hanging="849" w:hangingChars="354"/>
        <w:rPr>
          <w:rFonts w:hint="eastAsia" w:ascii="宋体" w:hAnsi="宋体"/>
          <w:b/>
          <w:bCs/>
          <w:color w:val="auto"/>
          <w:sz w:val="24"/>
          <w:highlight w:val="none"/>
        </w:rPr>
      </w:pPr>
      <w:r>
        <w:rPr>
          <w:rFonts w:hint="eastAsia" w:ascii="宋体" w:hAnsi="宋体"/>
          <w:color w:val="auto"/>
          <w:sz w:val="24"/>
          <w:highlight w:val="none"/>
        </w:rPr>
        <w:t>[注释] 招标人应在招标文件修改表中明确适用于</w:t>
      </w:r>
      <w:r>
        <w:rPr>
          <w:rFonts w:ascii="宋体" w:hAnsi="宋体"/>
          <w:color w:val="auto"/>
          <w:sz w:val="24"/>
          <w:highlight w:val="none"/>
        </w:rPr>
        <w:t>本项目的</w:t>
      </w:r>
      <w:r>
        <w:rPr>
          <w:rFonts w:hint="eastAsia" w:ascii="宋体" w:hAnsi="宋体"/>
          <w:color w:val="auto"/>
          <w:sz w:val="24"/>
          <w:highlight w:val="none"/>
        </w:rPr>
        <w:t>评标方法。</w:t>
      </w:r>
    </w:p>
    <w:p w14:paraId="799A139D">
      <w:pPr>
        <w:spacing w:line="360" w:lineRule="auto"/>
        <w:ind w:left="850" w:hanging="849" w:hangingChars="354"/>
        <w:rPr>
          <w:rFonts w:ascii="宋体" w:hAnsi="宋体"/>
          <w:color w:val="auto"/>
          <w:sz w:val="24"/>
          <w:highlight w:val="none"/>
        </w:rPr>
      </w:pPr>
    </w:p>
    <w:p w14:paraId="799636A1">
      <w:pPr>
        <w:spacing w:line="360" w:lineRule="auto"/>
        <w:ind w:left="850" w:hanging="849" w:hangingChars="354"/>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.1  是否采用评定分离：□是，入围定标环节的投标人家数：</w:t>
      </w:r>
      <w:r>
        <w:rPr>
          <w:rFonts w:hint="eastAsia" w:ascii="宋体" w:hAnsi="宋体"/>
          <w:color w:val="auto"/>
          <w:sz w:val="24"/>
          <w:highlight w:val="none"/>
          <w:u w:val="single"/>
        </w:rPr>
        <w:t xml:space="preserve">    </w:t>
      </w:r>
      <w:r>
        <w:rPr>
          <w:rFonts w:hint="eastAsia" w:ascii="宋体" w:hAnsi="宋体"/>
          <w:color w:val="auto"/>
          <w:sz w:val="24"/>
          <w:highlight w:val="none"/>
        </w:rPr>
        <w:t>名；</w:t>
      </w:r>
      <w:r>
        <w:rPr>
          <w:rFonts w:ascii="宋体" w:hAnsi="宋体"/>
          <w:color w:val="auto"/>
          <w:sz w:val="24"/>
          <w:highlight w:val="none"/>
        </w:rPr>
        <w:t xml:space="preserve"> </w:t>
      </w:r>
    </w:p>
    <w:p w14:paraId="2C5606E4">
      <w:pPr>
        <w:spacing w:line="360" w:lineRule="auto"/>
        <w:ind w:left="850" w:hanging="849" w:hangingChars="354"/>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□否。</w:t>
      </w:r>
    </w:p>
    <w:p w14:paraId="419EF4E1">
      <w:pPr>
        <w:spacing w:line="360" w:lineRule="auto"/>
        <w:ind w:left="850" w:hanging="849" w:hangingChars="354"/>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 xml:space="preserve">  不采用评定分离项目的评标办法</w:t>
      </w:r>
    </w:p>
    <w:p w14:paraId="07C8032F">
      <w:pPr>
        <w:spacing w:line="360" w:lineRule="auto"/>
        <w:ind w:left="850" w:hanging="849" w:hangingChars="354"/>
        <w:jc w:val="left"/>
        <w:rPr>
          <w:rFonts w:hint="eastAsia" w:ascii="宋体" w:hAnsi="宋体"/>
          <w:color w:val="auto"/>
          <w:sz w:val="24"/>
          <w:highlight w:val="none"/>
        </w:rPr>
      </w:pPr>
      <w:r>
        <w:rPr>
          <w:rFonts w:ascii="宋体" w:hAnsi="宋体"/>
          <w:color w:val="auto"/>
          <w:sz w:val="24"/>
          <w:highlight w:val="none"/>
        </w:rPr>
        <w:t>4.5.2.1</w:t>
      </w:r>
      <w:r>
        <w:rPr>
          <w:rFonts w:hint="eastAsia" w:ascii="宋体" w:hAnsi="宋体"/>
          <w:color w:val="auto"/>
          <w:sz w:val="24"/>
          <w:highlight w:val="none"/>
        </w:rPr>
        <w:t>招标人（招标代理机构）在不透露投标人身份的前提下（资格审查文件除外）将投标文件交给评标委员会，除4.</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2.2</w:t>
      </w:r>
      <w:r>
        <w:rPr>
          <w:rFonts w:hint="eastAsia" w:ascii="宋体" w:hAnsi="宋体"/>
          <w:color w:val="auto"/>
          <w:sz w:val="24"/>
          <w:highlight w:val="none"/>
        </w:rPr>
        <w:t>(g)中规定，不需要投标人派代表介绍投标方案。</w:t>
      </w:r>
    </w:p>
    <w:p w14:paraId="2490FE76">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2.2</w:t>
      </w:r>
      <w:r>
        <w:rPr>
          <w:rFonts w:hint="eastAsia" w:ascii="宋体" w:hAnsi="宋体"/>
          <w:color w:val="auto"/>
          <w:sz w:val="24"/>
          <w:highlight w:val="none"/>
        </w:rPr>
        <w:t>如果评标委员会成员在交易服务机构评标，将按方法</w:t>
      </w:r>
      <w:r>
        <w:rPr>
          <w:rFonts w:hint="eastAsia" w:ascii="宋体" w:hAnsi="宋体"/>
          <w:color w:val="auto"/>
          <w:sz w:val="24"/>
          <w:highlight w:val="none"/>
          <w:u w:val="single"/>
        </w:rPr>
        <w:t xml:space="preserve">    </w:t>
      </w:r>
      <w:r>
        <w:rPr>
          <w:rFonts w:hint="eastAsia" w:ascii="宋体" w:hAnsi="宋体"/>
          <w:color w:val="auto"/>
          <w:sz w:val="24"/>
          <w:highlight w:val="none"/>
        </w:rPr>
        <w:t>规定的步骤进行：</w:t>
      </w:r>
    </w:p>
    <w:p w14:paraId="012DD405">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       方法一（设有资格审查环节的一阶段评标法）：a、b、c、d、e、f、h、i、j</w:t>
      </w:r>
    </w:p>
    <w:p w14:paraId="4E9A620C">
      <w:pPr>
        <w:spacing w:line="360" w:lineRule="auto"/>
        <w:ind w:left="850" w:hanging="849" w:hangingChars="354"/>
        <w:jc w:val="left"/>
        <w:rPr>
          <w:rFonts w:ascii="宋体" w:hAnsi="宋体"/>
          <w:color w:val="auto"/>
          <w:sz w:val="24"/>
          <w:highlight w:val="none"/>
        </w:rPr>
      </w:pPr>
      <w:r>
        <w:rPr>
          <w:rFonts w:hint="eastAsia" w:ascii="宋体" w:hAnsi="宋体"/>
          <w:color w:val="auto"/>
          <w:sz w:val="24"/>
          <w:highlight w:val="none"/>
        </w:rPr>
        <w:t xml:space="preserve">       方法二（设有资格审查环节的二阶段评标法）：a、b、c、d、e、f、g、h、i、j</w:t>
      </w:r>
    </w:p>
    <w:p w14:paraId="371F95B2">
      <w:pPr>
        <w:spacing w:line="360" w:lineRule="auto"/>
        <w:ind w:left="850" w:hanging="849" w:hangingChars="354"/>
        <w:jc w:val="left"/>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方法三（未设资格审查环节的一阶段评标法）：a、d、e、f、h、i、j</w:t>
      </w:r>
    </w:p>
    <w:p w14:paraId="4CFB739F">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       方法四（未设资格审查环节的二阶段评标法）：a、d、e、f、g、h、i、j</w:t>
      </w:r>
    </w:p>
    <w:p w14:paraId="60ABE04A">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a</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评标委员会成员依据招标文件规定，否决两个（含两个）以上的加密打包投标文件电脑机器特征码一致的投标人，不参与下一阶段评审。</w:t>
      </w:r>
    </w:p>
    <w:p w14:paraId="1E083DAB">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(b)</w:t>
      </w:r>
      <w:r>
        <w:rPr>
          <w:rFonts w:ascii="宋体" w:hAnsi="宋体"/>
          <w:color w:val="auto"/>
          <w:sz w:val="24"/>
          <w:highlight w:val="none"/>
        </w:rPr>
        <w:t xml:space="preserve"> </w:t>
      </w:r>
      <w:r>
        <w:rPr>
          <w:rFonts w:hint="eastAsia" w:ascii="宋体" w:hAnsi="宋体"/>
          <w:color w:val="auto"/>
          <w:sz w:val="24"/>
          <w:highlight w:val="none"/>
        </w:rPr>
        <w:t>评标委员会成员依据招标文件规定，按附录12《资格审查表》对各投标人递交的投标文件进行资格审查。</w:t>
      </w:r>
    </w:p>
    <w:p w14:paraId="6A9CBC73">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(c) 评标委员会成员汇总资格审查结果，编写资格审查报告。</w:t>
      </w:r>
    </w:p>
    <w:p w14:paraId="7E78E7F3">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(d)</w:t>
      </w:r>
      <w:r>
        <w:rPr>
          <w:rFonts w:ascii="宋体" w:hAnsi="宋体"/>
          <w:color w:val="auto"/>
          <w:sz w:val="24"/>
          <w:highlight w:val="none"/>
        </w:rPr>
        <w:t xml:space="preserve"> </w:t>
      </w:r>
      <w:r>
        <w:rPr>
          <w:rFonts w:hint="eastAsia" w:ascii="宋体" w:hAnsi="宋体"/>
          <w:color w:val="auto"/>
          <w:sz w:val="24"/>
          <w:highlight w:val="none"/>
        </w:rPr>
        <w:t>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E80993B">
      <w:pPr>
        <w:spacing w:line="360" w:lineRule="auto"/>
        <w:ind w:left="846" w:leftChars="202" w:hanging="422" w:hangingChars="176"/>
        <w:jc w:val="left"/>
        <w:rPr>
          <w:rFonts w:ascii="宋体" w:hAnsi="宋体"/>
          <w:color w:val="auto"/>
          <w:sz w:val="24"/>
          <w:highlight w:val="none"/>
        </w:rPr>
      </w:pPr>
      <w:r>
        <w:rPr>
          <w:rFonts w:hint="eastAsia" w:ascii="宋体" w:hAnsi="宋体"/>
          <w:color w:val="auto"/>
          <w:sz w:val="24"/>
          <w:highlight w:val="none"/>
        </w:rPr>
        <w:t>(e) 以差额选举逐轮淘汰的记名投票方式选出所有投标方案的排序。（方案补偿费按(h)步骤确定的最终排序进行补偿）。</w:t>
      </w:r>
    </w:p>
    <w:p w14:paraId="3A79105F">
      <w:pPr>
        <w:spacing w:line="360" w:lineRule="auto"/>
        <w:ind w:left="846" w:leftChars="202" w:hanging="422" w:hangingChars="176"/>
        <w:jc w:val="left"/>
        <w:rPr>
          <w:rFonts w:ascii="宋体" w:hAnsi="宋体"/>
          <w:color w:val="auto"/>
          <w:sz w:val="24"/>
          <w:highlight w:val="none"/>
        </w:rPr>
      </w:pPr>
      <w:r>
        <w:rPr>
          <w:rFonts w:hint="eastAsia" w:ascii="宋体" w:hAnsi="宋体"/>
          <w:color w:val="auto"/>
          <w:sz w:val="24"/>
          <w:highlight w:val="none"/>
        </w:rPr>
        <w:t>(f) 评标委员会揭晓投标人身份。</w:t>
      </w:r>
    </w:p>
    <w:p w14:paraId="2F32A0CF">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w:t>
      </w:r>
      <w:r>
        <w:rPr>
          <w:rFonts w:ascii="宋体" w:hAnsi="宋体"/>
          <w:color w:val="auto"/>
          <w:sz w:val="24"/>
          <w:highlight w:val="none"/>
        </w:rPr>
        <w:t>方案的人员</w:t>
      </w:r>
      <w:r>
        <w:rPr>
          <w:rFonts w:hint="eastAsia" w:ascii="宋体" w:hAnsi="宋体"/>
          <w:color w:val="auto"/>
          <w:sz w:val="24"/>
          <w:highlight w:val="none"/>
        </w:rPr>
        <w:t>在</w:t>
      </w:r>
      <w:r>
        <w:rPr>
          <w:rFonts w:ascii="宋体" w:hAnsi="宋体"/>
          <w:color w:val="auto"/>
          <w:sz w:val="24"/>
          <w:highlight w:val="none"/>
        </w:rPr>
        <w:t>讲解前需提供投标人授权证明书及身份证原件</w:t>
      </w:r>
      <w:r>
        <w:rPr>
          <w:rFonts w:hint="eastAsia" w:ascii="宋体" w:hAnsi="宋体"/>
          <w:color w:val="auto"/>
          <w:sz w:val="24"/>
          <w:highlight w:val="none"/>
        </w:rPr>
        <w:t>给</w:t>
      </w:r>
      <w:r>
        <w:rPr>
          <w:rFonts w:ascii="宋体" w:hAnsi="宋体"/>
          <w:color w:val="auto"/>
          <w:sz w:val="24"/>
          <w:highlight w:val="none"/>
        </w:rPr>
        <w:t>评标委员会确认其身份，未提供以上资料的不得进行讲解</w:t>
      </w:r>
      <w:r>
        <w:rPr>
          <w:rFonts w:hint="eastAsia" w:ascii="宋体" w:hAnsi="宋体"/>
          <w:color w:val="auto"/>
          <w:sz w:val="24"/>
          <w:highlight w:val="none"/>
        </w:rPr>
        <w:t>）。</w:t>
      </w:r>
    </w:p>
    <w:p w14:paraId="6984FEC1">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229679E8">
      <w:pPr>
        <w:spacing w:line="360" w:lineRule="auto"/>
        <w:ind w:left="846" w:leftChars="202" w:hanging="422" w:hangingChars="176"/>
        <w:jc w:val="left"/>
        <w:rPr>
          <w:rFonts w:hint="eastAsia" w:ascii="宋体" w:hAnsi="宋体"/>
          <w:color w:val="auto"/>
          <w:sz w:val="24"/>
          <w:highlight w:val="none"/>
        </w:rPr>
      </w:pPr>
      <w:r>
        <w:rPr>
          <w:rFonts w:hint="eastAsia" w:ascii="宋体" w:hAnsi="宋体"/>
          <w:color w:val="auto"/>
          <w:sz w:val="24"/>
          <w:highlight w:val="none"/>
        </w:rPr>
        <w:t>(i) 编写、签署评标报告，并标明最终中标候选人的排列顺序，评标报告由评标委员会全体成员签字，对评标结论持有异议的评标委员会成员可以书面方式阐述其不同意见和理由。</w:t>
      </w:r>
    </w:p>
    <w:p w14:paraId="39C6098B">
      <w:pPr>
        <w:spacing w:line="360" w:lineRule="auto"/>
        <w:ind w:left="846" w:leftChars="202" w:hanging="422" w:hangingChars="176"/>
        <w:jc w:val="left"/>
        <w:rPr>
          <w:rFonts w:ascii="宋体" w:hAnsi="宋体"/>
          <w:color w:val="auto"/>
          <w:sz w:val="24"/>
          <w:highlight w:val="none"/>
        </w:rPr>
      </w:pPr>
      <w:r>
        <w:rPr>
          <w:rFonts w:hint="eastAsia" w:ascii="宋体" w:hAnsi="宋体"/>
          <w:color w:val="auto"/>
          <w:sz w:val="24"/>
          <w:highlight w:val="none"/>
        </w:rPr>
        <w:t>(j) 评标委员会向招标人提交书面评标报告后即告解散，评标过程中使用的文件、表格以及其他资料应当即时归还招标人（招标代理机构）。</w:t>
      </w:r>
    </w:p>
    <w:p w14:paraId="777A492B">
      <w:pPr>
        <w:spacing w:line="360" w:lineRule="auto"/>
        <w:ind w:left="850" w:hanging="849" w:hangingChars="354"/>
        <w:jc w:val="left"/>
        <w:rPr>
          <w:rFonts w:hint="eastAsia" w:ascii="宋体" w:hAnsi="宋体"/>
          <w:color w:val="auto"/>
          <w:sz w:val="24"/>
          <w:highlight w:val="none"/>
        </w:rPr>
      </w:pPr>
      <w:r>
        <w:rPr>
          <w:rFonts w:hint="eastAsia" w:ascii="宋体" w:hAnsi="宋体"/>
          <w:color w:val="auto"/>
          <w:sz w:val="24"/>
          <w:highlight w:val="none"/>
        </w:rPr>
        <w:t xml:space="preserve"> </w:t>
      </w:r>
    </w:p>
    <w:p w14:paraId="1FEC9218">
      <w:pPr>
        <w:spacing w:line="360" w:lineRule="auto"/>
        <w:ind w:left="850" w:hanging="849" w:hangingChars="354"/>
        <w:rPr>
          <w:rFonts w:hint="eastAsia" w:ascii="宋体" w:hAnsi="宋体"/>
          <w:b/>
          <w:bCs/>
          <w:color w:val="auto"/>
          <w:sz w:val="24"/>
          <w:highlight w:val="none"/>
        </w:rPr>
      </w:pPr>
      <w:r>
        <w:rPr>
          <w:rFonts w:hint="eastAsia" w:ascii="宋体" w:hAnsi="宋体"/>
          <w:bCs/>
          <w:color w:val="auto"/>
          <w:sz w:val="24"/>
          <w:highlight w:val="none"/>
        </w:rPr>
        <w:t>4.</w:t>
      </w:r>
      <w:r>
        <w:rPr>
          <w:rFonts w:ascii="宋体" w:hAnsi="宋体"/>
          <w:bCs/>
          <w:color w:val="auto"/>
          <w:sz w:val="24"/>
          <w:highlight w:val="none"/>
        </w:rPr>
        <w:t>5.3</w:t>
      </w:r>
      <w:r>
        <w:rPr>
          <w:rFonts w:hint="eastAsia" w:ascii="宋体" w:hAnsi="宋体"/>
          <w:b/>
          <w:bCs/>
          <w:color w:val="auto"/>
          <w:sz w:val="24"/>
          <w:highlight w:val="none"/>
        </w:rPr>
        <w:t xml:space="preserve">    </w:t>
      </w:r>
      <w:r>
        <w:rPr>
          <w:rFonts w:hint="eastAsia" w:ascii="宋体" w:hAnsi="宋体"/>
          <w:color w:val="auto"/>
          <w:sz w:val="24"/>
          <w:highlight w:val="none"/>
        </w:rPr>
        <w:t>采用评定分离项目的评标及定标办法</w:t>
      </w:r>
    </w:p>
    <w:p w14:paraId="1DAF6588">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.1招标人（招标代理机构）在不透露投标人身份的前提下（资格审查文件除外）将投标文件交给评标委员会，不需要投标人派代表介绍投标方案。</w:t>
      </w:r>
    </w:p>
    <w:p w14:paraId="79DD7172">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.2如果评标委员会成员在交易服务机构评标，将按方法</w:t>
      </w:r>
      <w:r>
        <w:rPr>
          <w:rFonts w:hint="eastAsia" w:ascii="宋体" w:hAnsi="宋体"/>
          <w:color w:val="auto"/>
          <w:sz w:val="24"/>
          <w:highlight w:val="none"/>
          <w:u w:val="single"/>
        </w:rPr>
        <w:t xml:space="preserve">    </w:t>
      </w:r>
      <w:r>
        <w:rPr>
          <w:rFonts w:hint="eastAsia" w:ascii="宋体" w:hAnsi="宋体"/>
          <w:color w:val="auto"/>
          <w:sz w:val="24"/>
          <w:highlight w:val="none"/>
        </w:rPr>
        <w:t>规定的步骤进行：</w:t>
      </w:r>
    </w:p>
    <w:p w14:paraId="32520457">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       方法一（设有资格审查环节的一阶段评标法）：a、b、c、d、e、f、g、h、i、j</w:t>
      </w:r>
    </w:p>
    <w:p w14:paraId="2B8A82EA">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       方法二（未设资格审查环节的一阶段评标法）：a、d、e、f、g、h、i、j</w:t>
      </w:r>
    </w:p>
    <w:p w14:paraId="27CAB111">
      <w:pPr>
        <w:spacing w:line="360" w:lineRule="auto"/>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       </w:t>
      </w:r>
    </w:p>
    <w:p w14:paraId="5AD046C4">
      <w:pPr>
        <w:spacing w:line="360" w:lineRule="auto"/>
        <w:ind w:left="844" w:leftChars="201" w:hanging="422" w:hangingChars="176"/>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a</w:t>
      </w:r>
      <w:r>
        <w:rPr>
          <w:rFonts w:ascii="宋体" w:hAnsi="宋体"/>
          <w:color w:val="auto"/>
          <w:sz w:val="24"/>
          <w:highlight w:val="none"/>
        </w:rPr>
        <w:t>)</w:t>
      </w:r>
      <w:r>
        <w:rPr>
          <w:rFonts w:hint="eastAsia" w:ascii="宋体" w:hAnsi="宋体"/>
          <w:color w:val="auto"/>
          <w:sz w:val="24"/>
          <w:highlight w:val="none"/>
        </w:rPr>
        <w:t xml:space="preserve">评标委员会成员依据招标文件规定，否决两个（含两个）以上的加密打包投标文件电脑机器特征码一致的投标人，不参与下一阶段评审。 </w:t>
      </w:r>
    </w:p>
    <w:p w14:paraId="4E5D016B">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(b)评标委员会成员业主代表及专家依据招标文件规定，按附录12《资格审查表》对各投标人递交的投标文件进行资格审查。</w:t>
      </w:r>
    </w:p>
    <w:p w14:paraId="5F60E854">
      <w:pPr>
        <w:spacing w:line="360" w:lineRule="auto"/>
        <w:ind w:left="844" w:leftChars="201" w:hanging="422" w:hangingChars="176"/>
        <w:rPr>
          <w:rFonts w:ascii="宋体" w:hAnsi="宋体"/>
          <w:color w:val="auto"/>
          <w:sz w:val="24"/>
          <w:highlight w:val="none"/>
        </w:rPr>
      </w:pPr>
      <w:r>
        <w:rPr>
          <w:rFonts w:hint="eastAsia" w:ascii="宋体" w:hAnsi="宋体"/>
          <w:color w:val="auto"/>
          <w:sz w:val="24"/>
          <w:highlight w:val="none"/>
        </w:rPr>
        <w:t>(c) 评标委员会成员汇总资格审查结果，编写资格审查报告。</w:t>
      </w:r>
    </w:p>
    <w:p w14:paraId="38CF96BC">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5A85BB2">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(e) 以差额选举逐轮淘汰的记名投票方式选出所有投标方案的排序，并按照4.</w:t>
      </w:r>
      <w:r>
        <w:rPr>
          <w:rFonts w:ascii="宋体" w:hAnsi="宋体"/>
          <w:color w:val="auto"/>
          <w:sz w:val="24"/>
          <w:highlight w:val="none"/>
        </w:rPr>
        <w:t>5.1</w:t>
      </w:r>
      <w:r>
        <w:rPr>
          <w:rFonts w:hint="eastAsia" w:ascii="宋体" w:hAnsi="宋体"/>
          <w:color w:val="auto"/>
          <w:sz w:val="24"/>
          <w:highlight w:val="none"/>
        </w:rPr>
        <w:t>约定的家数入围定标阶段（该排序不作为定标的依据）；或以差额选举逐轮淘汰的记名投票方式直接确定入围定标阶段的投标人。（方案补偿费按(g)步骤确定的方式进行补偿）。</w:t>
      </w:r>
    </w:p>
    <w:p w14:paraId="78A868BD">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 xml:space="preserve">(f) 评标委员会揭晓投标人身份。 </w:t>
      </w:r>
    </w:p>
    <w:p w14:paraId="2BB120C9">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。评标委员会按上述方式推荐入围定标阶段的投标人。投标经济补偿费按投标方案的最终排序（采取排序方式的）或</w:t>
      </w:r>
      <w:r>
        <w:rPr>
          <w:rFonts w:hint="eastAsia" w:ascii="宋体" w:hAnsi="宋体"/>
          <w:color w:val="auto"/>
          <w:sz w:val="24"/>
          <w:highlight w:val="none"/>
          <w:u w:val="single"/>
        </w:rPr>
        <w:t xml:space="preserve">             </w:t>
      </w:r>
      <w:r>
        <w:rPr>
          <w:rFonts w:hint="eastAsia" w:ascii="宋体" w:hAnsi="宋体"/>
          <w:color w:val="auto"/>
          <w:sz w:val="24"/>
          <w:highlight w:val="none"/>
        </w:rPr>
        <w:t>（采取直接确定入围方式的）确定进行补偿。</w:t>
      </w:r>
    </w:p>
    <w:p w14:paraId="1C177BA8">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(h) 编写、签署评标报告，评标报告由评标委员会全体成员签字，对评标结论持有异议的评标委员会成员可以书面方式阐述其不同意见和理由。</w:t>
      </w:r>
    </w:p>
    <w:p w14:paraId="225F32A2">
      <w:pPr>
        <w:spacing w:line="360" w:lineRule="auto"/>
        <w:ind w:left="844" w:leftChars="201" w:hanging="422" w:hangingChars="176"/>
        <w:rPr>
          <w:rFonts w:ascii="宋体" w:hAnsi="宋体"/>
          <w:color w:val="auto"/>
          <w:sz w:val="24"/>
          <w:highlight w:val="none"/>
        </w:rPr>
      </w:pPr>
      <w:r>
        <w:rPr>
          <w:rFonts w:hint="eastAsia" w:ascii="宋体" w:hAnsi="宋体"/>
          <w:color w:val="auto"/>
          <w:sz w:val="24"/>
          <w:highlight w:val="none"/>
        </w:rPr>
        <w:t>(i) 评标委员会向招标人提交书面评标报告后即告解散，评标过程中使用的文件、表格以及其他资料应当即时归还招标人（招标代理机构）。</w:t>
      </w:r>
    </w:p>
    <w:p w14:paraId="4C462064">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（j）定标</w:t>
      </w:r>
      <w:r>
        <w:rPr>
          <w:rFonts w:ascii="宋体" w:hAnsi="宋体"/>
          <w:color w:val="auto"/>
          <w:sz w:val="24"/>
          <w:highlight w:val="none"/>
        </w:rPr>
        <w:t>委员会</w:t>
      </w:r>
      <w:r>
        <w:rPr>
          <w:rFonts w:hint="eastAsia" w:ascii="宋体" w:hAnsi="宋体"/>
          <w:color w:val="auto"/>
          <w:sz w:val="24"/>
          <w:highlight w:val="none"/>
        </w:rPr>
        <w:t>定标。定标委员会按附录16《定标原则》确定</w:t>
      </w:r>
      <w:r>
        <w:rPr>
          <w:rFonts w:hint="eastAsia" w:ascii="宋体" w:hAnsi="宋体"/>
          <w:color w:val="auto"/>
          <w:sz w:val="24"/>
          <w:highlight w:val="none"/>
          <w:u w:val="single"/>
        </w:rPr>
        <w:t xml:space="preserve">    </w:t>
      </w:r>
      <w:r>
        <w:rPr>
          <w:rFonts w:hint="eastAsia" w:ascii="宋体" w:hAnsi="宋体"/>
          <w:color w:val="auto"/>
          <w:sz w:val="24"/>
          <w:highlight w:val="none"/>
        </w:rPr>
        <w:t>名（不多于3名）中标候选人（排序），也可直接确定中标人。</w:t>
      </w:r>
    </w:p>
    <w:p w14:paraId="6D307906">
      <w:pPr>
        <w:spacing w:line="360" w:lineRule="auto"/>
        <w:ind w:left="844" w:leftChars="201" w:hanging="422" w:hangingChars="176"/>
        <w:rPr>
          <w:rFonts w:hint="eastAsia" w:ascii="宋体" w:hAnsi="宋体"/>
          <w:color w:val="auto"/>
          <w:sz w:val="24"/>
          <w:highlight w:val="none"/>
        </w:rPr>
      </w:pPr>
      <w:r>
        <w:rPr>
          <w:rFonts w:hint="eastAsia" w:ascii="宋体" w:hAnsi="宋体"/>
          <w:color w:val="auto"/>
          <w:sz w:val="24"/>
          <w:highlight w:val="none"/>
        </w:rPr>
        <w:t xml:space="preserve"> </w:t>
      </w:r>
    </w:p>
    <w:p w14:paraId="33DBEEB4">
      <w:pPr>
        <w:pStyle w:val="2"/>
        <w:spacing w:line="360" w:lineRule="auto"/>
        <w:ind w:left="844" w:leftChars="201" w:hanging="422" w:hangingChars="176"/>
        <w:jc w:val="center"/>
        <w:rPr>
          <w:rFonts w:hint="eastAsia"/>
          <w:color w:val="auto"/>
          <w:sz w:val="36"/>
          <w:szCs w:val="36"/>
          <w:highlight w:val="none"/>
        </w:rPr>
      </w:pPr>
      <w:r>
        <w:rPr>
          <w:color w:val="auto"/>
          <w:sz w:val="24"/>
          <w:szCs w:val="24"/>
          <w:highlight w:val="none"/>
        </w:rPr>
        <w:br w:type="page"/>
      </w:r>
      <w:bookmarkStart w:id="16" w:name="_Toc9350"/>
      <w:r>
        <w:rPr>
          <w:rFonts w:hint="eastAsia"/>
          <w:color w:val="auto"/>
          <w:sz w:val="36"/>
          <w:szCs w:val="36"/>
          <w:highlight w:val="none"/>
        </w:rPr>
        <w:t>第五章  定标</w:t>
      </w:r>
      <w:bookmarkEnd w:id="16"/>
    </w:p>
    <w:p w14:paraId="43C9A59C">
      <w:pPr>
        <w:rPr>
          <w:rFonts w:hint="eastAsia" w:ascii="宋体" w:hAnsi="宋体"/>
          <w:color w:val="auto"/>
          <w:highlight w:val="none"/>
        </w:rPr>
      </w:pPr>
    </w:p>
    <w:p w14:paraId="59682EF3">
      <w:pPr>
        <w:spacing w:line="360" w:lineRule="auto"/>
        <w:jc w:val="left"/>
        <w:rPr>
          <w:rFonts w:hint="eastAsia" w:ascii="宋体" w:hAnsi="宋体"/>
          <w:b/>
          <w:color w:val="auto"/>
          <w:sz w:val="24"/>
          <w:highlight w:val="none"/>
        </w:rPr>
      </w:pPr>
      <w:r>
        <w:rPr>
          <w:rFonts w:hint="eastAsia" w:ascii="宋体" w:hAnsi="宋体"/>
          <w:b/>
          <w:color w:val="auto"/>
          <w:sz w:val="24"/>
          <w:highlight w:val="none"/>
        </w:rPr>
        <w:t>5.1    确定中标人</w:t>
      </w:r>
    </w:p>
    <w:p w14:paraId="57A0B233">
      <w:pPr>
        <w:spacing w:line="360" w:lineRule="auto"/>
        <w:jc w:val="left"/>
        <w:rPr>
          <w:rFonts w:ascii="宋体" w:hAnsi="宋体"/>
          <w:color w:val="auto"/>
          <w:sz w:val="24"/>
          <w:highlight w:val="none"/>
        </w:rPr>
      </w:pPr>
    </w:p>
    <w:p w14:paraId="4129EA56">
      <w:pPr>
        <w:spacing w:line="360" w:lineRule="auto"/>
        <w:jc w:val="left"/>
        <w:rPr>
          <w:rFonts w:ascii="宋体" w:hAnsi="宋体"/>
          <w:color w:val="auto"/>
          <w:sz w:val="24"/>
          <w:highlight w:val="none"/>
        </w:rPr>
      </w:pPr>
      <w:r>
        <w:rPr>
          <w:rFonts w:hint="eastAsia" w:ascii="宋体" w:hAnsi="宋体"/>
          <w:color w:val="auto"/>
          <w:sz w:val="24"/>
          <w:highlight w:val="none"/>
        </w:rPr>
        <w:t>采用方式</w:t>
      </w:r>
      <w:r>
        <w:rPr>
          <w:rFonts w:hint="eastAsia" w:ascii="宋体" w:hAnsi="宋体"/>
          <w:color w:val="auto"/>
          <w:sz w:val="24"/>
          <w:highlight w:val="none"/>
          <w:u w:val="single"/>
        </w:rPr>
        <w:t xml:space="preserve">    </w:t>
      </w:r>
      <w:r>
        <w:rPr>
          <w:rFonts w:hint="eastAsia" w:ascii="宋体" w:hAnsi="宋体"/>
          <w:color w:val="auto"/>
          <w:sz w:val="24"/>
          <w:highlight w:val="none"/>
        </w:rPr>
        <w:t>确定中标人：</w:t>
      </w:r>
    </w:p>
    <w:p w14:paraId="76225DA2">
      <w:pPr>
        <w:spacing w:line="360" w:lineRule="auto"/>
        <w:jc w:val="left"/>
        <w:rPr>
          <w:rFonts w:hint="eastAsia" w:ascii="宋体" w:hAnsi="宋体"/>
          <w:color w:val="auto"/>
          <w:sz w:val="24"/>
          <w:highlight w:val="none"/>
        </w:rPr>
      </w:pPr>
    </w:p>
    <w:p w14:paraId="56476573">
      <w:pPr>
        <w:spacing w:line="360" w:lineRule="auto"/>
        <w:jc w:val="left"/>
        <w:rPr>
          <w:rFonts w:ascii="宋体" w:hAnsi="宋体"/>
          <w:b/>
          <w:color w:val="auto"/>
          <w:sz w:val="24"/>
          <w:highlight w:val="none"/>
        </w:rPr>
      </w:pPr>
      <w:r>
        <w:rPr>
          <w:rFonts w:hint="eastAsia" w:ascii="宋体" w:hAnsi="宋体"/>
          <w:b/>
          <w:color w:val="auto"/>
          <w:sz w:val="24"/>
          <w:highlight w:val="none"/>
        </w:rPr>
        <w:t>方式一（适用于设置资格审查环节的项目）：</w:t>
      </w:r>
    </w:p>
    <w:p w14:paraId="2C190B18">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5.1.1  </w:t>
      </w:r>
      <w:r>
        <w:rPr>
          <w:rFonts w:hint="eastAsia"/>
          <w:color w:val="auto"/>
          <w:sz w:val="24"/>
          <w:highlight w:val="none"/>
        </w:rPr>
        <w:t>招标人在评标委员会或</w:t>
      </w:r>
      <w:r>
        <w:rPr>
          <w:color w:val="auto"/>
          <w:sz w:val="24"/>
          <w:highlight w:val="none"/>
        </w:rPr>
        <w:t>定标委员会</w:t>
      </w:r>
      <w:r>
        <w:rPr>
          <w:rFonts w:hint="eastAsia"/>
          <w:color w:val="auto"/>
          <w:sz w:val="24"/>
          <w:highlight w:val="none"/>
        </w:rPr>
        <w:t>推荐的</w:t>
      </w:r>
      <w:r>
        <w:rPr>
          <w:rFonts w:hint="eastAsia" w:ascii="宋体" w:hAnsi="宋体"/>
          <w:color w:val="auto"/>
          <w:sz w:val="24"/>
          <w:highlight w:val="none"/>
        </w:rPr>
        <w:t>中标候选人中确定中标人。</w:t>
      </w:r>
    </w:p>
    <w:p w14:paraId="6F0E72F0">
      <w:pPr>
        <w:spacing w:line="360" w:lineRule="auto"/>
        <w:ind w:left="821" w:hanging="820" w:hangingChars="342"/>
        <w:jc w:val="left"/>
        <w:rPr>
          <w:rFonts w:hint="eastAsia"/>
          <w:color w:val="auto"/>
          <w:sz w:val="24"/>
          <w:highlight w:val="none"/>
        </w:rPr>
      </w:pPr>
      <w:r>
        <w:rPr>
          <w:rFonts w:hint="eastAsia" w:ascii="宋体" w:hAnsi="宋体"/>
          <w:color w:val="auto"/>
          <w:sz w:val="24"/>
          <w:highlight w:val="none"/>
        </w:rPr>
        <w:t>5.1.2</w:t>
      </w:r>
      <w:r>
        <w:rPr>
          <w:color w:val="auto"/>
          <w:sz w:val="24"/>
          <w:highlight w:val="none"/>
        </w:rPr>
        <w:t xml:space="preserve">  </w:t>
      </w:r>
      <w:r>
        <w:rPr>
          <w:rFonts w:hint="eastAsia"/>
          <w:color w:val="auto"/>
          <w:sz w:val="24"/>
          <w:highlight w:val="none"/>
        </w:rPr>
        <w:t>招标人确定中标人：</w:t>
      </w:r>
    </w:p>
    <w:p w14:paraId="78C5A4E5">
      <w:pPr>
        <w:spacing w:line="360" w:lineRule="auto"/>
        <w:ind w:left="735" w:leftChars="350"/>
        <w:jc w:val="left"/>
        <w:rPr>
          <w:rFonts w:ascii="宋体" w:hAnsi="宋体"/>
          <w:color w:val="auto"/>
          <w:sz w:val="24"/>
          <w:highlight w:val="none"/>
        </w:rPr>
      </w:pPr>
      <w:r>
        <w:rPr>
          <w:rFonts w:hint="eastAsia" w:ascii="宋体" w:hAnsi="宋体"/>
          <w:color w:val="auto"/>
          <w:sz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color w:val="auto"/>
          <w:sz w:val="24"/>
          <w:highlight w:val="none"/>
        </w:rPr>
        <w:t>或</w:t>
      </w:r>
      <w:r>
        <w:rPr>
          <w:color w:val="auto"/>
          <w:sz w:val="24"/>
          <w:highlight w:val="none"/>
        </w:rPr>
        <w:t>定标委员会</w:t>
      </w:r>
      <w:r>
        <w:rPr>
          <w:rFonts w:hint="eastAsia" w:ascii="宋体" w:hAnsi="宋体"/>
          <w:color w:val="auto"/>
          <w:sz w:val="24"/>
          <w:highlight w:val="none"/>
        </w:rPr>
        <w:t>提出的中标候选人名单排序依次确定其他中标候选人为中标人，也可以重新招标。</w:t>
      </w:r>
      <w:r>
        <w:rPr>
          <w:rFonts w:hint="eastAsia"/>
          <w:color w:val="auto"/>
          <w:sz w:val="24"/>
          <w:highlight w:val="none"/>
        </w:rPr>
        <w:t>如定标委员会直接确定中标人的，可省略此步骤。</w:t>
      </w:r>
    </w:p>
    <w:p w14:paraId="0BE60826">
      <w:pPr>
        <w:spacing w:line="360" w:lineRule="auto"/>
        <w:ind w:left="720" w:hanging="720" w:hangingChars="300"/>
        <w:rPr>
          <w:rFonts w:hint="eastAsia" w:ascii="宋体" w:hAnsi="宋体"/>
          <w:color w:val="auto"/>
          <w:sz w:val="24"/>
          <w:highlight w:val="none"/>
        </w:rPr>
      </w:pPr>
      <w:r>
        <w:rPr>
          <w:rFonts w:hint="eastAsia" w:ascii="宋体" w:hAnsi="宋体"/>
          <w:color w:val="auto"/>
          <w:sz w:val="24"/>
          <w:highlight w:val="none"/>
        </w:rPr>
        <w:t>5.1.3 在产生中标候选人后，招标人将中标候选人的投标文件商务部分（包括报价清单、人员、业绩、奖项等资料）在交易平台和广东省招标投标监管网公开。</w:t>
      </w:r>
    </w:p>
    <w:p w14:paraId="0490D202">
      <w:pPr>
        <w:spacing w:line="360" w:lineRule="auto"/>
        <w:jc w:val="left"/>
        <w:rPr>
          <w:rFonts w:hint="eastAsia" w:ascii="宋体" w:hAnsi="宋体"/>
          <w:color w:val="auto"/>
          <w:sz w:val="24"/>
          <w:highlight w:val="none"/>
        </w:rPr>
      </w:pPr>
    </w:p>
    <w:p w14:paraId="7D8BEEDF">
      <w:pPr>
        <w:spacing w:line="360" w:lineRule="auto"/>
        <w:rPr>
          <w:rFonts w:ascii="宋体" w:hAnsi="宋体"/>
          <w:b/>
          <w:color w:val="auto"/>
          <w:sz w:val="24"/>
          <w:highlight w:val="none"/>
        </w:rPr>
      </w:pPr>
      <w:r>
        <w:rPr>
          <w:rFonts w:hint="eastAsia" w:ascii="宋体" w:hAnsi="宋体"/>
          <w:b/>
          <w:color w:val="auto"/>
          <w:sz w:val="24"/>
          <w:highlight w:val="none"/>
        </w:rPr>
        <w:t>方式二（适用于未设资格审查环节的项目）：</w:t>
      </w:r>
    </w:p>
    <w:p w14:paraId="4475C3A1">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5.1.1  </w:t>
      </w:r>
      <w:r>
        <w:rPr>
          <w:rFonts w:hint="eastAsia"/>
          <w:color w:val="auto"/>
          <w:sz w:val="24"/>
          <w:highlight w:val="none"/>
        </w:rPr>
        <w:t>招标人依据评标委员会或</w:t>
      </w:r>
      <w:r>
        <w:rPr>
          <w:color w:val="auto"/>
          <w:sz w:val="24"/>
          <w:highlight w:val="none"/>
        </w:rPr>
        <w:t>定标委员会</w:t>
      </w:r>
      <w:r>
        <w:rPr>
          <w:rFonts w:hint="eastAsia"/>
          <w:color w:val="auto"/>
          <w:sz w:val="24"/>
          <w:highlight w:val="none"/>
        </w:rPr>
        <w:t>推荐的</w:t>
      </w:r>
      <w:r>
        <w:rPr>
          <w:rFonts w:hint="eastAsia" w:ascii="宋体" w:hAnsi="宋体"/>
          <w:color w:val="auto"/>
          <w:sz w:val="24"/>
          <w:highlight w:val="none"/>
        </w:rPr>
        <w:t>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19E93026">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5.1.2</w:t>
      </w:r>
      <w:r>
        <w:rPr>
          <w:color w:val="auto"/>
          <w:sz w:val="24"/>
          <w:highlight w:val="none"/>
        </w:rPr>
        <w:t xml:space="preserve">  </w:t>
      </w:r>
      <w:r>
        <w:rPr>
          <w:rFonts w:hint="eastAsia" w:ascii="宋体" w:hAnsi="宋体"/>
          <w:color w:val="auto"/>
          <w:sz w:val="24"/>
          <w:highlight w:val="none"/>
        </w:rPr>
        <w:t>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color w:val="auto"/>
          <w:sz w:val="24"/>
          <w:highlight w:val="none"/>
        </w:rPr>
        <w:t>或</w:t>
      </w:r>
      <w:r>
        <w:rPr>
          <w:color w:val="auto"/>
          <w:sz w:val="24"/>
          <w:highlight w:val="none"/>
        </w:rPr>
        <w:t>定标委员会</w:t>
      </w:r>
      <w:r>
        <w:rPr>
          <w:rFonts w:hint="eastAsia" w:ascii="宋体" w:hAnsi="宋体"/>
          <w:color w:val="auto"/>
          <w:sz w:val="24"/>
          <w:highlight w:val="none"/>
        </w:rPr>
        <w:t>提出的中标候选人名单排序依次确定其他通过资格复核的中标候选人为中标人，也可以重新招标。</w:t>
      </w:r>
    </w:p>
    <w:p w14:paraId="44D270BE">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5.1.</w:t>
      </w:r>
      <w:r>
        <w:rPr>
          <w:rFonts w:ascii="宋体" w:hAnsi="宋体"/>
          <w:color w:val="auto"/>
          <w:sz w:val="24"/>
          <w:highlight w:val="none"/>
        </w:rPr>
        <w:t>3  定标委员会直接确定中标人，</w:t>
      </w:r>
      <w:r>
        <w:rPr>
          <w:rFonts w:hint="eastAsia" w:ascii="宋体" w:hAnsi="宋体"/>
          <w:color w:val="auto"/>
          <w:sz w:val="24"/>
          <w:highlight w:val="none"/>
        </w:rPr>
        <w:t>中标人</w:t>
      </w:r>
      <w:r>
        <w:rPr>
          <w:rFonts w:ascii="宋体" w:hAnsi="宋体"/>
          <w:color w:val="auto"/>
          <w:sz w:val="24"/>
          <w:highlight w:val="none"/>
        </w:rPr>
        <w:t>未能通过资格复核的，招标失败</w:t>
      </w:r>
      <w:r>
        <w:rPr>
          <w:rFonts w:hint="eastAsia" w:ascii="宋体" w:hAnsi="宋体"/>
          <w:color w:val="auto"/>
          <w:sz w:val="24"/>
          <w:highlight w:val="none"/>
        </w:rPr>
        <w:t>。</w:t>
      </w:r>
      <w:r>
        <w:rPr>
          <w:rFonts w:ascii="宋体" w:hAnsi="宋体"/>
          <w:color w:val="auto"/>
          <w:sz w:val="24"/>
          <w:highlight w:val="none"/>
        </w:rPr>
        <w:t>招标人</w:t>
      </w:r>
      <w:r>
        <w:rPr>
          <w:rFonts w:hint="eastAsia" w:ascii="宋体" w:hAnsi="宋体"/>
          <w:color w:val="auto"/>
          <w:sz w:val="24"/>
          <w:highlight w:val="none"/>
        </w:rPr>
        <w:t>应</w:t>
      </w:r>
      <w:r>
        <w:rPr>
          <w:rFonts w:ascii="宋体" w:hAnsi="宋体"/>
          <w:color w:val="auto"/>
          <w:sz w:val="24"/>
          <w:highlight w:val="none"/>
        </w:rPr>
        <w:t>重新组织招标。</w:t>
      </w:r>
    </w:p>
    <w:p w14:paraId="36597D60">
      <w:pPr>
        <w:spacing w:line="360" w:lineRule="auto"/>
        <w:ind w:left="840" w:hanging="840" w:hangingChars="350"/>
        <w:rPr>
          <w:rFonts w:ascii="宋体" w:hAnsi="宋体"/>
          <w:color w:val="auto"/>
          <w:sz w:val="24"/>
          <w:highlight w:val="none"/>
        </w:rPr>
      </w:pPr>
      <w:r>
        <w:rPr>
          <w:rFonts w:hint="eastAsia" w:ascii="宋体" w:hAnsi="宋体"/>
          <w:color w:val="auto"/>
          <w:sz w:val="24"/>
          <w:highlight w:val="none"/>
        </w:rPr>
        <w:t>5.1.</w:t>
      </w:r>
      <w:r>
        <w:rPr>
          <w:rFonts w:ascii="宋体" w:hAnsi="宋体"/>
          <w:color w:val="auto"/>
          <w:sz w:val="24"/>
          <w:highlight w:val="none"/>
        </w:rPr>
        <w:t>4</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在产生中标候选人后，招标人将中标候选人的投标文件商务部分（包括报价清单、人员、业绩、奖项等资料）在交易平台和广东省招标投标监管网公开。</w:t>
      </w:r>
    </w:p>
    <w:p w14:paraId="4B3ACD70">
      <w:pPr>
        <w:spacing w:line="360" w:lineRule="auto"/>
        <w:ind w:left="840" w:hanging="840" w:hangingChars="350"/>
        <w:rPr>
          <w:rFonts w:hint="eastAsia" w:ascii="宋体" w:hAnsi="宋体"/>
          <w:color w:val="auto"/>
          <w:sz w:val="24"/>
          <w:highlight w:val="none"/>
        </w:rPr>
      </w:pPr>
    </w:p>
    <w:p w14:paraId="6000ADA3">
      <w:pPr>
        <w:spacing w:line="360" w:lineRule="auto"/>
        <w:jc w:val="left"/>
        <w:rPr>
          <w:rFonts w:hint="eastAsia" w:ascii="宋体" w:hAnsi="宋体"/>
          <w:b/>
          <w:color w:val="auto"/>
          <w:sz w:val="24"/>
          <w:highlight w:val="none"/>
        </w:rPr>
      </w:pPr>
      <w:r>
        <w:rPr>
          <w:rFonts w:hint="eastAsia" w:ascii="宋体" w:hAnsi="宋体"/>
          <w:b/>
          <w:color w:val="auto"/>
          <w:sz w:val="24"/>
          <w:highlight w:val="none"/>
        </w:rPr>
        <w:t>5.2    中标资格审核及中标通知</w:t>
      </w:r>
    </w:p>
    <w:p w14:paraId="0BA284C3">
      <w:pPr>
        <w:spacing w:line="360" w:lineRule="auto"/>
        <w:rPr>
          <w:rFonts w:hint="eastAsia" w:ascii="宋体" w:hAnsi="宋体"/>
          <w:color w:val="auto"/>
          <w:sz w:val="24"/>
          <w:highlight w:val="none"/>
        </w:rPr>
      </w:pPr>
    </w:p>
    <w:p w14:paraId="7FF601EC">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 xml:space="preserve">5.2.1  </w:t>
      </w:r>
      <w:r>
        <w:rPr>
          <w:rFonts w:hint="eastAsia"/>
          <w:color w:val="auto"/>
          <w:sz w:val="24"/>
          <w:highlight w:val="none"/>
        </w:rPr>
        <w:t>招标人发出中标通知书前，与中标人落实以下事项：</w:t>
      </w:r>
    </w:p>
    <w:p w14:paraId="2C9F8D86">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a</w:t>
      </w:r>
      <w:r>
        <w:rPr>
          <w:rFonts w:hint="eastAsia" w:ascii="宋体" w:hAnsi="宋体"/>
          <w:color w:val="auto"/>
          <w:sz w:val="24"/>
          <w:highlight w:val="none"/>
        </w:rPr>
        <w:t>) 投标文件是否有明显抄袭行为；</w:t>
      </w:r>
    </w:p>
    <w:p w14:paraId="3C234DB0">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b</w:t>
      </w:r>
      <w:r>
        <w:rPr>
          <w:rFonts w:hint="eastAsia" w:ascii="宋体" w:hAnsi="宋体"/>
          <w:color w:val="auto"/>
          <w:sz w:val="24"/>
          <w:highlight w:val="none"/>
        </w:rPr>
        <w:t>) 投标文件是否有侵犯他人著作权和特许权；</w:t>
      </w:r>
    </w:p>
    <w:p w14:paraId="19249B77">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c</w:t>
      </w:r>
      <w:r>
        <w:rPr>
          <w:rFonts w:hint="eastAsia" w:ascii="宋体" w:hAnsi="宋体"/>
          <w:color w:val="auto"/>
          <w:sz w:val="24"/>
          <w:highlight w:val="none"/>
        </w:rPr>
        <w:t>) 投标文件是否有参加过其他竞赛，或在其他竞赛中获奖的作品。</w:t>
      </w:r>
    </w:p>
    <w:p w14:paraId="1B0BAE23">
      <w:pPr>
        <w:spacing w:line="360" w:lineRule="auto"/>
        <w:ind w:left="849" w:leftChars="404" w:hanging="1"/>
        <w:rPr>
          <w:rFonts w:hint="eastAsia" w:ascii="宋体" w:hAnsi="宋体"/>
          <w:color w:val="auto"/>
          <w:sz w:val="24"/>
          <w:highlight w:val="none"/>
        </w:rPr>
      </w:pPr>
      <w:r>
        <w:rPr>
          <w:rFonts w:hint="eastAsia" w:ascii="宋体" w:hAnsi="宋体"/>
          <w:color w:val="auto"/>
          <w:sz w:val="24"/>
          <w:highlight w:val="none"/>
        </w:rPr>
        <w:t>中标人</w:t>
      </w:r>
      <w:r>
        <w:rPr>
          <w:rFonts w:ascii="宋体" w:hAnsi="宋体"/>
          <w:color w:val="auto"/>
          <w:sz w:val="24"/>
          <w:highlight w:val="none"/>
        </w:rPr>
        <w:t>出现以上情形的，</w:t>
      </w:r>
      <w:r>
        <w:rPr>
          <w:rFonts w:hint="eastAsia" w:ascii="宋体" w:hAnsi="宋体"/>
          <w:color w:val="auto"/>
          <w:sz w:val="24"/>
          <w:highlight w:val="none"/>
        </w:rPr>
        <w:t>中标无效。招标人按照《中华人民共和国招标投标法实施条例》第五十五条的规定依次确定中标人或重新招标。</w:t>
      </w:r>
    </w:p>
    <w:p w14:paraId="28230E39">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2</w:t>
      </w:r>
      <w:r>
        <w:rPr>
          <w:rFonts w:hint="eastAsia" w:ascii="宋体" w:hAnsi="宋体"/>
          <w:color w:val="auto"/>
          <w:sz w:val="24"/>
          <w:highlight w:val="none"/>
        </w:rPr>
        <w:t xml:space="preserve">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w:t>
      </w:r>
      <w:r>
        <w:rPr>
          <w:rFonts w:hint="eastAsia" w:hAnsi="宋体"/>
          <w:color w:val="auto"/>
          <w:sz w:val="24"/>
          <w:highlight w:val="none"/>
        </w:rPr>
        <w:t>分包单位必须经招标人认可</w:t>
      </w:r>
      <w:r>
        <w:rPr>
          <w:rFonts w:hint="eastAsia" w:ascii="宋体" w:hAnsi="宋体"/>
          <w:color w:val="auto"/>
          <w:sz w:val="24"/>
          <w:highlight w:val="none"/>
        </w:rPr>
        <w:t>。</w:t>
      </w:r>
    </w:p>
    <w:p w14:paraId="419E681C">
      <w:pPr>
        <w:spacing w:line="360" w:lineRule="auto"/>
        <w:ind w:left="821" w:hanging="820" w:hangingChars="342"/>
        <w:rPr>
          <w:rFonts w:hint="eastAsia" w:ascii="宋体" w:hAnsi="宋体"/>
          <w:color w:val="auto"/>
          <w:sz w:val="24"/>
          <w:highlight w:val="none"/>
        </w:rPr>
      </w:pPr>
      <w:bookmarkStart w:id="17" w:name="OLE_LINK24"/>
      <w:r>
        <w:rPr>
          <w:rFonts w:hint="eastAsia" w:ascii="宋体" w:hAnsi="宋体"/>
          <w:color w:val="auto"/>
          <w:sz w:val="24"/>
          <w:highlight w:val="none"/>
        </w:rPr>
        <w:t>5.2.</w:t>
      </w:r>
      <w:r>
        <w:rPr>
          <w:rFonts w:ascii="宋体" w:hAnsi="宋体"/>
          <w:color w:val="auto"/>
          <w:sz w:val="24"/>
          <w:highlight w:val="none"/>
        </w:rPr>
        <w:t>3</w:t>
      </w:r>
      <w:r>
        <w:rPr>
          <w:rFonts w:hint="eastAsia" w:ascii="宋体" w:hAnsi="宋体"/>
          <w:color w:val="auto"/>
          <w:sz w:val="24"/>
          <w:highlight w:val="none"/>
        </w:rPr>
        <w:t xml:space="preserve">  如果中标候选人的报价不符合招标文件规定，招标人有权作出修正，招标人的修正备忘录在得到中标候选人的同意后向其颁发中标通知书。</w:t>
      </w:r>
      <w:bookmarkEnd w:id="17"/>
    </w:p>
    <w:p w14:paraId="0CF03285">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4</w:t>
      </w:r>
      <w:r>
        <w:rPr>
          <w:rFonts w:hint="eastAsia" w:ascii="宋体" w:hAnsi="宋体"/>
          <w:color w:val="auto"/>
          <w:sz w:val="24"/>
          <w:highlight w:val="none"/>
        </w:rPr>
        <w:t xml:space="preserve">  </w:t>
      </w:r>
      <w:r>
        <w:rPr>
          <w:rFonts w:hint="eastAsia" w:hAnsi="宋体"/>
          <w:color w:val="auto"/>
          <w:sz w:val="24"/>
          <w:highlight w:val="none"/>
        </w:rPr>
        <w:t>中标人确定后，招标人</w:t>
      </w:r>
      <w:r>
        <w:rPr>
          <w:rFonts w:hint="eastAsia" w:ascii="宋体" w:hAnsi="宋体"/>
          <w:color w:val="auto"/>
          <w:sz w:val="24"/>
          <w:highlight w:val="none"/>
        </w:rPr>
        <w:t>（</w:t>
      </w:r>
      <w:r>
        <w:rPr>
          <w:rFonts w:hint="eastAsia" w:hAnsi="宋体"/>
          <w:color w:val="auto"/>
          <w:sz w:val="24"/>
          <w:highlight w:val="none"/>
        </w:rPr>
        <w:t>招标代理机构）通过交易平台和广东省招标投标监管网公示中标结果。</w:t>
      </w:r>
    </w:p>
    <w:p w14:paraId="7D398883">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5</w:t>
      </w:r>
      <w:r>
        <w:rPr>
          <w:rFonts w:hint="eastAsia" w:ascii="宋体" w:hAnsi="宋体"/>
          <w:color w:val="auto"/>
          <w:sz w:val="24"/>
          <w:highlight w:val="none"/>
        </w:rPr>
        <w:t xml:space="preserve">  </w:t>
      </w:r>
      <w:r>
        <w:rPr>
          <w:rFonts w:hint="eastAsia" w:hAnsi="宋体"/>
          <w:color w:val="auto"/>
          <w:sz w:val="24"/>
          <w:highlight w:val="none"/>
        </w:rPr>
        <w:t>招标人自确定中标人之日起十五日内向招标管理机构提交招标投标情况的书面报告。</w:t>
      </w:r>
    </w:p>
    <w:p w14:paraId="7E945EED">
      <w:pPr>
        <w:spacing w:line="360" w:lineRule="auto"/>
        <w:rPr>
          <w:rFonts w:hint="eastAsia" w:ascii="宋体" w:hAnsi="宋体"/>
          <w:color w:val="auto"/>
          <w:sz w:val="24"/>
          <w:highlight w:val="none"/>
        </w:rPr>
      </w:pPr>
    </w:p>
    <w:p w14:paraId="41738DEE">
      <w:pPr>
        <w:spacing w:line="360" w:lineRule="auto"/>
        <w:rPr>
          <w:rFonts w:hint="eastAsia" w:ascii="宋体" w:hAnsi="宋体"/>
          <w:b/>
          <w:bCs/>
          <w:color w:val="auto"/>
          <w:sz w:val="24"/>
          <w:highlight w:val="none"/>
        </w:rPr>
      </w:pPr>
      <w:r>
        <w:rPr>
          <w:rFonts w:hint="eastAsia" w:ascii="宋体" w:hAnsi="宋体"/>
          <w:b/>
          <w:bCs/>
          <w:color w:val="auto"/>
          <w:sz w:val="24"/>
          <w:highlight w:val="none"/>
        </w:rPr>
        <w:t>5.3    其他</w:t>
      </w:r>
    </w:p>
    <w:p w14:paraId="64AEDA0E">
      <w:pPr>
        <w:spacing w:line="360" w:lineRule="auto"/>
        <w:rPr>
          <w:rFonts w:hint="eastAsia" w:ascii="宋体" w:hAnsi="宋体"/>
          <w:color w:val="auto"/>
          <w:sz w:val="24"/>
          <w:highlight w:val="none"/>
        </w:rPr>
      </w:pPr>
    </w:p>
    <w:p w14:paraId="41DEC996">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1</w:t>
      </w:r>
      <w:r>
        <w:rPr>
          <w:rFonts w:hint="eastAsia" w:ascii="宋体" w:hAnsi="宋体"/>
          <w:color w:val="auto"/>
          <w:sz w:val="24"/>
          <w:highlight w:val="none"/>
        </w:rPr>
        <w:t xml:space="preserve">  凡是以他人名义投标，或者投标人</w:t>
      </w:r>
      <w:r>
        <w:rPr>
          <w:rFonts w:hint="eastAsia"/>
          <w:color w:val="auto"/>
          <w:sz w:val="24"/>
          <w:highlight w:val="none"/>
        </w:rPr>
        <w:t>允许其他单位或者个人以投标人的名义投标承揽业务的，均属违法行为，招标人对这些单位或个人的损失概不负责，对这些单位或个人的投诉概不受理。</w:t>
      </w:r>
    </w:p>
    <w:p w14:paraId="706477B4">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2</w:t>
      </w:r>
      <w:r>
        <w:rPr>
          <w:rFonts w:hint="eastAsia" w:ascii="宋体" w:hAnsi="宋体"/>
          <w:color w:val="auto"/>
          <w:sz w:val="24"/>
          <w:highlight w:val="none"/>
        </w:rPr>
        <w:t xml:space="preserve">  本次招标由交易服务机构对各投标人提交的成果和评标过程、评标结果予以见证，若有纠纷，将按现行法律、法规通过友好协商或诉讼程序解决。</w:t>
      </w:r>
    </w:p>
    <w:p w14:paraId="06366ADA">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3</w:t>
      </w:r>
      <w:r>
        <w:rPr>
          <w:rFonts w:hint="eastAsia" w:ascii="宋体" w:hAnsi="宋体"/>
          <w:color w:val="auto"/>
          <w:sz w:val="24"/>
          <w:highlight w:val="none"/>
        </w:rPr>
        <w:t xml:space="preserve">  腐败与欺诈行为</w:t>
      </w:r>
    </w:p>
    <w:p w14:paraId="13253816">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在招标和合同实施期间，招标人要求投标人和承包人遵守最高的道德标准。</w:t>
      </w:r>
    </w:p>
    <w:p w14:paraId="76D335EB">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3</w:t>
      </w:r>
      <w:r>
        <w:rPr>
          <w:rFonts w:hint="eastAsia" w:ascii="宋体" w:hAnsi="宋体"/>
          <w:color w:val="auto"/>
          <w:sz w:val="24"/>
          <w:highlight w:val="none"/>
        </w:rPr>
        <w:t>.1对本条款的规定，特定义如下词汇：</w:t>
      </w:r>
    </w:p>
    <w:p w14:paraId="5357682B">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1）、“腐败行为”是指在招标或合同执行期间，通过提供、给予、接受或索要任何有价值的东西，从而影响招标人有关人员工作的行为；</w:t>
      </w:r>
    </w:p>
    <w:p w14:paraId="1F3CEFE5">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1F363EF">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3</w:t>
      </w:r>
      <w:r>
        <w:rPr>
          <w:rFonts w:hint="eastAsia" w:ascii="宋体" w:hAnsi="宋体"/>
          <w:color w:val="auto"/>
          <w:sz w:val="24"/>
          <w:highlight w:val="none"/>
        </w:rPr>
        <w:t>.2如果投标人被认定在本招标的竞争中有腐败或欺诈行为，则会被取消投标资格。</w:t>
      </w:r>
    </w:p>
    <w:p w14:paraId="11BA736F">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3</w:t>
      </w:r>
      <w:r>
        <w:rPr>
          <w:rFonts w:hint="eastAsia" w:ascii="宋体" w:hAnsi="宋体"/>
          <w:color w:val="auto"/>
          <w:sz w:val="24"/>
          <w:highlight w:val="none"/>
        </w:rPr>
        <w:t>.3投标人如在本项目中存在串通投标、弄虚作假、行贿情形的，中标无效，行政监督部门将对其违法行为进行政处罚并通报。该投标人将被招标人列入黑名单并限制其参与招标人后续项目的投标。</w:t>
      </w:r>
    </w:p>
    <w:p w14:paraId="23A598AC">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5.3.4  投标人如在本项目中存在串通投标、弄虚作假、行贿情形且在评标、</w:t>
      </w:r>
      <w:r>
        <w:rPr>
          <w:rFonts w:ascii="宋体" w:hAnsi="宋体"/>
          <w:color w:val="auto"/>
          <w:sz w:val="24"/>
          <w:highlight w:val="none"/>
        </w:rPr>
        <w:t>定标</w:t>
      </w:r>
      <w:r>
        <w:rPr>
          <w:rFonts w:hint="eastAsia" w:ascii="宋体" w:hAnsi="宋体"/>
          <w:color w:val="auto"/>
          <w:sz w:val="24"/>
          <w:highlight w:val="none"/>
        </w:rPr>
        <w:t>过程中未被发现的，该投标不改变本项目评标、</w:t>
      </w:r>
      <w:r>
        <w:rPr>
          <w:rFonts w:ascii="宋体" w:hAnsi="宋体"/>
          <w:color w:val="auto"/>
          <w:sz w:val="24"/>
          <w:highlight w:val="none"/>
        </w:rPr>
        <w:t>定标</w:t>
      </w:r>
      <w:r>
        <w:rPr>
          <w:rFonts w:hint="eastAsia" w:ascii="宋体" w:hAnsi="宋体"/>
          <w:color w:val="auto"/>
          <w:sz w:val="24"/>
          <w:highlight w:val="none"/>
        </w:rPr>
        <w:t>结果排序，其中标无效。招标人按照《中华人民共和国招标投标法实施条例》第五十五条的规定依次确定中标人或重新招标。</w:t>
      </w:r>
    </w:p>
    <w:p w14:paraId="43CF6429">
      <w:pPr>
        <w:pStyle w:val="2"/>
        <w:spacing w:line="360" w:lineRule="auto"/>
        <w:jc w:val="center"/>
        <w:rPr>
          <w:rFonts w:hint="eastAsia"/>
          <w:color w:val="auto"/>
          <w:sz w:val="36"/>
          <w:szCs w:val="36"/>
          <w:highlight w:val="none"/>
        </w:rPr>
      </w:pPr>
      <w:r>
        <w:rPr>
          <w:color w:val="auto"/>
          <w:sz w:val="24"/>
          <w:szCs w:val="24"/>
          <w:highlight w:val="none"/>
        </w:rPr>
        <w:br w:type="page"/>
      </w:r>
      <w:bookmarkStart w:id="18" w:name="_Toc25721"/>
      <w:r>
        <w:rPr>
          <w:rFonts w:hint="eastAsia"/>
          <w:color w:val="auto"/>
          <w:sz w:val="36"/>
          <w:szCs w:val="36"/>
          <w:highlight w:val="none"/>
        </w:rPr>
        <w:t>第六章  授予合同</w:t>
      </w:r>
      <w:bookmarkEnd w:id="18"/>
    </w:p>
    <w:p w14:paraId="29092B2D">
      <w:pPr>
        <w:spacing w:line="360" w:lineRule="auto"/>
        <w:rPr>
          <w:rFonts w:hint="eastAsia" w:ascii="宋体" w:hAnsi="宋体"/>
          <w:color w:val="auto"/>
          <w:sz w:val="24"/>
          <w:highlight w:val="none"/>
        </w:rPr>
      </w:pPr>
    </w:p>
    <w:p w14:paraId="66C9CC1D">
      <w:pPr>
        <w:spacing w:line="360" w:lineRule="auto"/>
        <w:rPr>
          <w:rFonts w:hint="eastAsia" w:ascii="宋体" w:hAnsi="宋体"/>
          <w:b/>
          <w:bCs/>
          <w:color w:val="auto"/>
          <w:sz w:val="24"/>
          <w:highlight w:val="none"/>
        </w:rPr>
      </w:pPr>
      <w:r>
        <w:rPr>
          <w:rFonts w:hint="eastAsia" w:ascii="宋体" w:hAnsi="宋体"/>
          <w:b/>
          <w:bCs/>
          <w:color w:val="auto"/>
          <w:sz w:val="24"/>
          <w:highlight w:val="none"/>
        </w:rPr>
        <w:t>6.1    授予合同</w:t>
      </w:r>
    </w:p>
    <w:p w14:paraId="4EB15CF5">
      <w:pPr>
        <w:spacing w:line="360" w:lineRule="auto"/>
        <w:rPr>
          <w:rFonts w:hint="eastAsia" w:ascii="宋体" w:hAnsi="宋体"/>
          <w:color w:val="auto"/>
          <w:sz w:val="24"/>
          <w:highlight w:val="none"/>
        </w:rPr>
      </w:pPr>
    </w:p>
    <w:p w14:paraId="2B6BD090">
      <w:pPr>
        <w:pStyle w:val="15"/>
        <w:spacing w:line="360" w:lineRule="auto"/>
        <w:ind w:left="821" w:hanging="820" w:hangingChars="342"/>
        <w:jc w:val="left"/>
        <w:rPr>
          <w:rFonts w:hint="eastAsia" w:hAnsi="宋体"/>
          <w:color w:val="auto"/>
          <w:sz w:val="24"/>
          <w:szCs w:val="24"/>
          <w:highlight w:val="none"/>
        </w:rPr>
      </w:pPr>
      <w:r>
        <w:rPr>
          <w:rFonts w:hint="eastAsia" w:hAnsi="宋体"/>
          <w:color w:val="auto"/>
          <w:sz w:val="24"/>
          <w:szCs w:val="24"/>
          <w:highlight w:val="none"/>
        </w:rPr>
        <w:t>6.1.1  招标人一般将合同授予中标人，合同必须在投标有效期或投标人接受的延长期内授出。</w:t>
      </w:r>
    </w:p>
    <w:p w14:paraId="01E8C1B6">
      <w:pPr>
        <w:pStyle w:val="15"/>
        <w:spacing w:line="360" w:lineRule="auto"/>
        <w:ind w:left="821" w:hanging="820" w:hangingChars="342"/>
        <w:jc w:val="left"/>
        <w:rPr>
          <w:rFonts w:hint="eastAsia" w:hAnsi="宋体"/>
          <w:color w:val="auto"/>
          <w:sz w:val="24"/>
          <w:szCs w:val="24"/>
          <w:highlight w:val="none"/>
        </w:rPr>
      </w:pPr>
      <w:r>
        <w:rPr>
          <w:rFonts w:hint="eastAsia" w:hAnsi="宋体"/>
          <w:color w:val="auto"/>
          <w:sz w:val="24"/>
          <w:szCs w:val="24"/>
          <w:highlight w:val="none"/>
        </w:rPr>
        <w:t>6.1.2  中标通知书是合同的组成部分，</w:t>
      </w:r>
      <w:r>
        <w:rPr>
          <w:rFonts w:hint="eastAsia" w:hAnsi="宋体"/>
          <w:color w:val="auto"/>
          <w:kern w:val="0"/>
          <w:sz w:val="24"/>
          <w:szCs w:val="24"/>
          <w:highlight w:val="none"/>
        </w:rPr>
        <w:t>任何单位和个人</w:t>
      </w:r>
      <w:r>
        <w:rPr>
          <w:rFonts w:hAnsi="宋体"/>
          <w:color w:val="auto"/>
          <w:kern w:val="0"/>
          <w:sz w:val="24"/>
          <w:szCs w:val="24"/>
          <w:highlight w:val="none"/>
        </w:rPr>
        <w:t>不得采取有碍合同生效或履行的行动。</w:t>
      </w:r>
    </w:p>
    <w:p w14:paraId="2AF094DC">
      <w:pPr>
        <w:pStyle w:val="15"/>
        <w:spacing w:line="360" w:lineRule="auto"/>
        <w:ind w:left="821" w:hanging="820" w:hangingChars="342"/>
        <w:jc w:val="left"/>
        <w:rPr>
          <w:rFonts w:hint="eastAsia" w:hAnsi="宋体"/>
          <w:color w:val="auto"/>
          <w:sz w:val="24"/>
          <w:szCs w:val="24"/>
          <w:highlight w:val="none"/>
        </w:rPr>
      </w:pPr>
      <w:r>
        <w:rPr>
          <w:rFonts w:hint="eastAsia" w:hAnsi="宋体"/>
          <w:color w:val="auto"/>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430D9815">
      <w:pPr>
        <w:pStyle w:val="15"/>
        <w:spacing w:line="360" w:lineRule="auto"/>
        <w:ind w:left="821" w:hanging="820" w:hangingChars="342"/>
        <w:jc w:val="left"/>
        <w:rPr>
          <w:rFonts w:hint="eastAsia" w:hAnsi="宋体"/>
          <w:color w:val="auto"/>
          <w:sz w:val="24"/>
          <w:szCs w:val="24"/>
          <w:highlight w:val="none"/>
        </w:rPr>
      </w:pPr>
      <w:r>
        <w:rPr>
          <w:rFonts w:hint="eastAsia" w:hAnsi="宋体"/>
          <w:color w:val="auto"/>
          <w:sz w:val="24"/>
          <w:szCs w:val="24"/>
          <w:highlight w:val="none"/>
        </w:rPr>
        <w:t>6.1.4  中标人必须签署并执行招标文件规定的合同条件，</w:t>
      </w:r>
      <w:r>
        <w:rPr>
          <w:rFonts w:hAnsi="宋体"/>
          <w:color w:val="auto"/>
          <w:kern w:val="0"/>
          <w:sz w:val="24"/>
          <w:szCs w:val="24"/>
          <w:highlight w:val="none"/>
        </w:rPr>
        <w:t>如</w:t>
      </w:r>
      <w:r>
        <w:rPr>
          <w:rFonts w:hint="eastAsia" w:hAnsi="宋体"/>
          <w:color w:val="auto"/>
          <w:kern w:val="0"/>
          <w:sz w:val="24"/>
          <w:szCs w:val="24"/>
          <w:highlight w:val="none"/>
        </w:rPr>
        <w:t>中标人</w:t>
      </w:r>
      <w:r>
        <w:rPr>
          <w:rFonts w:hAnsi="宋体"/>
          <w:color w:val="auto"/>
          <w:kern w:val="0"/>
          <w:sz w:val="24"/>
          <w:szCs w:val="24"/>
          <w:highlight w:val="none"/>
        </w:rPr>
        <w:t>所提供的投标条件</w:t>
      </w:r>
      <w:r>
        <w:rPr>
          <w:rFonts w:hint="eastAsia" w:hAnsi="宋体"/>
          <w:color w:val="auto"/>
          <w:kern w:val="0"/>
          <w:sz w:val="24"/>
          <w:szCs w:val="24"/>
          <w:highlight w:val="none"/>
        </w:rPr>
        <w:t>（报价、工期、估算工程造价）比其他投标</w:t>
      </w:r>
      <w:r>
        <w:rPr>
          <w:rFonts w:hAnsi="宋体"/>
          <w:color w:val="auto"/>
          <w:kern w:val="0"/>
          <w:sz w:val="24"/>
          <w:szCs w:val="24"/>
          <w:highlight w:val="none"/>
        </w:rPr>
        <w:t>异常低，</w:t>
      </w:r>
      <w:r>
        <w:rPr>
          <w:rFonts w:hint="eastAsia" w:hAnsi="宋体"/>
          <w:color w:val="auto"/>
          <w:kern w:val="0"/>
          <w:sz w:val="24"/>
          <w:szCs w:val="24"/>
          <w:highlight w:val="none"/>
        </w:rPr>
        <w:t>招标人</w:t>
      </w:r>
      <w:r>
        <w:rPr>
          <w:rFonts w:hAnsi="宋体"/>
          <w:color w:val="auto"/>
          <w:kern w:val="0"/>
          <w:sz w:val="24"/>
          <w:szCs w:val="24"/>
          <w:highlight w:val="none"/>
        </w:rPr>
        <w:t>可要求</w:t>
      </w:r>
      <w:r>
        <w:rPr>
          <w:rFonts w:hint="eastAsia" w:hAnsi="宋体"/>
          <w:color w:val="auto"/>
          <w:kern w:val="0"/>
          <w:sz w:val="24"/>
          <w:szCs w:val="24"/>
          <w:highlight w:val="none"/>
        </w:rPr>
        <w:t>中</w:t>
      </w:r>
      <w:r>
        <w:rPr>
          <w:rFonts w:hAnsi="宋体"/>
          <w:color w:val="auto"/>
          <w:kern w:val="0"/>
          <w:sz w:val="24"/>
          <w:szCs w:val="24"/>
          <w:highlight w:val="none"/>
        </w:rPr>
        <w:t>标人对遵守参加投标的各项条件和履行合同的能力作出保证。</w:t>
      </w:r>
    </w:p>
    <w:p w14:paraId="2FDE102C">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6.1.5  招标人提供证据证明中标人有下列行为之一的，经有关行政监督部门确认，该中标无效，招标人不与中标人签订合同：</w:t>
      </w:r>
    </w:p>
    <w:p w14:paraId="44E42741">
      <w:pPr>
        <w:spacing w:line="360" w:lineRule="auto"/>
        <w:rPr>
          <w:rFonts w:hint="eastAsia" w:ascii="宋体" w:hAnsi="宋体"/>
          <w:color w:val="auto"/>
          <w:sz w:val="24"/>
          <w:highlight w:val="none"/>
        </w:rPr>
      </w:pPr>
      <w:r>
        <w:rPr>
          <w:rFonts w:hint="eastAsia" w:ascii="宋体" w:hAnsi="宋体"/>
          <w:color w:val="auto"/>
          <w:sz w:val="24"/>
          <w:highlight w:val="none"/>
        </w:rPr>
        <w:t xml:space="preserve">   (a) 不能兑现投标承诺；</w:t>
      </w:r>
    </w:p>
    <w:p w14:paraId="41CAFAAA">
      <w:pPr>
        <w:spacing w:line="360" w:lineRule="auto"/>
        <w:rPr>
          <w:rFonts w:hint="eastAsia" w:ascii="宋体" w:hAnsi="宋体"/>
          <w:color w:val="auto"/>
          <w:sz w:val="24"/>
          <w:highlight w:val="none"/>
        </w:rPr>
      </w:pPr>
      <w:r>
        <w:rPr>
          <w:rFonts w:hint="eastAsia" w:ascii="宋体" w:hAnsi="宋体"/>
          <w:color w:val="auto"/>
          <w:sz w:val="24"/>
          <w:highlight w:val="none"/>
        </w:rPr>
        <w:t xml:space="preserve">   (b) 弄虚作假骗取中标；</w:t>
      </w:r>
    </w:p>
    <w:p w14:paraId="62EFBE66">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（c）</w:t>
      </w:r>
      <w:r>
        <w:rPr>
          <w:rFonts w:hint="eastAsia" w:hAnsi="宋体"/>
          <w:color w:val="auto"/>
          <w:sz w:val="24"/>
          <w:highlight w:val="none"/>
        </w:rPr>
        <w:t>在招标、投标、评标、定标以及授予合同过程中，对招标人、代理机构、其他投标人、评标委员会成员、</w:t>
      </w:r>
      <w:r>
        <w:rPr>
          <w:rFonts w:hint="eastAsia" w:hAnsi="宋体"/>
          <w:color w:val="auto"/>
          <w:kern w:val="0"/>
          <w:sz w:val="24"/>
          <w:highlight w:val="none"/>
        </w:rPr>
        <w:t>交易服务机构的</w:t>
      </w:r>
      <w:r>
        <w:rPr>
          <w:rFonts w:hint="eastAsia" w:hAnsi="宋体"/>
          <w:color w:val="auto"/>
          <w:sz w:val="24"/>
          <w:highlight w:val="none"/>
        </w:rPr>
        <w:t>工作人员行贿、</w:t>
      </w:r>
      <w:r>
        <w:rPr>
          <w:rFonts w:hAnsi="宋体"/>
          <w:color w:val="auto"/>
          <w:kern w:val="0"/>
          <w:sz w:val="24"/>
          <w:highlight w:val="none"/>
        </w:rPr>
        <w:t>利诱</w:t>
      </w:r>
      <w:r>
        <w:rPr>
          <w:rFonts w:hint="eastAsia" w:hAnsi="宋体"/>
          <w:color w:val="auto"/>
          <w:kern w:val="0"/>
          <w:sz w:val="24"/>
          <w:highlight w:val="none"/>
        </w:rPr>
        <w:t>、</w:t>
      </w:r>
      <w:r>
        <w:rPr>
          <w:rFonts w:hint="eastAsia" w:hAnsi="宋体"/>
          <w:color w:val="auto"/>
          <w:sz w:val="24"/>
          <w:highlight w:val="none"/>
        </w:rPr>
        <w:t>欺诈或者施加影响；</w:t>
      </w:r>
    </w:p>
    <w:p w14:paraId="3F6B2A18">
      <w:pPr>
        <w:spacing w:line="360" w:lineRule="auto"/>
        <w:rPr>
          <w:rFonts w:hint="eastAsia" w:ascii="宋体" w:hAnsi="宋体"/>
          <w:color w:val="auto"/>
          <w:sz w:val="24"/>
          <w:highlight w:val="none"/>
        </w:rPr>
      </w:pPr>
      <w:r>
        <w:rPr>
          <w:rFonts w:hint="eastAsia" w:ascii="宋体" w:hAnsi="宋体"/>
          <w:color w:val="auto"/>
          <w:sz w:val="24"/>
          <w:highlight w:val="none"/>
        </w:rPr>
        <w:t xml:space="preserve">   (d) 擅自将任务转包其他单位；</w:t>
      </w:r>
    </w:p>
    <w:p w14:paraId="0B309A60">
      <w:pPr>
        <w:spacing w:line="360" w:lineRule="auto"/>
        <w:rPr>
          <w:rFonts w:hint="eastAsia" w:ascii="宋体" w:hAnsi="宋体"/>
          <w:color w:val="auto"/>
          <w:sz w:val="24"/>
          <w:highlight w:val="none"/>
        </w:rPr>
      </w:pPr>
      <w:r>
        <w:rPr>
          <w:rFonts w:hint="eastAsia" w:ascii="宋体" w:hAnsi="宋体"/>
          <w:color w:val="auto"/>
          <w:sz w:val="24"/>
          <w:highlight w:val="none"/>
        </w:rPr>
        <w:t xml:space="preserve">   (e) 中标人实质上不符合投标资格</w:t>
      </w:r>
      <w:r>
        <w:rPr>
          <w:rFonts w:ascii="宋体" w:hAnsi="宋体"/>
          <w:color w:val="auto"/>
          <w:sz w:val="24"/>
          <w:highlight w:val="none"/>
        </w:rPr>
        <w:t>；</w:t>
      </w:r>
    </w:p>
    <w:p w14:paraId="7E285B10">
      <w:pPr>
        <w:spacing w:line="360" w:lineRule="auto"/>
        <w:rPr>
          <w:rFonts w:hint="eastAsia" w:ascii="宋体" w:hAnsi="宋体"/>
          <w:color w:val="auto"/>
          <w:sz w:val="24"/>
          <w:highlight w:val="none"/>
        </w:rPr>
      </w:pPr>
      <w:r>
        <w:rPr>
          <w:rFonts w:hint="eastAsia" w:ascii="宋体" w:hAnsi="宋体"/>
          <w:color w:val="auto"/>
          <w:sz w:val="24"/>
          <w:highlight w:val="none"/>
        </w:rPr>
        <w:t xml:space="preserve">   (f) 法律、法规规定的其他损害招标人利益和社会公共利益的情形。</w:t>
      </w:r>
    </w:p>
    <w:p w14:paraId="75DB4BA7">
      <w:pPr>
        <w:spacing w:line="360" w:lineRule="auto"/>
        <w:rPr>
          <w:rFonts w:hint="eastAsia" w:ascii="宋体" w:hAnsi="宋体"/>
          <w:color w:val="auto"/>
          <w:sz w:val="24"/>
          <w:highlight w:val="none"/>
        </w:rPr>
      </w:pPr>
    </w:p>
    <w:p w14:paraId="529711EF">
      <w:pPr>
        <w:spacing w:line="360" w:lineRule="auto"/>
        <w:rPr>
          <w:rFonts w:hint="eastAsia" w:ascii="宋体" w:hAnsi="宋体"/>
          <w:color w:val="auto"/>
          <w:sz w:val="24"/>
          <w:highlight w:val="none"/>
        </w:rPr>
      </w:pPr>
    </w:p>
    <w:p w14:paraId="292ADE99">
      <w:pPr>
        <w:spacing w:line="360" w:lineRule="auto"/>
        <w:rPr>
          <w:rFonts w:hint="eastAsia" w:ascii="宋体" w:hAnsi="宋体"/>
          <w:color w:val="auto"/>
          <w:sz w:val="24"/>
          <w:highlight w:val="none"/>
        </w:rPr>
      </w:pPr>
    </w:p>
    <w:p w14:paraId="56932545">
      <w:pPr>
        <w:pStyle w:val="2"/>
        <w:spacing w:line="360" w:lineRule="auto"/>
        <w:jc w:val="center"/>
        <w:rPr>
          <w:rFonts w:hint="eastAsia"/>
          <w:color w:val="auto"/>
          <w:sz w:val="36"/>
          <w:szCs w:val="36"/>
          <w:highlight w:val="none"/>
        </w:rPr>
      </w:pPr>
      <w:r>
        <w:rPr>
          <w:color w:val="auto"/>
          <w:sz w:val="24"/>
          <w:szCs w:val="24"/>
          <w:highlight w:val="none"/>
        </w:rPr>
        <w:br w:type="page"/>
      </w:r>
      <w:bookmarkStart w:id="19" w:name="_Toc27723"/>
      <w:r>
        <w:rPr>
          <w:rFonts w:hint="eastAsia"/>
          <w:color w:val="auto"/>
          <w:sz w:val="36"/>
          <w:szCs w:val="36"/>
          <w:highlight w:val="none"/>
        </w:rPr>
        <w:t>第七章  知识产权</w:t>
      </w:r>
      <w:bookmarkEnd w:id="19"/>
    </w:p>
    <w:p w14:paraId="3217DAA3">
      <w:pPr>
        <w:spacing w:line="360" w:lineRule="auto"/>
        <w:rPr>
          <w:rFonts w:hint="eastAsia" w:ascii="宋体" w:hAnsi="宋体"/>
          <w:color w:val="auto"/>
          <w:sz w:val="24"/>
          <w:highlight w:val="none"/>
        </w:rPr>
      </w:pPr>
    </w:p>
    <w:p w14:paraId="36D13C53">
      <w:pPr>
        <w:spacing w:line="360" w:lineRule="auto"/>
        <w:rPr>
          <w:rFonts w:hint="eastAsia" w:ascii="宋体" w:hAnsi="宋体"/>
          <w:b/>
          <w:bCs/>
          <w:color w:val="auto"/>
          <w:sz w:val="24"/>
          <w:highlight w:val="none"/>
        </w:rPr>
      </w:pPr>
      <w:r>
        <w:rPr>
          <w:rFonts w:hint="eastAsia" w:ascii="宋体" w:hAnsi="宋体"/>
          <w:b/>
          <w:bCs/>
          <w:color w:val="auto"/>
          <w:sz w:val="24"/>
          <w:highlight w:val="none"/>
        </w:rPr>
        <w:t>7.1    公开展示</w:t>
      </w:r>
    </w:p>
    <w:p w14:paraId="7F4797CF">
      <w:pPr>
        <w:spacing w:line="360" w:lineRule="auto"/>
        <w:rPr>
          <w:rFonts w:hint="eastAsia" w:ascii="宋体" w:hAnsi="宋体"/>
          <w:color w:val="auto"/>
          <w:sz w:val="24"/>
          <w:highlight w:val="none"/>
        </w:rPr>
      </w:pPr>
    </w:p>
    <w:p w14:paraId="49319F10">
      <w:pPr>
        <w:spacing w:line="360" w:lineRule="auto"/>
        <w:ind w:left="821" w:hanging="820" w:hangingChars="342"/>
        <w:rPr>
          <w:rFonts w:hint="eastAsia" w:ascii="宋体" w:hAnsi="宋体"/>
          <w:color w:val="auto"/>
          <w:sz w:val="24"/>
          <w:highlight w:val="none"/>
        </w:rPr>
      </w:pPr>
    </w:p>
    <w:p w14:paraId="7AC13EBD">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1</w:t>
      </w:r>
      <w:r>
        <w:rPr>
          <w:rFonts w:hint="eastAsia" w:ascii="宋体" w:hAnsi="宋体"/>
          <w:color w:val="auto"/>
          <w:sz w:val="24"/>
          <w:highlight w:val="none"/>
        </w:rPr>
        <w:t xml:space="preserve">  按招标文件规定获得补偿的投标文件，评标后不予退回。</w:t>
      </w:r>
    </w:p>
    <w:p w14:paraId="70D35225">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2</w:t>
      </w:r>
      <w:r>
        <w:rPr>
          <w:rFonts w:hint="eastAsia" w:ascii="宋体" w:hAnsi="宋体"/>
          <w:color w:val="auto"/>
          <w:sz w:val="24"/>
          <w:highlight w:val="none"/>
        </w:rPr>
        <w:t xml:space="preserve">  招标人有权在评标结束后公开展示获得补偿费用的所有投标方案成果，并通过传播媒介、杂志、书刊或其它形式介绍、展示及评价该方案成果，所有展示、推介、广告均不再向投标人支付费用。</w:t>
      </w:r>
    </w:p>
    <w:p w14:paraId="2F105D36">
      <w:pPr>
        <w:spacing w:line="360" w:lineRule="auto"/>
        <w:ind w:left="821" w:hanging="820" w:hangingChars="342"/>
        <w:jc w:val="left"/>
        <w:rPr>
          <w:rFonts w:hint="eastAsia" w:ascii="宋体" w:hAnsi="宋体"/>
          <w:color w:val="auto"/>
          <w:sz w:val="24"/>
          <w:highlight w:val="none"/>
        </w:rPr>
      </w:pPr>
    </w:p>
    <w:p w14:paraId="69905838">
      <w:pPr>
        <w:spacing w:line="360" w:lineRule="auto"/>
        <w:rPr>
          <w:rFonts w:hint="eastAsia" w:ascii="宋体" w:hAnsi="宋体"/>
          <w:b/>
          <w:bCs/>
          <w:color w:val="auto"/>
          <w:sz w:val="24"/>
          <w:highlight w:val="none"/>
        </w:rPr>
      </w:pPr>
      <w:r>
        <w:rPr>
          <w:rFonts w:hint="eastAsia" w:ascii="宋体" w:hAnsi="宋体"/>
          <w:b/>
          <w:bCs/>
          <w:color w:val="auto"/>
          <w:sz w:val="24"/>
          <w:highlight w:val="none"/>
        </w:rPr>
        <w:t>7.2    知识产权转移</w:t>
      </w:r>
    </w:p>
    <w:p w14:paraId="6860E3D8">
      <w:pPr>
        <w:spacing w:line="360" w:lineRule="auto"/>
        <w:ind w:left="821" w:hanging="820" w:hangingChars="342"/>
        <w:jc w:val="left"/>
        <w:rPr>
          <w:rFonts w:hint="eastAsia" w:ascii="宋体" w:hAnsi="宋体"/>
          <w:color w:val="auto"/>
          <w:sz w:val="24"/>
          <w:highlight w:val="none"/>
        </w:rPr>
      </w:pPr>
    </w:p>
    <w:p w14:paraId="63576C38">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7.2.1  授予合同并支付定金后，中标方案的发表权、展览权、使用权归招标人和中标人共有。</w:t>
      </w:r>
    </w:p>
    <w:p w14:paraId="513F0E7F">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36AE154D">
      <w:pPr>
        <w:spacing w:line="360" w:lineRule="auto"/>
        <w:ind w:left="821" w:hanging="820" w:hangingChars="342"/>
        <w:rPr>
          <w:rFonts w:hint="eastAsia" w:ascii="宋体" w:hAnsi="宋体"/>
          <w:color w:val="auto"/>
          <w:sz w:val="24"/>
          <w:highlight w:val="none"/>
        </w:rPr>
      </w:pPr>
    </w:p>
    <w:p w14:paraId="554A7DE9">
      <w:pPr>
        <w:spacing w:line="360" w:lineRule="auto"/>
        <w:rPr>
          <w:rFonts w:hint="eastAsia" w:ascii="宋体" w:hAnsi="宋体"/>
          <w:b/>
          <w:bCs/>
          <w:color w:val="auto"/>
          <w:sz w:val="24"/>
          <w:highlight w:val="none"/>
        </w:rPr>
      </w:pPr>
      <w:r>
        <w:rPr>
          <w:rFonts w:hint="eastAsia" w:ascii="宋体" w:hAnsi="宋体"/>
          <w:b/>
          <w:bCs/>
          <w:color w:val="auto"/>
          <w:sz w:val="24"/>
          <w:highlight w:val="none"/>
        </w:rPr>
        <w:t>7.3    其他</w:t>
      </w:r>
    </w:p>
    <w:p w14:paraId="5CD09D13">
      <w:pPr>
        <w:spacing w:line="360" w:lineRule="auto"/>
        <w:ind w:left="821" w:hanging="820" w:hangingChars="342"/>
        <w:rPr>
          <w:rFonts w:hint="eastAsia" w:ascii="宋体" w:hAnsi="宋体"/>
          <w:color w:val="auto"/>
          <w:sz w:val="24"/>
          <w:highlight w:val="none"/>
        </w:rPr>
      </w:pPr>
    </w:p>
    <w:p w14:paraId="620C4878">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7.3.1  除特殊情况外，招标人有权在工程建设中根据需要对选定的实施方案进行调整和修改。招标人有权在实施方案中参考使用获得补偿费用的所有投标方案成果的部分内容，</w:t>
      </w:r>
      <w:r>
        <w:rPr>
          <w:rFonts w:hint="eastAsia" w:hAnsi="宋体"/>
          <w:color w:val="auto"/>
          <w:sz w:val="24"/>
          <w:highlight w:val="none"/>
        </w:rPr>
        <w:t>被使用部分的方案使用费</w:t>
      </w:r>
      <w:r>
        <w:rPr>
          <w:rFonts w:hint="eastAsia" w:ascii="宋体" w:hAnsi="宋体"/>
          <w:color w:val="auto"/>
          <w:sz w:val="24"/>
          <w:highlight w:val="none"/>
        </w:rPr>
        <w:t>按招标文件规定执行。</w:t>
      </w:r>
    </w:p>
    <w:p w14:paraId="10BAD916">
      <w:pPr>
        <w:spacing w:line="360" w:lineRule="auto"/>
        <w:ind w:left="821" w:hanging="820" w:hangingChars="342"/>
        <w:rPr>
          <w:rFonts w:hint="eastAsia" w:ascii="宋体" w:hAnsi="宋体"/>
          <w:color w:val="auto"/>
          <w:sz w:val="24"/>
          <w:highlight w:val="none"/>
        </w:rPr>
      </w:pPr>
      <w:bookmarkStart w:id="20" w:name="OLE_LINK26"/>
      <w:r>
        <w:rPr>
          <w:rFonts w:hint="eastAsia" w:ascii="宋体" w:hAnsi="宋体"/>
          <w:color w:val="auto"/>
          <w:sz w:val="24"/>
          <w:highlight w:val="none"/>
        </w:rPr>
        <w:t>7.3.2  投标人保证投标文件及资料均未侵犯他人的知识产权，否则必须承担全部责任。若投标人使用了他人的专利、专有技术，涉及的费用由投标人负责。</w:t>
      </w:r>
      <w:bookmarkEnd w:id="20"/>
    </w:p>
    <w:p w14:paraId="6CD8B4A9">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7.3.3  中标人未经招标人许可，不得将中标方案成果整体用于其他相同或类似项目的投标和设计（专利权除外）。</w:t>
      </w:r>
    </w:p>
    <w:p w14:paraId="072B1DE7">
      <w:pPr>
        <w:spacing w:line="360" w:lineRule="auto"/>
        <w:rPr>
          <w:rFonts w:hint="eastAsia" w:ascii="宋体" w:hAnsi="宋体"/>
          <w:color w:val="auto"/>
          <w:sz w:val="24"/>
          <w:highlight w:val="none"/>
        </w:rPr>
      </w:pPr>
      <w:r>
        <w:rPr>
          <w:rFonts w:hint="eastAsia" w:ascii="宋体" w:hAnsi="宋体"/>
          <w:color w:val="auto"/>
          <w:sz w:val="24"/>
          <w:highlight w:val="none"/>
        </w:rPr>
        <w:t>7.3.4  招标人有权无须事先征求中标人的同意而披露关于中标人的名称、地址、合同条款。</w:t>
      </w:r>
    </w:p>
    <w:p w14:paraId="1D8B9916">
      <w:pPr>
        <w:spacing w:line="360" w:lineRule="auto"/>
        <w:rPr>
          <w:rFonts w:hint="eastAsia" w:ascii="宋体" w:hAnsi="宋体"/>
          <w:color w:val="auto"/>
          <w:sz w:val="24"/>
          <w:highlight w:val="none"/>
        </w:rPr>
      </w:pPr>
    </w:p>
    <w:p w14:paraId="3019AF15">
      <w:pPr>
        <w:rPr>
          <w:rFonts w:hint="eastAsia" w:ascii="宋体" w:hAnsi="宋体"/>
          <w:color w:val="auto"/>
          <w:highlight w:val="none"/>
        </w:rPr>
      </w:pPr>
    </w:p>
    <w:p w14:paraId="0D224484">
      <w:pPr>
        <w:pStyle w:val="2"/>
        <w:jc w:val="center"/>
        <w:rPr>
          <w:rFonts w:hint="eastAsia"/>
          <w:color w:val="auto"/>
          <w:sz w:val="36"/>
          <w:szCs w:val="36"/>
          <w:highlight w:val="none"/>
        </w:rPr>
      </w:pPr>
      <w:r>
        <w:rPr>
          <w:color w:val="auto"/>
          <w:highlight w:val="none"/>
        </w:rPr>
        <w:br w:type="page"/>
      </w:r>
      <w:bookmarkStart w:id="21" w:name="_Toc25791"/>
      <w:r>
        <w:rPr>
          <w:rFonts w:hint="eastAsia"/>
          <w:color w:val="auto"/>
          <w:sz w:val="36"/>
          <w:szCs w:val="36"/>
          <w:highlight w:val="none"/>
        </w:rPr>
        <w:t>第八章  合同条款</w:t>
      </w:r>
      <w:bookmarkEnd w:id="21"/>
    </w:p>
    <w:p w14:paraId="2A5CE030">
      <w:pPr>
        <w:ind w:firstLine="3990" w:firstLineChars="19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另册</w:t>
      </w:r>
      <w:r>
        <w:rPr>
          <w:rFonts w:hint="eastAsia" w:ascii="宋体" w:hAnsi="宋体"/>
          <w:color w:val="auto"/>
          <w:szCs w:val="21"/>
          <w:highlight w:val="none"/>
          <w:lang w:eastAsia="zh-CN"/>
        </w:rPr>
        <w:t>）</w:t>
      </w:r>
    </w:p>
    <w:p w14:paraId="0510000A">
      <w:pPr>
        <w:rPr>
          <w:rFonts w:hint="default" w:ascii="宋体" w:hAnsi="宋体" w:eastAsia="宋体"/>
          <w:color w:val="auto"/>
          <w:szCs w:val="21"/>
          <w:highlight w:val="none"/>
          <w:lang w:val="en-US" w:eastAsia="zh-CN"/>
        </w:rPr>
        <w:sectPr>
          <w:footerReference r:id="rId6" w:type="default"/>
          <w:type w:val="nextColumn"/>
          <w:pgSz w:w="11906" w:h="16838"/>
          <w:pgMar w:top="1440" w:right="1466" w:bottom="1440" w:left="1440" w:header="851" w:footer="992" w:gutter="0"/>
          <w:pgNumType w:fmt="decimal" w:start="1"/>
          <w:cols w:space="720" w:num="1"/>
          <w:docGrid w:type="linesAndChars" w:linePitch="312" w:charSpace="0"/>
        </w:sectPr>
      </w:pPr>
    </w:p>
    <w:p w14:paraId="640C38FA">
      <w:pPr>
        <w:keepNext/>
        <w:keepLines/>
        <w:spacing w:line="360" w:lineRule="auto"/>
        <w:outlineLvl w:val="0"/>
        <w:rPr>
          <w:rFonts w:ascii="宋体" w:hAnsi="宋体"/>
          <w:b/>
          <w:strike w:val="0"/>
          <w:color w:val="auto"/>
          <w:kern w:val="44"/>
          <w:szCs w:val="21"/>
          <w:highlight w:val="none"/>
        </w:rPr>
      </w:pPr>
      <w:bookmarkStart w:id="22" w:name="_Toc22234"/>
      <w:r>
        <w:rPr>
          <w:rFonts w:hint="eastAsia" w:ascii="宋体" w:hAnsi="宋体" w:cs="宋体"/>
          <w:b/>
          <w:strike w:val="0"/>
          <w:color w:val="auto"/>
          <w:kern w:val="44"/>
          <w:szCs w:val="21"/>
          <w:highlight w:val="none"/>
        </w:rPr>
        <w:t>附录</w:t>
      </w:r>
      <w:r>
        <w:rPr>
          <w:rFonts w:hint="eastAsia" w:ascii="宋体" w:hAnsi="宋体"/>
          <w:b/>
          <w:strike w:val="0"/>
          <w:color w:val="auto"/>
          <w:kern w:val="44"/>
          <w:szCs w:val="21"/>
          <w:highlight w:val="none"/>
        </w:rPr>
        <w:t xml:space="preserve">1 </w:t>
      </w:r>
      <w:r>
        <w:rPr>
          <w:rFonts w:hint="eastAsia" w:ascii="宋体" w:hAnsi="宋体" w:cs="宋体"/>
          <w:b/>
          <w:strike w:val="0"/>
          <w:color w:val="auto"/>
          <w:kern w:val="44"/>
          <w:szCs w:val="21"/>
          <w:highlight w:val="none"/>
        </w:rPr>
        <w:t>投标申请表（投入人员承诺）</w:t>
      </w:r>
      <w:bookmarkEnd w:id="22"/>
    </w:p>
    <w:p w14:paraId="4B62E8D2">
      <w:pPr>
        <w:spacing w:line="360" w:lineRule="auto"/>
        <w:jc w:val="center"/>
        <w:rPr>
          <w:rFonts w:ascii="宋体" w:hAnsi="宋体"/>
          <w:b/>
          <w:strike w:val="0"/>
          <w:color w:val="auto"/>
          <w:sz w:val="36"/>
          <w:szCs w:val="36"/>
          <w:highlight w:val="none"/>
        </w:rPr>
      </w:pPr>
      <w:r>
        <w:rPr>
          <w:rFonts w:hint="eastAsia" w:ascii="宋体" w:hAnsi="宋体" w:cs="宋体"/>
          <w:b/>
          <w:strike w:val="0"/>
          <w:color w:val="auto"/>
          <w:sz w:val="36"/>
          <w:szCs w:val="36"/>
          <w:highlight w:val="none"/>
        </w:rPr>
        <w:t>投标申请表（投入人员承诺）</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15F8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35B9AD">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FEB6B8">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50A96">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8A3C968">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6FE2845">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43DE9303">
            <w:pPr>
              <w:spacing w:line="360" w:lineRule="auto"/>
              <w:jc w:val="center"/>
              <w:rPr>
                <w:rFonts w:ascii="宋体" w:hAnsi="宋体"/>
                <w:strike w:val="0"/>
                <w:color w:val="auto"/>
                <w:szCs w:val="21"/>
                <w:highlight w:val="none"/>
              </w:rPr>
            </w:pPr>
            <w:r>
              <w:rPr>
                <w:rFonts w:hint="eastAsia" w:ascii="宋体" w:hAnsi="宋体" w:cs="宋体"/>
                <w:strike w:val="0"/>
                <w:color w:val="auto"/>
                <w:szCs w:val="21"/>
                <w:highlight w:val="none"/>
              </w:rPr>
              <w:t>主要作品、业绩、著作名称</w:t>
            </w:r>
          </w:p>
        </w:tc>
      </w:tr>
      <w:tr w14:paraId="4060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A19351A">
            <w:pPr>
              <w:spacing w:line="360" w:lineRule="auto"/>
              <w:jc w:val="center"/>
              <w:rPr>
                <w:rFonts w:hint="eastAsia" w:ascii="宋体" w:hAnsi="宋体" w:eastAsia="宋体"/>
                <w:strike w:val="0"/>
                <w:color w:val="auto"/>
                <w:szCs w:val="21"/>
                <w:highlight w:val="none"/>
                <w:lang w:val="en-US" w:eastAsia="zh-CN"/>
              </w:rPr>
            </w:pPr>
            <w:r>
              <w:rPr>
                <w:rFonts w:hint="eastAsia" w:ascii="宋体" w:hAnsi="宋体"/>
                <w:strike w:val="0"/>
                <w:color w:val="auto"/>
                <w:szCs w:val="21"/>
                <w:highlight w:val="none"/>
                <w:lang w:val="en-US" w:eastAsia="zh-CN"/>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42E097A">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8247C7">
            <w:pPr>
              <w:spacing w:line="240" w:lineRule="auto"/>
              <w:jc w:val="center"/>
              <w:rPr>
                <w:rFonts w:ascii="宋体" w:hAnsi="宋体"/>
                <w:strike w:val="0"/>
                <w:color w:val="auto"/>
                <w:kern w:val="2"/>
                <w:sz w:val="21"/>
                <w:szCs w:val="21"/>
                <w:highlight w:val="none"/>
                <w:lang w:val="en-US" w:eastAsia="zh-CN" w:bidi="ar-SA"/>
              </w:rPr>
            </w:pPr>
            <w:r>
              <w:rPr>
                <w:rFonts w:hint="eastAsia" w:ascii="宋体" w:hAnsi="宋体" w:cs="宋体"/>
                <w:strike w:val="0"/>
                <w:color w:val="auto"/>
                <w:sz w:val="24"/>
                <w:highlight w:val="none"/>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450CE16">
            <w:pPr>
              <w:spacing w:line="360" w:lineRule="auto"/>
              <w:rPr>
                <w:rFonts w:ascii="宋体" w:hAnsi="宋体"/>
                <w:strike w:val="0"/>
                <w:color w:val="auto"/>
                <w:szCs w:val="21"/>
                <w:highlight w:val="none"/>
              </w:rPr>
            </w:pPr>
            <w:r>
              <w:rPr>
                <w:rFonts w:hint="eastAsia" w:ascii="宋体" w:hAnsi="宋体" w:cs="宋体"/>
                <w:strike w:val="0"/>
                <w:color w:val="auto"/>
                <w:szCs w:val="21"/>
                <w:highlight w:val="none"/>
              </w:rPr>
              <w:t>职务：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3DF7AE9">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4B8BB897">
            <w:pPr>
              <w:spacing w:line="360" w:lineRule="auto"/>
              <w:jc w:val="center"/>
              <w:rPr>
                <w:rFonts w:hAnsi="宋体"/>
                <w:strike w:val="0"/>
                <w:color w:val="auto"/>
                <w:szCs w:val="21"/>
                <w:highlight w:val="none"/>
              </w:rPr>
            </w:pPr>
          </w:p>
        </w:tc>
      </w:tr>
      <w:tr w14:paraId="0F11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0D2C86">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2</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BA09565">
            <w:pPr>
              <w:spacing w:line="360" w:lineRule="auto"/>
              <w:jc w:val="center"/>
              <w:rPr>
                <w:rFonts w:ascii="仿宋_GB2312" w:hAnsi="宋体" w:eastAsia="仿宋_GB2312"/>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C9AB69A">
            <w:pPr>
              <w:spacing w:line="240" w:lineRule="auto"/>
              <w:jc w:val="center"/>
              <w:rPr>
                <w:rFonts w:hint="default" w:ascii="宋体" w:hAnsi="宋体" w:eastAsia="宋体" w:cs="宋体"/>
                <w:strike w:val="0"/>
                <w:color w:val="auto"/>
                <w:kern w:val="2"/>
                <w:sz w:val="24"/>
                <w:szCs w:val="24"/>
                <w:highlight w:val="none"/>
                <w:lang w:val="en-US" w:eastAsia="zh-CN" w:bidi="ar-SA"/>
              </w:rPr>
            </w:pPr>
            <w:r>
              <w:rPr>
                <w:rFonts w:hint="eastAsia" w:ascii="宋体" w:hAnsi="宋体" w:cs="宋体"/>
                <w:strike w:val="0"/>
                <w:color w:val="auto"/>
                <w:sz w:val="24"/>
                <w:highlight w:val="none"/>
                <w:lang w:val="en-US" w:eastAsia="zh-CN"/>
              </w:rPr>
              <w:t>设计总负责人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012D7F6">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52534C6">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ABAF837">
            <w:pPr>
              <w:spacing w:line="360" w:lineRule="auto"/>
              <w:jc w:val="center"/>
              <w:rPr>
                <w:rFonts w:ascii="宋体" w:hAnsi="宋体"/>
                <w:strike w:val="0"/>
                <w:color w:val="auto"/>
                <w:szCs w:val="21"/>
                <w:highlight w:val="none"/>
              </w:rPr>
            </w:pPr>
          </w:p>
        </w:tc>
      </w:tr>
      <w:tr w14:paraId="2D09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0FD4D39C">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3</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896EFFC">
            <w:pPr>
              <w:spacing w:line="360" w:lineRule="auto"/>
              <w:jc w:val="center"/>
              <w:rPr>
                <w:rFonts w:ascii="仿宋_GB2312" w:hAnsi="宋体" w:eastAsia="仿宋_GB2312"/>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508597">
            <w:pPr>
              <w:spacing w:line="240" w:lineRule="auto"/>
              <w:jc w:val="center"/>
              <w:rPr>
                <w:rFonts w:hint="default" w:ascii="宋体" w:hAnsi="宋体"/>
                <w:strike w:val="0"/>
                <w:color w:val="auto"/>
                <w:kern w:val="2"/>
                <w:sz w:val="21"/>
                <w:szCs w:val="21"/>
                <w:highlight w:val="none"/>
                <w:lang w:val="en-US" w:eastAsia="zh-CN" w:bidi="ar-SA"/>
              </w:rPr>
            </w:pPr>
            <w:r>
              <w:rPr>
                <w:rFonts w:hint="eastAsia" w:ascii="宋体" w:hAnsi="宋体" w:cs="宋体"/>
                <w:strike w:val="0"/>
                <w:color w:val="auto"/>
                <w:sz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BF655FC">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6CADA86">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DAAEEAD">
            <w:pPr>
              <w:spacing w:line="360" w:lineRule="auto"/>
              <w:jc w:val="center"/>
              <w:rPr>
                <w:rFonts w:ascii="宋体" w:hAnsi="宋体"/>
                <w:strike w:val="0"/>
                <w:color w:val="auto"/>
                <w:szCs w:val="21"/>
                <w:highlight w:val="none"/>
              </w:rPr>
            </w:pPr>
          </w:p>
        </w:tc>
      </w:tr>
      <w:tr w14:paraId="49C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0DFB8C81">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4</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D2E799C">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018C86">
            <w:pPr>
              <w:spacing w:line="240" w:lineRule="auto"/>
              <w:jc w:val="center"/>
              <w:rPr>
                <w:rFonts w:ascii="宋体" w:hAnsi="宋体"/>
                <w:strike w:val="0"/>
                <w:color w:val="auto"/>
                <w:kern w:val="2"/>
                <w:sz w:val="21"/>
                <w:szCs w:val="21"/>
                <w:highlight w:val="none"/>
                <w:lang w:val="en-US" w:eastAsia="zh-CN" w:bidi="ar-SA"/>
              </w:rPr>
            </w:pPr>
            <w:r>
              <w:rPr>
                <w:rFonts w:hint="eastAsia" w:ascii="宋体" w:hAnsi="宋体" w:cs="宋体"/>
                <w:strike w:val="0"/>
                <w:color w:val="auto"/>
                <w:sz w:val="24"/>
                <w:highlight w:val="none"/>
                <w:lang w:val="en-US" w:eastAsia="zh-CN"/>
              </w:rPr>
              <w:t>结构</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7E4E698">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D4D18A9">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286B191">
            <w:pPr>
              <w:spacing w:line="360" w:lineRule="auto"/>
              <w:jc w:val="center"/>
              <w:rPr>
                <w:rFonts w:ascii="宋体" w:hAnsi="宋体"/>
                <w:strike w:val="0"/>
                <w:color w:val="auto"/>
                <w:szCs w:val="21"/>
                <w:highlight w:val="none"/>
              </w:rPr>
            </w:pPr>
          </w:p>
        </w:tc>
      </w:tr>
      <w:tr w14:paraId="020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8464AD8">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5</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C9DCD78">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B940AD">
            <w:pPr>
              <w:spacing w:line="240" w:lineRule="auto"/>
              <w:jc w:val="center"/>
              <w:rPr>
                <w:rFonts w:ascii="宋体" w:hAnsi="宋体"/>
                <w:strike w:val="0"/>
                <w:color w:val="auto"/>
                <w:kern w:val="2"/>
                <w:sz w:val="21"/>
                <w:szCs w:val="21"/>
                <w:highlight w:val="none"/>
                <w:lang w:val="en-US" w:eastAsia="zh-CN" w:bidi="ar-SA"/>
              </w:rPr>
            </w:pPr>
            <w:r>
              <w:rPr>
                <w:rFonts w:hint="eastAsia" w:ascii="宋体" w:hAnsi="宋体" w:cs="宋体"/>
                <w:strike w:val="0"/>
                <w:color w:val="auto"/>
                <w:sz w:val="24"/>
                <w:highlight w:val="none"/>
                <w:lang w:val="en-US" w:eastAsia="zh-CN"/>
              </w:rPr>
              <w:t>给排水</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88EFCF4">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C4D5C05">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FBF8EC2">
            <w:pPr>
              <w:spacing w:line="360" w:lineRule="auto"/>
              <w:jc w:val="center"/>
              <w:rPr>
                <w:rFonts w:ascii="宋体" w:hAnsi="宋体"/>
                <w:strike w:val="0"/>
                <w:color w:val="auto"/>
                <w:szCs w:val="21"/>
                <w:highlight w:val="none"/>
              </w:rPr>
            </w:pPr>
          </w:p>
        </w:tc>
      </w:tr>
      <w:tr w14:paraId="2902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0718C997">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6</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DABA812">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48C901D">
            <w:pPr>
              <w:spacing w:line="240" w:lineRule="auto"/>
              <w:jc w:val="center"/>
              <w:rPr>
                <w:rFonts w:ascii="宋体" w:hAnsi="宋体"/>
                <w:strike w:val="0"/>
                <w:color w:val="auto"/>
                <w:kern w:val="2"/>
                <w:sz w:val="21"/>
                <w:szCs w:val="21"/>
                <w:highlight w:val="none"/>
                <w:lang w:val="en-US" w:eastAsia="zh-CN" w:bidi="ar-SA"/>
              </w:rPr>
            </w:pPr>
            <w:r>
              <w:rPr>
                <w:rFonts w:hint="eastAsia" w:ascii="宋体" w:hAnsi="宋体" w:cs="宋体"/>
                <w:strike w:val="0"/>
                <w:color w:val="auto"/>
                <w:sz w:val="24"/>
                <w:highlight w:val="none"/>
                <w:lang w:val="en-US" w:eastAsia="zh-CN"/>
              </w:rPr>
              <w:t>电气</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B0863F3">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5C6CE6A">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A14D556">
            <w:pPr>
              <w:spacing w:line="360" w:lineRule="auto"/>
              <w:jc w:val="center"/>
              <w:rPr>
                <w:rFonts w:ascii="宋体" w:hAnsi="宋体"/>
                <w:strike w:val="0"/>
                <w:color w:val="auto"/>
                <w:szCs w:val="21"/>
                <w:highlight w:val="none"/>
              </w:rPr>
            </w:pPr>
          </w:p>
        </w:tc>
      </w:tr>
      <w:tr w14:paraId="53B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7F1D412">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7</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C5D5360">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C4486C">
            <w:pPr>
              <w:spacing w:line="240" w:lineRule="auto"/>
              <w:jc w:val="center"/>
              <w:rPr>
                <w:rFonts w:ascii="宋体" w:hAnsi="宋体" w:cs="Courier New"/>
                <w:strike w:val="0"/>
                <w:color w:val="auto"/>
                <w:kern w:val="2"/>
                <w:sz w:val="24"/>
                <w:szCs w:val="24"/>
                <w:highlight w:val="none"/>
                <w:lang w:val="en-US" w:eastAsia="zh-CN" w:bidi="ar-SA"/>
              </w:rPr>
            </w:pPr>
            <w:r>
              <w:rPr>
                <w:rFonts w:hint="eastAsia" w:ascii="宋体" w:hAnsi="宋体" w:cs="宋体"/>
                <w:strike w:val="0"/>
                <w:color w:val="auto"/>
                <w:sz w:val="24"/>
                <w:highlight w:val="none"/>
                <w:lang w:val="en-US" w:eastAsia="zh-CN"/>
              </w:rPr>
              <w:t>暖通空调</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B8E6D7">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667B9AD">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5FF7009">
            <w:pPr>
              <w:spacing w:line="360" w:lineRule="auto"/>
              <w:jc w:val="center"/>
              <w:rPr>
                <w:rFonts w:ascii="宋体" w:hAnsi="宋体"/>
                <w:strike w:val="0"/>
                <w:color w:val="auto"/>
                <w:szCs w:val="21"/>
                <w:highlight w:val="none"/>
              </w:rPr>
            </w:pPr>
          </w:p>
        </w:tc>
      </w:tr>
      <w:tr w14:paraId="3109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B1BBC0">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8</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EF0CF07">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A443A96">
            <w:pPr>
              <w:spacing w:line="240" w:lineRule="auto"/>
              <w:jc w:val="center"/>
              <w:rPr>
                <w:rFonts w:ascii="宋体" w:hAnsi="宋体" w:cs="Courier New"/>
                <w:strike w:val="0"/>
                <w:color w:val="auto"/>
                <w:kern w:val="2"/>
                <w:sz w:val="24"/>
                <w:szCs w:val="24"/>
                <w:highlight w:val="none"/>
                <w:lang w:val="en-US" w:eastAsia="zh-CN" w:bidi="ar-SA"/>
              </w:rPr>
            </w:pPr>
            <w:r>
              <w:rPr>
                <w:rFonts w:hint="eastAsia" w:ascii="宋体" w:hAnsi="宋体" w:cs="宋体"/>
                <w:strike w:val="0"/>
                <w:color w:val="auto"/>
                <w:sz w:val="24"/>
                <w:highlight w:val="none"/>
                <w:lang w:val="en-US" w:eastAsia="zh-CN"/>
              </w:rPr>
              <w:t>园林</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C292FE6">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777D50">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4B0F02">
            <w:pPr>
              <w:spacing w:line="360" w:lineRule="auto"/>
              <w:jc w:val="center"/>
              <w:rPr>
                <w:rFonts w:ascii="宋体" w:hAnsi="宋体"/>
                <w:strike w:val="0"/>
                <w:color w:val="auto"/>
                <w:szCs w:val="21"/>
                <w:highlight w:val="none"/>
              </w:rPr>
            </w:pPr>
          </w:p>
        </w:tc>
      </w:tr>
      <w:tr w14:paraId="05CB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00F6443A">
            <w:pPr>
              <w:spacing w:line="360" w:lineRule="auto"/>
              <w:jc w:val="center"/>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9</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75FC4C7">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1EC2DDC">
            <w:pPr>
              <w:spacing w:line="240" w:lineRule="auto"/>
              <w:jc w:val="center"/>
              <w:rPr>
                <w:rFonts w:ascii="宋体" w:hAnsi="宋体" w:cs="Courier New"/>
                <w:strike w:val="0"/>
                <w:color w:val="auto"/>
                <w:kern w:val="2"/>
                <w:sz w:val="24"/>
                <w:szCs w:val="24"/>
                <w:highlight w:val="none"/>
                <w:lang w:val="en-US" w:eastAsia="zh-CN" w:bidi="ar-SA"/>
              </w:rPr>
            </w:pPr>
            <w:r>
              <w:rPr>
                <w:rFonts w:hint="eastAsia" w:ascii="宋体" w:hAnsi="宋体" w:cs="宋体"/>
                <w:strike w:val="0"/>
                <w:color w:val="auto"/>
                <w:sz w:val="24"/>
                <w:highlight w:val="none"/>
                <w:lang w:val="en-US" w:eastAsia="zh-CN"/>
              </w:rPr>
              <w:t>室内装修</w:t>
            </w:r>
            <w:r>
              <w:rPr>
                <w:rFonts w:hint="eastAsia" w:ascii="宋体" w:hAnsi="宋体" w:cs="宋体"/>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B371624">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25DE412">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653974D">
            <w:pPr>
              <w:spacing w:line="360" w:lineRule="auto"/>
              <w:jc w:val="center"/>
              <w:rPr>
                <w:rFonts w:ascii="宋体" w:hAnsi="宋体"/>
                <w:strike w:val="0"/>
                <w:color w:val="auto"/>
                <w:szCs w:val="21"/>
                <w:highlight w:val="none"/>
              </w:rPr>
            </w:pPr>
          </w:p>
        </w:tc>
      </w:tr>
      <w:tr w14:paraId="17C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F5BD8C2">
            <w:pPr>
              <w:spacing w:line="360" w:lineRule="auto"/>
              <w:jc w:val="center"/>
              <w:rPr>
                <w:rFonts w:hint="default"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10</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DFDDE05">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EBC063">
            <w:pPr>
              <w:spacing w:line="240" w:lineRule="auto"/>
              <w:jc w:val="center"/>
              <w:rPr>
                <w:rFonts w:ascii="宋体" w:hAnsi="宋体" w:cs="Courier New"/>
                <w:strike w:val="0"/>
                <w:color w:val="auto"/>
                <w:kern w:val="2"/>
                <w:sz w:val="24"/>
                <w:szCs w:val="24"/>
                <w:highlight w:val="none"/>
                <w:lang w:val="en-US" w:eastAsia="zh-CN" w:bidi="ar-SA"/>
              </w:rPr>
            </w:pPr>
            <w:r>
              <w:rPr>
                <w:rFonts w:hint="eastAsia" w:ascii="宋体" w:hAnsi="宋体" w:cs="Courier New"/>
                <w:strike w:val="0"/>
                <w:color w:val="auto"/>
                <w:sz w:val="24"/>
                <w:highlight w:val="none"/>
              </w:rPr>
              <w:t>勘察</w:t>
            </w:r>
            <w:r>
              <w:rPr>
                <w:rFonts w:hint="eastAsia" w:ascii="宋体" w:hAnsi="宋体" w:cs="Courier New"/>
                <w:strike w:val="0"/>
                <w:color w:val="auto"/>
                <w:sz w:val="24"/>
                <w:highlight w:val="none"/>
                <w:lang w:eastAsia="zh-CN"/>
              </w:rPr>
              <w:t>总</w:t>
            </w:r>
            <w:r>
              <w:rPr>
                <w:rFonts w:hint="eastAsia" w:ascii="宋体" w:hAnsi="宋体" w:cs="Courier New"/>
                <w:strike w:val="0"/>
                <w:color w:val="auto"/>
                <w:sz w:val="24"/>
                <w:highlight w:val="none"/>
              </w:rPr>
              <w:t>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2AEA4A2">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6699FFB">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4A2B796">
            <w:pPr>
              <w:spacing w:line="360" w:lineRule="auto"/>
              <w:jc w:val="center"/>
              <w:rPr>
                <w:rFonts w:ascii="宋体" w:hAnsi="宋体"/>
                <w:strike w:val="0"/>
                <w:color w:val="auto"/>
                <w:szCs w:val="21"/>
                <w:highlight w:val="none"/>
              </w:rPr>
            </w:pPr>
          </w:p>
        </w:tc>
      </w:tr>
      <w:tr w14:paraId="5B03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1CE780B">
            <w:pPr>
              <w:spacing w:line="360" w:lineRule="auto"/>
              <w:jc w:val="center"/>
              <w:rPr>
                <w:rFonts w:hint="default"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11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EC8700E">
            <w:pPr>
              <w:spacing w:line="360" w:lineRule="auto"/>
              <w:jc w:val="center"/>
              <w:rPr>
                <w:rFonts w:ascii="宋体" w:hAnsi="宋体"/>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52F56B">
            <w:pPr>
              <w:spacing w:line="240" w:lineRule="auto"/>
              <w:jc w:val="center"/>
              <w:rPr>
                <w:rFonts w:ascii="宋体" w:hAnsi="宋体" w:cs="Courier New"/>
                <w:strike w:val="0"/>
                <w:color w:val="auto"/>
                <w:kern w:val="2"/>
                <w:sz w:val="24"/>
                <w:szCs w:val="24"/>
                <w:highlight w:val="none"/>
                <w:lang w:val="en-US" w:eastAsia="zh-CN" w:bidi="ar-SA"/>
              </w:rPr>
            </w:pPr>
            <w:r>
              <w:rPr>
                <w:rFonts w:hint="eastAsia" w:ascii="宋体" w:hAnsi="宋体" w:eastAsia="宋体"/>
                <w:snapToGrid w:val="0"/>
                <w:color w:val="auto"/>
                <w:sz w:val="24"/>
                <w:szCs w:val="24"/>
                <w:highlight w:val="none"/>
                <w:lang w:val="en-US" w:eastAsia="zh-CN"/>
              </w:rPr>
              <w:t>岩土勘察</w:t>
            </w:r>
            <w:r>
              <w:rPr>
                <w:rFonts w:hint="eastAsia" w:ascii="宋体" w:hAnsi="宋体" w:cs="Courier New"/>
                <w:strike w:val="0"/>
                <w:color w:val="auto"/>
                <w:sz w:val="24"/>
                <w:highlight w:val="none"/>
              </w:rPr>
              <w:t>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D730FE">
            <w:pPr>
              <w:spacing w:line="360" w:lineRule="auto"/>
              <w:jc w:val="center"/>
              <w:rPr>
                <w:rFonts w:ascii="宋体" w:hAnsi="宋体"/>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E7DCF32">
            <w:pPr>
              <w:spacing w:line="360" w:lineRule="auto"/>
              <w:jc w:val="center"/>
              <w:rPr>
                <w:rFonts w:ascii="宋体" w:hAnsi="宋体"/>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4A134D63">
            <w:pPr>
              <w:spacing w:line="360" w:lineRule="auto"/>
              <w:jc w:val="center"/>
              <w:rPr>
                <w:rFonts w:ascii="宋体" w:hAnsi="宋体"/>
                <w:strike w:val="0"/>
                <w:color w:val="auto"/>
                <w:szCs w:val="21"/>
                <w:highlight w:val="none"/>
              </w:rPr>
            </w:pPr>
          </w:p>
        </w:tc>
      </w:tr>
    </w:tbl>
    <w:p w14:paraId="4745F035">
      <w:pPr>
        <w:spacing w:line="360" w:lineRule="auto"/>
        <w:jc w:val="left"/>
        <w:rPr>
          <w:strike w:val="0"/>
          <w:color w:val="auto"/>
          <w:highlight w:val="none"/>
        </w:rPr>
      </w:pPr>
      <w:r>
        <w:rPr>
          <w:rFonts w:hint="eastAsia" w:ascii="宋体" w:hAnsi="宋体" w:cs="宋体"/>
          <w:strike w:val="0"/>
          <w:color w:val="auto"/>
          <w:sz w:val="24"/>
          <w:highlight w:val="none"/>
        </w:rPr>
        <w:t>注：按“</w:t>
      </w:r>
      <w:r>
        <w:rPr>
          <w:rFonts w:hint="eastAsia" w:ascii="宋体" w:hAnsi="宋体"/>
          <w:strike w:val="0"/>
          <w:dstrike w:val="0"/>
          <w:color w:val="auto"/>
          <w:sz w:val="24"/>
          <w:szCs w:val="24"/>
          <w:highlight w:val="none"/>
          <w:lang w:eastAsia="zh-CN"/>
        </w:rPr>
        <w:t>天河区柯木塱村城中村改造项目-首开区凤凰汇西侧地块复建安置房及配套设施工程勘察及初步</w:t>
      </w:r>
      <w:r>
        <w:rPr>
          <w:rFonts w:hint="eastAsia" w:ascii="宋体" w:hAnsi="宋体"/>
          <w:strike w:val="0"/>
          <w:dstrike w:val="0"/>
          <w:color w:val="auto"/>
          <w:sz w:val="24"/>
          <w:szCs w:val="24"/>
          <w:highlight w:val="none"/>
        </w:rPr>
        <w:t>设计任务书</w:t>
      </w:r>
      <w:r>
        <w:rPr>
          <w:rFonts w:hint="eastAsia" w:ascii="宋体" w:hAnsi="宋体" w:cs="宋体"/>
          <w:strike w:val="0"/>
          <w:color w:val="auto"/>
          <w:sz w:val="24"/>
          <w:highlight w:val="none"/>
        </w:rPr>
        <w:t>”要求进行配备；本表除项目负责人外，其他人员均不作为资格审查的条件。</w:t>
      </w:r>
    </w:p>
    <w:p w14:paraId="5B458621">
      <w:pPr>
        <w:rPr>
          <w:rFonts w:hint="eastAsia" w:ascii="宋体" w:hAnsi="宋体"/>
          <w:color w:val="auto"/>
          <w:highlight w:val="none"/>
        </w:rPr>
        <w:sectPr>
          <w:pgSz w:w="16838" w:h="11906" w:orient="landscape"/>
          <w:pgMar w:top="1440" w:right="1440" w:bottom="1466" w:left="1440" w:header="851" w:footer="992" w:gutter="0"/>
          <w:pgNumType w:fmt="decimal"/>
          <w:cols w:space="720" w:num="1"/>
          <w:docGrid w:type="linesAndChars" w:linePitch="312" w:charSpace="0"/>
        </w:sectPr>
      </w:pPr>
      <w:r>
        <w:rPr>
          <w:rFonts w:hint="eastAsia" w:ascii="宋体" w:hAnsi="宋体"/>
          <w:color w:val="auto"/>
          <w:highlight w:val="none"/>
        </w:rPr>
        <w:t xml:space="preserve">            </w:t>
      </w:r>
    </w:p>
    <w:p w14:paraId="2BD90DF7">
      <w:pPr>
        <w:pStyle w:val="2"/>
        <w:rPr>
          <w:rFonts w:hint="eastAsia" w:ascii="宋体" w:hAnsi="宋体"/>
          <w:color w:val="auto"/>
          <w:highlight w:val="none"/>
        </w:rPr>
      </w:pPr>
      <w:bookmarkStart w:id="23" w:name="_Toc3226"/>
      <w:r>
        <w:rPr>
          <w:rFonts w:hint="eastAsia" w:ascii="宋体" w:hAnsi="宋体"/>
          <w:color w:val="auto"/>
          <w:sz w:val="21"/>
          <w:szCs w:val="21"/>
          <w:highlight w:val="none"/>
        </w:rPr>
        <w:t>附件2</w:t>
      </w:r>
      <w:r>
        <w:rPr>
          <w:rFonts w:hint="eastAsia" w:ascii="宋体" w:hAnsi="宋体"/>
          <w:color w:val="auto"/>
          <w:sz w:val="21"/>
          <w:szCs w:val="21"/>
          <w:highlight w:val="none"/>
          <w:u w:val="single"/>
        </w:rPr>
        <w:t>勘察</w:t>
      </w:r>
      <w:r>
        <w:rPr>
          <w:rFonts w:hint="eastAsia" w:ascii="宋体" w:hAnsi="宋体"/>
          <w:color w:val="auto"/>
          <w:sz w:val="21"/>
          <w:szCs w:val="21"/>
          <w:highlight w:val="none"/>
        </w:rPr>
        <w:t>设计投标文件编制要求</w:t>
      </w:r>
      <w:bookmarkEnd w:id="23"/>
    </w:p>
    <w:p w14:paraId="0BAE9DF9">
      <w:pPr>
        <w:jc w:val="center"/>
        <w:rPr>
          <w:rFonts w:hint="eastAsia" w:ascii="宋体" w:hAnsi="宋体"/>
          <w:b/>
          <w:bCs/>
          <w:color w:val="auto"/>
          <w:sz w:val="32"/>
          <w:highlight w:val="none"/>
        </w:rPr>
      </w:pPr>
      <w:r>
        <w:rPr>
          <w:rFonts w:hint="eastAsia" w:ascii="宋体" w:hAnsi="宋体"/>
          <w:b/>
          <w:color w:val="auto"/>
          <w:sz w:val="32"/>
          <w:highlight w:val="none"/>
          <w:u w:val="single"/>
        </w:rPr>
        <w:t>勘察</w:t>
      </w:r>
      <w:r>
        <w:rPr>
          <w:rFonts w:hint="eastAsia" w:ascii="宋体" w:hAnsi="宋体"/>
          <w:b/>
          <w:color w:val="auto"/>
          <w:sz w:val="32"/>
          <w:highlight w:val="none"/>
        </w:rPr>
        <w:t>设计</w:t>
      </w:r>
      <w:r>
        <w:rPr>
          <w:rFonts w:hint="eastAsia" w:ascii="宋体" w:hAnsi="宋体"/>
          <w:b/>
          <w:bCs/>
          <w:color w:val="auto"/>
          <w:sz w:val="32"/>
          <w:highlight w:val="none"/>
        </w:rPr>
        <w:t>投标文件编制要求</w:t>
      </w:r>
    </w:p>
    <w:p w14:paraId="21DDA5FC">
      <w:pPr>
        <w:spacing w:line="360" w:lineRule="auto"/>
        <w:jc w:val="center"/>
        <w:rPr>
          <w:rFonts w:hint="eastAsia" w:ascii="宋体" w:hAnsi="宋体"/>
          <w:color w:val="auto"/>
          <w:sz w:val="24"/>
          <w:highlight w:val="none"/>
        </w:rPr>
      </w:pPr>
      <w:r>
        <w:rPr>
          <w:rFonts w:hint="eastAsia" w:ascii="宋体" w:hAnsi="宋体"/>
          <w:color w:val="auto"/>
          <w:sz w:val="24"/>
          <w:highlight w:val="none"/>
        </w:rPr>
        <w:t>（适用于设计和勘察设计投标）</w:t>
      </w:r>
    </w:p>
    <w:p w14:paraId="6EEA3404">
      <w:pPr>
        <w:spacing w:line="360" w:lineRule="auto"/>
        <w:rPr>
          <w:rFonts w:hint="eastAsia" w:ascii="宋体" w:hAnsi="宋体"/>
          <w:color w:val="auto"/>
          <w:sz w:val="24"/>
          <w:highlight w:val="none"/>
        </w:rPr>
      </w:pPr>
      <w:r>
        <w:rPr>
          <w:rFonts w:hint="eastAsia" w:ascii="宋体" w:hAnsi="宋体"/>
          <w:b/>
          <w:bCs/>
          <w:color w:val="auto"/>
          <w:sz w:val="24"/>
          <w:highlight w:val="none"/>
        </w:rPr>
        <w:t>1   投标文件</w:t>
      </w:r>
    </w:p>
    <w:p w14:paraId="6DDC2FFF">
      <w:pPr>
        <w:spacing w:line="360" w:lineRule="auto"/>
        <w:jc w:val="left"/>
        <w:rPr>
          <w:rFonts w:hint="eastAsia" w:ascii="宋体" w:hAnsi="宋体"/>
          <w:color w:val="auto"/>
          <w:sz w:val="24"/>
          <w:highlight w:val="none"/>
        </w:rPr>
      </w:pPr>
    </w:p>
    <w:p w14:paraId="05B5CD32">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1.1    投标文件由下列资料组成。</w:t>
      </w:r>
    </w:p>
    <w:p w14:paraId="582F919D">
      <w:pPr>
        <w:spacing w:line="360" w:lineRule="auto"/>
        <w:jc w:val="left"/>
        <w:rPr>
          <w:rFonts w:hint="eastAsia" w:ascii="宋体" w:hAnsi="宋体"/>
          <w:color w:val="auto"/>
          <w:sz w:val="24"/>
          <w:highlight w:val="none"/>
        </w:rPr>
      </w:pPr>
      <w:r>
        <w:rPr>
          <w:rFonts w:hint="eastAsia" w:hAnsi="宋体"/>
          <w:color w:val="auto"/>
          <w:sz w:val="24"/>
          <w:highlight w:val="none"/>
        </w:rPr>
        <w:t xml:space="preserve"> </w:t>
      </w:r>
      <w:r>
        <w:rPr>
          <w:rFonts w:hint="eastAsia" w:hAnsi="宋体"/>
          <w:strike/>
          <w:color w:val="auto"/>
          <w:sz w:val="24"/>
          <w:highlight w:val="none"/>
        </w:rPr>
        <w:t xml:space="preserve"> </w:t>
      </w:r>
      <w:r>
        <w:rPr>
          <w:rFonts w:hint="eastAsia" w:ascii="宋体" w:hAnsi="宋体"/>
          <w:strike/>
          <w:color w:val="auto"/>
          <w:sz w:val="24"/>
          <w:highlight w:val="none"/>
        </w:rPr>
        <w:t xml:space="preserve"> (a) 开标信封。  </w:t>
      </w:r>
      <w:r>
        <w:rPr>
          <w:rFonts w:hint="eastAsia" w:ascii="宋体" w:hAnsi="宋体"/>
          <w:color w:val="auto"/>
          <w:sz w:val="24"/>
          <w:highlight w:val="none"/>
        </w:rPr>
        <w:t xml:space="preserve"> </w:t>
      </w:r>
    </w:p>
    <w:p w14:paraId="7221FE83">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(a)</w:t>
      </w:r>
      <w:r>
        <w:rPr>
          <w:rFonts w:hint="eastAsia" w:ascii="宋体" w:hAnsi="宋体"/>
          <w:color w:val="auto"/>
          <w:sz w:val="24"/>
          <w:highlight w:val="none"/>
        </w:rPr>
        <w:t>设计方案。</w:t>
      </w:r>
    </w:p>
    <w:p w14:paraId="555B5285">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(b)</w:t>
      </w:r>
      <w:r>
        <w:rPr>
          <w:rFonts w:hint="eastAsia" w:ascii="宋体" w:hAnsi="宋体"/>
          <w:color w:val="auto"/>
          <w:sz w:val="24"/>
          <w:highlight w:val="none"/>
        </w:rPr>
        <w:t>资格审查文件</w:t>
      </w:r>
      <w:r>
        <w:rPr>
          <w:rFonts w:hint="eastAsia" w:ascii="宋体" w:hAnsi="宋体"/>
          <w:strike/>
          <w:color w:val="auto"/>
          <w:sz w:val="24"/>
          <w:highlight w:val="none"/>
        </w:rPr>
        <w:t>（如果招标人要求提供）</w:t>
      </w:r>
      <w:r>
        <w:rPr>
          <w:rFonts w:hint="eastAsia" w:ascii="宋体" w:hAnsi="宋体"/>
          <w:color w:val="auto"/>
          <w:sz w:val="24"/>
          <w:highlight w:val="none"/>
        </w:rPr>
        <w:t>。</w:t>
      </w:r>
    </w:p>
    <w:p w14:paraId="128CDF18">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(c)报价文件。</w:t>
      </w:r>
    </w:p>
    <w:p w14:paraId="0E283635">
      <w:pPr>
        <w:pStyle w:val="15"/>
        <w:ind w:firstLine="240" w:firstLineChars="100"/>
        <w:rPr>
          <w:rFonts w:hint="eastAsia" w:ascii="宋体" w:hAnsi="宋体" w:eastAsia="宋体" w:cs="Times New Roman"/>
          <w:color w:val="auto"/>
          <w:sz w:val="24"/>
          <w:szCs w:val="24"/>
          <w:highlight w:val="none"/>
          <w:u w:val="single"/>
        </w:rPr>
      </w:pPr>
      <w:r>
        <w:rPr>
          <w:rFonts w:hint="eastAsia" w:hAnsi="宋体"/>
          <w:color w:val="auto"/>
          <w:sz w:val="24"/>
          <w:highlight w:val="none"/>
          <w:u w:val="single"/>
        </w:rPr>
        <w:t xml:space="preserve"> (d)</w:t>
      </w:r>
      <w:r>
        <w:rPr>
          <w:rFonts w:hint="eastAsia" w:hAnsi="宋体"/>
          <w:color w:val="auto"/>
          <w:sz w:val="24"/>
          <w:szCs w:val="24"/>
          <w:highlight w:val="none"/>
          <w:u w:val="single"/>
        </w:rPr>
        <w:t>定标文件</w:t>
      </w:r>
      <w:r>
        <w:rPr>
          <w:rFonts w:hint="eastAsia" w:ascii="宋体" w:hAnsi="宋体" w:eastAsia="宋体" w:cs="Times New Roman"/>
          <w:color w:val="auto"/>
          <w:sz w:val="24"/>
          <w:szCs w:val="24"/>
          <w:highlight w:val="none"/>
          <w:u w:val="single"/>
        </w:rPr>
        <w:t>。【说明：定标文件以投标文件的设计方案及报价文件为准，投标人不须重复提供。】</w:t>
      </w:r>
    </w:p>
    <w:p w14:paraId="3AD80A6A">
      <w:pPr>
        <w:spacing w:line="360" w:lineRule="auto"/>
        <w:jc w:val="left"/>
        <w:rPr>
          <w:rFonts w:hint="eastAsia" w:hAnsi="宋体"/>
          <w:color w:val="auto"/>
          <w:sz w:val="24"/>
          <w:highlight w:val="none"/>
        </w:rPr>
      </w:pPr>
    </w:p>
    <w:p w14:paraId="631DED6F">
      <w:pPr>
        <w:spacing w:line="360" w:lineRule="auto"/>
        <w:rPr>
          <w:rFonts w:hint="eastAsia" w:ascii="宋体" w:hAnsi="宋体"/>
          <w:color w:val="auto"/>
          <w:sz w:val="24"/>
          <w:highlight w:val="none"/>
        </w:rPr>
      </w:pPr>
      <w:r>
        <w:rPr>
          <w:rFonts w:hint="eastAsia" w:ascii="宋体" w:hAnsi="宋体"/>
          <w:b/>
          <w:bCs/>
          <w:color w:val="auto"/>
          <w:sz w:val="24"/>
          <w:highlight w:val="none"/>
        </w:rPr>
        <w:t>2    保密要求</w:t>
      </w:r>
    </w:p>
    <w:p w14:paraId="0B870CAC">
      <w:pPr>
        <w:spacing w:line="360" w:lineRule="auto"/>
        <w:rPr>
          <w:rFonts w:hint="eastAsia" w:ascii="宋体" w:hAnsi="宋体"/>
          <w:color w:val="auto"/>
          <w:sz w:val="24"/>
          <w:highlight w:val="none"/>
        </w:rPr>
      </w:pPr>
    </w:p>
    <w:p w14:paraId="09E83032">
      <w:pPr>
        <w:spacing w:line="360" w:lineRule="auto"/>
        <w:ind w:left="821" w:hanging="820" w:hangingChars="342"/>
        <w:jc w:val="left"/>
        <w:rPr>
          <w:rFonts w:hint="eastAsia" w:ascii="宋体" w:hAnsi="宋体"/>
          <w:color w:val="auto"/>
          <w:sz w:val="24"/>
          <w:highlight w:val="none"/>
        </w:rPr>
      </w:pPr>
      <w:r>
        <w:rPr>
          <w:rFonts w:hint="eastAsia" w:ascii="宋体" w:hAnsi="宋体"/>
          <w:color w:val="auto"/>
          <w:sz w:val="24"/>
          <w:highlight w:val="none"/>
        </w:rPr>
        <w:t>2.1    投标文件必须隐匿投标人及专业技术人员的名称，除了《投标书》（格式见附录</w:t>
      </w:r>
      <w:r>
        <w:rPr>
          <w:rFonts w:hint="eastAsia" w:ascii="宋体" w:hAnsi="宋体"/>
          <w:color w:val="auto"/>
          <w:sz w:val="24"/>
          <w:highlight w:val="none"/>
          <w:u w:val="single"/>
        </w:rPr>
        <w:t>6</w:t>
      </w:r>
      <w:r>
        <w:rPr>
          <w:rFonts w:hint="eastAsia" w:ascii="宋体" w:hAnsi="宋体"/>
          <w:color w:val="auto"/>
          <w:sz w:val="24"/>
          <w:highlight w:val="none"/>
        </w:rPr>
        <w:t>）、《联合体共同投标协议》（格式见附录</w:t>
      </w:r>
      <w:r>
        <w:rPr>
          <w:rFonts w:hint="eastAsia" w:ascii="宋体" w:hAnsi="宋体"/>
          <w:color w:val="auto"/>
          <w:sz w:val="24"/>
          <w:highlight w:val="none"/>
          <w:u w:val="single"/>
        </w:rPr>
        <w:t>7</w:t>
      </w:r>
      <w:r>
        <w:rPr>
          <w:rFonts w:hint="eastAsia" w:ascii="宋体" w:hAnsi="宋体"/>
          <w:color w:val="auto"/>
          <w:sz w:val="24"/>
          <w:highlight w:val="none"/>
        </w:rPr>
        <w:t>）、《投标人声明》</w:t>
      </w:r>
      <w:r>
        <w:rPr>
          <w:rFonts w:hint="eastAsia" w:ascii="宋体" w:hAnsi="宋体"/>
          <w:color w:val="auto"/>
          <w:sz w:val="24"/>
          <w:highlight w:val="none"/>
          <w:u w:val="single"/>
        </w:rPr>
        <w:t>（格式见附录8）</w:t>
      </w:r>
      <w:r>
        <w:rPr>
          <w:rFonts w:hint="eastAsia" w:ascii="宋体" w:hAnsi="宋体"/>
          <w:color w:val="auto"/>
          <w:sz w:val="24"/>
          <w:highlight w:val="none"/>
        </w:rPr>
        <w:t>和资格审查文件（如有）、报价文件外，投标人不得在设计方案上标注或做任何可以辨认投标人及专业技术人员身份的名称、印章、商标、图形等。</w:t>
      </w:r>
    </w:p>
    <w:p w14:paraId="20B4A5B2">
      <w:pPr>
        <w:spacing w:line="360" w:lineRule="auto"/>
        <w:ind w:left="410" w:hanging="410" w:hangingChars="171"/>
        <w:rPr>
          <w:rFonts w:hint="eastAsia" w:ascii="宋体" w:hAnsi="宋体"/>
          <w:color w:val="auto"/>
          <w:sz w:val="24"/>
          <w:highlight w:val="none"/>
        </w:rPr>
      </w:pPr>
    </w:p>
    <w:p w14:paraId="0F2CBCFF">
      <w:pPr>
        <w:spacing w:line="360" w:lineRule="auto"/>
        <w:jc w:val="left"/>
        <w:rPr>
          <w:rFonts w:hint="eastAsia" w:ascii="宋体" w:hAnsi="宋体"/>
          <w:b/>
          <w:bCs/>
          <w:strike/>
          <w:color w:val="auto"/>
          <w:sz w:val="24"/>
          <w:highlight w:val="none"/>
        </w:rPr>
      </w:pPr>
      <w:r>
        <w:rPr>
          <w:rFonts w:hint="eastAsia" w:ascii="宋体" w:hAnsi="宋体"/>
          <w:b/>
          <w:bCs/>
          <w:strike/>
          <w:color w:val="auto"/>
          <w:sz w:val="24"/>
          <w:highlight w:val="none"/>
        </w:rPr>
        <w:t>3      开标信封</w:t>
      </w:r>
    </w:p>
    <w:p w14:paraId="5BDC687F">
      <w:pPr>
        <w:spacing w:line="360" w:lineRule="auto"/>
        <w:rPr>
          <w:rFonts w:hint="eastAsia" w:ascii="宋体" w:hAnsi="宋体"/>
          <w:strike/>
          <w:color w:val="auto"/>
          <w:sz w:val="24"/>
          <w:highlight w:val="none"/>
        </w:rPr>
      </w:pPr>
    </w:p>
    <w:p w14:paraId="3122E030">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3.1    开标信封内附填妥并签字盖章的《投标书》（格式见附录6），联合体同时附填妥并签字盖章的《联合体投标协议》（格式见附录7）。未设资格审查环节的项目，还应提供填妥并盖章的《投标人声明》（格式见附录</w:t>
      </w:r>
      <w:r>
        <w:rPr>
          <w:rFonts w:ascii="宋体" w:hAnsi="宋体"/>
          <w:strike/>
          <w:color w:val="auto"/>
          <w:sz w:val="24"/>
          <w:highlight w:val="none"/>
        </w:rPr>
        <w:t>8</w:t>
      </w:r>
      <w:r>
        <w:rPr>
          <w:rFonts w:hint="eastAsia" w:ascii="宋体" w:hAnsi="宋体"/>
          <w:strike/>
          <w:color w:val="auto"/>
          <w:sz w:val="24"/>
          <w:highlight w:val="none"/>
        </w:rPr>
        <w:t>）。</w:t>
      </w:r>
    </w:p>
    <w:p w14:paraId="55197FD7">
      <w:pPr>
        <w:spacing w:line="360" w:lineRule="auto"/>
        <w:rPr>
          <w:rFonts w:hint="eastAsia" w:ascii="宋体" w:hAnsi="宋体"/>
          <w:color w:val="auto"/>
          <w:sz w:val="24"/>
          <w:highlight w:val="none"/>
        </w:rPr>
      </w:pPr>
    </w:p>
    <w:p w14:paraId="6A967CA6">
      <w:pPr>
        <w:spacing w:line="360" w:lineRule="auto"/>
        <w:rPr>
          <w:rFonts w:hint="eastAsia" w:ascii="宋体" w:hAnsi="宋体"/>
          <w:b/>
          <w:color w:val="auto"/>
          <w:sz w:val="24"/>
          <w:highlight w:val="none"/>
        </w:rPr>
      </w:pPr>
      <w:r>
        <w:rPr>
          <w:rFonts w:hint="eastAsia" w:ascii="宋体" w:hAnsi="宋体"/>
          <w:b/>
          <w:color w:val="auto"/>
          <w:sz w:val="24"/>
          <w:highlight w:val="none"/>
        </w:rPr>
        <w:t>4      设计方案</w:t>
      </w:r>
      <w:r>
        <w:rPr>
          <w:rFonts w:hint="eastAsia" w:ascii="宋体" w:hAnsi="宋体" w:cs="宋体"/>
          <w:b/>
          <w:color w:val="auto"/>
          <w:sz w:val="24"/>
          <w:highlight w:val="none"/>
          <w:u w:val="single"/>
        </w:rPr>
        <w:t>（暗标，不得标注或做任何可以辨认投标人及专业技术人员身份的名称、印章、商标、图形等，上传交易平台网站）</w:t>
      </w:r>
    </w:p>
    <w:p w14:paraId="79EDD69B">
      <w:pPr>
        <w:pStyle w:val="14"/>
        <w:spacing w:line="360" w:lineRule="auto"/>
        <w:ind w:firstLine="0" w:firstLineChars="0"/>
        <w:rPr>
          <w:rFonts w:hint="eastAsia" w:hAnsi="宋体"/>
          <w:color w:val="auto"/>
          <w:sz w:val="24"/>
          <w:szCs w:val="24"/>
          <w:highlight w:val="none"/>
        </w:rPr>
      </w:pPr>
    </w:p>
    <w:p w14:paraId="5EA0D75E">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4.1    设计方案内容（文件</w:t>
      </w:r>
      <w:r>
        <w:rPr>
          <w:rFonts w:hAnsi="宋体"/>
          <w:color w:val="auto"/>
          <w:sz w:val="24"/>
          <w:szCs w:val="24"/>
          <w:highlight w:val="none"/>
        </w:rPr>
        <w:t>大小不得超过</w:t>
      </w:r>
      <w:r>
        <w:rPr>
          <w:rFonts w:hint="eastAsia" w:hAnsi="宋体"/>
          <w:color w:val="auto"/>
          <w:sz w:val="24"/>
          <w:szCs w:val="24"/>
          <w:highlight w:val="none"/>
        </w:rPr>
        <w:t>500M）：</w:t>
      </w:r>
    </w:p>
    <w:p w14:paraId="14C965C6">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(a) 首页：写明项目名称、设计作品主题（不宜超过20个字）、编制年月；</w:t>
      </w:r>
    </w:p>
    <w:p w14:paraId="3F405D56">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(b) 目录；</w:t>
      </w:r>
    </w:p>
    <w:p w14:paraId="4E5CB158">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(c) 设计说明书；</w:t>
      </w:r>
    </w:p>
    <w:p w14:paraId="0E0B825D">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(d) 设计图纸（需包括表现图、分析示意图、总平面图等，可以水平或垂直展示）；</w:t>
      </w:r>
    </w:p>
    <w:p w14:paraId="7D796ABA">
      <w:pPr>
        <w:spacing w:line="360" w:lineRule="auto"/>
        <w:ind w:left="2"/>
        <w:rPr>
          <w:rFonts w:hint="eastAsia" w:ascii="宋体" w:hAnsi="宋体"/>
          <w:color w:val="auto"/>
          <w:sz w:val="24"/>
          <w:highlight w:val="none"/>
        </w:rPr>
      </w:pPr>
      <w:r>
        <w:rPr>
          <w:rFonts w:hint="eastAsia" w:hAnsi="宋体"/>
          <w:color w:val="auto"/>
          <w:sz w:val="24"/>
          <w:highlight w:val="none"/>
        </w:rPr>
        <w:t xml:space="preserve">   (e) </w:t>
      </w:r>
      <w:r>
        <w:rPr>
          <w:rFonts w:hint="eastAsia" w:ascii="宋体" w:hAnsi="宋体"/>
          <w:color w:val="auto"/>
          <w:sz w:val="24"/>
          <w:highlight w:val="none"/>
        </w:rPr>
        <w:t>《工期计划表》（方案修改、初步设计、工期）；</w:t>
      </w:r>
    </w:p>
    <w:p w14:paraId="567A7C72">
      <w:pPr>
        <w:spacing w:line="360" w:lineRule="auto"/>
        <w:rPr>
          <w:rFonts w:hint="eastAsia" w:ascii="宋体" w:hAnsi="宋体"/>
          <w:color w:val="auto"/>
          <w:sz w:val="24"/>
          <w:highlight w:val="none"/>
        </w:rPr>
      </w:pPr>
      <w:r>
        <w:rPr>
          <w:rFonts w:hint="eastAsia" w:hAnsi="宋体"/>
          <w:color w:val="auto"/>
          <w:sz w:val="24"/>
          <w:highlight w:val="none"/>
        </w:rPr>
        <w:t xml:space="preserve">   (f) </w:t>
      </w:r>
      <w:r>
        <w:rPr>
          <w:rFonts w:hint="eastAsia" w:ascii="宋体" w:hAnsi="宋体"/>
          <w:color w:val="auto"/>
          <w:sz w:val="24"/>
          <w:highlight w:val="none"/>
        </w:rPr>
        <w:t>投标人</w:t>
      </w:r>
      <w:r>
        <w:rPr>
          <w:rFonts w:ascii="宋体" w:hAnsi="宋体"/>
          <w:color w:val="auto"/>
          <w:sz w:val="24"/>
          <w:highlight w:val="none"/>
        </w:rPr>
        <w:t>提出的</w:t>
      </w:r>
      <w:r>
        <w:rPr>
          <w:rFonts w:hint="eastAsia" w:ascii="宋体" w:hAnsi="宋体"/>
          <w:color w:val="auto"/>
          <w:sz w:val="24"/>
          <w:highlight w:val="none"/>
        </w:rPr>
        <w:t>建议、</w:t>
      </w:r>
      <w:r>
        <w:rPr>
          <w:rFonts w:ascii="宋体" w:hAnsi="宋体"/>
          <w:color w:val="auto"/>
          <w:sz w:val="24"/>
          <w:highlight w:val="none"/>
        </w:rPr>
        <w:t>工程创新</w:t>
      </w:r>
      <w:r>
        <w:rPr>
          <w:rFonts w:hint="eastAsia" w:ascii="宋体" w:hAnsi="宋体"/>
          <w:color w:val="auto"/>
          <w:sz w:val="24"/>
          <w:highlight w:val="none"/>
        </w:rPr>
        <w:t>和替代方案（如果有）；</w:t>
      </w:r>
    </w:p>
    <w:p w14:paraId="43B3B4D1">
      <w:pPr>
        <w:spacing w:line="360" w:lineRule="auto"/>
        <w:rPr>
          <w:rFonts w:ascii="宋体" w:hAnsi="宋体"/>
          <w:color w:val="auto"/>
          <w:sz w:val="24"/>
          <w:highlight w:val="none"/>
        </w:rPr>
      </w:pPr>
      <w:r>
        <w:rPr>
          <w:rFonts w:hint="eastAsia" w:hAnsi="宋体"/>
          <w:color w:val="auto"/>
          <w:sz w:val="24"/>
          <w:highlight w:val="none"/>
        </w:rPr>
        <w:t xml:space="preserve">   (g) </w:t>
      </w:r>
      <w:r>
        <w:rPr>
          <w:rFonts w:hint="eastAsia" w:ascii="宋体" w:hAnsi="宋体"/>
          <w:color w:val="auto"/>
          <w:sz w:val="24"/>
          <w:highlight w:val="none"/>
        </w:rPr>
        <w:t>完成本项目的难点，保障工期、质量的主要措施；</w:t>
      </w:r>
    </w:p>
    <w:p w14:paraId="1C460E40">
      <w:pPr>
        <w:spacing w:line="360" w:lineRule="auto"/>
        <w:ind w:left="821" w:hanging="820" w:hangingChars="342"/>
        <w:rPr>
          <w:rFonts w:hint="eastAsia" w:ascii="宋体" w:hAnsi="宋体"/>
          <w:color w:val="auto"/>
          <w:sz w:val="24"/>
          <w:highlight w:val="none"/>
        </w:rPr>
      </w:pPr>
      <w:r>
        <w:rPr>
          <w:rFonts w:hint="eastAsia" w:hAnsi="宋体"/>
          <w:color w:val="auto"/>
          <w:sz w:val="24"/>
          <w:highlight w:val="none"/>
        </w:rPr>
        <w:t xml:space="preserve">   (h) </w:t>
      </w:r>
      <w:r>
        <w:rPr>
          <w:rFonts w:hint="eastAsia" w:ascii="宋体" w:hAnsi="宋体"/>
          <w:color w:val="auto"/>
          <w:sz w:val="24"/>
          <w:highlight w:val="none"/>
        </w:rPr>
        <w:t>针对项目场地采用的原位试验种类。勘察方案（勘察手段、方法及工艺）及建议，本次勘察的难点及建议</w:t>
      </w:r>
      <w:r>
        <w:rPr>
          <w:rFonts w:hint="eastAsia" w:hAnsi="宋体"/>
          <w:color w:val="auto"/>
          <w:sz w:val="24"/>
          <w:highlight w:val="none"/>
        </w:rPr>
        <w:t>(适用于含勘察内容的项目)；</w:t>
      </w:r>
    </w:p>
    <w:p w14:paraId="786F0C75">
      <w:pPr>
        <w:spacing w:line="360" w:lineRule="auto"/>
        <w:rPr>
          <w:rFonts w:hint="eastAsia" w:ascii="宋体" w:hAnsi="宋体"/>
          <w:color w:val="auto"/>
          <w:sz w:val="24"/>
          <w:highlight w:val="none"/>
        </w:rPr>
      </w:pPr>
      <w:r>
        <w:rPr>
          <w:rFonts w:hint="eastAsia" w:hAnsi="宋体"/>
          <w:color w:val="auto"/>
          <w:sz w:val="24"/>
          <w:highlight w:val="none"/>
        </w:rPr>
        <w:t xml:space="preserve">   (i)  </w:t>
      </w:r>
      <w:r>
        <w:rPr>
          <w:rFonts w:hint="eastAsia" w:ascii="宋体" w:hAnsi="宋体"/>
          <w:color w:val="auto"/>
          <w:sz w:val="24"/>
          <w:highlight w:val="none"/>
        </w:rPr>
        <w:t>勘察工作流程和相应的工期进度计划</w:t>
      </w:r>
      <w:r>
        <w:rPr>
          <w:rFonts w:hint="eastAsia" w:hAnsi="宋体"/>
          <w:color w:val="auto"/>
          <w:sz w:val="24"/>
          <w:highlight w:val="none"/>
        </w:rPr>
        <w:t>(适用于含勘察内容的项目)；</w:t>
      </w:r>
    </w:p>
    <w:p w14:paraId="7F31D480">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j</w:t>
      </w:r>
      <w:r>
        <w:rPr>
          <w:rFonts w:hint="eastAsia" w:hAnsi="宋体"/>
          <w:color w:val="auto"/>
          <w:sz w:val="24"/>
          <w:highlight w:val="none"/>
        </w:rPr>
        <w:t xml:space="preserve">) </w:t>
      </w:r>
      <w:r>
        <w:rPr>
          <w:rFonts w:hint="eastAsia" w:ascii="宋体" w:hAnsi="宋体"/>
          <w:color w:val="auto"/>
          <w:sz w:val="24"/>
          <w:highlight w:val="none"/>
        </w:rPr>
        <w:t>投入本项目的人数、工种、设备</w:t>
      </w:r>
      <w:r>
        <w:rPr>
          <w:rFonts w:hint="eastAsia" w:hAnsi="宋体"/>
          <w:color w:val="auto"/>
          <w:sz w:val="24"/>
          <w:highlight w:val="none"/>
        </w:rPr>
        <w:t>(适用于含勘察内容的项目)；</w:t>
      </w:r>
    </w:p>
    <w:p w14:paraId="50B46D7E">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k</w:t>
      </w:r>
      <w:r>
        <w:rPr>
          <w:rFonts w:hint="eastAsia" w:hAnsi="宋体"/>
          <w:color w:val="auto"/>
          <w:sz w:val="24"/>
          <w:highlight w:val="none"/>
        </w:rPr>
        <w:t xml:space="preserve">) </w:t>
      </w:r>
      <w:r>
        <w:rPr>
          <w:rFonts w:hint="eastAsia" w:ascii="宋体" w:hAnsi="宋体"/>
          <w:color w:val="auto"/>
          <w:sz w:val="24"/>
          <w:highlight w:val="none"/>
        </w:rPr>
        <w:t>勘察报告综合评价深度，勘察成果文件内容目录</w:t>
      </w:r>
      <w:r>
        <w:rPr>
          <w:rFonts w:hint="eastAsia" w:hAnsi="宋体"/>
          <w:color w:val="auto"/>
          <w:sz w:val="24"/>
          <w:highlight w:val="none"/>
        </w:rPr>
        <w:t>(适用于含勘察内容的项目)；</w:t>
      </w:r>
    </w:p>
    <w:p w14:paraId="4054280B">
      <w:pPr>
        <w:spacing w:line="360" w:lineRule="auto"/>
        <w:ind w:left="821" w:hanging="820" w:hangingChars="342"/>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l</w:t>
      </w:r>
      <w:r>
        <w:rPr>
          <w:rFonts w:hint="eastAsia" w:hAnsi="宋体"/>
          <w:color w:val="auto"/>
          <w:sz w:val="24"/>
          <w:highlight w:val="none"/>
        </w:rPr>
        <w:t xml:space="preserve">) </w:t>
      </w:r>
      <w:r>
        <w:rPr>
          <w:rFonts w:hint="eastAsia" w:ascii="宋体" w:hAnsi="宋体"/>
          <w:color w:val="auto"/>
          <w:sz w:val="24"/>
          <w:highlight w:val="none"/>
        </w:rPr>
        <w:t>投标人掌握的勘察工作有关的法律法规、标准、规范一览表</w:t>
      </w:r>
      <w:r>
        <w:rPr>
          <w:rFonts w:hint="eastAsia" w:hAnsi="宋体"/>
          <w:color w:val="auto"/>
          <w:sz w:val="24"/>
          <w:highlight w:val="none"/>
        </w:rPr>
        <w:t>(适用于含勘察内容的项目)；</w:t>
      </w:r>
    </w:p>
    <w:p w14:paraId="64F20025">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m</w:t>
      </w:r>
      <w:r>
        <w:rPr>
          <w:rFonts w:hint="eastAsia" w:hAnsi="宋体"/>
          <w:color w:val="auto"/>
          <w:sz w:val="24"/>
          <w:highlight w:val="none"/>
        </w:rPr>
        <w:t xml:space="preserve">) </w:t>
      </w:r>
      <w:r>
        <w:rPr>
          <w:rFonts w:hint="eastAsia" w:ascii="宋体" w:hAnsi="宋体"/>
          <w:color w:val="auto"/>
          <w:sz w:val="24"/>
          <w:highlight w:val="none"/>
        </w:rPr>
        <w:t>需要建设单位、设计单位配合的事项</w:t>
      </w:r>
      <w:r>
        <w:rPr>
          <w:rFonts w:hint="eastAsia" w:hAnsi="宋体"/>
          <w:color w:val="auto"/>
          <w:sz w:val="24"/>
          <w:highlight w:val="none"/>
        </w:rPr>
        <w:t>(适用于含勘察内容的项目)；</w:t>
      </w:r>
    </w:p>
    <w:p w14:paraId="7E12D29C">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n</w:t>
      </w:r>
      <w:r>
        <w:rPr>
          <w:rFonts w:hint="eastAsia" w:hAnsi="宋体"/>
          <w:color w:val="auto"/>
          <w:sz w:val="24"/>
          <w:highlight w:val="none"/>
        </w:rPr>
        <w:t xml:space="preserve">) </w:t>
      </w:r>
      <w:r>
        <w:rPr>
          <w:rFonts w:hint="eastAsia" w:ascii="宋体" w:hAnsi="宋体"/>
          <w:color w:val="auto"/>
          <w:sz w:val="24"/>
          <w:highlight w:val="none"/>
        </w:rPr>
        <w:t>发生追记行为的相应赔偿办法</w:t>
      </w:r>
      <w:r>
        <w:rPr>
          <w:rFonts w:hint="eastAsia" w:hAnsi="宋体"/>
          <w:color w:val="auto"/>
          <w:sz w:val="24"/>
          <w:highlight w:val="none"/>
        </w:rPr>
        <w:t>(适用于含勘察内容的项目)；</w:t>
      </w:r>
    </w:p>
    <w:p w14:paraId="0F8E2681">
      <w:pPr>
        <w:spacing w:line="360" w:lineRule="auto"/>
        <w:ind w:left="821" w:hanging="820" w:hangingChars="342"/>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o</w:t>
      </w:r>
      <w:r>
        <w:rPr>
          <w:rFonts w:hint="eastAsia" w:hAnsi="宋体"/>
          <w:color w:val="auto"/>
          <w:sz w:val="24"/>
          <w:highlight w:val="none"/>
        </w:rPr>
        <w:t xml:space="preserve">) </w:t>
      </w:r>
      <w:r>
        <w:rPr>
          <w:rFonts w:hint="eastAsia" w:ascii="宋体" w:hAnsi="宋体"/>
          <w:color w:val="auto"/>
          <w:sz w:val="24"/>
          <w:highlight w:val="none"/>
        </w:rPr>
        <w:t>投标人参与解决工程设计中与勘察工作有关问题的服务承诺、响应时间、相关费用</w:t>
      </w:r>
      <w:r>
        <w:rPr>
          <w:rFonts w:hint="eastAsia" w:hAnsi="宋体"/>
          <w:color w:val="auto"/>
          <w:sz w:val="24"/>
          <w:highlight w:val="none"/>
        </w:rPr>
        <w:t>(适用于含勘察内容的项目)；</w:t>
      </w:r>
    </w:p>
    <w:p w14:paraId="5686E0C6">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p</w:t>
      </w:r>
      <w:r>
        <w:rPr>
          <w:rFonts w:hint="eastAsia" w:hAnsi="宋体"/>
          <w:color w:val="auto"/>
          <w:sz w:val="24"/>
          <w:highlight w:val="none"/>
        </w:rPr>
        <w:t xml:space="preserve">) </w:t>
      </w:r>
      <w:r>
        <w:rPr>
          <w:rFonts w:hint="eastAsia" w:ascii="宋体" w:hAnsi="宋体"/>
          <w:color w:val="auto"/>
          <w:sz w:val="24"/>
          <w:highlight w:val="none"/>
        </w:rPr>
        <w:t>技术培训和职业道德教育情况</w:t>
      </w:r>
      <w:r>
        <w:rPr>
          <w:rFonts w:hint="eastAsia" w:hAnsi="宋体"/>
          <w:color w:val="auto"/>
          <w:sz w:val="24"/>
          <w:highlight w:val="none"/>
        </w:rPr>
        <w:t>(适用于含勘察内容的项目)；</w:t>
      </w:r>
    </w:p>
    <w:p w14:paraId="6BBF8691">
      <w:pPr>
        <w:spacing w:line="360" w:lineRule="auto"/>
        <w:rPr>
          <w:rFonts w:hint="eastAsia" w:hAnsi="宋体"/>
          <w:color w:val="auto"/>
          <w:sz w:val="24"/>
          <w:highlight w:val="none"/>
        </w:rPr>
      </w:pPr>
      <w:r>
        <w:rPr>
          <w:rFonts w:hint="eastAsia" w:hAnsi="宋体"/>
          <w:color w:val="auto"/>
          <w:sz w:val="24"/>
          <w:highlight w:val="none"/>
        </w:rPr>
        <w:t xml:space="preserve">   (</w:t>
      </w:r>
      <w:r>
        <w:rPr>
          <w:rFonts w:hAnsi="宋体"/>
          <w:color w:val="auto"/>
          <w:sz w:val="24"/>
          <w:highlight w:val="none"/>
        </w:rPr>
        <w:t>q</w:t>
      </w:r>
      <w:r>
        <w:rPr>
          <w:rFonts w:hint="eastAsia" w:hAnsi="宋体"/>
          <w:color w:val="auto"/>
          <w:sz w:val="24"/>
          <w:highlight w:val="none"/>
        </w:rPr>
        <w:t xml:space="preserve">) </w:t>
      </w:r>
      <w:r>
        <w:rPr>
          <w:rFonts w:hint="eastAsia" w:ascii="宋体" w:hAnsi="宋体"/>
          <w:color w:val="auto"/>
          <w:sz w:val="24"/>
          <w:highlight w:val="none"/>
        </w:rPr>
        <w:t>以往完工项目的资料分类编目、装订、归档保存的情况</w:t>
      </w:r>
      <w:r>
        <w:rPr>
          <w:rFonts w:hint="eastAsia" w:hAnsi="宋体"/>
          <w:color w:val="auto"/>
          <w:sz w:val="24"/>
          <w:highlight w:val="none"/>
        </w:rPr>
        <w:t xml:space="preserve">(适用于含勘察内容的项目)； </w:t>
      </w:r>
    </w:p>
    <w:p w14:paraId="79DE652B">
      <w:pPr>
        <w:spacing w:line="360" w:lineRule="auto"/>
        <w:rPr>
          <w:rFonts w:hint="eastAsia" w:ascii="宋体" w:hAnsi="宋体"/>
          <w:color w:val="auto"/>
          <w:sz w:val="24"/>
          <w:highlight w:val="none"/>
        </w:rPr>
      </w:pPr>
      <w:r>
        <w:rPr>
          <w:rFonts w:hint="eastAsia" w:hAnsi="宋体"/>
          <w:color w:val="auto"/>
          <w:sz w:val="24"/>
          <w:highlight w:val="none"/>
        </w:rPr>
        <w:t xml:space="preserve">    (</w:t>
      </w:r>
      <w:r>
        <w:rPr>
          <w:rFonts w:hAnsi="宋体"/>
          <w:color w:val="auto"/>
          <w:sz w:val="24"/>
          <w:highlight w:val="none"/>
        </w:rPr>
        <w:t>r</w:t>
      </w:r>
      <w:r>
        <w:rPr>
          <w:rFonts w:hint="eastAsia" w:hAnsi="宋体"/>
          <w:color w:val="auto"/>
          <w:sz w:val="24"/>
          <w:highlight w:val="none"/>
        </w:rPr>
        <w:t xml:space="preserve">) </w:t>
      </w:r>
      <w:r>
        <w:rPr>
          <w:rFonts w:hint="eastAsia" w:ascii="宋体" w:hAnsi="宋体"/>
          <w:color w:val="auto"/>
          <w:sz w:val="24"/>
          <w:highlight w:val="none"/>
        </w:rPr>
        <w:t>投标人认为有必要提供的其他资料。</w:t>
      </w:r>
    </w:p>
    <w:p w14:paraId="5D4CA264">
      <w:pPr>
        <w:spacing w:line="360" w:lineRule="auto"/>
        <w:rPr>
          <w:rFonts w:ascii="宋体" w:hAnsi="宋体"/>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u w:val="single"/>
        </w:rPr>
        <w:t>设计方案不能有涉及投标报价相关内容文件</w:t>
      </w:r>
      <w:r>
        <w:rPr>
          <w:rFonts w:hint="eastAsia" w:ascii="宋体" w:hAnsi="宋体" w:cs="宋体"/>
          <w:b/>
          <w:bCs/>
          <w:color w:val="auto"/>
          <w:sz w:val="24"/>
          <w:highlight w:val="none"/>
        </w:rPr>
        <w:t>。</w:t>
      </w:r>
    </w:p>
    <w:p w14:paraId="0A4C43C7">
      <w:pPr>
        <w:spacing w:line="360" w:lineRule="auto"/>
        <w:rPr>
          <w:rFonts w:hint="eastAsia" w:ascii="宋体" w:hAnsi="宋体"/>
          <w:color w:val="auto"/>
          <w:sz w:val="24"/>
          <w:highlight w:val="none"/>
        </w:rPr>
      </w:pPr>
    </w:p>
    <w:p w14:paraId="12430FB1">
      <w:pPr>
        <w:spacing w:line="360" w:lineRule="auto"/>
        <w:rPr>
          <w:rFonts w:hint="eastAsia"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 xml:space="preserve">      </w:t>
      </w:r>
      <w:r>
        <w:rPr>
          <w:rFonts w:hint="eastAsia" w:ascii="宋体" w:hAnsi="宋体"/>
          <w:b/>
          <w:bCs/>
          <w:color w:val="auto"/>
          <w:sz w:val="24"/>
          <w:highlight w:val="none"/>
        </w:rPr>
        <w:t>深度要求</w:t>
      </w:r>
    </w:p>
    <w:p w14:paraId="10E561D5">
      <w:pPr>
        <w:spacing w:line="360" w:lineRule="auto"/>
        <w:rPr>
          <w:rFonts w:hint="eastAsia" w:ascii="宋体" w:hAnsi="宋体"/>
          <w:color w:val="auto"/>
          <w:sz w:val="24"/>
          <w:highlight w:val="none"/>
        </w:rPr>
      </w:pPr>
    </w:p>
    <w:p w14:paraId="65B53CE0">
      <w:pPr>
        <w:spacing w:line="360" w:lineRule="auto"/>
        <w:ind w:left="821" w:hanging="820" w:hangingChars="342"/>
        <w:jc w:val="left"/>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.1    投标深度要求：</w:t>
      </w:r>
    </w:p>
    <w:p w14:paraId="73F35178">
      <w:pPr>
        <w:spacing w:line="360" w:lineRule="auto"/>
        <w:ind w:left="821" w:hanging="820" w:hangingChars="342"/>
        <w:jc w:val="left"/>
        <w:rPr>
          <w:rFonts w:hint="eastAsia" w:ascii="宋体" w:hAnsi="宋体"/>
          <w:color w:val="auto"/>
          <w:sz w:val="24"/>
          <w:highlight w:val="none"/>
        </w:rPr>
      </w:pPr>
      <w:r>
        <w:rPr>
          <w:rFonts w:hint="eastAsia" w:hAnsi="宋体"/>
          <w:color w:val="auto"/>
          <w:sz w:val="24"/>
          <w:highlight w:val="none"/>
        </w:rPr>
        <w:t xml:space="preserve">   (a) </w:t>
      </w:r>
      <w:r>
        <w:rPr>
          <w:rFonts w:hint="eastAsia" w:ascii="宋体" w:hAnsi="宋体"/>
          <w:color w:val="auto"/>
          <w:sz w:val="24"/>
          <w:highlight w:val="none"/>
        </w:rPr>
        <w:t>建筑工程设计投标文件宜达到建设部《建筑工程设计文件编制深度规定》（2016年版）相应设计阶段的要求。</w:t>
      </w:r>
      <w:r>
        <w:rPr>
          <w:rFonts w:hint="eastAsia" w:hAnsi="宋体"/>
          <w:color w:val="auto"/>
          <w:sz w:val="24"/>
          <w:highlight w:val="none"/>
        </w:rPr>
        <w:t xml:space="preserve">   </w:t>
      </w:r>
    </w:p>
    <w:p w14:paraId="41B41076">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hAnsi="宋体"/>
          <w:color w:val="auto"/>
          <w:sz w:val="24"/>
          <w:highlight w:val="none"/>
        </w:rPr>
        <w:t xml:space="preserve">  (</w:t>
      </w:r>
      <w:r>
        <w:rPr>
          <w:rFonts w:hint="eastAsia" w:hAnsi="宋体"/>
          <w:color w:val="auto"/>
          <w:sz w:val="24"/>
          <w:highlight w:val="none"/>
          <w:lang w:val="en-US" w:eastAsia="zh-CN"/>
        </w:rPr>
        <w:t>b</w:t>
      </w:r>
      <w:r>
        <w:rPr>
          <w:rFonts w:hint="eastAsia" w:hAnsi="宋体"/>
          <w:color w:val="auto"/>
          <w:sz w:val="24"/>
          <w:highlight w:val="none"/>
        </w:rPr>
        <w:t xml:space="preserve">) </w:t>
      </w:r>
      <w:r>
        <w:rPr>
          <w:rFonts w:hint="eastAsia" w:ascii="宋体" w:hAnsi="宋体"/>
          <w:color w:val="auto"/>
          <w:sz w:val="24"/>
          <w:highlight w:val="none"/>
        </w:rPr>
        <w:t>设计独特具有独创性的节点位置，应该提供示意图。</w:t>
      </w:r>
    </w:p>
    <w:p w14:paraId="5EC0C70A">
      <w:pPr>
        <w:spacing w:line="360" w:lineRule="auto"/>
        <w:jc w:val="left"/>
        <w:rPr>
          <w:rFonts w:hint="eastAsia" w:ascii="宋体" w:hAnsi="宋体"/>
          <w:color w:val="auto"/>
          <w:sz w:val="24"/>
          <w:highlight w:val="none"/>
        </w:rPr>
      </w:pPr>
    </w:p>
    <w:p w14:paraId="41A67D6F">
      <w:pPr>
        <w:spacing w:line="360" w:lineRule="auto"/>
        <w:jc w:val="left"/>
        <w:rPr>
          <w:rFonts w:hint="eastAsia" w:ascii="宋体" w:hAnsi="宋体"/>
          <w:b/>
          <w:bCs/>
          <w:color w:val="auto"/>
          <w:sz w:val="24"/>
          <w:highlight w:val="none"/>
        </w:rPr>
      </w:pPr>
      <w:r>
        <w:rPr>
          <w:rFonts w:ascii="宋体" w:hAnsi="宋体"/>
          <w:b/>
          <w:bCs/>
          <w:color w:val="auto"/>
          <w:sz w:val="24"/>
          <w:highlight w:val="none"/>
        </w:rPr>
        <w:t>6</w:t>
      </w:r>
      <w:r>
        <w:rPr>
          <w:rFonts w:hint="eastAsia" w:ascii="宋体" w:hAnsi="宋体"/>
          <w:b/>
          <w:bCs/>
          <w:color w:val="auto"/>
          <w:sz w:val="24"/>
          <w:highlight w:val="none"/>
        </w:rPr>
        <w:t xml:space="preserve">    资格审查文件</w:t>
      </w:r>
      <w:r>
        <w:rPr>
          <w:rFonts w:hint="eastAsia" w:ascii="宋体" w:hAnsi="宋体"/>
          <w:b/>
          <w:bCs/>
          <w:strike/>
          <w:color w:val="auto"/>
          <w:sz w:val="24"/>
          <w:highlight w:val="none"/>
        </w:rPr>
        <w:t>（如有）</w:t>
      </w:r>
    </w:p>
    <w:p w14:paraId="19541097">
      <w:pPr>
        <w:pStyle w:val="14"/>
        <w:spacing w:line="360" w:lineRule="auto"/>
        <w:ind w:firstLine="0" w:firstLineChars="0"/>
        <w:rPr>
          <w:rFonts w:hint="eastAsia" w:hAnsi="宋体"/>
          <w:color w:val="auto"/>
          <w:sz w:val="24"/>
          <w:szCs w:val="24"/>
          <w:highlight w:val="none"/>
        </w:rPr>
      </w:pPr>
    </w:p>
    <w:p w14:paraId="1AD11DD1">
      <w:pPr>
        <w:pStyle w:val="14"/>
        <w:spacing w:line="360" w:lineRule="auto"/>
        <w:ind w:firstLine="0" w:firstLineChars="0"/>
        <w:rPr>
          <w:rFonts w:hint="eastAsia"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.1   资格审查文件内容：</w:t>
      </w:r>
    </w:p>
    <w:p w14:paraId="04A9AAAF">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(a) 目录；</w:t>
      </w:r>
    </w:p>
    <w:p w14:paraId="750EDD02">
      <w:pPr>
        <w:pStyle w:val="14"/>
        <w:spacing w:line="360" w:lineRule="auto"/>
        <w:ind w:firstLine="0" w:firstLineChars="0"/>
        <w:rPr>
          <w:rFonts w:hint="eastAsia" w:hAnsi="宋体"/>
          <w:color w:val="auto"/>
          <w:sz w:val="24"/>
          <w:szCs w:val="24"/>
          <w:highlight w:val="none"/>
        </w:rPr>
      </w:pPr>
      <w:r>
        <w:rPr>
          <w:rFonts w:hint="eastAsia" w:hAnsi="宋体"/>
          <w:color w:val="auto"/>
          <w:sz w:val="24"/>
          <w:szCs w:val="24"/>
          <w:highlight w:val="none"/>
        </w:rPr>
        <w:t xml:space="preserve">   (b) 填妥并签字盖章的《投标书》（格式见附录6）</w:t>
      </w:r>
      <w:r>
        <w:rPr>
          <w:rFonts w:hint="eastAsia" w:hAnsi="宋体"/>
          <w:strike/>
          <w:color w:val="auto"/>
          <w:sz w:val="24"/>
          <w:szCs w:val="24"/>
          <w:highlight w:val="none"/>
        </w:rPr>
        <w:t>（投标人无需提供，评标委员会根据“开标信封”中的《投标书》进行评审。投标人再次提供且不一致的，以“开标信封”中的《投标书》为准）</w:t>
      </w:r>
      <w:r>
        <w:rPr>
          <w:rFonts w:hint="eastAsia" w:hAnsi="宋体"/>
          <w:color w:val="auto"/>
          <w:sz w:val="24"/>
          <w:szCs w:val="24"/>
          <w:highlight w:val="none"/>
        </w:rPr>
        <w:t>；</w:t>
      </w:r>
    </w:p>
    <w:p w14:paraId="3957A219">
      <w:pPr>
        <w:pStyle w:val="14"/>
        <w:spacing w:line="360" w:lineRule="auto"/>
        <w:ind w:firstLine="360" w:firstLineChars="150"/>
        <w:rPr>
          <w:rFonts w:hint="eastAsia" w:hAnsi="宋体"/>
          <w:color w:val="auto"/>
          <w:sz w:val="24"/>
          <w:szCs w:val="24"/>
          <w:highlight w:val="none"/>
        </w:rPr>
      </w:pPr>
      <w:r>
        <w:rPr>
          <w:rFonts w:hint="eastAsia" w:hAnsi="宋体"/>
          <w:color w:val="auto"/>
          <w:sz w:val="24"/>
          <w:szCs w:val="24"/>
          <w:highlight w:val="none"/>
        </w:rPr>
        <w:t>(c) 填妥并签字盖章的《投标人声明》（格式见附录8）；</w:t>
      </w:r>
    </w:p>
    <w:p w14:paraId="6FF76194">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(d) 填妥并签字盖章的《联合体共同投标协议》（联合体投标人提供，</w:t>
      </w:r>
      <w:r>
        <w:rPr>
          <w:rFonts w:hint="eastAsia" w:hAnsi="宋体"/>
          <w:color w:val="auto"/>
          <w:sz w:val="24"/>
          <w:highlight w:val="none"/>
        </w:rPr>
        <w:t>格式见附录7</w:t>
      </w:r>
      <w:r>
        <w:rPr>
          <w:rFonts w:hint="eastAsia" w:ascii="宋体" w:hAnsi="宋体"/>
          <w:color w:val="auto"/>
          <w:sz w:val="24"/>
          <w:highlight w:val="none"/>
        </w:rPr>
        <w:t>）</w:t>
      </w:r>
      <w:r>
        <w:rPr>
          <w:rFonts w:hint="eastAsia" w:ascii="宋体" w:hAnsi="宋体"/>
          <w:strike/>
          <w:color w:val="auto"/>
          <w:sz w:val="24"/>
          <w:highlight w:val="none"/>
        </w:rPr>
        <w:t>（</w:t>
      </w:r>
      <w:r>
        <w:rPr>
          <w:rFonts w:hint="eastAsia" w:hAnsi="宋体"/>
          <w:strike/>
          <w:color w:val="auto"/>
          <w:sz w:val="24"/>
          <w:highlight w:val="none"/>
        </w:rPr>
        <w:t>投标人无需提供，评标委员会根据“开标信封”中的《</w:t>
      </w:r>
      <w:r>
        <w:rPr>
          <w:rFonts w:hint="eastAsia" w:ascii="宋体" w:hAnsi="宋体"/>
          <w:strike/>
          <w:color w:val="auto"/>
          <w:sz w:val="24"/>
          <w:highlight w:val="none"/>
        </w:rPr>
        <w:t>联合体投标协议</w:t>
      </w:r>
      <w:r>
        <w:rPr>
          <w:rFonts w:hint="eastAsia" w:hAnsi="宋体"/>
          <w:strike/>
          <w:color w:val="auto"/>
          <w:sz w:val="24"/>
          <w:highlight w:val="none"/>
        </w:rPr>
        <w:t>》进行评审。投标人再次提供且不一致的，以“开标信封”中的《</w:t>
      </w:r>
      <w:r>
        <w:rPr>
          <w:rFonts w:hint="eastAsia" w:ascii="宋体" w:hAnsi="宋体"/>
          <w:strike/>
          <w:color w:val="auto"/>
          <w:sz w:val="24"/>
          <w:highlight w:val="none"/>
        </w:rPr>
        <w:t>联合体投标协议</w:t>
      </w:r>
      <w:r>
        <w:rPr>
          <w:rFonts w:hint="eastAsia" w:hAnsi="宋体"/>
          <w:strike/>
          <w:color w:val="auto"/>
          <w:sz w:val="24"/>
          <w:highlight w:val="none"/>
        </w:rPr>
        <w:t>》为准</w:t>
      </w:r>
      <w:r>
        <w:rPr>
          <w:rFonts w:hint="eastAsia" w:ascii="宋体" w:hAnsi="宋体"/>
          <w:strike/>
          <w:color w:val="auto"/>
          <w:sz w:val="24"/>
          <w:highlight w:val="none"/>
        </w:rPr>
        <w:t>）；</w:t>
      </w:r>
    </w:p>
    <w:p w14:paraId="6DA68FDC">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(e) 填妥并签字盖章的《合作设计协议》（外国或香港、澳门、台湾的设计企业提供）（</w:t>
      </w:r>
      <w:r>
        <w:rPr>
          <w:rFonts w:hint="eastAsia" w:hAnsi="宋体"/>
          <w:color w:val="auto"/>
          <w:sz w:val="24"/>
          <w:highlight w:val="none"/>
        </w:rPr>
        <w:t>格式见附录</w:t>
      </w:r>
      <w:r>
        <w:rPr>
          <w:rFonts w:hint="eastAsia" w:ascii="宋体" w:hAnsi="宋体"/>
          <w:b/>
          <w:color w:val="auto"/>
          <w:kern w:val="44"/>
          <w:szCs w:val="21"/>
          <w:highlight w:val="none"/>
        </w:rPr>
        <w:t>7-1</w:t>
      </w:r>
      <w:r>
        <w:rPr>
          <w:rFonts w:hint="eastAsia" w:ascii="宋体" w:hAnsi="宋体"/>
          <w:color w:val="auto"/>
          <w:sz w:val="24"/>
          <w:highlight w:val="none"/>
        </w:rPr>
        <w:t>）；</w:t>
      </w:r>
    </w:p>
    <w:p w14:paraId="6DEC2659">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(f)</w:t>
      </w:r>
      <w:r>
        <w:rPr>
          <w:rFonts w:hint="eastAsia" w:hAnsi="宋体"/>
          <w:color w:val="auto"/>
          <w:sz w:val="24"/>
          <w:highlight w:val="none"/>
        </w:rPr>
        <w:t xml:space="preserve"> 投标人</w:t>
      </w:r>
      <w:r>
        <w:rPr>
          <w:rFonts w:hint="eastAsia" w:ascii="宋体" w:hAnsi="宋体"/>
          <w:color w:val="auto"/>
          <w:sz w:val="24"/>
          <w:highlight w:val="none"/>
        </w:rPr>
        <w:t>资质证书；</w:t>
      </w:r>
    </w:p>
    <w:p w14:paraId="7D86C06F">
      <w:pPr>
        <w:spacing w:line="360" w:lineRule="auto"/>
        <w:ind w:left="789" w:leftChars="67" w:hanging="648" w:hangingChars="270"/>
        <w:rPr>
          <w:rFonts w:hint="eastAsia" w:ascii="宋体" w:hAnsi="宋体"/>
          <w:color w:val="auto"/>
          <w:sz w:val="24"/>
          <w:highlight w:val="none"/>
        </w:rPr>
      </w:pPr>
      <w:r>
        <w:rPr>
          <w:rFonts w:hint="eastAsia" w:hAnsi="宋体"/>
          <w:color w:val="auto"/>
          <w:sz w:val="24"/>
          <w:highlight w:val="none"/>
        </w:rPr>
        <w:t xml:space="preserve">  (g) 申请人已在广州市住房和城乡建设局建立企业</w:t>
      </w:r>
      <w:r>
        <w:rPr>
          <w:rFonts w:hint="eastAsia" w:hAnsi="宋体"/>
          <w:color w:val="auto"/>
          <w:sz w:val="24"/>
          <w:highlight w:val="none"/>
          <w:lang w:val="en-US" w:eastAsia="zh-CN"/>
        </w:rPr>
        <w:t>信用</w:t>
      </w:r>
      <w:r>
        <w:rPr>
          <w:rFonts w:hint="eastAsia" w:hAnsi="宋体"/>
          <w:color w:val="auto"/>
          <w:sz w:val="24"/>
          <w:highlight w:val="none"/>
        </w:rPr>
        <w:t>档案，拟委派的项目负责人须是本企业</w:t>
      </w:r>
      <w:r>
        <w:rPr>
          <w:rFonts w:hint="eastAsia" w:hAnsi="宋体"/>
          <w:color w:val="auto"/>
          <w:sz w:val="24"/>
          <w:highlight w:val="none"/>
          <w:lang w:val="en-US" w:eastAsia="zh-CN"/>
        </w:rPr>
        <w:t>信用</w:t>
      </w:r>
      <w:r>
        <w:rPr>
          <w:rFonts w:hint="eastAsia" w:hAnsi="宋体"/>
          <w:color w:val="auto"/>
          <w:sz w:val="24"/>
          <w:highlight w:val="none"/>
        </w:rPr>
        <w:t>档案中的在册人员；</w:t>
      </w:r>
    </w:p>
    <w:p w14:paraId="633024CE">
      <w:pPr>
        <w:spacing w:line="360" w:lineRule="auto"/>
        <w:ind w:left="759" w:leftChars="167" w:hanging="408" w:hangingChars="170"/>
        <w:rPr>
          <w:rFonts w:hint="eastAsia" w:ascii="宋体" w:hAnsi="宋体"/>
          <w:color w:val="auto"/>
          <w:sz w:val="24"/>
          <w:highlight w:val="none"/>
        </w:rPr>
      </w:pPr>
      <w:r>
        <w:rPr>
          <w:rFonts w:hint="eastAsia" w:hAnsi="宋体"/>
          <w:color w:val="auto"/>
          <w:sz w:val="24"/>
          <w:highlight w:val="none"/>
        </w:rPr>
        <w:t>(h)  拟派</w:t>
      </w:r>
      <w:r>
        <w:rPr>
          <w:rFonts w:hint="eastAsia" w:ascii="宋体" w:hAnsi="宋体"/>
          <w:color w:val="auto"/>
          <w:sz w:val="24"/>
          <w:highlight w:val="none"/>
        </w:rPr>
        <w:t>项目负责人注册执业资格证书；</w:t>
      </w:r>
    </w:p>
    <w:p w14:paraId="5B3B4C5D">
      <w:pPr>
        <w:spacing w:line="360" w:lineRule="auto"/>
        <w:rPr>
          <w:rFonts w:hint="eastAsia" w:ascii="宋体" w:hAnsi="宋体"/>
          <w:color w:val="auto"/>
          <w:sz w:val="24"/>
          <w:highlight w:val="none"/>
        </w:rPr>
      </w:pPr>
      <w:r>
        <w:rPr>
          <w:rFonts w:hint="eastAsia" w:hAnsi="宋体"/>
          <w:color w:val="auto"/>
          <w:sz w:val="24"/>
          <w:highlight w:val="none"/>
        </w:rPr>
        <w:t xml:space="preserve">   (i) </w:t>
      </w:r>
      <w:r>
        <w:rPr>
          <w:rFonts w:hint="eastAsia" w:ascii="宋体" w:hAnsi="宋体"/>
          <w:color w:val="auto"/>
          <w:sz w:val="24"/>
          <w:highlight w:val="none"/>
        </w:rPr>
        <w:t xml:space="preserve"> 投标人认为有必要提供的其他资料。</w:t>
      </w:r>
    </w:p>
    <w:p w14:paraId="2D59E3FB">
      <w:pPr>
        <w:widowControl/>
        <w:spacing w:line="360" w:lineRule="auto"/>
        <w:ind w:firstLine="480" w:firstLineChars="200"/>
        <w:jc w:val="left"/>
        <w:textAlignment w:val="center"/>
        <w:rPr>
          <w:rFonts w:ascii="微软雅黑" w:hAnsi="微软雅黑" w:cs="微软雅黑"/>
          <w:color w:val="auto"/>
          <w:sz w:val="16"/>
          <w:szCs w:val="16"/>
          <w:highlight w:val="none"/>
        </w:rPr>
      </w:pPr>
      <w:r>
        <w:rPr>
          <w:rFonts w:hint="eastAsia" w:ascii="宋体" w:hAnsi="宋体"/>
          <w:color w:val="auto"/>
          <w:sz w:val="24"/>
          <w:highlight w:val="none"/>
        </w:rPr>
        <w:t>注：</w:t>
      </w:r>
      <w:r>
        <w:rPr>
          <w:rFonts w:hint="eastAsia" w:ascii="宋体" w:hAnsi="宋体" w:cs="宋体"/>
          <w:color w:val="auto"/>
          <w:sz w:val="24"/>
          <w:highlight w:val="none"/>
        </w:rPr>
        <w:t>资格审查文件中的</w:t>
      </w:r>
      <w:r>
        <w:rPr>
          <w:rFonts w:hint="eastAsia" w:ascii="宋体" w:hAnsi="宋体"/>
          <w:color w:val="auto"/>
          <w:sz w:val="24"/>
          <w:highlight w:val="none"/>
        </w:rPr>
        <w:t>(f)、(g)取自</w:t>
      </w:r>
      <w:r>
        <w:rPr>
          <w:rFonts w:hint="eastAsia" w:ascii="宋体" w:hAnsi="宋体" w:cs="宋体"/>
          <w:color w:val="auto"/>
          <w:sz w:val="24"/>
          <w:highlight w:val="none"/>
          <w:u w:val="single"/>
        </w:rPr>
        <w:t>广州市住建行业信用管理平台</w:t>
      </w:r>
      <w:r>
        <w:rPr>
          <w:rFonts w:hint="eastAsia" w:ascii="宋体" w:hAnsi="宋体" w:cs="宋体"/>
          <w:color w:val="auto"/>
          <w:sz w:val="24"/>
          <w:highlight w:val="none"/>
        </w:rPr>
        <w:t>，投标人</w:t>
      </w:r>
      <w:r>
        <w:rPr>
          <w:rFonts w:hint="eastAsia" w:ascii="宋体" w:hAnsi="宋体" w:cs="宋体"/>
          <w:color w:val="auto"/>
          <w:sz w:val="24"/>
          <w:highlight w:val="none"/>
          <w:u w:val="single"/>
        </w:rPr>
        <w:t>广州市住建行业信用管理平台</w:t>
      </w:r>
      <w:r>
        <w:rPr>
          <w:rFonts w:hint="eastAsia" w:ascii="宋体" w:hAnsi="宋体" w:cs="宋体"/>
          <w:color w:val="auto"/>
          <w:sz w:val="24"/>
          <w:highlight w:val="none"/>
        </w:rPr>
        <w:t>记录的该部分上传件将被视为投标人递交投标文件的一部分，不需重复提交。评标委员会对该部分资料的审查将以投标截止时间在</w:t>
      </w:r>
      <w:r>
        <w:rPr>
          <w:rFonts w:hint="eastAsia" w:ascii="宋体" w:hAnsi="宋体" w:cs="宋体"/>
          <w:color w:val="auto"/>
          <w:sz w:val="24"/>
          <w:highlight w:val="none"/>
          <w:u w:val="single"/>
        </w:rPr>
        <w:t>广州市住建行业信用管理平台</w:t>
      </w:r>
      <w:r>
        <w:rPr>
          <w:rFonts w:hint="eastAsia" w:ascii="宋体" w:hAnsi="宋体" w:cs="宋体"/>
          <w:color w:val="auto"/>
          <w:sz w:val="24"/>
          <w:highlight w:val="none"/>
        </w:rPr>
        <w:t>上传件为依据。若招标人延长投标截止时间的，以上资料的评审时点也相应延长。投标人应及时维护其在</w:t>
      </w:r>
      <w:r>
        <w:rPr>
          <w:rFonts w:hint="eastAsia" w:ascii="宋体" w:hAnsi="宋体" w:cs="宋体"/>
          <w:color w:val="auto"/>
          <w:sz w:val="24"/>
          <w:highlight w:val="none"/>
          <w:u w:val="single"/>
        </w:rPr>
        <w:t>广州市住建行业信用管理平台</w:t>
      </w:r>
      <w:r>
        <w:rPr>
          <w:rFonts w:hint="eastAsia" w:ascii="宋体" w:hAnsi="宋体" w:cs="宋体"/>
          <w:color w:val="auto"/>
          <w:sz w:val="24"/>
          <w:highlight w:val="none"/>
        </w:rPr>
        <w:t>登记的信息及上传件，确保各项信息及上传件在有效期内。</w:t>
      </w:r>
    </w:p>
    <w:p w14:paraId="3DC27004">
      <w:pPr>
        <w:spacing w:line="360" w:lineRule="auto"/>
        <w:ind w:left="611" w:leftChars="15" w:hanging="580" w:hangingChars="242"/>
        <w:rPr>
          <w:rFonts w:hint="eastAsia" w:ascii="宋体" w:hAnsi="宋体"/>
          <w:color w:val="auto"/>
          <w:sz w:val="24"/>
          <w:highlight w:val="none"/>
        </w:rPr>
      </w:pPr>
    </w:p>
    <w:p w14:paraId="35300181">
      <w:pPr>
        <w:spacing w:line="360" w:lineRule="auto"/>
        <w:ind w:left="360" w:hanging="360" w:hangingChars="150"/>
        <w:rPr>
          <w:rFonts w:ascii="宋体" w:hAnsi="宋体"/>
          <w:color w:val="auto"/>
          <w:sz w:val="24"/>
          <w:highlight w:val="none"/>
        </w:rPr>
      </w:pPr>
    </w:p>
    <w:p w14:paraId="2FAB6371">
      <w:pPr>
        <w:spacing w:line="360" w:lineRule="auto"/>
        <w:ind w:left="361" w:hanging="361" w:hangingChars="150"/>
        <w:rPr>
          <w:rFonts w:ascii="宋体" w:hAnsi="宋体"/>
          <w:b/>
          <w:color w:val="auto"/>
          <w:sz w:val="24"/>
          <w:highlight w:val="none"/>
        </w:rPr>
      </w:pPr>
      <w:r>
        <w:rPr>
          <w:rFonts w:hint="eastAsia" w:ascii="宋体" w:hAnsi="宋体"/>
          <w:b/>
          <w:color w:val="auto"/>
          <w:sz w:val="24"/>
          <w:highlight w:val="none"/>
        </w:rPr>
        <w:t xml:space="preserve">7    </w:t>
      </w:r>
      <w:r>
        <w:rPr>
          <w:rFonts w:hint="eastAsia" w:ascii="宋体" w:hAnsi="宋体" w:cs="宋体"/>
          <w:b/>
          <w:color w:val="auto"/>
          <w:sz w:val="24"/>
          <w:highlight w:val="none"/>
          <w:u w:val="single"/>
        </w:rPr>
        <w:t>报价文件</w:t>
      </w:r>
    </w:p>
    <w:p w14:paraId="3A797FA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4"/>
          <w:highlight w:val="none"/>
          <w:u w:val="single"/>
        </w:rPr>
      </w:pPr>
      <w:r>
        <w:rPr>
          <w:rFonts w:hint="eastAsia" w:ascii="宋体" w:hAnsi="宋体"/>
          <w:color w:val="auto"/>
          <w:sz w:val="24"/>
          <w:highlight w:val="none"/>
          <w:u w:val="single"/>
        </w:rPr>
        <w:t>(a)《工程勘察设计费</w:t>
      </w:r>
      <w:r>
        <w:rPr>
          <w:rFonts w:hint="eastAsia" w:ascii="宋体" w:hAnsi="宋体"/>
          <w:color w:val="auto"/>
          <w:sz w:val="24"/>
          <w:highlight w:val="none"/>
          <w:u w:val="single"/>
          <w:lang w:eastAsia="zh-CN"/>
        </w:rPr>
        <w:t>投标</w:t>
      </w:r>
      <w:r>
        <w:rPr>
          <w:rFonts w:hint="eastAsia" w:ascii="宋体" w:hAnsi="宋体"/>
          <w:color w:val="auto"/>
          <w:sz w:val="24"/>
          <w:highlight w:val="none"/>
          <w:u w:val="single"/>
        </w:rPr>
        <w:t>报价汇总表》（见附件3）；</w:t>
      </w:r>
    </w:p>
    <w:p w14:paraId="3FAC9EB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4"/>
          <w:highlight w:val="none"/>
          <w:u w:val="single"/>
        </w:rPr>
      </w:pPr>
      <w:r>
        <w:rPr>
          <w:rFonts w:hint="eastAsia" w:ascii="宋体" w:hAnsi="宋体"/>
          <w:color w:val="auto"/>
          <w:sz w:val="24"/>
          <w:highlight w:val="none"/>
          <w:u w:val="single"/>
        </w:rPr>
        <w:t>(b)《工程</w:t>
      </w:r>
      <w:r>
        <w:rPr>
          <w:rFonts w:hint="eastAsia" w:ascii="宋体" w:hAnsi="宋体"/>
          <w:color w:val="auto"/>
          <w:sz w:val="24"/>
          <w:highlight w:val="none"/>
          <w:u w:val="single"/>
          <w:lang w:val="en-US" w:eastAsia="zh-CN"/>
        </w:rPr>
        <w:t>勘察费投标报价表</w:t>
      </w:r>
      <w:r>
        <w:rPr>
          <w:rFonts w:hint="eastAsia" w:ascii="宋体" w:hAnsi="宋体"/>
          <w:color w:val="auto"/>
          <w:sz w:val="24"/>
          <w:highlight w:val="none"/>
          <w:u w:val="single"/>
        </w:rPr>
        <w:t>》（见附件3－1）；</w:t>
      </w:r>
    </w:p>
    <w:p w14:paraId="358936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4"/>
          <w:highlight w:val="none"/>
          <w:u w:val="single"/>
          <w:lang w:eastAsia="zh-CN"/>
        </w:rPr>
      </w:pPr>
      <w:r>
        <w:rPr>
          <w:rFonts w:hint="eastAsia" w:ascii="宋体" w:hAnsi="宋体"/>
          <w:color w:val="auto"/>
          <w:sz w:val="24"/>
          <w:highlight w:val="none"/>
          <w:u w:val="single"/>
        </w:rPr>
        <w:t>(c)</w:t>
      </w:r>
      <w:bookmarkStart w:id="24" w:name="OLE_LINK28"/>
      <w:r>
        <w:rPr>
          <w:rFonts w:hint="eastAsia" w:ascii="宋体" w:hAnsi="宋体"/>
          <w:color w:val="auto"/>
          <w:sz w:val="24"/>
          <w:highlight w:val="none"/>
          <w:u w:val="single"/>
        </w:rPr>
        <w:t>《</w:t>
      </w:r>
      <w:bookmarkEnd w:id="24"/>
      <w:bookmarkStart w:id="25" w:name="OLE_LINK29"/>
      <w:r>
        <w:rPr>
          <w:rFonts w:hint="eastAsia" w:ascii="宋体" w:hAnsi="宋体"/>
          <w:color w:val="auto"/>
          <w:sz w:val="24"/>
          <w:highlight w:val="none"/>
          <w:u w:val="single"/>
          <w:lang w:val="en-US" w:eastAsia="zh-CN"/>
        </w:rPr>
        <w:t>地下管线探测费投标报价表</w:t>
      </w:r>
      <w:r>
        <w:rPr>
          <w:rFonts w:hint="eastAsia" w:ascii="宋体" w:hAnsi="宋体"/>
          <w:color w:val="auto"/>
          <w:sz w:val="24"/>
          <w:highlight w:val="none"/>
          <w:u w:val="single"/>
        </w:rPr>
        <w:t>》（见附件3－2）</w:t>
      </w:r>
      <w:bookmarkEnd w:id="25"/>
      <w:r>
        <w:rPr>
          <w:rFonts w:hint="eastAsia" w:ascii="宋体" w:hAnsi="宋体"/>
          <w:color w:val="auto"/>
          <w:sz w:val="24"/>
          <w:highlight w:val="none"/>
          <w:u w:val="single"/>
          <w:lang w:eastAsia="zh-CN"/>
        </w:rPr>
        <w:t>；</w:t>
      </w:r>
    </w:p>
    <w:p w14:paraId="024F59CF">
      <w:pPr>
        <w:spacing w:line="360" w:lineRule="auto"/>
        <w:jc w:val="left"/>
        <w:rPr>
          <w:rFonts w:hint="eastAsia" w:ascii="宋体" w:hAnsi="宋体"/>
          <w:color w:val="auto"/>
          <w:sz w:val="24"/>
          <w:highlight w:val="none"/>
          <w:u w:val="single"/>
          <w:lang w:val="en-US"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d</w:t>
      </w:r>
      <w:r>
        <w:rPr>
          <w:rFonts w:hint="eastAsia" w:ascii="宋体" w:hAnsi="宋体"/>
          <w:color w:val="auto"/>
          <w:sz w:val="24"/>
          <w:highlight w:val="none"/>
          <w:u w:val="single"/>
        </w:rPr>
        <w:t>)</w:t>
      </w:r>
      <w:r>
        <w:rPr>
          <w:rFonts w:hint="eastAsia" w:ascii="宋体" w:hAnsi="宋体" w:eastAsia="宋体" w:cs="Times New Roman"/>
          <w:color w:val="auto"/>
          <w:sz w:val="24"/>
          <w:highlight w:val="none"/>
          <w:u w:val="single"/>
        </w:rPr>
        <w:t>《</w:t>
      </w:r>
      <w:r>
        <w:rPr>
          <w:rFonts w:hint="eastAsia" w:ascii="宋体" w:hAnsi="宋体"/>
          <w:color w:val="auto"/>
          <w:sz w:val="24"/>
          <w:highlight w:val="none"/>
          <w:u w:val="single"/>
          <w:lang w:val="en-US" w:eastAsia="zh-CN"/>
        </w:rPr>
        <w:t>工程设计费投标报价表</w:t>
      </w:r>
      <w:r>
        <w:rPr>
          <w:rFonts w:hint="eastAsia" w:ascii="宋体" w:hAnsi="宋体"/>
          <w:color w:val="auto"/>
          <w:sz w:val="24"/>
          <w:highlight w:val="none"/>
          <w:u w:val="single"/>
        </w:rPr>
        <w:t>》（见附件3－</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w:t>
      </w:r>
    </w:p>
    <w:p w14:paraId="1A9CCDDC">
      <w:pPr>
        <w:spacing w:line="360" w:lineRule="auto"/>
        <w:jc w:val="left"/>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e</w:t>
      </w:r>
      <w:r>
        <w:rPr>
          <w:rFonts w:hint="eastAsia" w:ascii="宋体" w:hAnsi="宋体" w:eastAsia="宋体" w:cs="Times New Roman"/>
          <w:color w:val="auto"/>
          <w:sz w:val="24"/>
          <w:highlight w:val="none"/>
          <w:u w:val="single"/>
        </w:rPr>
        <w:t>)《</w:t>
      </w:r>
      <w:r>
        <w:rPr>
          <w:rFonts w:hint="eastAsia" w:ascii="宋体" w:hAnsi="宋体" w:eastAsia="宋体" w:cs="Times New Roman"/>
          <w:b w:val="0"/>
          <w:bCs w:val="0"/>
          <w:color w:val="auto"/>
          <w:sz w:val="24"/>
          <w:szCs w:val="24"/>
          <w:highlight w:val="none"/>
          <w:u w:val="single"/>
        </w:rPr>
        <w:t>BIM技术应用费</w:t>
      </w:r>
      <w:r>
        <w:rPr>
          <w:rFonts w:hint="eastAsia" w:ascii="宋体" w:hAnsi="宋体" w:eastAsia="宋体" w:cs="Times New Roman"/>
          <w:b w:val="0"/>
          <w:bCs w:val="0"/>
          <w:color w:val="auto"/>
          <w:kern w:val="2"/>
          <w:sz w:val="24"/>
          <w:szCs w:val="24"/>
          <w:highlight w:val="none"/>
          <w:u w:val="single"/>
          <w:lang w:val="en-US" w:eastAsia="zh-CN"/>
        </w:rPr>
        <w:t>（方案及初步设计阶段）</w:t>
      </w:r>
      <w:r>
        <w:rPr>
          <w:rFonts w:hint="eastAsia" w:ascii="宋体" w:hAnsi="宋体" w:eastAsia="宋体" w:cs="Times New Roman"/>
          <w:b w:val="0"/>
          <w:bCs w:val="0"/>
          <w:color w:val="auto"/>
          <w:kern w:val="2"/>
          <w:sz w:val="24"/>
          <w:szCs w:val="24"/>
          <w:highlight w:val="none"/>
          <w:u w:val="single"/>
          <w:lang w:val="en-US" w:eastAsia="zh-CN" w:bidi="ar-SA"/>
        </w:rPr>
        <w:t>投标报价表</w:t>
      </w:r>
      <w:r>
        <w:rPr>
          <w:rFonts w:hint="eastAsia" w:ascii="宋体" w:hAnsi="宋体" w:eastAsia="宋体" w:cs="Times New Roman"/>
          <w:color w:val="auto"/>
          <w:sz w:val="24"/>
          <w:highlight w:val="none"/>
          <w:u w:val="single"/>
        </w:rPr>
        <w:t>》（见附件3－</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w:t>
      </w:r>
    </w:p>
    <w:p w14:paraId="10355F1B">
      <w:pPr>
        <w:spacing w:line="288" w:lineRule="auto"/>
        <w:jc w:val="left"/>
        <w:rPr>
          <w:rFonts w:hint="eastAsia" w:ascii="宋体" w:hAnsi="宋体"/>
          <w:color w:val="auto"/>
          <w:sz w:val="24"/>
          <w:highlight w:val="none"/>
          <w:u w:val="single"/>
          <w:lang w:val="en-US" w:eastAsia="zh-CN"/>
        </w:rPr>
      </w:pPr>
    </w:p>
    <w:p w14:paraId="3FF5E604">
      <w:pPr>
        <w:rPr>
          <w:rFonts w:hint="eastAsia" w:ascii="宋体" w:hAnsi="宋体"/>
          <w:color w:val="auto"/>
          <w:sz w:val="24"/>
          <w:highlight w:val="none"/>
          <w:u w:val="single"/>
          <w:lang w:val="en-US" w:eastAsia="zh-CN"/>
        </w:rPr>
      </w:pPr>
    </w:p>
    <w:p w14:paraId="089A1E63">
      <w:pPr>
        <w:rPr>
          <w:rFonts w:hint="eastAsia" w:ascii="宋体" w:hAnsi="宋体"/>
          <w:color w:val="auto"/>
          <w:sz w:val="24"/>
          <w:highlight w:val="none"/>
          <w:u w:val="single"/>
          <w:lang w:val="en-US" w:eastAsia="zh-CN"/>
        </w:rPr>
      </w:pPr>
    </w:p>
    <w:p w14:paraId="20C39507">
      <w:pPr>
        <w:rPr>
          <w:rFonts w:hint="eastAsia" w:ascii="宋体" w:hAnsi="宋体"/>
          <w:color w:val="auto"/>
          <w:sz w:val="24"/>
          <w:highlight w:val="none"/>
          <w:u w:val="single"/>
          <w:lang w:val="en-US" w:eastAsia="zh-CN"/>
        </w:rPr>
      </w:pPr>
    </w:p>
    <w:p w14:paraId="1719AF8C">
      <w:pPr>
        <w:spacing w:line="360" w:lineRule="auto"/>
        <w:ind w:left="360" w:hanging="360" w:hangingChars="150"/>
        <w:rPr>
          <w:rFonts w:ascii="宋体" w:hAnsi="宋体"/>
          <w:color w:val="auto"/>
          <w:sz w:val="24"/>
          <w:highlight w:val="none"/>
        </w:rPr>
        <w:sectPr>
          <w:type w:val="nextColumn"/>
          <w:pgSz w:w="11906" w:h="16838"/>
          <w:pgMar w:top="1440" w:right="1797" w:bottom="1440" w:left="1797" w:header="851" w:footer="992" w:gutter="0"/>
          <w:pgNumType w:fmt="decimal"/>
          <w:cols w:space="720" w:num="1"/>
          <w:docGrid w:type="lines" w:linePitch="312" w:charSpace="0"/>
        </w:sectPr>
      </w:pPr>
    </w:p>
    <w:p w14:paraId="64DB6D74">
      <w:pPr>
        <w:pStyle w:val="2"/>
        <w:spacing w:before="20" w:after="20" w:line="24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附件3工程勘察设计费投标报价汇总表</w:t>
      </w:r>
    </w:p>
    <w:p w14:paraId="79AE38B5">
      <w:pPr>
        <w:spacing w:line="240" w:lineRule="auto"/>
        <w:jc w:val="center"/>
        <w:rPr>
          <w:b/>
          <w:color w:val="auto"/>
          <w:sz w:val="28"/>
          <w:szCs w:val="28"/>
          <w:highlight w:val="none"/>
        </w:rPr>
      </w:pPr>
      <w:r>
        <w:rPr>
          <w:rFonts w:hint="eastAsia" w:ascii="宋体" w:hAnsi="宋体" w:cs="宋体"/>
          <w:b/>
          <w:color w:val="auto"/>
          <w:sz w:val="28"/>
          <w:szCs w:val="28"/>
          <w:highlight w:val="none"/>
        </w:rPr>
        <w:t>工程勘察设计费</w:t>
      </w:r>
      <w:r>
        <w:rPr>
          <w:rFonts w:hint="eastAsia" w:ascii="宋体" w:hAnsi="宋体" w:cs="宋体"/>
          <w:b/>
          <w:color w:val="auto"/>
          <w:sz w:val="28"/>
          <w:szCs w:val="28"/>
          <w:highlight w:val="none"/>
          <w:lang w:eastAsia="zh-CN"/>
        </w:rPr>
        <w:t>投标</w:t>
      </w:r>
      <w:r>
        <w:rPr>
          <w:rFonts w:hint="eastAsia" w:ascii="宋体" w:hAnsi="宋体" w:cs="宋体"/>
          <w:b/>
          <w:color w:val="auto"/>
          <w:sz w:val="28"/>
          <w:szCs w:val="28"/>
          <w:highlight w:val="none"/>
        </w:rPr>
        <w:t>报价汇总表</w:t>
      </w:r>
    </w:p>
    <w:tbl>
      <w:tblPr>
        <w:tblStyle w:val="26"/>
        <w:tblW w:w="13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443"/>
        <w:gridCol w:w="2363"/>
        <w:gridCol w:w="7129"/>
      </w:tblGrid>
      <w:tr w14:paraId="02CE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6157B69">
            <w:pPr>
              <w:spacing w:line="24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35B6105">
            <w:pPr>
              <w:spacing w:line="240" w:lineRule="auto"/>
              <w:jc w:val="center"/>
              <w:rPr>
                <w:rFonts w:ascii="宋体" w:hAnsi="宋体"/>
                <w:b/>
                <w:color w:val="auto"/>
                <w:szCs w:val="21"/>
                <w:highlight w:val="none"/>
              </w:rPr>
            </w:pPr>
            <w:r>
              <w:rPr>
                <w:rFonts w:hint="eastAsia" w:ascii="宋体" w:hAnsi="宋体" w:cs="宋体"/>
                <w:b/>
                <w:color w:val="auto"/>
                <w:szCs w:val="21"/>
                <w:highlight w:val="none"/>
              </w:rPr>
              <w:t>计费项目</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6ED3EC5">
            <w:pPr>
              <w:spacing w:line="240" w:lineRule="auto"/>
              <w:jc w:val="center"/>
              <w:rPr>
                <w:rFonts w:ascii="宋体" w:hAnsi="宋体"/>
                <w:b/>
                <w:color w:val="auto"/>
                <w:szCs w:val="21"/>
                <w:highlight w:val="none"/>
              </w:rPr>
            </w:pPr>
            <w:r>
              <w:rPr>
                <w:rFonts w:hint="eastAsia" w:ascii="宋体" w:hAnsi="宋体" w:cs="宋体"/>
                <w:b/>
                <w:color w:val="auto"/>
                <w:szCs w:val="21"/>
                <w:highlight w:val="none"/>
              </w:rPr>
              <w:t>金额（元）</w:t>
            </w:r>
          </w:p>
        </w:tc>
        <w:tc>
          <w:tcPr>
            <w:tcW w:w="7129" w:type="dxa"/>
            <w:tcBorders>
              <w:top w:val="single" w:color="auto" w:sz="4" w:space="0"/>
              <w:left w:val="single" w:color="auto" w:sz="4" w:space="0"/>
              <w:bottom w:val="single" w:color="auto" w:sz="4" w:space="0"/>
              <w:right w:val="single" w:color="auto" w:sz="4" w:space="0"/>
            </w:tcBorders>
            <w:noWrap w:val="0"/>
            <w:vAlign w:val="center"/>
          </w:tcPr>
          <w:p w14:paraId="6AA500D6">
            <w:pPr>
              <w:spacing w:line="240" w:lineRule="auto"/>
              <w:jc w:val="center"/>
              <w:rPr>
                <w:rFonts w:ascii="宋体" w:hAnsi="宋体"/>
                <w:b/>
                <w:color w:val="auto"/>
                <w:szCs w:val="21"/>
                <w:highlight w:val="none"/>
              </w:rPr>
            </w:pPr>
            <w:r>
              <w:rPr>
                <w:rFonts w:hint="eastAsia" w:ascii="宋体" w:hAnsi="宋体" w:cs="宋体"/>
                <w:b/>
                <w:color w:val="auto"/>
                <w:szCs w:val="21"/>
                <w:highlight w:val="none"/>
              </w:rPr>
              <w:t>备注</w:t>
            </w:r>
          </w:p>
        </w:tc>
      </w:tr>
      <w:tr w14:paraId="24A9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1161C9A">
            <w:pPr>
              <w:spacing w:line="240" w:lineRule="auto"/>
              <w:rPr>
                <w:rFonts w:ascii="宋体" w:hAnsi="宋体" w:cs="宋体"/>
                <w:color w:val="auto"/>
                <w:szCs w:val="21"/>
                <w:highlight w:val="none"/>
              </w:rPr>
            </w:pPr>
            <w:r>
              <w:rPr>
                <w:rFonts w:hint="eastAsia" w:ascii="宋体" w:hAnsi="宋体" w:cs="宋体"/>
                <w:color w:val="auto"/>
                <w:szCs w:val="21"/>
                <w:highlight w:val="none"/>
              </w:rPr>
              <w:t>（1）</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22622945">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工程勘察费投标报价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9B79C31">
            <w:pPr>
              <w:spacing w:line="240" w:lineRule="auto"/>
              <w:rPr>
                <w:rFonts w:ascii="宋体" w:hAnsi="宋体"/>
                <w:color w:val="auto"/>
                <w:szCs w:val="21"/>
                <w:highlight w:val="none"/>
              </w:rPr>
            </w:pPr>
          </w:p>
        </w:tc>
        <w:tc>
          <w:tcPr>
            <w:tcW w:w="7129" w:type="dxa"/>
            <w:tcBorders>
              <w:top w:val="single" w:color="auto" w:sz="4" w:space="0"/>
              <w:left w:val="single" w:color="auto" w:sz="4" w:space="0"/>
              <w:bottom w:val="single" w:color="auto" w:sz="4" w:space="0"/>
              <w:right w:val="single" w:color="auto" w:sz="4" w:space="0"/>
            </w:tcBorders>
            <w:noWrap w:val="0"/>
            <w:vAlign w:val="center"/>
          </w:tcPr>
          <w:p w14:paraId="2FDCA4F7">
            <w:pPr>
              <w:spacing w:line="240" w:lineRule="auto"/>
              <w:rPr>
                <w:rFonts w:ascii="宋体" w:hAnsi="宋体" w:cs="宋体"/>
                <w:b/>
                <w:color w:val="auto"/>
                <w:szCs w:val="21"/>
                <w:highlight w:val="none"/>
              </w:rPr>
            </w:pPr>
            <w:r>
              <w:rPr>
                <w:rFonts w:hint="eastAsia" w:ascii="宋体" w:hAnsi="宋体" w:cs="宋体"/>
                <w:color w:val="auto"/>
                <w:szCs w:val="21"/>
                <w:highlight w:val="none"/>
              </w:rPr>
              <w:t>取自附件3-1《工程</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表》，</w:t>
            </w:r>
            <w:r>
              <w:rPr>
                <w:rFonts w:hint="eastAsia" w:ascii="宋体" w:hAnsi="宋体" w:cs="宋体"/>
                <w:bCs/>
                <w:color w:val="auto"/>
                <w:szCs w:val="21"/>
                <w:highlight w:val="none"/>
              </w:rPr>
              <w:t>对应报价金额不得超过最高投标限价</w:t>
            </w:r>
            <w:r>
              <w:rPr>
                <w:rFonts w:hint="eastAsia" w:ascii="宋体" w:hAnsi="宋体" w:eastAsia="宋体" w:cs="宋体"/>
                <w:color w:val="auto"/>
                <w:sz w:val="21"/>
                <w:szCs w:val="21"/>
                <w:highlight w:val="none"/>
                <w:u w:val="none"/>
                <w:lang w:val="en-US" w:eastAsia="zh-CN"/>
              </w:rPr>
              <w:t>764400.00</w:t>
            </w:r>
            <w:r>
              <w:rPr>
                <w:rFonts w:hint="eastAsia" w:ascii="宋体" w:hAnsi="宋体" w:cs="宋体"/>
                <w:bCs/>
                <w:color w:val="auto"/>
                <w:szCs w:val="21"/>
                <w:highlight w:val="none"/>
              </w:rPr>
              <w:t>元。</w:t>
            </w:r>
          </w:p>
        </w:tc>
      </w:tr>
      <w:tr w14:paraId="796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C261CC4">
            <w:pPr>
              <w:spacing w:line="240" w:lineRule="auto"/>
              <w:rPr>
                <w:rFonts w:ascii="宋体" w:hAnsi="宋体" w:cs="宋体"/>
                <w:color w:val="auto"/>
                <w:szCs w:val="21"/>
                <w:highlight w:val="none"/>
              </w:rPr>
            </w:pPr>
            <w:r>
              <w:rPr>
                <w:rFonts w:hint="eastAsia" w:ascii="宋体" w:hAnsi="宋体" w:cs="宋体"/>
                <w:color w:val="auto"/>
                <w:szCs w:val="21"/>
                <w:highlight w:val="none"/>
              </w:rPr>
              <w:t>（2）</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17BC4B78">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地下管线探测费投标报价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6DFBB38">
            <w:pPr>
              <w:spacing w:line="240" w:lineRule="auto"/>
              <w:rPr>
                <w:rFonts w:ascii="宋体" w:hAnsi="宋体"/>
                <w:color w:val="auto"/>
                <w:szCs w:val="21"/>
                <w:highlight w:val="none"/>
              </w:rPr>
            </w:pPr>
          </w:p>
        </w:tc>
        <w:tc>
          <w:tcPr>
            <w:tcW w:w="7129" w:type="dxa"/>
            <w:tcBorders>
              <w:top w:val="single" w:color="auto" w:sz="4" w:space="0"/>
              <w:left w:val="single" w:color="auto" w:sz="4" w:space="0"/>
              <w:bottom w:val="single" w:color="auto" w:sz="4" w:space="0"/>
              <w:right w:val="single" w:color="auto" w:sz="4" w:space="0"/>
            </w:tcBorders>
            <w:noWrap w:val="0"/>
            <w:vAlign w:val="center"/>
          </w:tcPr>
          <w:p w14:paraId="70A38E85">
            <w:pPr>
              <w:spacing w:line="240" w:lineRule="auto"/>
              <w:rPr>
                <w:rFonts w:ascii="宋体" w:hAnsi="宋体" w:cs="宋体"/>
                <w:color w:val="auto"/>
                <w:szCs w:val="21"/>
                <w:highlight w:val="none"/>
              </w:rPr>
            </w:pPr>
            <w:r>
              <w:rPr>
                <w:rFonts w:hint="eastAsia" w:ascii="宋体" w:hAnsi="宋体" w:cs="宋体"/>
                <w:color w:val="auto"/>
                <w:szCs w:val="21"/>
                <w:highlight w:val="none"/>
              </w:rPr>
              <w:t>取自附件3-2《</w:t>
            </w:r>
            <w:r>
              <w:rPr>
                <w:rFonts w:hint="eastAsia" w:ascii="宋体" w:hAnsi="宋体" w:cs="宋体"/>
                <w:color w:val="auto"/>
                <w:szCs w:val="21"/>
                <w:highlight w:val="none"/>
                <w:lang w:val="en-US" w:eastAsia="zh-CN"/>
              </w:rPr>
              <w:t>地下</w:t>
            </w:r>
            <w:r>
              <w:rPr>
                <w:rFonts w:hint="eastAsia" w:ascii="宋体" w:hAnsi="宋体"/>
                <w:color w:val="auto"/>
                <w:szCs w:val="21"/>
                <w:highlight w:val="none"/>
                <w:lang w:val="en-US" w:eastAsia="zh-CN"/>
              </w:rPr>
              <w:t>管线探测费投标报价表</w:t>
            </w:r>
            <w:r>
              <w:rPr>
                <w:rFonts w:hint="eastAsia" w:ascii="宋体" w:hAnsi="宋体" w:cs="宋体"/>
                <w:color w:val="auto"/>
                <w:szCs w:val="21"/>
                <w:highlight w:val="none"/>
              </w:rPr>
              <w:t>》，</w:t>
            </w:r>
            <w:r>
              <w:rPr>
                <w:rFonts w:hint="eastAsia" w:ascii="宋体" w:hAnsi="宋体" w:cs="宋体"/>
                <w:bCs/>
                <w:color w:val="auto"/>
                <w:szCs w:val="21"/>
                <w:highlight w:val="none"/>
              </w:rPr>
              <w:t>对应报价金额不得超过最高投标限价</w:t>
            </w:r>
            <w:r>
              <w:rPr>
                <w:rFonts w:hint="eastAsia" w:ascii="宋体" w:hAnsi="宋体" w:eastAsia="宋体" w:cs="宋体"/>
                <w:color w:val="auto"/>
                <w:sz w:val="21"/>
                <w:szCs w:val="21"/>
                <w:highlight w:val="none"/>
                <w:u w:val="none"/>
                <w:lang w:val="en-US" w:eastAsia="zh-CN"/>
              </w:rPr>
              <w:t>180000.00</w:t>
            </w:r>
            <w:r>
              <w:rPr>
                <w:rFonts w:hint="eastAsia" w:ascii="宋体" w:hAnsi="宋体" w:cs="宋体"/>
                <w:bCs/>
                <w:color w:val="auto"/>
                <w:szCs w:val="21"/>
                <w:highlight w:val="none"/>
              </w:rPr>
              <w:t>元。</w:t>
            </w:r>
          </w:p>
        </w:tc>
      </w:tr>
      <w:tr w14:paraId="6524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7DB79B8">
            <w:pPr>
              <w:spacing w:line="240" w:lineRule="auto"/>
              <w:rPr>
                <w:rFonts w:ascii="宋体" w:hAnsi="宋体" w:cs="宋体"/>
                <w:color w:val="auto"/>
                <w:szCs w:val="21"/>
                <w:highlight w:val="none"/>
              </w:rPr>
            </w:pPr>
            <w:r>
              <w:rPr>
                <w:rFonts w:hint="eastAsia" w:ascii="宋体" w:hAnsi="宋体" w:cs="宋体"/>
                <w:color w:val="auto"/>
                <w:szCs w:val="21"/>
                <w:highlight w:val="none"/>
              </w:rPr>
              <w:t>（3）</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2665D300">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工程设计费投标报价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04776FC">
            <w:pPr>
              <w:spacing w:line="240" w:lineRule="auto"/>
              <w:rPr>
                <w:rFonts w:ascii="宋体" w:hAnsi="宋体"/>
                <w:color w:val="auto"/>
                <w:szCs w:val="21"/>
                <w:highlight w:val="none"/>
              </w:rPr>
            </w:pPr>
          </w:p>
        </w:tc>
        <w:tc>
          <w:tcPr>
            <w:tcW w:w="7129" w:type="dxa"/>
            <w:tcBorders>
              <w:top w:val="single" w:color="auto" w:sz="4" w:space="0"/>
              <w:left w:val="single" w:color="auto" w:sz="4" w:space="0"/>
              <w:bottom w:val="single" w:color="auto" w:sz="4" w:space="0"/>
              <w:right w:val="single" w:color="auto" w:sz="4" w:space="0"/>
            </w:tcBorders>
            <w:noWrap w:val="0"/>
            <w:vAlign w:val="center"/>
          </w:tcPr>
          <w:p w14:paraId="652C05D5">
            <w:pPr>
              <w:spacing w:line="240" w:lineRule="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lang w:val="en-US" w:eastAsia="zh-CN"/>
              </w:rPr>
              <w:t>取自附件3-3《工程设计费投标报价表》</w:t>
            </w:r>
            <w:r>
              <w:rPr>
                <w:rFonts w:hint="eastAsia" w:ascii="宋体" w:hAnsi="宋体" w:cs="宋体"/>
                <w:bCs/>
                <w:color w:val="auto"/>
                <w:szCs w:val="21"/>
                <w:highlight w:val="none"/>
              </w:rPr>
              <w:t>，对应报价金额不得超过最高投标限价</w:t>
            </w:r>
            <w:r>
              <w:rPr>
                <w:rFonts w:hint="eastAsia" w:ascii="宋体" w:hAnsi="宋体" w:eastAsia="宋体" w:cs="宋体"/>
                <w:color w:val="auto"/>
                <w:sz w:val="21"/>
                <w:szCs w:val="21"/>
                <w:highlight w:val="none"/>
                <w:u w:val="none"/>
                <w:lang w:val="en-US" w:eastAsia="zh-CN"/>
              </w:rPr>
              <w:t>8934598.40</w:t>
            </w:r>
            <w:r>
              <w:rPr>
                <w:rFonts w:hint="eastAsia" w:ascii="宋体" w:hAnsi="宋体" w:cs="宋体"/>
                <w:bCs/>
                <w:color w:val="auto"/>
                <w:szCs w:val="21"/>
                <w:highlight w:val="none"/>
              </w:rPr>
              <w:t>元</w:t>
            </w:r>
            <w:r>
              <w:rPr>
                <w:rFonts w:hint="eastAsia" w:ascii="宋体" w:hAnsi="宋体" w:cs="宋体"/>
                <w:bCs/>
                <w:color w:val="auto"/>
                <w:szCs w:val="21"/>
                <w:highlight w:val="none"/>
                <w:lang w:eastAsia="zh-CN"/>
              </w:rPr>
              <w:t>。</w:t>
            </w:r>
          </w:p>
        </w:tc>
      </w:tr>
      <w:tr w14:paraId="632B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6FDE887">
            <w:pPr>
              <w:spacing w:line="240" w:lineRule="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lang w:val="en-US" w:eastAsia="zh-CN"/>
              </w:rPr>
              <w:t>4</w:t>
            </w:r>
            <w:r>
              <w:rPr>
                <w:rFonts w:hint="default" w:ascii="宋体" w:hAnsi="宋体" w:eastAsia="宋体" w:cs="Times New Roman"/>
                <w:color w:val="auto"/>
                <w:szCs w:val="21"/>
                <w:highlight w:val="none"/>
                <w:lang w:eastAsia="zh-CN"/>
              </w:rPr>
              <w:t>）</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F85C270">
            <w:pPr>
              <w:spacing w:line="24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 w:val="21"/>
                <w:szCs w:val="21"/>
                <w:highlight w:val="none"/>
                <w:u w:val="none"/>
                <w:lang w:val="en-US" w:eastAsia="zh-CN"/>
              </w:rPr>
              <w:t>BIM技术应用费</w:t>
            </w:r>
            <w:r>
              <w:rPr>
                <w:rFonts w:hint="eastAsia" w:ascii="宋体" w:hAnsi="宋体" w:eastAsia="宋体" w:cs="Times New Roman"/>
                <w:b w:val="0"/>
                <w:bCs w:val="0"/>
                <w:color w:val="auto"/>
                <w:kern w:val="2"/>
                <w:sz w:val="21"/>
                <w:szCs w:val="21"/>
                <w:highlight w:val="none"/>
                <w:u w:val="none"/>
                <w:lang w:val="en-US" w:eastAsia="zh-CN"/>
              </w:rPr>
              <w:t>（方案及初步设计阶段）</w:t>
            </w:r>
            <w:r>
              <w:rPr>
                <w:rFonts w:hint="eastAsia" w:ascii="宋体" w:hAnsi="宋体" w:eastAsia="宋体" w:cs="Times New Roman"/>
                <w:color w:val="auto"/>
                <w:szCs w:val="21"/>
                <w:highlight w:val="none"/>
                <w:u w:val="none"/>
              </w:rPr>
              <w:t>投标</w:t>
            </w:r>
            <w:r>
              <w:rPr>
                <w:rFonts w:hint="eastAsia" w:ascii="宋体" w:hAnsi="宋体" w:eastAsia="宋体" w:cs="Times New Roman"/>
                <w:color w:val="auto"/>
                <w:szCs w:val="21"/>
                <w:highlight w:val="none"/>
                <w:u w:val="none"/>
                <w:lang w:eastAsia="zh-CN"/>
              </w:rPr>
              <w:t>报</w:t>
            </w:r>
            <w:r>
              <w:rPr>
                <w:rFonts w:hint="eastAsia" w:ascii="宋体" w:hAnsi="宋体" w:eastAsia="宋体" w:cs="Times New Roman"/>
                <w:color w:val="auto"/>
                <w:szCs w:val="21"/>
                <w:highlight w:val="none"/>
                <w:u w:val="none"/>
              </w:rPr>
              <w:t>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88B54F1">
            <w:pPr>
              <w:spacing w:line="240" w:lineRule="auto"/>
              <w:rPr>
                <w:rFonts w:hint="eastAsia" w:ascii="宋体" w:hAnsi="宋体" w:eastAsia="宋体" w:cs="宋体"/>
                <w:color w:val="auto"/>
                <w:sz w:val="21"/>
                <w:szCs w:val="21"/>
                <w:highlight w:val="none"/>
                <w:u w:val="none"/>
                <w:lang w:val="en-US" w:eastAsia="zh-CN"/>
              </w:rPr>
            </w:pPr>
          </w:p>
        </w:tc>
        <w:tc>
          <w:tcPr>
            <w:tcW w:w="7129" w:type="dxa"/>
            <w:tcBorders>
              <w:top w:val="single" w:color="auto" w:sz="4" w:space="0"/>
              <w:left w:val="single" w:color="auto" w:sz="4" w:space="0"/>
              <w:bottom w:val="single" w:color="auto" w:sz="4" w:space="0"/>
              <w:right w:val="single" w:color="auto" w:sz="4" w:space="0"/>
            </w:tcBorders>
            <w:noWrap w:val="0"/>
            <w:vAlign w:val="center"/>
          </w:tcPr>
          <w:p w14:paraId="2C566734">
            <w:pPr>
              <w:spacing w:line="240" w:lineRule="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取自附件3-4《</w:t>
            </w:r>
            <w:r>
              <w:rPr>
                <w:rFonts w:hint="eastAsia" w:ascii="宋体" w:hAnsi="宋体" w:eastAsia="宋体" w:cs="Times New Roman"/>
                <w:color w:val="auto"/>
                <w:sz w:val="21"/>
                <w:szCs w:val="21"/>
                <w:highlight w:val="none"/>
                <w:u w:val="none"/>
                <w:lang w:val="en-US" w:eastAsia="zh-CN"/>
              </w:rPr>
              <w:t>BIM技术应用</w:t>
            </w:r>
            <w:r>
              <w:rPr>
                <w:rFonts w:hint="eastAsia" w:ascii="宋体" w:hAnsi="宋体" w:cs="宋体"/>
                <w:bCs/>
                <w:color w:val="auto"/>
                <w:szCs w:val="21"/>
                <w:highlight w:val="none"/>
                <w:lang w:val="en-US" w:eastAsia="zh-CN"/>
              </w:rPr>
              <w:t>费</w:t>
            </w:r>
            <w:r>
              <w:rPr>
                <w:rFonts w:hint="eastAsia" w:ascii="宋体" w:hAnsi="宋体" w:eastAsia="宋体" w:cs="Times New Roman"/>
                <w:b w:val="0"/>
                <w:bCs w:val="0"/>
                <w:color w:val="auto"/>
                <w:kern w:val="2"/>
                <w:sz w:val="21"/>
                <w:szCs w:val="21"/>
                <w:highlight w:val="none"/>
                <w:u w:val="none"/>
                <w:lang w:val="en-US" w:eastAsia="zh-CN"/>
              </w:rPr>
              <w:t>（方案及初步设计阶段）</w:t>
            </w:r>
            <w:r>
              <w:rPr>
                <w:rFonts w:hint="eastAsia" w:ascii="宋体" w:hAnsi="宋体" w:cs="宋体"/>
                <w:bCs/>
                <w:color w:val="auto"/>
                <w:szCs w:val="21"/>
                <w:highlight w:val="none"/>
                <w:lang w:val="en-US" w:eastAsia="zh-CN"/>
              </w:rPr>
              <w:t>投标报价表》</w:t>
            </w:r>
            <w:r>
              <w:rPr>
                <w:rFonts w:hint="eastAsia" w:ascii="宋体" w:hAnsi="宋体" w:cs="宋体"/>
                <w:bCs/>
                <w:color w:val="auto"/>
                <w:szCs w:val="21"/>
                <w:highlight w:val="none"/>
              </w:rPr>
              <w:t>，对应报价金额不得超过最高投标限价</w:t>
            </w:r>
            <w:r>
              <w:rPr>
                <w:rFonts w:hint="eastAsia" w:ascii="宋体" w:hAnsi="宋体" w:eastAsia="宋体" w:cs="宋体"/>
                <w:color w:val="auto"/>
                <w:sz w:val="21"/>
                <w:szCs w:val="21"/>
                <w:highlight w:val="none"/>
                <w:u w:val="none"/>
                <w:lang w:val="en-US" w:eastAsia="zh-CN"/>
              </w:rPr>
              <w:t>367950.00</w:t>
            </w:r>
            <w:r>
              <w:rPr>
                <w:rFonts w:hint="eastAsia" w:ascii="宋体" w:hAnsi="宋体" w:cs="宋体"/>
                <w:bCs/>
                <w:color w:val="auto"/>
                <w:szCs w:val="21"/>
                <w:highlight w:val="none"/>
              </w:rPr>
              <w:t>元</w:t>
            </w:r>
            <w:r>
              <w:rPr>
                <w:rFonts w:hint="eastAsia" w:ascii="宋体" w:hAnsi="宋体" w:cs="宋体"/>
                <w:bCs/>
                <w:color w:val="auto"/>
                <w:szCs w:val="21"/>
                <w:highlight w:val="none"/>
                <w:lang w:eastAsia="zh-CN"/>
              </w:rPr>
              <w:t>。</w:t>
            </w:r>
          </w:p>
        </w:tc>
      </w:tr>
      <w:tr w14:paraId="4C7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9207ACF">
            <w:pPr>
              <w:spacing w:line="240" w:lineRule="auto"/>
              <w:rPr>
                <w:rFonts w:hint="default" w:ascii="宋体" w:hAnsi="宋体" w:eastAsia="宋体" w:cs="Times New Roman"/>
                <w:color w:val="auto"/>
                <w:szCs w:val="21"/>
                <w:highlight w:val="none"/>
                <w:lang w:eastAsia="zh-CN"/>
              </w:rPr>
            </w:pP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lang w:val="en-US" w:eastAsia="zh-CN"/>
              </w:rPr>
              <w:t>5</w:t>
            </w:r>
            <w:r>
              <w:rPr>
                <w:rFonts w:hint="default" w:ascii="宋体" w:hAnsi="宋体" w:eastAsia="宋体" w:cs="Times New Roman"/>
                <w:color w:val="auto"/>
                <w:szCs w:val="21"/>
                <w:highlight w:val="none"/>
                <w:lang w:eastAsia="zh-CN"/>
              </w:rPr>
              <w:t>）</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B3CFE66">
            <w:pPr>
              <w:spacing w:line="24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投标总报价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94F75EA">
            <w:pPr>
              <w:spacing w:line="240" w:lineRule="auto"/>
              <w:rPr>
                <w:rFonts w:ascii="宋体" w:hAnsi="宋体"/>
                <w:color w:val="auto"/>
                <w:szCs w:val="21"/>
                <w:highlight w:val="none"/>
              </w:rPr>
            </w:pPr>
          </w:p>
        </w:tc>
        <w:tc>
          <w:tcPr>
            <w:tcW w:w="7129" w:type="dxa"/>
            <w:tcBorders>
              <w:top w:val="single" w:color="auto" w:sz="4" w:space="0"/>
              <w:left w:val="single" w:color="auto" w:sz="4" w:space="0"/>
              <w:bottom w:val="single" w:color="auto" w:sz="4" w:space="0"/>
              <w:right w:val="single" w:color="auto" w:sz="4" w:space="0"/>
            </w:tcBorders>
            <w:noWrap w:val="0"/>
            <w:vAlign w:val="center"/>
          </w:tcPr>
          <w:p w14:paraId="54FA6E50">
            <w:pPr>
              <w:spacing w:line="24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（1）+（2）</w:t>
            </w:r>
            <w:r>
              <w:rPr>
                <w:rFonts w:hint="eastAsia" w:ascii="宋体" w:hAnsi="宋体" w:cs="宋体"/>
                <w:bCs/>
                <w:color w:val="auto"/>
                <w:szCs w:val="21"/>
                <w:highlight w:val="none"/>
                <w:lang w:val="en-US" w:eastAsia="zh-CN"/>
              </w:rPr>
              <w:t>+（3）+（4）</w:t>
            </w:r>
          </w:p>
        </w:tc>
      </w:tr>
    </w:tbl>
    <w:p w14:paraId="6EF336D7">
      <w:pPr>
        <w:spacing w:line="240" w:lineRule="auto"/>
        <w:ind w:left="1263" w:leftChars="200" w:hanging="843" w:hangingChars="400"/>
        <w:rPr>
          <w:rFonts w:hint="eastAsia" w:ascii="宋体" w:hAnsi="宋体" w:eastAsia="宋体"/>
          <w:color w:val="auto"/>
          <w:szCs w:val="21"/>
          <w:highlight w:val="none"/>
          <w:lang w:val="en-US" w:eastAsia="zh-CN"/>
        </w:rPr>
      </w:pPr>
      <w:r>
        <w:rPr>
          <w:rFonts w:hint="eastAsia" w:ascii="宋体" w:hAnsi="宋体" w:cs="宋体"/>
          <w:b/>
          <w:color w:val="auto"/>
          <w:szCs w:val="21"/>
          <w:highlight w:val="none"/>
        </w:rPr>
        <w:t>注：</w:t>
      </w:r>
      <w:r>
        <w:rPr>
          <w:rFonts w:hint="eastAsia" w:ascii="宋体" w:hAnsi="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olor w:val="auto"/>
          <w:szCs w:val="21"/>
          <w:highlight w:val="none"/>
          <w:lang w:val="en-US" w:eastAsia="zh-CN"/>
        </w:rPr>
        <w:t>5</w:t>
      </w:r>
      <w:r>
        <w:rPr>
          <w:rFonts w:hint="eastAsia" w:ascii="宋体" w:hAnsi="宋体" w:cs="宋体"/>
          <w:color w:val="auto"/>
          <w:szCs w:val="21"/>
          <w:highlight w:val="none"/>
        </w:rPr>
        <w:t>）投标总报价”不得超过最高投标限价</w:t>
      </w:r>
      <w:r>
        <w:rPr>
          <w:rFonts w:hint="eastAsia" w:ascii="宋体" w:hAnsi="宋体" w:eastAsia="宋体" w:cs="宋体"/>
          <w:b w:val="0"/>
          <w:color w:val="auto"/>
          <w:kern w:val="2"/>
          <w:sz w:val="21"/>
          <w:szCs w:val="21"/>
          <w:highlight w:val="none"/>
          <w:lang w:val="en-US" w:eastAsia="zh-CN"/>
        </w:rPr>
        <w:t>10246948.40</w:t>
      </w:r>
      <w:r>
        <w:rPr>
          <w:rFonts w:hint="eastAsia" w:ascii="宋体" w:hAnsi="宋体" w:cs="宋体"/>
          <w:bCs/>
          <w:color w:val="auto"/>
          <w:szCs w:val="21"/>
          <w:highlight w:val="none"/>
        </w:rPr>
        <w:t>元</w:t>
      </w:r>
      <w:r>
        <w:rPr>
          <w:rFonts w:hint="eastAsia" w:ascii="宋体" w:hAnsi="宋体" w:cs="宋体"/>
          <w:color w:val="auto"/>
          <w:szCs w:val="21"/>
          <w:highlight w:val="none"/>
        </w:rPr>
        <w:t>，其中：“（</w:t>
      </w:r>
      <w:r>
        <w:rPr>
          <w:rFonts w:hint="eastAsia" w:ascii="宋体" w:hAnsi="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lang w:val="en-US" w:eastAsia="zh-CN"/>
        </w:rPr>
        <w:t>工程勘察</w:t>
      </w:r>
      <w:r>
        <w:rPr>
          <w:rFonts w:hint="eastAsia" w:ascii="宋体" w:hAnsi="宋体" w:cs="宋体"/>
          <w:color w:val="auto"/>
          <w:szCs w:val="21"/>
          <w:highlight w:val="none"/>
        </w:rPr>
        <w:t>投标报价不得超过最高投标限价</w:t>
      </w:r>
      <w:r>
        <w:rPr>
          <w:rFonts w:hint="eastAsia" w:ascii="宋体" w:hAnsi="宋体" w:eastAsia="宋体" w:cs="宋体"/>
          <w:color w:val="auto"/>
          <w:sz w:val="21"/>
          <w:szCs w:val="21"/>
          <w:highlight w:val="none"/>
          <w:u w:val="none"/>
          <w:lang w:val="en-US" w:eastAsia="zh-CN"/>
        </w:rPr>
        <w:t>764400.00</w:t>
      </w:r>
      <w:r>
        <w:rPr>
          <w:rFonts w:hint="eastAsia" w:ascii="宋体" w:hAnsi="宋体" w:cs="宋体"/>
          <w:bCs/>
          <w:color w:val="auto"/>
          <w:szCs w:val="21"/>
          <w:highlight w:val="none"/>
        </w:rPr>
        <w:t>元</w:t>
      </w: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olor w:val="auto"/>
          <w:szCs w:val="21"/>
          <w:highlight w:val="none"/>
          <w:lang w:val="en-US" w:eastAsia="zh-CN"/>
        </w:rPr>
        <w:t>地下管线探测费投标报价</w:t>
      </w:r>
      <w:r>
        <w:rPr>
          <w:rFonts w:hint="eastAsia" w:ascii="宋体" w:hAnsi="宋体" w:cs="宋体"/>
          <w:color w:val="auto"/>
          <w:szCs w:val="21"/>
          <w:highlight w:val="none"/>
        </w:rPr>
        <w:t>不得超过最高投标限价</w:t>
      </w:r>
      <w:r>
        <w:rPr>
          <w:rFonts w:hint="eastAsia" w:ascii="宋体" w:hAnsi="宋体" w:eastAsia="宋体" w:cs="宋体"/>
          <w:color w:val="auto"/>
          <w:sz w:val="21"/>
          <w:szCs w:val="21"/>
          <w:highlight w:val="none"/>
          <w:u w:val="none"/>
          <w:lang w:val="en-US" w:eastAsia="zh-CN"/>
        </w:rPr>
        <w:t>180000.00</w:t>
      </w:r>
      <w:r>
        <w:rPr>
          <w:rFonts w:hint="eastAsia" w:ascii="宋体" w:hAnsi="宋体" w:cs="宋体"/>
          <w:bCs/>
          <w:color w:val="auto"/>
          <w:szCs w:val="21"/>
          <w:highlight w:val="none"/>
        </w:rPr>
        <w:t>元</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工程设计费不得超过最高投标限价</w:t>
      </w:r>
      <w:r>
        <w:rPr>
          <w:rFonts w:hint="eastAsia" w:ascii="宋体" w:hAnsi="宋体" w:eastAsia="宋体" w:cs="宋体"/>
          <w:color w:val="auto"/>
          <w:sz w:val="21"/>
          <w:szCs w:val="21"/>
          <w:highlight w:val="none"/>
          <w:u w:val="none"/>
          <w:lang w:val="en-US" w:eastAsia="zh-CN"/>
        </w:rPr>
        <w:t>8934598.40</w:t>
      </w:r>
      <w:r>
        <w:rPr>
          <w:rFonts w:hint="eastAsia" w:ascii="宋体" w:hAnsi="宋体" w:cs="宋体"/>
          <w:bCs/>
          <w:color w:val="auto"/>
          <w:szCs w:val="21"/>
          <w:highlight w:val="none"/>
          <w:u w:val="none"/>
        </w:rPr>
        <w:t>元</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w:t>
      </w:r>
      <w:r>
        <w:rPr>
          <w:rFonts w:hint="eastAsia" w:ascii="宋体" w:hAnsi="宋体" w:eastAsia="宋体" w:cs="Times New Roman"/>
          <w:color w:val="auto"/>
          <w:sz w:val="21"/>
          <w:szCs w:val="21"/>
          <w:highlight w:val="none"/>
          <w:u w:val="none"/>
          <w:lang w:val="en-US" w:eastAsia="zh-CN"/>
        </w:rPr>
        <w:t>BIM技术应用费（方案及初步设计阶段）</w:t>
      </w:r>
      <w:r>
        <w:rPr>
          <w:rFonts w:hint="eastAsia" w:ascii="宋体" w:hAnsi="宋体" w:cs="宋体"/>
          <w:bCs/>
          <w:color w:val="auto"/>
          <w:szCs w:val="21"/>
          <w:highlight w:val="none"/>
          <w:lang w:val="en-US" w:eastAsia="zh-CN"/>
        </w:rPr>
        <w:t>不得超过最高投标限价</w:t>
      </w:r>
      <w:r>
        <w:rPr>
          <w:rFonts w:hint="eastAsia" w:ascii="宋体" w:hAnsi="宋体" w:eastAsia="宋体" w:cs="宋体"/>
          <w:color w:val="auto"/>
          <w:sz w:val="21"/>
          <w:szCs w:val="21"/>
          <w:highlight w:val="none"/>
          <w:u w:val="none"/>
          <w:lang w:val="en-US" w:eastAsia="zh-CN"/>
        </w:rPr>
        <w:t>367950.00</w:t>
      </w:r>
      <w:r>
        <w:rPr>
          <w:rFonts w:hint="eastAsia" w:ascii="宋体" w:hAnsi="宋体" w:cs="宋体"/>
          <w:bCs/>
          <w:color w:val="auto"/>
          <w:szCs w:val="21"/>
          <w:highlight w:val="none"/>
          <w:u w:val="none"/>
        </w:rPr>
        <w:t>元</w:t>
      </w:r>
      <w:r>
        <w:rPr>
          <w:rFonts w:hint="eastAsia" w:ascii="宋体" w:hAnsi="宋体" w:cs="宋体"/>
          <w:bCs/>
          <w:color w:val="auto"/>
          <w:szCs w:val="21"/>
          <w:highlight w:val="none"/>
          <w:lang w:eastAsia="zh-CN"/>
        </w:rPr>
        <w:t>”。</w:t>
      </w:r>
    </w:p>
    <w:p w14:paraId="4F97287A">
      <w:pPr>
        <w:spacing w:line="240" w:lineRule="auto"/>
        <w:ind w:left="1064" w:leftChars="379" w:hanging="268" w:hangingChars="128"/>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经算术复核的投标人报价与其投标报价不一致时，按就低不就高原则确定其最终报价。当投标总报价累加错误时，按就低不就高原则，如果累加修正值小于投标总报价，则按累加修正值；如果累加修正值大于投标总报价，则按投标总报价</w:t>
      </w:r>
      <w:r>
        <w:rPr>
          <w:rFonts w:hint="eastAsia" w:ascii="宋体" w:hAnsi="宋体"/>
          <w:color w:val="auto"/>
          <w:szCs w:val="21"/>
          <w:highlight w:val="none"/>
          <w:lang w:eastAsia="zh-CN"/>
        </w:rPr>
        <w:t>。</w:t>
      </w:r>
      <w:r>
        <w:rPr>
          <w:rFonts w:hint="eastAsia" w:ascii="宋体" w:hAnsi="宋体"/>
          <w:color w:val="auto"/>
          <w:szCs w:val="21"/>
          <w:highlight w:val="none"/>
        </w:rPr>
        <w:t>如修正后的投标报价超出相应的最高投标限价，则由评标委员否决其投标。</w:t>
      </w:r>
    </w:p>
    <w:p w14:paraId="568DF61B">
      <w:pPr>
        <w:spacing w:line="240" w:lineRule="auto"/>
        <w:ind w:left="1069" w:leftChars="379" w:hanging="273" w:hangingChars="13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按上述修正错误的原则及方法调整或修正投标文件的投标报价，调整后的投标报价对投标人起约束作用。如果投标人不接受修正后的报价，则取消其中标资格。</w:t>
      </w:r>
    </w:p>
    <w:p w14:paraId="60373614">
      <w:pPr>
        <w:spacing w:line="240" w:lineRule="auto"/>
        <w:ind w:firstLine="735" w:firstLineChars="35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4.本表需加盖投标人电子印章。</w:t>
      </w:r>
    </w:p>
    <w:p w14:paraId="5BC93620">
      <w:pPr>
        <w:spacing w:line="360" w:lineRule="auto"/>
        <w:ind w:left="360" w:hanging="360" w:hangingChars="150"/>
        <w:rPr>
          <w:rFonts w:hint="eastAsia" w:ascii="宋体" w:hAnsi="宋体" w:eastAsia="宋体" w:cs="Times New Roman"/>
          <w:b/>
          <w:bCs/>
          <w:color w:val="auto"/>
          <w:kern w:val="44"/>
          <w:sz w:val="21"/>
          <w:szCs w:val="21"/>
          <w:highlight w:val="none"/>
          <w:lang w:val="en-US" w:eastAsia="zh-CN" w:bidi="ar-SA"/>
        </w:rPr>
      </w:pPr>
      <w:r>
        <w:rPr>
          <w:rFonts w:ascii="宋体" w:hAnsi="宋体"/>
          <w:color w:val="auto"/>
          <w:sz w:val="24"/>
          <w:highlight w:val="none"/>
        </w:rPr>
        <w:br w:type="page"/>
      </w:r>
      <w:r>
        <w:rPr>
          <w:rFonts w:hint="eastAsia" w:ascii="宋体" w:hAnsi="宋体" w:eastAsia="宋体" w:cs="宋体"/>
          <w:b/>
          <w:bCs/>
          <w:color w:val="auto"/>
          <w:kern w:val="44"/>
          <w:sz w:val="21"/>
          <w:szCs w:val="21"/>
          <w:highlight w:val="none"/>
          <w:lang w:val="en-US" w:eastAsia="zh-CN" w:bidi="ar-SA"/>
        </w:rPr>
        <w:t>附件3-1 工程勘察费投标报价表</w:t>
      </w:r>
    </w:p>
    <w:p w14:paraId="0AE0EF49">
      <w:pPr>
        <w:spacing w:line="360" w:lineRule="auto"/>
        <w:ind w:left="-1" w:leftChars="0" w:firstLine="0" w:firstLineChars="0"/>
        <w:jc w:val="center"/>
        <w:rPr>
          <w:rFonts w:hint="default"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工程勘察费投标报价表</w:t>
      </w:r>
    </w:p>
    <w:tbl>
      <w:tblPr>
        <w:tblStyle w:val="26"/>
        <w:tblW w:w="14230" w:type="dxa"/>
        <w:tblInd w:w="118" w:type="dxa"/>
        <w:tblLayout w:type="fixed"/>
        <w:tblCellMar>
          <w:top w:w="0" w:type="dxa"/>
          <w:left w:w="108" w:type="dxa"/>
          <w:bottom w:w="0" w:type="dxa"/>
          <w:right w:w="108" w:type="dxa"/>
        </w:tblCellMar>
      </w:tblPr>
      <w:tblGrid>
        <w:gridCol w:w="1271"/>
        <w:gridCol w:w="1056"/>
        <w:gridCol w:w="2250"/>
        <w:gridCol w:w="963"/>
        <w:gridCol w:w="1526"/>
        <w:gridCol w:w="1553"/>
        <w:gridCol w:w="1289"/>
        <w:gridCol w:w="1066"/>
        <w:gridCol w:w="1763"/>
        <w:gridCol w:w="1493"/>
      </w:tblGrid>
      <w:tr w14:paraId="7269FAA9">
        <w:tblPrEx>
          <w:tblCellMar>
            <w:top w:w="0" w:type="dxa"/>
            <w:left w:w="108" w:type="dxa"/>
            <w:bottom w:w="0" w:type="dxa"/>
            <w:right w:w="108" w:type="dxa"/>
          </w:tblCellMar>
        </w:tblPrEx>
        <w:trPr>
          <w:trHeight w:val="468" w:hRule="atLeast"/>
        </w:trPr>
        <w:tc>
          <w:tcPr>
            <w:tcW w:w="1271" w:type="dxa"/>
            <w:tcBorders>
              <w:top w:val="single" w:color="auto" w:sz="8" w:space="0"/>
              <w:left w:val="single" w:color="auto" w:sz="8" w:space="0"/>
              <w:bottom w:val="single" w:color="auto" w:sz="4" w:space="0"/>
              <w:right w:val="single" w:color="auto" w:sz="4" w:space="0"/>
            </w:tcBorders>
            <w:noWrap/>
            <w:vAlign w:val="center"/>
          </w:tcPr>
          <w:p w14:paraId="32950DC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p>
        </w:tc>
        <w:tc>
          <w:tcPr>
            <w:tcW w:w="12959" w:type="dxa"/>
            <w:gridSpan w:val="9"/>
            <w:tcBorders>
              <w:top w:val="single" w:color="auto" w:sz="8" w:space="0"/>
              <w:left w:val="nil"/>
              <w:bottom w:val="single" w:color="auto" w:sz="4" w:space="0"/>
              <w:right w:val="single" w:color="000000" w:sz="8" w:space="0"/>
            </w:tcBorders>
            <w:noWrap/>
            <w:vAlign w:val="center"/>
          </w:tcPr>
          <w:p w14:paraId="09F3D9B8">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工程勘察费含税全费用</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总价：</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 xml:space="preserve">  </w:t>
            </w:r>
          </w:p>
        </w:tc>
      </w:tr>
      <w:tr w14:paraId="0A779A05">
        <w:tblPrEx>
          <w:tblCellMar>
            <w:top w:w="0" w:type="dxa"/>
            <w:left w:w="108" w:type="dxa"/>
            <w:bottom w:w="0" w:type="dxa"/>
            <w:right w:w="108" w:type="dxa"/>
          </w:tblCellMar>
        </w:tblPrEx>
        <w:trPr>
          <w:trHeight w:val="896" w:hRule="atLeast"/>
        </w:trPr>
        <w:tc>
          <w:tcPr>
            <w:tcW w:w="1271" w:type="dxa"/>
            <w:vMerge w:val="restart"/>
            <w:tcBorders>
              <w:top w:val="nil"/>
              <w:left w:val="single" w:color="auto" w:sz="8" w:space="0"/>
              <w:bottom w:val="single" w:color="auto" w:sz="4" w:space="0"/>
              <w:right w:val="single" w:color="auto" w:sz="4" w:space="0"/>
            </w:tcBorders>
            <w:noWrap/>
            <w:vAlign w:val="center"/>
          </w:tcPr>
          <w:p w14:paraId="15175DE3">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1</w:t>
            </w: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354710B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岩土工程勘察</w:t>
            </w:r>
          </w:p>
        </w:tc>
        <w:tc>
          <w:tcPr>
            <w:tcW w:w="2250" w:type="dxa"/>
            <w:tcBorders>
              <w:top w:val="nil"/>
              <w:left w:val="nil"/>
              <w:bottom w:val="single" w:color="auto" w:sz="4" w:space="0"/>
              <w:right w:val="single" w:color="auto" w:sz="4" w:space="0"/>
            </w:tcBorders>
            <w:noWrap w:val="0"/>
            <w:vAlign w:val="center"/>
          </w:tcPr>
          <w:p w14:paraId="1F7EEA2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工作内容或范围</w:t>
            </w:r>
          </w:p>
        </w:tc>
        <w:tc>
          <w:tcPr>
            <w:tcW w:w="963" w:type="dxa"/>
            <w:tcBorders>
              <w:top w:val="nil"/>
              <w:left w:val="nil"/>
              <w:bottom w:val="single" w:color="auto" w:sz="4" w:space="0"/>
              <w:right w:val="single" w:color="auto" w:sz="4" w:space="0"/>
            </w:tcBorders>
            <w:noWrap w:val="0"/>
            <w:vAlign w:val="center"/>
          </w:tcPr>
          <w:p w14:paraId="247BB7D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暂定工程量（米）</w:t>
            </w:r>
          </w:p>
        </w:tc>
        <w:tc>
          <w:tcPr>
            <w:tcW w:w="1526" w:type="dxa"/>
            <w:tcBorders>
              <w:top w:val="nil"/>
              <w:left w:val="nil"/>
              <w:bottom w:val="single" w:color="auto" w:sz="4" w:space="0"/>
              <w:right w:val="single" w:color="auto" w:sz="4" w:space="0"/>
            </w:tcBorders>
            <w:noWrap w:val="0"/>
            <w:vAlign w:val="center"/>
          </w:tcPr>
          <w:p w14:paraId="3D805D4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含税全费用综合单价限价</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(元/米）</w:t>
            </w:r>
          </w:p>
        </w:tc>
        <w:tc>
          <w:tcPr>
            <w:tcW w:w="1553" w:type="dxa"/>
            <w:tcBorders>
              <w:top w:val="nil"/>
              <w:left w:val="nil"/>
              <w:bottom w:val="single" w:color="auto" w:sz="4" w:space="0"/>
              <w:right w:val="single" w:color="auto" w:sz="4" w:space="0"/>
            </w:tcBorders>
            <w:noWrap w:val="0"/>
            <w:vAlign w:val="center"/>
          </w:tcPr>
          <w:p w14:paraId="1B4A27BF">
            <w:pPr>
              <w:widowControl/>
              <w:jc w:val="center"/>
              <w:rPr>
                <w:color w:val="auto"/>
                <w:highlight w:val="none"/>
              </w:rPr>
            </w:pPr>
            <w:r>
              <w:rPr>
                <w:rFonts w:hint="eastAsia" w:ascii="宋体" w:hAnsi="宋体" w:cs="宋体"/>
                <w:b/>
                <w:bCs/>
                <w:color w:val="auto"/>
                <w:kern w:val="0"/>
                <w:szCs w:val="21"/>
                <w:highlight w:val="none"/>
              </w:rPr>
              <w:t>含税全费用投标综合单价</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(元/米）</w:t>
            </w:r>
          </w:p>
        </w:tc>
        <w:tc>
          <w:tcPr>
            <w:tcW w:w="1289" w:type="dxa"/>
            <w:tcBorders>
              <w:top w:val="nil"/>
              <w:left w:val="nil"/>
              <w:bottom w:val="single" w:color="auto" w:sz="4" w:space="0"/>
              <w:right w:val="single" w:color="auto" w:sz="4" w:space="0"/>
            </w:tcBorders>
            <w:noWrap w:val="0"/>
            <w:vAlign w:val="center"/>
          </w:tcPr>
          <w:p w14:paraId="6E38996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含税全费用投标总价（元）</w:t>
            </w:r>
          </w:p>
        </w:tc>
        <w:tc>
          <w:tcPr>
            <w:tcW w:w="1066" w:type="dxa"/>
            <w:tcBorders>
              <w:top w:val="nil"/>
              <w:left w:val="nil"/>
              <w:bottom w:val="single" w:color="auto" w:sz="4" w:space="0"/>
              <w:right w:val="single" w:color="auto" w:sz="4" w:space="0"/>
            </w:tcBorders>
            <w:noWrap w:val="0"/>
            <w:vAlign w:val="center"/>
          </w:tcPr>
          <w:p w14:paraId="39B925F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增值税税率</w:t>
            </w:r>
          </w:p>
        </w:tc>
        <w:tc>
          <w:tcPr>
            <w:tcW w:w="1763" w:type="dxa"/>
            <w:tcBorders>
              <w:top w:val="nil"/>
              <w:left w:val="nil"/>
              <w:bottom w:val="single" w:color="auto" w:sz="4" w:space="0"/>
              <w:right w:val="single" w:color="auto" w:sz="4" w:space="0"/>
            </w:tcBorders>
            <w:noWrap w:val="0"/>
            <w:vAlign w:val="center"/>
          </w:tcPr>
          <w:p w14:paraId="433DF21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不含税投标总价（元）</w:t>
            </w:r>
          </w:p>
        </w:tc>
        <w:tc>
          <w:tcPr>
            <w:tcW w:w="1493" w:type="dxa"/>
            <w:tcBorders>
              <w:top w:val="nil"/>
              <w:left w:val="nil"/>
              <w:bottom w:val="single" w:color="auto" w:sz="4" w:space="0"/>
              <w:right w:val="single" w:color="auto" w:sz="8" w:space="0"/>
            </w:tcBorders>
            <w:noWrap w:val="0"/>
            <w:vAlign w:val="center"/>
          </w:tcPr>
          <w:p w14:paraId="38D2ECC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税金（元）</w:t>
            </w:r>
          </w:p>
        </w:tc>
      </w:tr>
      <w:tr w14:paraId="474F5D8F">
        <w:tblPrEx>
          <w:tblCellMar>
            <w:top w:w="0" w:type="dxa"/>
            <w:left w:w="108" w:type="dxa"/>
            <w:bottom w:w="0" w:type="dxa"/>
            <w:right w:w="108" w:type="dxa"/>
          </w:tblCellMar>
        </w:tblPrEx>
        <w:trPr>
          <w:trHeight w:val="3103" w:hRule="atLeast"/>
        </w:trPr>
        <w:tc>
          <w:tcPr>
            <w:tcW w:w="1271" w:type="dxa"/>
            <w:vMerge w:val="continue"/>
            <w:tcBorders>
              <w:top w:val="nil"/>
              <w:left w:val="single" w:color="auto" w:sz="8" w:space="0"/>
              <w:bottom w:val="single" w:color="auto" w:sz="4" w:space="0"/>
              <w:right w:val="single" w:color="auto" w:sz="4" w:space="0"/>
            </w:tcBorders>
            <w:noWrap w:val="0"/>
            <w:vAlign w:val="center"/>
          </w:tcPr>
          <w:p w14:paraId="728F5D90">
            <w:pPr>
              <w:widowControl/>
              <w:jc w:val="left"/>
              <w:rPr>
                <w:rFonts w:ascii="宋体" w:hAnsi="宋体" w:cs="宋体"/>
                <w:b/>
                <w:bCs/>
                <w:color w:val="auto"/>
                <w:kern w:val="0"/>
                <w:szCs w:val="21"/>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52753659">
            <w:pPr>
              <w:widowControl/>
              <w:jc w:val="left"/>
              <w:rPr>
                <w:rFonts w:hint="eastAsia" w:ascii="宋体" w:hAnsi="宋体" w:cs="宋体"/>
                <w:color w:val="auto"/>
                <w:kern w:val="0"/>
                <w:sz w:val="22"/>
                <w:szCs w:val="22"/>
                <w:highlight w:val="none"/>
              </w:rPr>
            </w:pPr>
          </w:p>
        </w:tc>
        <w:tc>
          <w:tcPr>
            <w:tcW w:w="2250" w:type="dxa"/>
            <w:tcBorders>
              <w:top w:val="nil"/>
              <w:left w:val="nil"/>
              <w:bottom w:val="single" w:color="auto" w:sz="4" w:space="0"/>
              <w:right w:val="single" w:color="auto" w:sz="4" w:space="0"/>
            </w:tcBorders>
            <w:noWrap/>
            <w:vAlign w:val="center"/>
          </w:tcPr>
          <w:p w14:paraId="44195761">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1"/>
                <w:szCs w:val="21"/>
                <w:highlight w:val="none"/>
                <w:u w:val="single"/>
              </w:rPr>
              <w:t>本项目</w:t>
            </w:r>
            <w:r>
              <w:rPr>
                <w:rFonts w:hint="eastAsia" w:ascii="宋体" w:hAnsi="宋体" w:cs="宋体"/>
                <w:color w:val="auto"/>
                <w:sz w:val="21"/>
                <w:szCs w:val="21"/>
                <w:highlight w:val="none"/>
                <w:u w:val="single"/>
                <w:lang w:val="en-US" w:eastAsia="zh-CN"/>
              </w:rPr>
              <w:t>建设</w:t>
            </w:r>
            <w:r>
              <w:rPr>
                <w:rFonts w:hint="eastAsia" w:ascii="宋体" w:hAnsi="宋体" w:eastAsia="宋体" w:cs="宋体"/>
                <w:color w:val="auto"/>
                <w:sz w:val="21"/>
                <w:szCs w:val="21"/>
                <w:highlight w:val="none"/>
                <w:u w:val="single"/>
              </w:rPr>
              <w:t>所</w:t>
            </w:r>
            <w:r>
              <w:rPr>
                <w:rFonts w:hint="eastAsia" w:ascii="宋体" w:hAnsi="宋体" w:eastAsia="宋体" w:cs="宋体"/>
                <w:color w:val="auto"/>
                <w:sz w:val="21"/>
                <w:szCs w:val="21"/>
                <w:highlight w:val="none"/>
                <w:u w:val="single"/>
                <w:lang w:val="en-US" w:eastAsia="zh-CN"/>
              </w:rPr>
              <w:t>需</w:t>
            </w:r>
            <w:r>
              <w:rPr>
                <w:rFonts w:hint="eastAsia" w:ascii="宋体" w:hAnsi="宋体" w:eastAsia="宋体" w:cs="宋体"/>
                <w:color w:val="auto"/>
                <w:sz w:val="21"/>
                <w:szCs w:val="21"/>
                <w:highlight w:val="none"/>
                <w:u w:val="single"/>
              </w:rPr>
              <w:t>的所有勘察工作，包括但不限于</w:t>
            </w:r>
            <w:r>
              <w:rPr>
                <w:rFonts w:hint="eastAsia" w:ascii="宋体" w:hAnsi="宋体" w:eastAsia="宋体" w:cs="宋体"/>
                <w:color w:val="auto"/>
                <w:sz w:val="21"/>
                <w:szCs w:val="21"/>
                <w:highlight w:val="none"/>
                <w:u w:val="single"/>
                <w:lang w:val="en-US" w:eastAsia="zh-CN"/>
              </w:rPr>
              <w:t>初步勘察、详细勘察、</w:t>
            </w:r>
            <w:r>
              <w:rPr>
                <w:rFonts w:hint="eastAsia" w:ascii="宋体" w:hAnsi="宋体" w:eastAsia="宋体" w:cs="宋体"/>
                <w:color w:val="auto"/>
                <w:sz w:val="21"/>
                <w:szCs w:val="21"/>
                <w:highlight w:val="none"/>
                <w:u w:val="single"/>
              </w:rPr>
              <w:t>土洞溶洞探测、</w:t>
            </w:r>
            <w:r>
              <w:rPr>
                <w:rFonts w:hint="eastAsia" w:ascii="宋体" w:hAnsi="宋体" w:eastAsia="宋体" w:cs="宋体"/>
                <w:color w:val="auto"/>
                <w:sz w:val="21"/>
                <w:szCs w:val="21"/>
                <w:highlight w:val="none"/>
                <w:u w:val="single"/>
                <w:lang w:val="en-US" w:eastAsia="zh-CN"/>
              </w:rPr>
              <w:t>土壤氡检测、</w:t>
            </w:r>
            <w:r>
              <w:rPr>
                <w:rFonts w:hint="eastAsia" w:ascii="宋体" w:hAnsi="宋体" w:eastAsia="宋体" w:cs="宋体"/>
                <w:color w:val="auto"/>
                <w:sz w:val="21"/>
                <w:szCs w:val="21"/>
                <w:highlight w:val="none"/>
                <w:u w:val="single"/>
              </w:rPr>
              <w:t>单孔简易抽水试验、波速试验</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工作。</w:t>
            </w:r>
          </w:p>
        </w:tc>
        <w:tc>
          <w:tcPr>
            <w:tcW w:w="963" w:type="dxa"/>
            <w:tcBorders>
              <w:top w:val="nil"/>
              <w:left w:val="nil"/>
              <w:bottom w:val="single" w:color="auto" w:sz="4" w:space="0"/>
              <w:right w:val="single" w:color="auto" w:sz="4" w:space="0"/>
            </w:tcBorders>
            <w:noWrap/>
            <w:vAlign w:val="center"/>
          </w:tcPr>
          <w:p w14:paraId="3747825C">
            <w:pPr>
              <w:widowControl/>
              <w:jc w:val="center"/>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5200</w:t>
            </w:r>
          </w:p>
        </w:tc>
        <w:tc>
          <w:tcPr>
            <w:tcW w:w="1526" w:type="dxa"/>
            <w:tcBorders>
              <w:top w:val="nil"/>
              <w:left w:val="nil"/>
              <w:bottom w:val="single" w:color="auto" w:sz="4" w:space="0"/>
              <w:right w:val="single" w:color="auto" w:sz="4" w:space="0"/>
            </w:tcBorders>
            <w:noWrap/>
            <w:vAlign w:val="center"/>
          </w:tcPr>
          <w:p w14:paraId="3A25482F">
            <w:pPr>
              <w:widowControl/>
              <w:jc w:val="center"/>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147</w:t>
            </w:r>
          </w:p>
        </w:tc>
        <w:tc>
          <w:tcPr>
            <w:tcW w:w="1553" w:type="dxa"/>
            <w:tcBorders>
              <w:top w:val="nil"/>
              <w:left w:val="nil"/>
              <w:bottom w:val="single" w:color="auto" w:sz="4" w:space="0"/>
              <w:right w:val="single" w:color="auto" w:sz="4" w:space="0"/>
            </w:tcBorders>
            <w:noWrap/>
            <w:vAlign w:val="center"/>
          </w:tcPr>
          <w:p w14:paraId="0694E360">
            <w:pPr>
              <w:widowControl/>
              <w:jc w:val="center"/>
              <w:rPr>
                <w:color w:val="auto"/>
                <w:highlight w:val="none"/>
              </w:rPr>
            </w:pPr>
            <w:r>
              <w:rPr>
                <w:rFonts w:hint="eastAsia" w:ascii="宋体" w:hAnsi="宋体" w:cs="宋体"/>
                <w:color w:val="auto"/>
                <w:kern w:val="0"/>
                <w:sz w:val="22"/>
                <w:szCs w:val="22"/>
                <w:highlight w:val="none"/>
              </w:rPr>
              <w:t>　</w:t>
            </w:r>
          </w:p>
        </w:tc>
        <w:tc>
          <w:tcPr>
            <w:tcW w:w="1289" w:type="dxa"/>
            <w:tcBorders>
              <w:top w:val="nil"/>
              <w:left w:val="nil"/>
              <w:bottom w:val="single" w:color="auto" w:sz="4" w:space="0"/>
              <w:right w:val="single" w:color="auto" w:sz="4" w:space="0"/>
            </w:tcBorders>
            <w:noWrap/>
            <w:vAlign w:val="center"/>
          </w:tcPr>
          <w:p w14:paraId="36A6114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66" w:type="dxa"/>
            <w:tcBorders>
              <w:top w:val="nil"/>
              <w:left w:val="nil"/>
              <w:bottom w:val="single" w:color="auto" w:sz="4" w:space="0"/>
              <w:right w:val="single" w:color="auto" w:sz="4" w:space="0"/>
            </w:tcBorders>
            <w:noWrap/>
            <w:vAlign w:val="center"/>
          </w:tcPr>
          <w:p w14:paraId="5F38DF0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u w:val="single"/>
              </w:rPr>
              <w:t>　</w:t>
            </w:r>
            <w:r>
              <w:rPr>
                <w:rFonts w:hint="eastAsia" w:ascii="宋体" w:hAnsi="宋体" w:cs="宋体"/>
                <w:b/>
                <w:bCs/>
                <w:color w:val="auto"/>
                <w:kern w:val="0"/>
                <w:szCs w:val="21"/>
                <w:highlight w:val="none"/>
              </w:rPr>
              <w:t>%</w:t>
            </w:r>
          </w:p>
        </w:tc>
        <w:tc>
          <w:tcPr>
            <w:tcW w:w="1763" w:type="dxa"/>
            <w:tcBorders>
              <w:top w:val="nil"/>
              <w:left w:val="nil"/>
              <w:bottom w:val="single" w:color="auto" w:sz="4" w:space="0"/>
              <w:right w:val="single" w:color="auto" w:sz="4" w:space="0"/>
            </w:tcBorders>
            <w:noWrap/>
            <w:vAlign w:val="center"/>
          </w:tcPr>
          <w:p w14:paraId="0CBF099C">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93" w:type="dxa"/>
            <w:tcBorders>
              <w:top w:val="nil"/>
              <w:left w:val="nil"/>
              <w:bottom w:val="single" w:color="auto" w:sz="4" w:space="0"/>
              <w:right w:val="single" w:color="auto" w:sz="8" w:space="0"/>
            </w:tcBorders>
            <w:noWrap/>
            <w:vAlign w:val="center"/>
          </w:tcPr>
          <w:p w14:paraId="0F14A87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14:paraId="16766C7B">
      <w:pPr>
        <w:spacing w:line="240" w:lineRule="auto"/>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投标报价以“元”为单位，小数点后保留两位小数，第三位小数四舍五入</w:t>
      </w:r>
      <w:r>
        <w:rPr>
          <w:rFonts w:hint="eastAsia" w:ascii="宋体" w:hAnsi="宋体" w:eastAsia="宋体" w:cs="宋体"/>
          <w:color w:val="auto"/>
          <w:szCs w:val="21"/>
          <w:highlight w:val="none"/>
          <w:lang w:eastAsia="zh-CN"/>
        </w:rPr>
        <w:t>；</w:t>
      </w:r>
    </w:p>
    <w:p w14:paraId="396475FA">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2.经算术复核的投标人报价与其投标报价不一致时，按就低不就高原则确定其最终报价，具体如下：</w:t>
      </w:r>
    </w:p>
    <w:p w14:paraId="2975C295">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当含税全费用投标综合单价与暂定工程量均符合招标文件要求时，若含税全费用投标综合单价与暂定工程量的乘积与含税全费用投标总价不一致时，按就低不就高原则确定修正含税全费用投标综合单价或是含税全费用投标总价。</w:t>
      </w:r>
    </w:p>
    <w:p w14:paraId="7C26EE20">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当含税全费用投标综合单价与暂定工程量的乘积小于含税全费用投标总价，以含税全费用投标综合单价为准，修正含税全费用投标总价，除非评标委员会认为单价有明显的小数点错误，此时应以含税全费用投标总价为准，并修正含税全费用投标综合单价。</w:t>
      </w:r>
    </w:p>
    <w:p w14:paraId="430175C7">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③当含税全费用投标综合单价与暂定工程量的乘积大于含税全费用投标总价，以含税全费用投标总价为准，修正含税全费用投标综合单价。</w:t>
      </w:r>
    </w:p>
    <w:p w14:paraId="3735F073">
      <w:pPr>
        <w:spacing w:line="24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val="en-US" w:eastAsia="zh-CN"/>
        </w:rPr>
        <w:t>4.根据含税全费用投标总价、增值税税率计算出的不含税投标总价，与所报的不含税投标总价不一致的，以含税全费用投标总价与增值税税率为准，修正不含税投标总价</w:t>
      </w:r>
      <w:r>
        <w:rPr>
          <w:rFonts w:hint="eastAsia" w:ascii="宋体" w:hAnsi="宋体" w:cs="Times New Roman"/>
          <w:color w:val="auto"/>
          <w:szCs w:val="21"/>
          <w:highlight w:val="none"/>
          <w:lang w:eastAsia="zh-CN"/>
        </w:rPr>
        <w:t>；</w:t>
      </w:r>
    </w:p>
    <w:p w14:paraId="13843F11">
      <w:pPr>
        <w:numPr>
          <w:ilvl w:val="0"/>
          <w:numId w:val="0"/>
        </w:numPr>
        <w:spacing w:line="24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kern w:val="2"/>
          <w:sz w:val="21"/>
          <w:szCs w:val="21"/>
          <w:highlight w:val="none"/>
          <w:lang w:val="en-US" w:eastAsia="zh-CN" w:bidi="ar-SA"/>
        </w:rPr>
        <w:t>5.</w:t>
      </w:r>
      <w:r>
        <w:rPr>
          <w:rFonts w:hint="eastAsia" w:ascii="宋体" w:hAnsi="宋体"/>
          <w:color w:val="auto"/>
          <w:szCs w:val="21"/>
          <w:highlight w:val="none"/>
          <w:lang w:val="en-US" w:eastAsia="zh-CN"/>
        </w:rPr>
        <w:t>本表需加盖投标人电子印章。</w:t>
      </w:r>
    </w:p>
    <w:p w14:paraId="2C94BBFB">
      <w:pPr>
        <w:widowControl/>
        <w:jc w:val="left"/>
        <w:rPr>
          <w:rFonts w:hint="eastAsia" w:ascii="Arial" w:hAnsi="Arial" w:eastAsia="黑体" w:cs="Times New Roman"/>
          <w:b/>
          <w:bCs/>
          <w:color w:val="auto"/>
          <w:kern w:val="2"/>
          <w:sz w:val="32"/>
          <w:szCs w:val="32"/>
          <w:highlight w:val="none"/>
          <w:lang w:val="en-US" w:eastAsia="zh-CN" w:bidi="ar-SA"/>
        </w:rPr>
      </w:pPr>
      <w:r>
        <w:rPr>
          <w:color w:val="auto"/>
          <w:szCs w:val="21"/>
          <w:highlight w:val="none"/>
        </w:rPr>
        <w:br w:type="page"/>
      </w:r>
      <w:r>
        <w:rPr>
          <w:rFonts w:hint="eastAsia" w:ascii="宋体" w:hAnsi="宋体" w:eastAsia="宋体" w:cs="宋体"/>
          <w:b/>
          <w:bCs/>
          <w:color w:val="auto"/>
          <w:kern w:val="44"/>
          <w:sz w:val="21"/>
          <w:szCs w:val="21"/>
          <w:highlight w:val="none"/>
          <w:lang w:val="en-US" w:eastAsia="zh-CN" w:bidi="ar-SA"/>
        </w:rPr>
        <w:t xml:space="preserve">附件3-2  地下管线探测费投标报价表    </w:t>
      </w:r>
      <w:r>
        <w:rPr>
          <w:rFonts w:hint="eastAsia" w:ascii="Arial" w:hAnsi="Arial" w:eastAsia="黑体" w:cs="Times New Roman"/>
          <w:b/>
          <w:bCs/>
          <w:color w:val="auto"/>
          <w:kern w:val="2"/>
          <w:sz w:val="32"/>
          <w:szCs w:val="32"/>
          <w:highlight w:val="none"/>
          <w:lang w:val="en-US" w:eastAsia="zh-CN" w:bidi="ar-SA"/>
        </w:rPr>
        <w:t xml:space="preserve">               </w:t>
      </w:r>
    </w:p>
    <w:p w14:paraId="0B21229D">
      <w:pPr>
        <w:widowControl/>
        <w:jc w:val="center"/>
        <w:rPr>
          <w:rFonts w:hint="default"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地下管线探测费投标报价表</w:t>
      </w:r>
    </w:p>
    <w:tbl>
      <w:tblPr>
        <w:tblStyle w:val="26"/>
        <w:tblW w:w="14897" w:type="dxa"/>
        <w:jc w:val="center"/>
        <w:tblLayout w:type="fixed"/>
        <w:tblCellMar>
          <w:top w:w="0" w:type="dxa"/>
          <w:left w:w="108" w:type="dxa"/>
          <w:bottom w:w="0" w:type="dxa"/>
          <w:right w:w="108" w:type="dxa"/>
        </w:tblCellMar>
      </w:tblPr>
      <w:tblGrid>
        <w:gridCol w:w="1082"/>
        <w:gridCol w:w="1329"/>
        <w:gridCol w:w="2789"/>
        <w:gridCol w:w="2230"/>
        <w:gridCol w:w="2420"/>
        <w:gridCol w:w="1572"/>
        <w:gridCol w:w="2020"/>
        <w:gridCol w:w="1455"/>
      </w:tblGrid>
      <w:tr w14:paraId="4939D32B">
        <w:tblPrEx>
          <w:tblCellMar>
            <w:top w:w="0" w:type="dxa"/>
            <w:left w:w="108" w:type="dxa"/>
            <w:bottom w:w="0" w:type="dxa"/>
            <w:right w:w="108" w:type="dxa"/>
          </w:tblCellMar>
        </w:tblPrEx>
        <w:trPr>
          <w:trHeight w:val="762" w:hRule="atLeast"/>
          <w:jc w:val="center"/>
        </w:trPr>
        <w:tc>
          <w:tcPr>
            <w:tcW w:w="1082" w:type="dxa"/>
            <w:tcBorders>
              <w:top w:val="single" w:color="auto" w:sz="8" w:space="0"/>
              <w:left w:val="single" w:color="auto" w:sz="8" w:space="0"/>
              <w:bottom w:val="single" w:color="auto" w:sz="4" w:space="0"/>
              <w:right w:val="single" w:color="auto" w:sz="4" w:space="0"/>
            </w:tcBorders>
            <w:noWrap/>
            <w:vAlign w:val="center"/>
          </w:tcPr>
          <w:p w14:paraId="1EDF420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p>
        </w:tc>
        <w:tc>
          <w:tcPr>
            <w:tcW w:w="13815" w:type="dxa"/>
            <w:gridSpan w:val="7"/>
            <w:tcBorders>
              <w:top w:val="single" w:color="auto" w:sz="8" w:space="0"/>
              <w:left w:val="nil"/>
              <w:bottom w:val="single" w:color="auto" w:sz="4" w:space="0"/>
              <w:right w:val="single" w:color="000000" w:sz="8" w:space="0"/>
            </w:tcBorders>
            <w:noWrap/>
            <w:vAlign w:val="center"/>
          </w:tcPr>
          <w:p w14:paraId="071978C2">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地下管线探测费</w:t>
            </w:r>
            <w:r>
              <w:rPr>
                <w:rFonts w:hint="eastAsia" w:ascii="宋体" w:hAnsi="宋体" w:cs="宋体"/>
                <w:b/>
                <w:bCs/>
                <w:color w:val="auto"/>
                <w:kern w:val="0"/>
                <w:szCs w:val="21"/>
                <w:highlight w:val="none"/>
              </w:rPr>
              <w:t>含税</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总价：</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 xml:space="preserve"> </w:t>
            </w:r>
          </w:p>
        </w:tc>
      </w:tr>
      <w:tr w14:paraId="0BBC97F3">
        <w:tblPrEx>
          <w:tblCellMar>
            <w:top w:w="0" w:type="dxa"/>
            <w:left w:w="108" w:type="dxa"/>
            <w:bottom w:w="0" w:type="dxa"/>
            <w:right w:w="108" w:type="dxa"/>
          </w:tblCellMar>
        </w:tblPrEx>
        <w:trPr>
          <w:trHeight w:val="1416" w:hRule="atLeast"/>
          <w:jc w:val="center"/>
        </w:trPr>
        <w:tc>
          <w:tcPr>
            <w:tcW w:w="1082" w:type="dxa"/>
            <w:vMerge w:val="restart"/>
            <w:tcBorders>
              <w:top w:val="nil"/>
              <w:left w:val="single" w:color="auto" w:sz="8" w:space="0"/>
              <w:right w:val="single" w:color="auto" w:sz="4" w:space="0"/>
            </w:tcBorders>
            <w:noWrap/>
            <w:vAlign w:val="center"/>
          </w:tcPr>
          <w:p w14:paraId="0F67082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329" w:type="dxa"/>
            <w:vMerge w:val="restart"/>
            <w:tcBorders>
              <w:top w:val="nil"/>
              <w:left w:val="single" w:color="auto" w:sz="4" w:space="0"/>
              <w:right w:val="single" w:color="auto" w:sz="4" w:space="0"/>
            </w:tcBorders>
            <w:noWrap w:val="0"/>
            <w:vAlign w:val="center"/>
          </w:tcPr>
          <w:p w14:paraId="2D704DCD">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地下管线探测费</w:t>
            </w:r>
          </w:p>
        </w:tc>
        <w:tc>
          <w:tcPr>
            <w:tcW w:w="2789" w:type="dxa"/>
            <w:tcBorders>
              <w:top w:val="nil"/>
              <w:left w:val="nil"/>
              <w:bottom w:val="single" w:color="auto" w:sz="4" w:space="0"/>
              <w:right w:val="single" w:color="auto" w:sz="4" w:space="0"/>
            </w:tcBorders>
            <w:noWrap w:val="0"/>
            <w:vAlign w:val="center"/>
          </w:tcPr>
          <w:p w14:paraId="2D50F1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工作内容或范围</w:t>
            </w:r>
          </w:p>
        </w:tc>
        <w:tc>
          <w:tcPr>
            <w:tcW w:w="2230" w:type="dxa"/>
            <w:tcBorders>
              <w:top w:val="nil"/>
              <w:left w:val="nil"/>
              <w:bottom w:val="single" w:color="auto" w:sz="4" w:space="0"/>
              <w:right w:val="single" w:color="auto" w:sz="4" w:space="0"/>
            </w:tcBorders>
            <w:noWrap w:val="0"/>
            <w:vAlign w:val="center"/>
          </w:tcPr>
          <w:p w14:paraId="56C5909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最高投标限价（元）</w:t>
            </w:r>
          </w:p>
        </w:tc>
        <w:tc>
          <w:tcPr>
            <w:tcW w:w="2420" w:type="dxa"/>
            <w:tcBorders>
              <w:top w:val="nil"/>
              <w:left w:val="nil"/>
              <w:bottom w:val="single" w:color="auto" w:sz="4" w:space="0"/>
              <w:right w:val="single" w:color="auto" w:sz="4" w:space="0"/>
            </w:tcBorders>
            <w:noWrap w:val="0"/>
            <w:vAlign w:val="center"/>
          </w:tcPr>
          <w:p w14:paraId="476156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含税投标总价（元）</w:t>
            </w:r>
          </w:p>
        </w:tc>
        <w:tc>
          <w:tcPr>
            <w:tcW w:w="1572" w:type="dxa"/>
            <w:tcBorders>
              <w:top w:val="nil"/>
              <w:left w:val="nil"/>
              <w:bottom w:val="single" w:color="auto" w:sz="4" w:space="0"/>
              <w:right w:val="single" w:color="auto" w:sz="4" w:space="0"/>
            </w:tcBorders>
            <w:noWrap w:val="0"/>
            <w:vAlign w:val="center"/>
          </w:tcPr>
          <w:p w14:paraId="096F9193">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增值税税率</w:t>
            </w:r>
          </w:p>
        </w:tc>
        <w:tc>
          <w:tcPr>
            <w:tcW w:w="2020" w:type="dxa"/>
            <w:tcBorders>
              <w:top w:val="nil"/>
              <w:left w:val="nil"/>
              <w:bottom w:val="single" w:color="auto" w:sz="4" w:space="0"/>
              <w:right w:val="single" w:color="auto" w:sz="4" w:space="0"/>
            </w:tcBorders>
            <w:noWrap w:val="0"/>
            <w:vAlign w:val="center"/>
          </w:tcPr>
          <w:p w14:paraId="508FEF8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不含税投标总价（元）</w:t>
            </w:r>
          </w:p>
        </w:tc>
        <w:tc>
          <w:tcPr>
            <w:tcW w:w="1455" w:type="dxa"/>
            <w:tcBorders>
              <w:top w:val="nil"/>
              <w:left w:val="nil"/>
              <w:bottom w:val="single" w:color="auto" w:sz="4" w:space="0"/>
              <w:right w:val="single" w:color="auto" w:sz="8" w:space="0"/>
            </w:tcBorders>
            <w:noWrap w:val="0"/>
            <w:vAlign w:val="center"/>
          </w:tcPr>
          <w:p w14:paraId="1410EC6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税金（元）</w:t>
            </w:r>
          </w:p>
        </w:tc>
      </w:tr>
      <w:tr w14:paraId="42AD6CD0">
        <w:tblPrEx>
          <w:tblCellMar>
            <w:top w:w="0" w:type="dxa"/>
            <w:left w:w="108" w:type="dxa"/>
            <w:bottom w:w="0" w:type="dxa"/>
            <w:right w:w="108" w:type="dxa"/>
          </w:tblCellMar>
        </w:tblPrEx>
        <w:trPr>
          <w:trHeight w:val="762" w:hRule="atLeast"/>
          <w:jc w:val="center"/>
        </w:trPr>
        <w:tc>
          <w:tcPr>
            <w:tcW w:w="1082" w:type="dxa"/>
            <w:vMerge w:val="continue"/>
            <w:tcBorders>
              <w:left w:val="single" w:color="auto" w:sz="8" w:space="0"/>
              <w:bottom w:val="single" w:color="auto" w:sz="4" w:space="0"/>
              <w:right w:val="single" w:color="auto" w:sz="4" w:space="0"/>
            </w:tcBorders>
            <w:noWrap w:val="0"/>
            <w:vAlign w:val="center"/>
          </w:tcPr>
          <w:p w14:paraId="6601029B">
            <w:pPr>
              <w:widowControl/>
              <w:jc w:val="left"/>
              <w:rPr>
                <w:rFonts w:ascii="宋体" w:hAnsi="宋体" w:cs="宋体"/>
                <w:b/>
                <w:bCs/>
                <w:color w:val="auto"/>
                <w:kern w:val="0"/>
                <w:szCs w:val="21"/>
                <w:highlight w:val="none"/>
              </w:rPr>
            </w:pPr>
          </w:p>
        </w:tc>
        <w:tc>
          <w:tcPr>
            <w:tcW w:w="1329" w:type="dxa"/>
            <w:vMerge w:val="continue"/>
            <w:tcBorders>
              <w:left w:val="single" w:color="auto" w:sz="4" w:space="0"/>
              <w:bottom w:val="single" w:color="000000" w:sz="4" w:space="0"/>
              <w:right w:val="single" w:color="auto" w:sz="4" w:space="0"/>
            </w:tcBorders>
            <w:noWrap w:val="0"/>
            <w:vAlign w:val="center"/>
          </w:tcPr>
          <w:p w14:paraId="7EE481D1">
            <w:pPr>
              <w:widowControl/>
              <w:jc w:val="left"/>
              <w:rPr>
                <w:rFonts w:ascii="宋体" w:hAnsi="宋体" w:cs="宋体"/>
                <w:b/>
                <w:bCs/>
                <w:color w:val="auto"/>
                <w:kern w:val="0"/>
                <w:szCs w:val="21"/>
                <w:highlight w:val="none"/>
              </w:rPr>
            </w:pPr>
          </w:p>
        </w:tc>
        <w:tc>
          <w:tcPr>
            <w:tcW w:w="2789" w:type="dxa"/>
            <w:tcBorders>
              <w:top w:val="nil"/>
              <w:left w:val="nil"/>
              <w:bottom w:val="single" w:color="auto" w:sz="4" w:space="0"/>
              <w:right w:val="single" w:color="auto" w:sz="4" w:space="0"/>
            </w:tcBorders>
            <w:noWrap/>
            <w:vAlign w:val="center"/>
          </w:tcPr>
          <w:p w14:paraId="2CC3366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1"/>
                <w:szCs w:val="21"/>
                <w:highlight w:val="none"/>
              </w:rPr>
              <w:t>完成项目红线外扩30米范围内的</w:t>
            </w:r>
            <w:r>
              <w:rPr>
                <w:rFonts w:hint="eastAsia" w:ascii="宋体" w:hAnsi="宋体" w:cs="宋体"/>
                <w:color w:val="auto"/>
                <w:kern w:val="0"/>
                <w:sz w:val="21"/>
                <w:szCs w:val="21"/>
                <w:highlight w:val="none"/>
                <w:lang w:val="en-US" w:eastAsia="zh-CN"/>
              </w:rPr>
              <w:t>地下管线探测</w:t>
            </w:r>
            <w:r>
              <w:rPr>
                <w:rFonts w:hint="eastAsia" w:ascii="宋体" w:hAnsi="宋体" w:cs="宋体"/>
                <w:color w:val="auto"/>
                <w:kern w:val="0"/>
                <w:sz w:val="21"/>
                <w:szCs w:val="21"/>
                <w:highlight w:val="none"/>
              </w:rPr>
              <w:t>工作</w:t>
            </w:r>
          </w:p>
        </w:tc>
        <w:tc>
          <w:tcPr>
            <w:tcW w:w="2230" w:type="dxa"/>
            <w:tcBorders>
              <w:top w:val="nil"/>
              <w:left w:val="nil"/>
              <w:bottom w:val="single" w:color="auto" w:sz="4" w:space="0"/>
              <w:right w:val="single" w:color="auto" w:sz="4" w:space="0"/>
            </w:tcBorders>
            <w:noWrap/>
            <w:vAlign w:val="center"/>
          </w:tcPr>
          <w:p w14:paraId="40144249">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1"/>
                <w:szCs w:val="21"/>
                <w:highlight w:val="none"/>
                <w:u w:val="none"/>
                <w:lang w:val="en-US" w:eastAsia="zh-CN"/>
              </w:rPr>
              <w:t>18</w:t>
            </w:r>
            <w:r>
              <w:rPr>
                <w:rFonts w:hint="eastAsia" w:ascii="宋体" w:hAnsi="宋体" w:eastAsia="宋体" w:cs="宋体"/>
                <w:color w:val="auto"/>
                <w:szCs w:val="21"/>
                <w:highlight w:val="none"/>
                <w:u w:val="none"/>
                <w:lang w:val="en-US" w:eastAsia="zh-CN"/>
              </w:rPr>
              <w:t>0000.00</w:t>
            </w:r>
          </w:p>
        </w:tc>
        <w:tc>
          <w:tcPr>
            <w:tcW w:w="2420" w:type="dxa"/>
            <w:tcBorders>
              <w:top w:val="nil"/>
              <w:left w:val="nil"/>
              <w:bottom w:val="single" w:color="auto" w:sz="4" w:space="0"/>
              <w:right w:val="single" w:color="auto" w:sz="4" w:space="0"/>
            </w:tcBorders>
            <w:noWrap/>
            <w:vAlign w:val="center"/>
          </w:tcPr>
          <w:p w14:paraId="3FE6884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p w14:paraId="6755455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72" w:type="dxa"/>
            <w:tcBorders>
              <w:top w:val="nil"/>
              <w:left w:val="nil"/>
              <w:bottom w:val="single" w:color="auto" w:sz="4" w:space="0"/>
              <w:right w:val="single" w:color="auto" w:sz="4" w:space="0"/>
            </w:tcBorders>
            <w:noWrap/>
            <w:vAlign w:val="center"/>
          </w:tcPr>
          <w:p w14:paraId="7138DA90">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u w:val="single"/>
              </w:rPr>
              <w:t>　</w:t>
            </w:r>
            <w:r>
              <w:rPr>
                <w:rFonts w:hint="eastAsia" w:ascii="宋体" w:hAnsi="宋体" w:cs="宋体"/>
                <w:b/>
                <w:bCs/>
                <w:color w:val="auto"/>
                <w:kern w:val="0"/>
                <w:szCs w:val="21"/>
                <w:highlight w:val="none"/>
              </w:rPr>
              <w:t>%</w:t>
            </w:r>
            <w:r>
              <w:rPr>
                <w:rFonts w:hint="eastAsia" w:ascii="宋体" w:hAnsi="宋体" w:cs="宋体"/>
                <w:color w:val="auto"/>
                <w:kern w:val="0"/>
                <w:sz w:val="22"/>
                <w:szCs w:val="22"/>
                <w:highlight w:val="none"/>
              </w:rPr>
              <w:t>　</w:t>
            </w:r>
          </w:p>
        </w:tc>
        <w:tc>
          <w:tcPr>
            <w:tcW w:w="2020" w:type="dxa"/>
            <w:tcBorders>
              <w:top w:val="nil"/>
              <w:left w:val="nil"/>
              <w:bottom w:val="single" w:color="auto" w:sz="4" w:space="0"/>
              <w:right w:val="single" w:color="auto" w:sz="4" w:space="0"/>
            </w:tcBorders>
            <w:noWrap/>
            <w:vAlign w:val="center"/>
          </w:tcPr>
          <w:p w14:paraId="50D82FD1">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55" w:type="dxa"/>
            <w:tcBorders>
              <w:top w:val="nil"/>
              <w:left w:val="nil"/>
              <w:bottom w:val="single" w:color="auto" w:sz="4" w:space="0"/>
              <w:right w:val="single" w:color="auto" w:sz="8" w:space="0"/>
            </w:tcBorders>
            <w:noWrap/>
            <w:vAlign w:val="center"/>
          </w:tcPr>
          <w:p w14:paraId="4B1A7D3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14:paraId="1C04BA6F">
      <w:pPr>
        <w:rPr>
          <w:color w:val="auto"/>
          <w:highlight w:val="none"/>
        </w:rPr>
      </w:pPr>
      <w:r>
        <w:rPr>
          <w:rFonts w:ascii="仿宋" w:hAnsi="仿宋" w:eastAsia="仿宋"/>
          <w:color w:val="auto"/>
          <w:sz w:val="28"/>
          <w:szCs w:val="28"/>
          <w:highlight w:val="none"/>
        </w:rPr>
        <w:t xml:space="preserve">                     </w:t>
      </w:r>
    </w:p>
    <w:p w14:paraId="2A78EC9A">
      <w:pPr>
        <w:spacing w:line="240" w:lineRule="auto"/>
        <w:ind w:firstLine="0" w:firstLineChars="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注：1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投标报价以“元”为单位，小数点后保留两位小数，第三位小数四舍五入</w:t>
      </w:r>
      <w:r>
        <w:rPr>
          <w:rFonts w:hint="eastAsia" w:ascii="宋体" w:hAnsi="宋体" w:cs="Times New Roman"/>
          <w:color w:val="auto"/>
          <w:szCs w:val="21"/>
          <w:highlight w:val="none"/>
          <w:lang w:eastAsia="zh-CN"/>
        </w:rPr>
        <w:t>；</w:t>
      </w:r>
    </w:p>
    <w:p w14:paraId="3F5FE1A9">
      <w:pPr>
        <w:spacing w:line="24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2.根据含税投标总价、增值税税率计算出的不含税投标总价，与所报的不含税投标总价不一致的，以含税投标总价与增值税税率为准，修正不含税投标总价</w:t>
      </w:r>
      <w:r>
        <w:rPr>
          <w:rFonts w:hint="eastAsia" w:ascii="宋体" w:hAnsi="宋体" w:cs="Times New Roman"/>
          <w:color w:val="auto"/>
          <w:szCs w:val="21"/>
          <w:highlight w:val="none"/>
          <w:lang w:eastAsia="zh-CN"/>
        </w:rPr>
        <w:t>；</w:t>
      </w:r>
    </w:p>
    <w:p w14:paraId="6942E25C">
      <w:pPr>
        <w:spacing w:line="24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color w:val="auto"/>
          <w:szCs w:val="21"/>
          <w:highlight w:val="none"/>
          <w:lang w:val="en-US" w:eastAsia="zh-CN"/>
        </w:rPr>
        <w:t>本表需加盖投标人电子印章。</w:t>
      </w:r>
    </w:p>
    <w:p w14:paraId="3E0D5E12">
      <w:pPr>
        <w:spacing w:line="360" w:lineRule="auto"/>
        <w:rPr>
          <w:rFonts w:ascii="宋体" w:hAnsi="宋体"/>
          <w:b/>
          <w:color w:val="auto"/>
          <w:szCs w:val="21"/>
          <w:highlight w:val="none"/>
        </w:rPr>
      </w:pPr>
    </w:p>
    <w:p w14:paraId="06FC6C3B">
      <w:pPr>
        <w:adjustRightInd w:val="0"/>
        <w:snapToGrid w:val="0"/>
        <w:spacing w:line="360" w:lineRule="auto"/>
        <w:ind w:firstLine="420" w:firstLineChars="200"/>
        <w:rPr>
          <w:rFonts w:ascii="宋体" w:hAnsi="宋体"/>
          <w:color w:val="auto"/>
          <w:szCs w:val="21"/>
          <w:highlight w:val="none"/>
          <w:u w:val="single"/>
        </w:rPr>
      </w:pPr>
    </w:p>
    <w:p w14:paraId="34F96BB5">
      <w:pPr>
        <w:spacing w:line="360" w:lineRule="auto"/>
        <w:rPr>
          <w:rFonts w:ascii="宋体" w:hAnsi="宋体"/>
          <w:b/>
          <w:color w:val="auto"/>
          <w:szCs w:val="21"/>
          <w:highlight w:val="none"/>
        </w:rPr>
      </w:pPr>
    </w:p>
    <w:p w14:paraId="298CA53A">
      <w:pPr>
        <w:rPr>
          <w:rFonts w:ascii="宋体" w:hAnsi="宋体"/>
          <w:b/>
          <w:color w:val="auto"/>
          <w:szCs w:val="21"/>
          <w:highlight w:val="none"/>
        </w:rPr>
        <w:sectPr>
          <w:pgSz w:w="16838" w:h="11906" w:orient="landscape"/>
          <w:pgMar w:top="1797" w:right="1440" w:bottom="1304" w:left="1440" w:header="851" w:footer="992" w:gutter="0"/>
          <w:pgNumType w:fmt="decimal"/>
          <w:cols w:space="720" w:num="1"/>
          <w:docGrid w:type="lines" w:linePitch="312" w:charSpace="0"/>
        </w:sectPr>
      </w:pPr>
    </w:p>
    <w:p w14:paraId="49FD5A30">
      <w:pPr>
        <w:pStyle w:val="3"/>
        <w:spacing w:before="0" w:after="100"/>
        <w:jc w:val="left"/>
        <w:rPr>
          <w:rFonts w:hint="eastAsia" w:ascii="Arial" w:hAnsi="Arial" w:eastAsia="黑体" w:cs="Times New Roman"/>
          <w:b/>
          <w:bCs/>
          <w:color w:val="auto"/>
          <w:kern w:val="2"/>
          <w:sz w:val="32"/>
          <w:szCs w:val="32"/>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附件3-3  工程设计费投标报价表  </w:t>
      </w:r>
      <w:r>
        <w:rPr>
          <w:rFonts w:hint="eastAsia" w:ascii="宋体" w:hAnsi="宋体" w:eastAsia="宋体" w:cs="Times New Roman"/>
          <w:b/>
          <w:bCs/>
          <w:color w:val="auto"/>
          <w:kern w:val="44"/>
          <w:sz w:val="21"/>
          <w:szCs w:val="21"/>
          <w:highlight w:val="none"/>
          <w:lang w:val="en-US" w:eastAsia="zh-CN" w:bidi="ar-SA"/>
        </w:rPr>
        <w:t xml:space="preserve"> </w:t>
      </w:r>
      <w:r>
        <w:rPr>
          <w:rFonts w:hint="eastAsia" w:ascii="Arial" w:hAnsi="Arial" w:eastAsia="黑体" w:cs="Times New Roman"/>
          <w:b/>
          <w:bCs/>
          <w:color w:val="auto"/>
          <w:kern w:val="2"/>
          <w:sz w:val="32"/>
          <w:szCs w:val="32"/>
          <w:highlight w:val="none"/>
          <w:lang w:val="en-US" w:eastAsia="zh-CN" w:bidi="ar-SA"/>
        </w:rPr>
        <w:t xml:space="preserve">                    </w:t>
      </w:r>
    </w:p>
    <w:p w14:paraId="1FCAA85E">
      <w:pPr>
        <w:pStyle w:val="3"/>
        <w:jc w:val="center"/>
        <w:rPr>
          <w:rFonts w:hint="eastAsia"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工程设计费投标报价表</w:t>
      </w:r>
    </w:p>
    <w:tbl>
      <w:tblPr>
        <w:tblStyle w:val="26"/>
        <w:tblW w:w="14987" w:type="dxa"/>
        <w:jc w:val="center"/>
        <w:tblLayout w:type="fixed"/>
        <w:tblCellMar>
          <w:top w:w="0" w:type="dxa"/>
          <w:left w:w="108" w:type="dxa"/>
          <w:bottom w:w="0" w:type="dxa"/>
          <w:right w:w="108" w:type="dxa"/>
        </w:tblCellMar>
      </w:tblPr>
      <w:tblGrid>
        <w:gridCol w:w="895"/>
        <w:gridCol w:w="1516"/>
        <w:gridCol w:w="3487"/>
        <w:gridCol w:w="1532"/>
        <w:gridCol w:w="1206"/>
        <w:gridCol w:w="1466"/>
        <w:gridCol w:w="1320"/>
        <w:gridCol w:w="2020"/>
        <w:gridCol w:w="1545"/>
      </w:tblGrid>
      <w:tr w14:paraId="277BD352">
        <w:tblPrEx>
          <w:tblCellMar>
            <w:top w:w="0" w:type="dxa"/>
            <w:left w:w="108" w:type="dxa"/>
            <w:bottom w:w="0" w:type="dxa"/>
            <w:right w:w="108" w:type="dxa"/>
          </w:tblCellMar>
        </w:tblPrEx>
        <w:trPr>
          <w:trHeight w:val="541" w:hRule="atLeast"/>
          <w:jc w:val="center"/>
        </w:trPr>
        <w:tc>
          <w:tcPr>
            <w:tcW w:w="895" w:type="dxa"/>
            <w:tcBorders>
              <w:top w:val="single" w:color="auto" w:sz="8" w:space="0"/>
              <w:left w:val="single" w:color="auto" w:sz="8" w:space="0"/>
              <w:bottom w:val="single" w:color="auto" w:sz="4" w:space="0"/>
              <w:right w:val="single" w:color="auto" w:sz="4" w:space="0"/>
            </w:tcBorders>
            <w:noWrap/>
            <w:vAlign w:val="center"/>
          </w:tcPr>
          <w:p w14:paraId="69BDB4CD">
            <w:pPr>
              <w:widowControl/>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一</w:t>
            </w:r>
          </w:p>
        </w:tc>
        <w:tc>
          <w:tcPr>
            <w:tcW w:w="14092" w:type="dxa"/>
            <w:gridSpan w:val="8"/>
            <w:tcBorders>
              <w:top w:val="single" w:color="auto" w:sz="8" w:space="0"/>
              <w:left w:val="nil"/>
              <w:bottom w:val="single" w:color="auto" w:sz="4" w:space="0"/>
              <w:right w:val="single" w:color="000000" w:sz="8" w:space="0"/>
            </w:tcBorders>
            <w:noWrap w:val="0"/>
            <w:vAlign w:val="center"/>
          </w:tcPr>
          <w:p w14:paraId="2C0E0B75">
            <w:pPr>
              <w:widowControl/>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工程设计费</w:t>
            </w:r>
            <w:r>
              <w:rPr>
                <w:rFonts w:hint="eastAsia" w:ascii="宋体" w:hAnsi="宋体" w:cs="宋体"/>
                <w:b/>
                <w:bCs/>
                <w:color w:val="auto"/>
                <w:kern w:val="0"/>
                <w:szCs w:val="21"/>
                <w:highlight w:val="none"/>
              </w:rPr>
              <w:t>含税</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总价：</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rPr>
              <w:t xml:space="preserve"> </w:t>
            </w:r>
            <w:r>
              <w:rPr>
                <w:rFonts w:hint="eastAsia" w:ascii="宋体" w:hAnsi="宋体" w:cs="宋体"/>
                <w:b/>
                <w:bCs/>
                <w:color w:val="auto"/>
                <w:kern w:val="0"/>
                <w:sz w:val="22"/>
                <w:szCs w:val="22"/>
                <w:highlight w:val="none"/>
              </w:rPr>
              <w:t xml:space="preserve"> </w:t>
            </w:r>
          </w:p>
        </w:tc>
      </w:tr>
      <w:tr w14:paraId="57E9E864">
        <w:tblPrEx>
          <w:tblCellMar>
            <w:top w:w="0" w:type="dxa"/>
            <w:left w:w="108" w:type="dxa"/>
            <w:bottom w:w="0" w:type="dxa"/>
            <w:right w:w="108" w:type="dxa"/>
          </w:tblCellMar>
        </w:tblPrEx>
        <w:trPr>
          <w:trHeight w:val="722" w:hRule="atLeast"/>
          <w:jc w:val="center"/>
        </w:trPr>
        <w:tc>
          <w:tcPr>
            <w:tcW w:w="895" w:type="dxa"/>
            <w:vMerge w:val="restart"/>
            <w:tcBorders>
              <w:top w:val="nil"/>
              <w:left w:val="single" w:color="auto" w:sz="8" w:space="0"/>
              <w:bottom w:val="single" w:color="000000" w:sz="8" w:space="0"/>
              <w:right w:val="single" w:color="auto" w:sz="4" w:space="0"/>
            </w:tcBorders>
            <w:noWrap/>
            <w:vAlign w:val="center"/>
          </w:tcPr>
          <w:p w14:paraId="137A1018">
            <w:pPr>
              <w:widowControl/>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1</w:t>
            </w:r>
          </w:p>
        </w:tc>
        <w:tc>
          <w:tcPr>
            <w:tcW w:w="1516" w:type="dxa"/>
            <w:vMerge w:val="restart"/>
            <w:tcBorders>
              <w:top w:val="nil"/>
              <w:left w:val="single" w:color="auto" w:sz="4" w:space="0"/>
              <w:bottom w:val="single" w:color="000000" w:sz="8" w:space="0"/>
              <w:right w:val="single" w:color="auto" w:sz="4" w:space="0"/>
            </w:tcBorders>
            <w:noWrap w:val="0"/>
            <w:vAlign w:val="center"/>
          </w:tcPr>
          <w:p w14:paraId="12DE9707">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工程设计费</w:t>
            </w:r>
          </w:p>
        </w:tc>
        <w:tc>
          <w:tcPr>
            <w:tcW w:w="3487" w:type="dxa"/>
            <w:tcBorders>
              <w:top w:val="single" w:color="auto" w:sz="4" w:space="0"/>
              <w:left w:val="nil"/>
              <w:bottom w:val="single" w:color="auto" w:sz="4" w:space="0"/>
              <w:right w:val="single" w:color="auto" w:sz="4" w:space="0"/>
            </w:tcBorders>
            <w:noWrap w:val="0"/>
            <w:vAlign w:val="center"/>
          </w:tcPr>
          <w:p w14:paraId="48A4A12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工作内容或范围</w:t>
            </w:r>
          </w:p>
        </w:tc>
        <w:tc>
          <w:tcPr>
            <w:tcW w:w="1532" w:type="dxa"/>
            <w:tcBorders>
              <w:top w:val="nil"/>
              <w:left w:val="nil"/>
              <w:bottom w:val="single" w:color="auto" w:sz="4" w:space="0"/>
              <w:right w:val="single" w:color="auto" w:sz="4" w:space="0"/>
            </w:tcBorders>
            <w:noWrap w:val="0"/>
            <w:vAlign w:val="center"/>
          </w:tcPr>
          <w:p w14:paraId="54966CB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最高投标限价（元）</w:t>
            </w:r>
          </w:p>
        </w:tc>
        <w:tc>
          <w:tcPr>
            <w:tcW w:w="1206" w:type="dxa"/>
            <w:tcBorders>
              <w:top w:val="nil"/>
              <w:left w:val="nil"/>
              <w:bottom w:val="single" w:color="auto" w:sz="4" w:space="0"/>
              <w:right w:val="single" w:color="auto" w:sz="4" w:space="0"/>
            </w:tcBorders>
            <w:noWrap w:val="0"/>
            <w:vAlign w:val="center"/>
          </w:tcPr>
          <w:p w14:paraId="607F6BA4">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rPr>
              <w:t>投标下浮率</w:t>
            </w:r>
          </w:p>
        </w:tc>
        <w:tc>
          <w:tcPr>
            <w:tcW w:w="1466" w:type="dxa"/>
            <w:tcBorders>
              <w:top w:val="nil"/>
              <w:left w:val="nil"/>
              <w:bottom w:val="single" w:color="auto" w:sz="4" w:space="0"/>
              <w:right w:val="single" w:color="auto" w:sz="4" w:space="0"/>
            </w:tcBorders>
            <w:noWrap w:val="0"/>
            <w:vAlign w:val="center"/>
          </w:tcPr>
          <w:p w14:paraId="737ED80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含税投标总价（元）</w:t>
            </w:r>
          </w:p>
        </w:tc>
        <w:tc>
          <w:tcPr>
            <w:tcW w:w="1320" w:type="dxa"/>
            <w:tcBorders>
              <w:top w:val="nil"/>
              <w:left w:val="nil"/>
              <w:bottom w:val="single" w:color="auto" w:sz="4" w:space="0"/>
              <w:right w:val="single" w:color="auto" w:sz="4" w:space="0"/>
            </w:tcBorders>
            <w:noWrap w:val="0"/>
            <w:vAlign w:val="center"/>
          </w:tcPr>
          <w:p w14:paraId="49DFBB4A">
            <w:pPr>
              <w:widowControl/>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增值税税率</w:t>
            </w:r>
          </w:p>
        </w:tc>
        <w:tc>
          <w:tcPr>
            <w:tcW w:w="2020" w:type="dxa"/>
            <w:tcBorders>
              <w:top w:val="nil"/>
              <w:left w:val="nil"/>
              <w:bottom w:val="single" w:color="auto" w:sz="4" w:space="0"/>
              <w:right w:val="single" w:color="auto" w:sz="4" w:space="0"/>
            </w:tcBorders>
            <w:noWrap w:val="0"/>
            <w:vAlign w:val="center"/>
          </w:tcPr>
          <w:p w14:paraId="27EA376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不含税投标总价（元）</w:t>
            </w:r>
          </w:p>
        </w:tc>
        <w:tc>
          <w:tcPr>
            <w:tcW w:w="1545" w:type="dxa"/>
            <w:tcBorders>
              <w:top w:val="nil"/>
              <w:left w:val="nil"/>
              <w:bottom w:val="single" w:color="auto" w:sz="4" w:space="0"/>
              <w:right w:val="single" w:color="auto" w:sz="8" w:space="0"/>
            </w:tcBorders>
            <w:noWrap w:val="0"/>
            <w:vAlign w:val="center"/>
          </w:tcPr>
          <w:p w14:paraId="041F7A3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税金（元）</w:t>
            </w:r>
          </w:p>
        </w:tc>
      </w:tr>
      <w:tr w14:paraId="0BED575E">
        <w:tblPrEx>
          <w:tblCellMar>
            <w:top w:w="0" w:type="dxa"/>
            <w:left w:w="108" w:type="dxa"/>
            <w:bottom w:w="0" w:type="dxa"/>
            <w:right w:w="108" w:type="dxa"/>
          </w:tblCellMar>
        </w:tblPrEx>
        <w:trPr>
          <w:trHeight w:val="2506" w:hRule="atLeast"/>
          <w:jc w:val="center"/>
        </w:trPr>
        <w:tc>
          <w:tcPr>
            <w:tcW w:w="895" w:type="dxa"/>
            <w:vMerge w:val="continue"/>
            <w:tcBorders>
              <w:top w:val="nil"/>
              <w:left w:val="single" w:color="auto" w:sz="8" w:space="0"/>
              <w:bottom w:val="single" w:color="000000" w:sz="8" w:space="0"/>
              <w:right w:val="single" w:color="auto" w:sz="4" w:space="0"/>
            </w:tcBorders>
            <w:noWrap w:val="0"/>
            <w:vAlign w:val="center"/>
          </w:tcPr>
          <w:p w14:paraId="5DA917C1">
            <w:pPr>
              <w:widowControl/>
              <w:jc w:val="left"/>
              <w:rPr>
                <w:rFonts w:ascii="宋体" w:hAnsi="宋体" w:cs="宋体"/>
                <w:b/>
                <w:bCs/>
                <w:color w:val="auto"/>
                <w:kern w:val="0"/>
                <w:sz w:val="22"/>
                <w:szCs w:val="22"/>
                <w:highlight w:val="none"/>
              </w:rPr>
            </w:pPr>
          </w:p>
        </w:tc>
        <w:tc>
          <w:tcPr>
            <w:tcW w:w="1516" w:type="dxa"/>
            <w:vMerge w:val="continue"/>
            <w:tcBorders>
              <w:top w:val="nil"/>
              <w:left w:val="single" w:color="auto" w:sz="4" w:space="0"/>
              <w:bottom w:val="single" w:color="000000" w:sz="8" w:space="0"/>
              <w:right w:val="single" w:color="auto" w:sz="4" w:space="0"/>
            </w:tcBorders>
            <w:noWrap w:val="0"/>
            <w:vAlign w:val="center"/>
          </w:tcPr>
          <w:p w14:paraId="40A6C08E">
            <w:pPr>
              <w:widowControl/>
              <w:jc w:val="left"/>
              <w:rPr>
                <w:rFonts w:ascii="宋体" w:hAnsi="宋体" w:cs="宋体"/>
                <w:b/>
                <w:bCs/>
                <w:color w:val="auto"/>
                <w:kern w:val="0"/>
                <w:sz w:val="22"/>
                <w:szCs w:val="22"/>
                <w:highlight w:val="none"/>
              </w:rPr>
            </w:pPr>
          </w:p>
        </w:tc>
        <w:tc>
          <w:tcPr>
            <w:tcW w:w="3487" w:type="dxa"/>
            <w:tcBorders>
              <w:top w:val="single" w:color="auto" w:sz="4" w:space="0"/>
              <w:left w:val="nil"/>
              <w:bottom w:val="single" w:color="auto" w:sz="8" w:space="0"/>
              <w:right w:val="single" w:color="auto" w:sz="4" w:space="0"/>
            </w:tcBorders>
            <w:noWrap w:val="0"/>
            <w:vAlign w:val="center"/>
          </w:tcPr>
          <w:p w14:paraId="2AE13E2F">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1"/>
                <w:szCs w:val="21"/>
                <w:highlight w:val="none"/>
                <w:u w:val="single"/>
                <w:lang w:val="en-US" w:eastAsia="zh-CN"/>
              </w:rPr>
              <w:t>本项目</w:t>
            </w:r>
            <w:r>
              <w:rPr>
                <w:rFonts w:hint="eastAsia" w:ascii="宋体" w:hAnsi="宋体" w:eastAsia="宋体" w:cs="宋体"/>
                <w:color w:val="auto"/>
                <w:sz w:val="21"/>
                <w:szCs w:val="21"/>
                <w:highlight w:val="none"/>
                <w:u w:val="single"/>
              </w:rPr>
              <w:t>全部</w:t>
            </w:r>
            <w:r>
              <w:rPr>
                <w:rFonts w:hint="eastAsia" w:ascii="宋体" w:hAnsi="宋体" w:eastAsia="宋体" w:cs="宋体"/>
                <w:color w:val="auto"/>
                <w:sz w:val="21"/>
                <w:szCs w:val="21"/>
                <w:highlight w:val="none"/>
                <w:u w:val="single"/>
                <w:lang w:val="en-US" w:eastAsia="zh-CN"/>
              </w:rPr>
              <w:t>方案设计至</w:t>
            </w:r>
            <w:r>
              <w:rPr>
                <w:rFonts w:hint="eastAsia" w:ascii="宋体" w:hAnsi="宋体" w:eastAsia="宋体" w:cs="宋体"/>
                <w:color w:val="auto"/>
                <w:sz w:val="21"/>
                <w:szCs w:val="21"/>
                <w:highlight w:val="none"/>
                <w:u w:val="single"/>
              </w:rPr>
              <w:t>初步设计阶段</w:t>
            </w:r>
            <w:r>
              <w:rPr>
                <w:rFonts w:hint="eastAsia" w:ascii="宋体" w:hAnsi="宋体" w:eastAsia="宋体" w:cs="宋体"/>
                <w:color w:val="auto"/>
                <w:sz w:val="21"/>
                <w:szCs w:val="21"/>
                <w:highlight w:val="none"/>
                <w:u w:val="single"/>
                <w:lang w:val="en-US" w:eastAsia="zh-CN"/>
              </w:rPr>
              <w:t>的</w:t>
            </w:r>
            <w:r>
              <w:rPr>
                <w:rFonts w:hint="eastAsia" w:ascii="宋体" w:hAnsi="宋体" w:eastAsia="宋体" w:cs="宋体"/>
                <w:color w:val="auto"/>
                <w:sz w:val="21"/>
                <w:szCs w:val="21"/>
                <w:highlight w:val="none"/>
                <w:u w:val="single"/>
              </w:rPr>
              <w:t>设计</w:t>
            </w:r>
            <w:r>
              <w:rPr>
                <w:rFonts w:hint="eastAsia" w:ascii="宋体" w:hAnsi="宋体" w:eastAsia="宋体" w:cs="宋体"/>
                <w:color w:val="auto"/>
                <w:sz w:val="21"/>
                <w:szCs w:val="21"/>
                <w:highlight w:val="none"/>
                <w:u w:val="single"/>
                <w:lang w:val="en-US" w:eastAsia="zh-CN"/>
              </w:rPr>
              <w:t>工作</w:t>
            </w:r>
            <w:r>
              <w:rPr>
                <w:rFonts w:hint="eastAsia" w:ascii="宋体" w:hAnsi="宋体" w:eastAsia="宋体" w:cs="宋体"/>
                <w:color w:val="auto"/>
                <w:sz w:val="21"/>
                <w:szCs w:val="21"/>
                <w:highlight w:val="none"/>
                <w:u w:val="single"/>
              </w:rPr>
              <w:t>，设计深度需满足政府主管部门初步设计报批深度的要求，包括场地的基坑支护设计、地基及软基处理设计、建筑方案设计、</w:t>
            </w:r>
            <w:r>
              <w:rPr>
                <w:rFonts w:hint="eastAsia" w:ascii="宋体" w:hAnsi="宋体" w:eastAsia="宋体" w:cs="宋体"/>
                <w:color w:val="auto"/>
                <w:sz w:val="21"/>
                <w:szCs w:val="21"/>
                <w:highlight w:val="none"/>
                <w:u w:val="single"/>
                <w:lang w:val="en-US" w:eastAsia="zh-CN"/>
              </w:rPr>
              <w:t>初步设计、</w:t>
            </w:r>
            <w:r>
              <w:rPr>
                <w:rFonts w:hint="eastAsia" w:ascii="宋体" w:hAnsi="宋体" w:eastAsia="宋体" w:cs="宋体"/>
                <w:color w:val="auto"/>
                <w:sz w:val="21"/>
                <w:szCs w:val="21"/>
                <w:highlight w:val="none"/>
                <w:u w:val="single"/>
              </w:rPr>
              <w:t>概算编制、因政策变化或相应外部条件改变带来的相应设计工作、总控协调工作（如有）、与本项目初步设计阶段相关的设计等工作。</w:t>
            </w:r>
          </w:p>
        </w:tc>
        <w:tc>
          <w:tcPr>
            <w:tcW w:w="1532" w:type="dxa"/>
            <w:tcBorders>
              <w:top w:val="nil"/>
              <w:left w:val="nil"/>
              <w:bottom w:val="single" w:color="auto" w:sz="8" w:space="0"/>
              <w:right w:val="single" w:color="auto" w:sz="4" w:space="0"/>
            </w:tcBorders>
            <w:noWrap/>
            <w:vAlign w:val="center"/>
          </w:tcPr>
          <w:p w14:paraId="147DD6A3">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1"/>
                <w:szCs w:val="21"/>
                <w:highlight w:val="none"/>
                <w:u w:val="none"/>
                <w:lang w:val="en-US" w:eastAsia="zh-CN"/>
              </w:rPr>
              <w:t>8934598.40</w:t>
            </w:r>
          </w:p>
        </w:tc>
        <w:tc>
          <w:tcPr>
            <w:tcW w:w="1206" w:type="dxa"/>
            <w:tcBorders>
              <w:top w:val="nil"/>
              <w:left w:val="nil"/>
              <w:bottom w:val="single" w:color="auto" w:sz="8" w:space="0"/>
              <w:right w:val="single" w:color="auto" w:sz="4" w:space="0"/>
            </w:tcBorders>
            <w:noWrap/>
            <w:vAlign w:val="center"/>
          </w:tcPr>
          <w:p w14:paraId="484ED27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u w:val="single"/>
              </w:rPr>
              <w:t>　</w:t>
            </w:r>
            <w:r>
              <w:rPr>
                <w:rFonts w:hint="eastAsia" w:ascii="宋体" w:hAnsi="宋体" w:cs="宋体"/>
                <w:b/>
                <w:bCs/>
                <w:color w:val="auto"/>
                <w:kern w:val="0"/>
                <w:szCs w:val="21"/>
                <w:highlight w:val="none"/>
              </w:rPr>
              <w:t>%</w:t>
            </w:r>
          </w:p>
        </w:tc>
        <w:tc>
          <w:tcPr>
            <w:tcW w:w="1466" w:type="dxa"/>
            <w:tcBorders>
              <w:top w:val="nil"/>
              <w:left w:val="nil"/>
              <w:bottom w:val="single" w:color="auto" w:sz="8" w:space="0"/>
              <w:right w:val="single" w:color="auto" w:sz="4" w:space="0"/>
            </w:tcBorders>
            <w:noWrap/>
            <w:vAlign w:val="center"/>
          </w:tcPr>
          <w:p w14:paraId="5EA0274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0" w:type="dxa"/>
            <w:tcBorders>
              <w:top w:val="nil"/>
              <w:left w:val="nil"/>
              <w:bottom w:val="single" w:color="auto" w:sz="8" w:space="0"/>
              <w:right w:val="single" w:color="auto" w:sz="4" w:space="0"/>
            </w:tcBorders>
            <w:noWrap/>
            <w:vAlign w:val="center"/>
          </w:tcPr>
          <w:p w14:paraId="11B09EF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u w:val="single"/>
              </w:rPr>
              <w:t>　</w:t>
            </w:r>
            <w:r>
              <w:rPr>
                <w:rFonts w:hint="eastAsia" w:ascii="宋体" w:hAnsi="宋体" w:cs="宋体"/>
                <w:b/>
                <w:bCs/>
                <w:color w:val="auto"/>
                <w:kern w:val="0"/>
                <w:szCs w:val="21"/>
                <w:highlight w:val="none"/>
              </w:rPr>
              <w:t>%</w:t>
            </w:r>
          </w:p>
        </w:tc>
        <w:tc>
          <w:tcPr>
            <w:tcW w:w="2020" w:type="dxa"/>
            <w:tcBorders>
              <w:top w:val="nil"/>
              <w:left w:val="nil"/>
              <w:bottom w:val="single" w:color="auto" w:sz="8" w:space="0"/>
              <w:right w:val="single" w:color="auto" w:sz="4" w:space="0"/>
            </w:tcBorders>
            <w:noWrap/>
            <w:vAlign w:val="center"/>
          </w:tcPr>
          <w:p w14:paraId="2A9FBF18">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45" w:type="dxa"/>
            <w:tcBorders>
              <w:top w:val="nil"/>
              <w:left w:val="nil"/>
              <w:bottom w:val="single" w:color="auto" w:sz="8" w:space="0"/>
              <w:right w:val="single" w:color="auto" w:sz="8" w:space="0"/>
            </w:tcBorders>
            <w:noWrap/>
            <w:vAlign w:val="center"/>
          </w:tcPr>
          <w:p w14:paraId="475642F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14:paraId="75B89C0A">
      <w:pPr>
        <w:rPr>
          <w:rFonts w:ascii="仿宋" w:hAnsi="仿宋" w:eastAsia="仿宋"/>
          <w:color w:val="auto"/>
          <w:sz w:val="24"/>
          <w:highlight w:val="none"/>
        </w:rPr>
      </w:pPr>
    </w:p>
    <w:p w14:paraId="3FA390F4">
      <w:pPr>
        <w:spacing w:line="24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注：</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投标报价以“元”为单位，小数点后保留两位小数，第三位小数四舍五入</w:t>
      </w:r>
      <w:r>
        <w:rPr>
          <w:rFonts w:hint="eastAsia" w:ascii="宋体" w:hAnsi="宋体" w:cs="Times New Roman"/>
          <w:color w:val="auto"/>
          <w:szCs w:val="21"/>
          <w:highlight w:val="none"/>
          <w:lang w:eastAsia="zh-CN"/>
        </w:rPr>
        <w:t>；</w:t>
      </w:r>
    </w:p>
    <w:p w14:paraId="3DEBDC1D">
      <w:pPr>
        <w:numPr>
          <w:ilvl w:val="0"/>
          <w:numId w:val="0"/>
        </w:numPr>
        <w:spacing w:line="24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szCs w:val="21"/>
          <w:highlight w:val="none"/>
          <w:lang w:val="en-US" w:eastAsia="zh-CN"/>
        </w:rPr>
        <w:t>工程设计费投标下浮率=（工程设计费最高投标限价-工程设计费含税投标总价）/工程设计费最高投标限价*100%，工程设计费投标下浮率计算错误时，</w:t>
      </w:r>
      <w:r>
        <w:rPr>
          <w:rFonts w:hint="eastAsia"/>
          <w:color w:val="auto"/>
          <w:sz w:val="21"/>
          <w:szCs w:val="21"/>
          <w:highlight w:val="none"/>
        </w:rPr>
        <w:t>按就低不就高原则确定</w:t>
      </w:r>
      <w:r>
        <w:rPr>
          <w:rFonts w:hint="eastAsia"/>
          <w:color w:val="auto"/>
          <w:sz w:val="21"/>
          <w:szCs w:val="21"/>
          <w:highlight w:val="none"/>
          <w:lang w:val="en-US" w:eastAsia="zh-CN"/>
        </w:rPr>
        <w:t>修正</w:t>
      </w:r>
      <w:r>
        <w:rPr>
          <w:rFonts w:hint="eastAsia" w:ascii="宋体" w:hAnsi="宋体" w:eastAsia="宋体" w:cs="Times New Roman"/>
          <w:color w:val="auto"/>
          <w:szCs w:val="21"/>
          <w:highlight w:val="none"/>
          <w:lang w:val="en-US" w:eastAsia="zh-CN"/>
        </w:rPr>
        <w:t>投标下浮率</w:t>
      </w:r>
      <w:r>
        <w:rPr>
          <w:rFonts w:hint="eastAsia"/>
          <w:color w:val="auto"/>
          <w:sz w:val="21"/>
          <w:szCs w:val="21"/>
          <w:highlight w:val="none"/>
        </w:rPr>
        <w:t>或是</w:t>
      </w:r>
      <w:r>
        <w:rPr>
          <w:rFonts w:hint="eastAsia" w:ascii="宋体" w:hAnsi="宋体" w:eastAsia="宋体" w:cs="Times New Roman"/>
          <w:color w:val="auto"/>
          <w:szCs w:val="21"/>
          <w:highlight w:val="none"/>
          <w:lang w:val="en-US" w:eastAsia="zh-CN"/>
        </w:rPr>
        <w:t>含税投标总价</w:t>
      </w:r>
      <w:r>
        <w:rPr>
          <w:rFonts w:hint="eastAsia" w:ascii="宋体" w:hAnsi="宋体" w:cs="Times New Roman"/>
          <w:color w:val="auto"/>
          <w:szCs w:val="21"/>
          <w:highlight w:val="none"/>
          <w:lang w:val="en-US" w:eastAsia="zh-CN"/>
        </w:rPr>
        <w:t>，具体如下：</w:t>
      </w:r>
    </w:p>
    <w:p w14:paraId="5F4CE26B">
      <w:pPr>
        <w:numPr>
          <w:ilvl w:val="0"/>
          <w:numId w:val="0"/>
        </w:numPr>
        <w:spacing w:line="240" w:lineRule="auto"/>
        <w:ind w:firstLine="420" w:firstLineChars="200"/>
        <w:rPr>
          <w:rFonts w:hint="eastAsia" w:ascii="宋体" w:hAnsi="宋体" w:cs="Times New Roman"/>
          <w:color w:val="auto"/>
          <w:szCs w:val="21"/>
          <w:highlight w:val="none"/>
          <w:lang w:val="en-US" w:eastAsia="zh-CN"/>
        </w:rPr>
      </w:pPr>
      <w:r>
        <w:rPr>
          <w:rFonts w:hint="eastAsia"/>
          <w:color w:val="auto"/>
          <w:sz w:val="21"/>
          <w:szCs w:val="21"/>
          <w:highlight w:val="none"/>
        </w:rPr>
        <w:t>①当</w:t>
      </w:r>
      <w:r>
        <w:rPr>
          <w:rFonts w:hint="eastAsia"/>
          <w:color w:val="auto"/>
          <w:sz w:val="21"/>
          <w:szCs w:val="21"/>
          <w:highlight w:val="none"/>
          <w:lang w:val="en-US" w:eastAsia="zh-CN"/>
        </w:rPr>
        <w:t>根据含税投标总价计算的下浮率</w:t>
      </w:r>
      <w:r>
        <w:rPr>
          <w:rFonts w:hint="eastAsia" w:ascii="宋体" w:hAnsi="宋体" w:cs="Times New Roman"/>
          <w:color w:val="auto"/>
          <w:szCs w:val="21"/>
          <w:highlight w:val="none"/>
          <w:lang w:val="en-US" w:eastAsia="zh-CN"/>
        </w:rPr>
        <w:t>小于投标单位填报的投标下浮率，</w:t>
      </w:r>
      <w:r>
        <w:rPr>
          <w:rFonts w:hint="eastAsia"/>
          <w:color w:val="auto"/>
          <w:sz w:val="21"/>
          <w:szCs w:val="21"/>
          <w:highlight w:val="none"/>
        </w:rPr>
        <w:t>以投标下浮率为准，</w:t>
      </w:r>
      <w:r>
        <w:rPr>
          <w:rFonts w:hint="eastAsia" w:ascii="宋体" w:hAnsi="宋体" w:cs="Times New Roman"/>
          <w:color w:val="auto"/>
          <w:szCs w:val="21"/>
          <w:highlight w:val="none"/>
          <w:lang w:val="en-US" w:eastAsia="zh-CN"/>
        </w:rPr>
        <w:t>修正含税投标总价。</w:t>
      </w:r>
    </w:p>
    <w:p w14:paraId="32D718A1">
      <w:pPr>
        <w:numPr>
          <w:ilvl w:val="0"/>
          <w:numId w:val="0"/>
        </w:numPr>
        <w:spacing w:line="240" w:lineRule="auto"/>
        <w:ind w:firstLine="420" w:firstLineChars="200"/>
        <w:rPr>
          <w:rFonts w:hint="eastAsia" w:ascii="宋体" w:hAnsi="宋体" w:eastAsia="宋体" w:cs="Times New Roman"/>
          <w:color w:val="auto"/>
          <w:szCs w:val="21"/>
          <w:highlight w:val="none"/>
          <w:lang w:val="en-US" w:eastAsia="zh-CN"/>
        </w:rPr>
      </w:pPr>
      <w:r>
        <w:rPr>
          <w:rFonts w:hint="eastAsia"/>
          <w:color w:val="auto"/>
          <w:sz w:val="21"/>
          <w:szCs w:val="21"/>
          <w:highlight w:val="none"/>
        </w:rPr>
        <w:t>②当</w:t>
      </w:r>
      <w:r>
        <w:rPr>
          <w:rFonts w:hint="eastAsia"/>
          <w:color w:val="auto"/>
          <w:sz w:val="21"/>
          <w:szCs w:val="21"/>
          <w:highlight w:val="none"/>
          <w:lang w:val="en-US" w:eastAsia="zh-CN"/>
        </w:rPr>
        <w:t>根据含税投标总价计算的下浮率</w:t>
      </w:r>
      <w:r>
        <w:rPr>
          <w:rFonts w:hint="eastAsia" w:ascii="宋体" w:hAnsi="宋体" w:cs="Times New Roman"/>
          <w:color w:val="auto"/>
          <w:szCs w:val="21"/>
          <w:highlight w:val="none"/>
          <w:lang w:val="en-US" w:eastAsia="zh-CN"/>
        </w:rPr>
        <w:t>大于投标单位填报的投标下浮率，</w:t>
      </w:r>
      <w:r>
        <w:rPr>
          <w:rFonts w:hint="eastAsia"/>
          <w:color w:val="auto"/>
          <w:sz w:val="21"/>
          <w:szCs w:val="21"/>
          <w:highlight w:val="none"/>
        </w:rPr>
        <w:t>以</w:t>
      </w:r>
      <w:r>
        <w:rPr>
          <w:rFonts w:hint="eastAsia"/>
          <w:color w:val="auto"/>
          <w:sz w:val="21"/>
          <w:szCs w:val="21"/>
          <w:highlight w:val="none"/>
          <w:lang w:val="en-US" w:eastAsia="zh-CN"/>
        </w:rPr>
        <w:t>含税投标总价</w:t>
      </w:r>
      <w:r>
        <w:rPr>
          <w:rFonts w:hint="eastAsia"/>
          <w:color w:val="auto"/>
          <w:sz w:val="21"/>
          <w:szCs w:val="21"/>
          <w:highlight w:val="none"/>
        </w:rPr>
        <w:t>为准，</w:t>
      </w:r>
      <w:r>
        <w:rPr>
          <w:rFonts w:hint="eastAsia"/>
          <w:color w:val="auto"/>
          <w:sz w:val="21"/>
          <w:szCs w:val="21"/>
          <w:highlight w:val="none"/>
          <w:lang w:val="en-US" w:eastAsia="zh-CN"/>
        </w:rPr>
        <w:t>修正</w:t>
      </w:r>
      <w:r>
        <w:rPr>
          <w:rFonts w:hint="eastAsia" w:ascii="宋体" w:hAnsi="宋体" w:eastAsia="宋体" w:cs="Times New Roman"/>
          <w:color w:val="auto"/>
          <w:szCs w:val="21"/>
          <w:highlight w:val="none"/>
          <w:lang w:val="en-US" w:eastAsia="zh-CN"/>
        </w:rPr>
        <w:t>投标下浮率。小数点后保留两位小数，第三位小数四舍五入</w:t>
      </w:r>
      <w:r>
        <w:rPr>
          <w:rFonts w:hint="eastAsia" w:ascii="宋体" w:hAnsi="宋体" w:cs="Times New Roman"/>
          <w:color w:val="auto"/>
          <w:szCs w:val="21"/>
          <w:highlight w:val="none"/>
          <w:lang w:val="en-US" w:eastAsia="zh-CN"/>
        </w:rPr>
        <w:t>。</w:t>
      </w:r>
    </w:p>
    <w:p w14:paraId="765F2F85">
      <w:pPr>
        <w:spacing w:line="24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根据含税投标总价、增值税税率计算出的不含税投标总价，与所报的不含税投标总价不一致的，以含税投标总价与增值税税率为准，修正不含税投标总价</w:t>
      </w:r>
      <w:r>
        <w:rPr>
          <w:rFonts w:hint="eastAsia" w:ascii="宋体" w:hAnsi="宋体" w:cs="Times New Roman"/>
          <w:color w:val="auto"/>
          <w:szCs w:val="21"/>
          <w:highlight w:val="none"/>
          <w:lang w:val="en-US" w:eastAsia="zh-CN"/>
        </w:rPr>
        <w:t>；</w:t>
      </w:r>
    </w:p>
    <w:p w14:paraId="0CFAC152">
      <w:pPr>
        <w:spacing w:line="240" w:lineRule="auto"/>
        <w:ind w:firstLine="840" w:firstLineChars="400"/>
        <w:rPr>
          <w:rFonts w:hint="eastAsia" w:ascii="宋体" w:hAnsi="宋体"/>
          <w:color w:val="auto"/>
          <w:szCs w:val="21"/>
          <w:highlight w:val="none"/>
          <w:lang w:val="en-US" w:eastAsia="zh-CN"/>
        </w:rPr>
        <w:sectPr>
          <w:pgSz w:w="16838" w:h="11906" w:orient="landscape"/>
          <w:pgMar w:top="1797" w:right="1440" w:bottom="1344" w:left="1440" w:header="851" w:footer="992" w:gutter="0"/>
          <w:pgNumType w:fmt="decimal"/>
          <w:cols w:space="720" w:num="1"/>
          <w:docGrid w:type="lines" w:linePitch="312" w:charSpace="0"/>
        </w:sect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color w:val="auto"/>
          <w:szCs w:val="21"/>
          <w:highlight w:val="none"/>
          <w:lang w:val="en-US" w:eastAsia="zh-CN"/>
        </w:rPr>
        <w:t>本表需加盖投标人电子印章。</w:t>
      </w:r>
    </w:p>
    <w:p w14:paraId="5FC69185">
      <w:pPr>
        <w:pStyle w:val="3"/>
        <w:spacing w:before="100" w:after="100"/>
        <w:jc w:val="left"/>
        <w:rPr>
          <w:rFonts w:hint="eastAsia"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附件3-4  </w:t>
      </w:r>
      <w:r>
        <w:rPr>
          <w:rFonts w:hint="eastAsia" w:ascii="宋体" w:hAnsi="宋体" w:eastAsia="宋体" w:cs="宋体"/>
          <w:color w:val="auto"/>
          <w:kern w:val="44"/>
          <w:sz w:val="21"/>
          <w:szCs w:val="21"/>
          <w:highlight w:val="none"/>
          <w:u w:val="none"/>
          <w:lang w:val="en-US" w:eastAsia="zh-CN"/>
        </w:rPr>
        <w:t>BIM技术应用</w:t>
      </w:r>
      <w:r>
        <w:rPr>
          <w:rFonts w:hint="eastAsia" w:ascii="宋体" w:hAnsi="宋体" w:eastAsia="宋体" w:cs="宋体"/>
          <w:b/>
          <w:bCs/>
          <w:color w:val="auto"/>
          <w:kern w:val="44"/>
          <w:sz w:val="21"/>
          <w:szCs w:val="21"/>
          <w:highlight w:val="none"/>
          <w:lang w:val="en-US" w:eastAsia="zh-CN" w:bidi="ar-SA"/>
        </w:rPr>
        <w:t>费（方案及初步设计阶段）投标报价表</w:t>
      </w:r>
    </w:p>
    <w:p w14:paraId="394FE79D">
      <w:pPr>
        <w:rPr>
          <w:rFonts w:hint="eastAsia" w:ascii="宋体" w:hAnsi="宋体" w:eastAsia="宋体" w:cs="宋体"/>
          <w:b/>
          <w:bCs/>
          <w:color w:val="auto"/>
          <w:kern w:val="44"/>
          <w:sz w:val="21"/>
          <w:szCs w:val="21"/>
          <w:highlight w:val="none"/>
          <w:lang w:val="en-US" w:eastAsia="zh-CN" w:bidi="ar-SA"/>
        </w:rPr>
      </w:pPr>
    </w:p>
    <w:p w14:paraId="2187401E">
      <w:pPr>
        <w:spacing w:line="360" w:lineRule="auto"/>
        <w:ind w:left="-1" w:leftChars="0" w:firstLine="0" w:firstLineChars="0"/>
        <w:jc w:val="center"/>
        <w:rPr>
          <w:rFonts w:hint="default"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sz w:val="32"/>
          <w:szCs w:val="32"/>
          <w:highlight w:val="none"/>
        </w:rPr>
        <w:t>BIM技术应用费</w:t>
      </w:r>
      <w:r>
        <w:rPr>
          <w:rFonts w:hint="eastAsia" w:ascii="Arial" w:hAnsi="Arial" w:eastAsia="黑体" w:cs="Times New Roman"/>
          <w:b/>
          <w:bCs/>
          <w:color w:val="auto"/>
          <w:kern w:val="2"/>
          <w:sz w:val="32"/>
          <w:szCs w:val="32"/>
          <w:highlight w:val="none"/>
          <w:u w:val="none"/>
          <w:lang w:val="en-US" w:eastAsia="zh-CN"/>
        </w:rPr>
        <w:t>（方案及初步设计阶段）</w:t>
      </w:r>
      <w:r>
        <w:rPr>
          <w:rFonts w:hint="eastAsia" w:ascii="Arial" w:hAnsi="Arial" w:eastAsia="黑体" w:cs="Times New Roman"/>
          <w:b/>
          <w:bCs/>
          <w:color w:val="auto"/>
          <w:kern w:val="2"/>
          <w:sz w:val="32"/>
          <w:szCs w:val="32"/>
          <w:highlight w:val="none"/>
          <w:lang w:val="en-US" w:eastAsia="zh-CN" w:bidi="ar-SA"/>
        </w:rPr>
        <w:t>投标报价表</w:t>
      </w:r>
    </w:p>
    <w:tbl>
      <w:tblPr>
        <w:tblStyle w:val="26"/>
        <w:tblW w:w="0" w:type="auto"/>
        <w:jc w:val="center"/>
        <w:tblLayout w:type="fixed"/>
        <w:tblCellMar>
          <w:top w:w="0" w:type="dxa"/>
          <w:left w:w="108" w:type="dxa"/>
          <w:bottom w:w="0" w:type="dxa"/>
          <w:right w:w="108" w:type="dxa"/>
        </w:tblCellMar>
      </w:tblPr>
      <w:tblGrid>
        <w:gridCol w:w="427"/>
        <w:gridCol w:w="1490"/>
        <w:gridCol w:w="2125"/>
        <w:gridCol w:w="1993"/>
        <w:gridCol w:w="1650"/>
        <w:gridCol w:w="1715"/>
        <w:gridCol w:w="1414"/>
        <w:gridCol w:w="1157"/>
        <w:gridCol w:w="1264"/>
        <w:gridCol w:w="939"/>
      </w:tblGrid>
      <w:tr w14:paraId="244F0D1F">
        <w:tblPrEx>
          <w:tblCellMar>
            <w:top w:w="0" w:type="dxa"/>
            <w:left w:w="108" w:type="dxa"/>
            <w:bottom w:w="0" w:type="dxa"/>
            <w:right w:w="108" w:type="dxa"/>
          </w:tblCellMar>
        </w:tblPrEx>
        <w:trPr>
          <w:trHeight w:val="652" w:hRule="atLeast"/>
          <w:jc w:val="center"/>
        </w:trPr>
        <w:tc>
          <w:tcPr>
            <w:tcW w:w="427" w:type="dxa"/>
            <w:tcBorders>
              <w:top w:val="single" w:color="auto" w:sz="8" w:space="0"/>
              <w:left w:val="single" w:color="auto" w:sz="8" w:space="0"/>
              <w:bottom w:val="single" w:color="auto" w:sz="4" w:space="0"/>
              <w:right w:val="single" w:color="auto" w:sz="4" w:space="0"/>
            </w:tcBorders>
            <w:noWrap/>
            <w:vAlign w:val="center"/>
          </w:tcPr>
          <w:p w14:paraId="6B1140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p>
        </w:tc>
        <w:tc>
          <w:tcPr>
            <w:tcW w:w="13747" w:type="dxa"/>
            <w:gridSpan w:val="9"/>
            <w:tcBorders>
              <w:top w:val="single" w:color="auto" w:sz="8" w:space="0"/>
              <w:left w:val="nil"/>
              <w:bottom w:val="single" w:color="auto" w:sz="4" w:space="0"/>
              <w:right w:val="single" w:color="000000" w:sz="8" w:space="0"/>
            </w:tcBorders>
            <w:noWrap/>
            <w:vAlign w:val="center"/>
          </w:tcPr>
          <w:p w14:paraId="1E9B6680">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BIM技术应用费</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方案及初步设计阶段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含税全费用</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总价：</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single"/>
              </w:rPr>
              <w:t xml:space="preserve">   </w:t>
            </w:r>
          </w:p>
        </w:tc>
      </w:tr>
      <w:tr w14:paraId="3990A202">
        <w:tblPrEx>
          <w:tblCellMar>
            <w:top w:w="0" w:type="dxa"/>
            <w:left w:w="108" w:type="dxa"/>
            <w:bottom w:w="0" w:type="dxa"/>
            <w:right w:w="108" w:type="dxa"/>
          </w:tblCellMar>
        </w:tblPrEx>
        <w:trPr>
          <w:trHeight w:val="1189" w:hRule="atLeast"/>
          <w:jc w:val="center"/>
        </w:trPr>
        <w:tc>
          <w:tcPr>
            <w:tcW w:w="427" w:type="dxa"/>
            <w:vMerge w:val="restart"/>
            <w:tcBorders>
              <w:top w:val="nil"/>
              <w:left w:val="single" w:color="auto" w:sz="8" w:space="0"/>
              <w:right w:val="single" w:color="auto" w:sz="4" w:space="0"/>
            </w:tcBorders>
            <w:noWrap/>
            <w:vAlign w:val="center"/>
          </w:tcPr>
          <w:p w14:paraId="5AA9AC8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490" w:type="dxa"/>
            <w:vMerge w:val="restart"/>
            <w:tcBorders>
              <w:top w:val="nil"/>
              <w:left w:val="single" w:color="auto" w:sz="4" w:space="0"/>
              <w:right w:val="single" w:color="auto" w:sz="4" w:space="0"/>
            </w:tcBorders>
            <w:noWrap w:val="0"/>
            <w:vAlign w:val="center"/>
          </w:tcPr>
          <w:p w14:paraId="7B5546B0">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BIM技术应用费</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方案及初步设计阶段</w:t>
            </w:r>
            <w:r>
              <w:rPr>
                <w:rFonts w:hint="eastAsia" w:ascii="宋体" w:hAnsi="宋体" w:cs="宋体"/>
                <w:b/>
                <w:bCs/>
                <w:color w:val="auto"/>
                <w:kern w:val="0"/>
                <w:szCs w:val="21"/>
                <w:highlight w:val="none"/>
                <w:lang w:eastAsia="zh-CN"/>
              </w:rPr>
              <w:t>）</w:t>
            </w:r>
          </w:p>
        </w:tc>
        <w:tc>
          <w:tcPr>
            <w:tcW w:w="2125" w:type="dxa"/>
            <w:tcBorders>
              <w:top w:val="nil"/>
              <w:left w:val="nil"/>
              <w:bottom w:val="single" w:color="auto" w:sz="4" w:space="0"/>
              <w:right w:val="single" w:color="auto" w:sz="4" w:space="0"/>
            </w:tcBorders>
            <w:noWrap w:val="0"/>
            <w:vAlign w:val="center"/>
          </w:tcPr>
          <w:p w14:paraId="72D745B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工作内容或范围</w:t>
            </w:r>
          </w:p>
        </w:tc>
        <w:tc>
          <w:tcPr>
            <w:tcW w:w="1993" w:type="dxa"/>
            <w:tcBorders>
              <w:top w:val="nil"/>
              <w:left w:val="nil"/>
              <w:bottom w:val="single" w:color="auto" w:sz="4" w:space="0"/>
              <w:right w:val="single" w:color="auto" w:sz="4" w:space="0"/>
            </w:tcBorders>
            <w:noWrap w:val="0"/>
            <w:vAlign w:val="center"/>
          </w:tcPr>
          <w:p w14:paraId="4029436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暂定工程量（</w:t>
            </w:r>
            <w:r>
              <w:rPr>
                <w:rFonts w:hint="eastAsia" w:ascii="宋体" w:hAnsi="宋体" w:cs="宋体"/>
                <w:b/>
                <w:bCs/>
                <w:color w:val="auto"/>
                <w:kern w:val="0"/>
                <w:szCs w:val="21"/>
                <w:highlight w:val="none"/>
                <w:lang w:val="en-US" w:eastAsia="zh-CN"/>
              </w:rPr>
              <w:t>平方</w:t>
            </w:r>
            <w:r>
              <w:rPr>
                <w:rFonts w:hint="eastAsia" w:ascii="宋体" w:hAnsi="宋体" w:cs="宋体"/>
                <w:b/>
                <w:bCs/>
                <w:color w:val="auto"/>
                <w:kern w:val="0"/>
                <w:szCs w:val="21"/>
                <w:highlight w:val="none"/>
              </w:rPr>
              <w:t>米）</w:t>
            </w:r>
          </w:p>
        </w:tc>
        <w:tc>
          <w:tcPr>
            <w:tcW w:w="1650" w:type="dxa"/>
            <w:tcBorders>
              <w:top w:val="nil"/>
              <w:left w:val="nil"/>
              <w:bottom w:val="single" w:color="auto" w:sz="4" w:space="0"/>
              <w:right w:val="single" w:color="auto" w:sz="4" w:space="0"/>
            </w:tcBorders>
            <w:noWrap w:val="0"/>
            <w:vAlign w:val="center"/>
          </w:tcPr>
          <w:p w14:paraId="342DFD9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含税全费用综合单价限价</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平方</w:t>
            </w:r>
            <w:r>
              <w:rPr>
                <w:rFonts w:hint="eastAsia" w:ascii="宋体" w:hAnsi="宋体" w:cs="宋体"/>
                <w:b/>
                <w:bCs/>
                <w:color w:val="auto"/>
                <w:kern w:val="0"/>
                <w:szCs w:val="21"/>
                <w:highlight w:val="none"/>
              </w:rPr>
              <w:t>米）</w:t>
            </w:r>
          </w:p>
        </w:tc>
        <w:tc>
          <w:tcPr>
            <w:tcW w:w="1715" w:type="dxa"/>
            <w:tcBorders>
              <w:top w:val="nil"/>
              <w:left w:val="nil"/>
              <w:bottom w:val="single" w:color="auto" w:sz="4" w:space="0"/>
              <w:right w:val="single" w:color="auto" w:sz="4" w:space="0"/>
            </w:tcBorders>
            <w:noWrap w:val="0"/>
            <w:vAlign w:val="center"/>
          </w:tcPr>
          <w:p w14:paraId="2EFD0F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含税全费用投标综合单价</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平方</w:t>
            </w:r>
            <w:r>
              <w:rPr>
                <w:rFonts w:hint="eastAsia" w:ascii="宋体" w:hAnsi="宋体" w:cs="宋体"/>
                <w:b/>
                <w:bCs/>
                <w:color w:val="auto"/>
                <w:kern w:val="0"/>
                <w:szCs w:val="21"/>
                <w:highlight w:val="none"/>
              </w:rPr>
              <w:t>米）</w:t>
            </w:r>
          </w:p>
        </w:tc>
        <w:tc>
          <w:tcPr>
            <w:tcW w:w="1414" w:type="dxa"/>
            <w:tcBorders>
              <w:top w:val="nil"/>
              <w:left w:val="nil"/>
              <w:bottom w:val="single" w:color="auto" w:sz="4" w:space="0"/>
              <w:right w:val="single" w:color="auto" w:sz="4" w:space="0"/>
            </w:tcBorders>
            <w:noWrap w:val="0"/>
            <w:vAlign w:val="center"/>
          </w:tcPr>
          <w:p w14:paraId="2FA0852E">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含税全费用投标总价（元）</w:t>
            </w:r>
          </w:p>
        </w:tc>
        <w:tc>
          <w:tcPr>
            <w:tcW w:w="1157" w:type="dxa"/>
            <w:tcBorders>
              <w:top w:val="nil"/>
              <w:left w:val="nil"/>
              <w:bottom w:val="single" w:color="auto" w:sz="4" w:space="0"/>
              <w:right w:val="single" w:color="auto" w:sz="4" w:space="0"/>
            </w:tcBorders>
            <w:noWrap w:val="0"/>
            <w:vAlign w:val="center"/>
          </w:tcPr>
          <w:p w14:paraId="2C78DB6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增值税税率</w:t>
            </w:r>
          </w:p>
        </w:tc>
        <w:tc>
          <w:tcPr>
            <w:tcW w:w="1264" w:type="dxa"/>
            <w:tcBorders>
              <w:top w:val="nil"/>
              <w:left w:val="nil"/>
              <w:bottom w:val="single" w:color="auto" w:sz="4" w:space="0"/>
              <w:right w:val="single" w:color="auto" w:sz="8" w:space="0"/>
            </w:tcBorders>
            <w:noWrap w:val="0"/>
            <w:vAlign w:val="center"/>
          </w:tcPr>
          <w:p w14:paraId="04C680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不含税投标总价（元）</w:t>
            </w:r>
          </w:p>
        </w:tc>
        <w:tc>
          <w:tcPr>
            <w:tcW w:w="939" w:type="dxa"/>
            <w:tcBorders>
              <w:top w:val="nil"/>
              <w:left w:val="nil"/>
              <w:bottom w:val="single" w:color="auto" w:sz="4" w:space="0"/>
              <w:right w:val="single" w:color="auto" w:sz="8" w:space="0"/>
            </w:tcBorders>
            <w:noWrap w:val="0"/>
            <w:vAlign w:val="center"/>
          </w:tcPr>
          <w:p w14:paraId="39D029E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税金（元）</w:t>
            </w:r>
          </w:p>
        </w:tc>
      </w:tr>
      <w:tr w14:paraId="677B30E4">
        <w:tblPrEx>
          <w:tblCellMar>
            <w:top w:w="0" w:type="dxa"/>
            <w:left w:w="108" w:type="dxa"/>
            <w:bottom w:w="0" w:type="dxa"/>
            <w:right w:w="108" w:type="dxa"/>
          </w:tblCellMar>
        </w:tblPrEx>
        <w:trPr>
          <w:trHeight w:val="1243" w:hRule="atLeast"/>
          <w:jc w:val="center"/>
        </w:trPr>
        <w:tc>
          <w:tcPr>
            <w:tcW w:w="427" w:type="dxa"/>
            <w:vMerge w:val="continue"/>
            <w:tcBorders>
              <w:left w:val="single" w:color="auto" w:sz="8" w:space="0"/>
              <w:bottom w:val="single" w:color="auto" w:sz="4" w:space="0"/>
              <w:right w:val="single" w:color="auto" w:sz="4" w:space="0"/>
            </w:tcBorders>
            <w:noWrap w:val="0"/>
            <w:vAlign w:val="center"/>
          </w:tcPr>
          <w:p w14:paraId="52630BBC">
            <w:pPr>
              <w:widowControl/>
              <w:jc w:val="left"/>
              <w:rPr>
                <w:rFonts w:ascii="宋体" w:hAnsi="宋体" w:cs="宋体"/>
                <w:b/>
                <w:bCs/>
                <w:color w:val="auto"/>
                <w:kern w:val="0"/>
                <w:szCs w:val="21"/>
                <w:highlight w:val="none"/>
              </w:rPr>
            </w:pPr>
          </w:p>
        </w:tc>
        <w:tc>
          <w:tcPr>
            <w:tcW w:w="1490" w:type="dxa"/>
            <w:vMerge w:val="continue"/>
            <w:tcBorders>
              <w:left w:val="single" w:color="auto" w:sz="4" w:space="0"/>
              <w:bottom w:val="single" w:color="000000" w:sz="4" w:space="0"/>
              <w:right w:val="single" w:color="auto" w:sz="4" w:space="0"/>
            </w:tcBorders>
            <w:noWrap w:val="0"/>
            <w:vAlign w:val="center"/>
          </w:tcPr>
          <w:p w14:paraId="27946239">
            <w:pPr>
              <w:widowControl/>
              <w:jc w:val="left"/>
              <w:rPr>
                <w:rFonts w:ascii="宋体" w:hAnsi="宋体" w:cs="宋体"/>
                <w:b/>
                <w:bCs/>
                <w:color w:val="auto"/>
                <w:kern w:val="0"/>
                <w:szCs w:val="21"/>
                <w:highlight w:val="none"/>
              </w:rPr>
            </w:pPr>
          </w:p>
        </w:tc>
        <w:tc>
          <w:tcPr>
            <w:tcW w:w="2125" w:type="dxa"/>
            <w:tcBorders>
              <w:top w:val="nil"/>
              <w:left w:val="nil"/>
              <w:bottom w:val="single" w:color="auto" w:sz="4" w:space="0"/>
              <w:right w:val="single" w:color="auto" w:sz="4" w:space="0"/>
            </w:tcBorders>
            <w:noWrap/>
            <w:vAlign w:val="center"/>
          </w:tcPr>
          <w:p w14:paraId="11C16E63">
            <w:pPr>
              <w:widowControl/>
              <w:jc w:val="center"/>
              <w:rPr>
                <w:rFonts w:hint="eastAsia" w:ascii="宋体" w:hAnsi="宋体" w:cs="宋体"/>
                <w:color w:val="auto"/>
                <w:kern w:val="0"/>
                <w:sz w:val="22"/>
                <w:szCs w:val="22"/>
                <w:highlight w:val="none"/>
              </w:rPr>
            </w:pPr>
            <w:r>
              <w:rPr>
                <w:rFonts w:hint="default" w:ascii="宋体" w:hAnsi="宋体" w:eastAsia="宋体" w:cs="宋体"/>
                <w:b w:val="0"/>
                <w:bCs w:val="0"/>
                <w:color w:val="auto"/>
                <w:kern w:val="0"/>
                <w:szCs w:val="21"/>
                <w:highlight w:val="none"/>
                <w:lang w:val="en-US" w:eastAsia="zh-CN"/>
              </w:rPr>
              <w:t>按照勘察</w:t>
            </w:r>
            <w:r>
              <w:rPr>
                <w:rFonts w:hint="eastAsia" w:ascii="宋体" w:hAnsi="宋体" w:eastAsia="宋体" w:cs="宋体"/>
                <w:b w:val="0"/>
                <w:bCs w:val="0"/>
                <w:color w:val="auto"/>
                <w:kern w:val="0"/>
                <w:szCs w:val="21"/>
                <w:highlight w:val="none"/>
                <w:lang w:val="en-US" w:eastAsia="zh-CN"/>
              </w:rPr>
              <w:t>及初步</w:t>
            </w:r>
            <w:r>
              <w:rPr>
                <w:rFonts w:hint="default" w:ascii="宋体" w:hAnsi="宋体" w:eastAsia="宋体" w:cs="宋体"/>
                <w:b w:val="0"/>
                <w:bCs w:val="0"/>
                <w:color w:val="auto"/>
                <w:kern w:val="0"/>
                <w:szCs w:val="21"/>
                <w:highlight w:val="none"/>
                <w:lang w:val="en-US" w:eastAsia="zh-CN"/>
              </w:rPr>
              <w:t>设计任务书要求开展</w:t>
            </w:r>
            <w:r>
              <w:rPr>
                <w:rFonts w:hint="eastAsia" w:ascii="宋体" w:hAnsi="宋体" w:cs="宋体"/>
                <w:b w:val="0"/>
                <w:bCs w:val="0"/>
                <w:color w:val="auto"/>
                <w:kern w:val="0"/>
                <w:szCs w:val="21"/>
                <w:highlight w:val="none"/>
                <w:lang w:val="en-US" w:eastAsia="zh-CN"/>
              </w:rPr>
              <w:t>方案及</w:t>
            </w:r>
            <w:r>
              <w:rPr>
                <w:rFonts w:hint="eastAsia" w:ascii="宋体" w:hAnsi="宋体" w:eastAsia="宋体" w:cs="宋体"/>
                <w:b w:val="0"/>
                <w:bCs w:val="0"/>
                <w:color w:val="auto"/>
                <w:kern w:val="0"/>
                <w:szCs w:val="21"/>
                <w:highlight w:val="none"/>
                <w:lang w:val="en-US" w:eastAsia="zh-CN"/>
              </w:rPr>
              <w:t>初步</w:t>
            </w:r>
            <w:r>
              <w:rPr>
                <w:rFonts w:hint="default" w:ascii="宋体" w:hAnsi="宋体" w:eastAsia="宋体" w:cs="宋体"/>
                <w:b w:val="0"/>
                <w:bCs w:val="0"/>
                <w:color w:val="auto"/>
                <w:kern w:val="0"/>
                <w:szCs w:val="21"/>
                <w:highlight w:val="none"/>
                <w:lang w:val="en-US" w:eastAsia="zh-CN"/>
              </w:rPr>
              <w:t>设计阶段BIM技术应用工作。</w:t>
            </w:r>
          </w:p>
        </w:tc>
        <w:tc>
          <w:tcPr>
            <w:tcW w:w="1993" w:type="dxa"/>
            <w:tcBorders>
              <w:top w:val="nil"/>
              <w:left w:val="nil"/>
              <w:bottom w:val="single" w:color="auto" w:sz="4" w:space="0"/>
              <w:right w:val="single" w:color="auto" w:sz="4" w:space="0"/>
            </w:tcBorders>
            <w:noWrap/>
            <w:vAlign w:val="center"/>
          </w:tcPr>
          <w:p w14:paraId="3B0AA4D7">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1"/>
                <w:szCs w:val="21"/>
                <w:highlight w:val="none"/>
                <w:u w:val="none"/>
                <w:lang w:val="en-US" w:eastAsia="zh-CN"/>
              </w:rPr>
              <w:t>165000</w:t>
            </w:r>
          </w:p>
        </w:tc>
        <w:tc>
          <w:tcPr>
            <w:tcW w:w="1650" w:type="dxa"/>
            <w:tcBorders>
              <w:top w:val="nil"/>
              <w:left w:val="nil"/>
              <w:bottom w:val="single" w:color="auto" w:sz="4" w:space="0"/>
              <w:right w:val="single" w:color="auto" w:sz="4" w:space="0"/>
            </w:tcBorders>
            <w:noWrap/>
            <w:vAlign w:val="center"/>
          </w:tcPr>
          <w:p w14:paraId="438EB84B">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2.23</w:t>
            </w:r>
          </w:p>
        </w:tc>
        <w:tc>
          <w:tcPr>
            <w:tcW w:w="1715" w:type="dxa"/>
            <w:tcBorders>
              <w:top w:val="nil"/>
              <w:left w:val="nil"/>
              <w:bottom w:val="single" w:color="auto" w:sz="4" w:space="0"/>
              <w:right w:val="single" w:color="auto" w:sz="4" w:space="0"/>
            </w:tcBorders>
            <w:noWrap/>
            <w:vAlign w:val="center"/>
          </w:tcPr>
          <w:p w14:paraId="394BC833">
            <w:pPr>
              <w:widowControl/>
              <w:jc w:val="center"/>
              <w:rPr>
                <w:rFonts w:hint="eastAsia" w:ascii="宋体" w:hAnsi="宋体" w:cs="宋体"/>
                <w:color w:val="auto"/>
                <w:kern w:val="0"/>
                <w:sz w:val="22"/>
                <w:szCs w:val="22"/>
                <w:highlight w:val="none"/>
              </w:rPr>
            </w:pPr>
          </w:p>
        </w:tc>
        <w:tc>
          <w:tcPr>
            <w:tcW w:w="1414" w:type="dxa"/>
            <w:tcBorders>
              <w:top w:val="nil"/>
              <w:left w:val="nil"/>
              <w:bottom w:val="single" w:color="auto" w:sz="4" w:space="0"/>
              <w:right w:val="single" w:color="auto" w:sz="4" w:space="0"/>
            </w:tcBorders>
            <w:noWrap/>
            <w:vAlign w:val="center"/>
          </w:tcPr>
          <w:p w14:paraId="3F8EF3BE">
            <w:pPr>
              <w:widowControl/>
              <w:jc w:val="center"/>
              <w:rPr>
                <w:rFonts w:hint="eastAsia" w:ascii="宋体" w:hAnsi="宋体" w:cs="宋体"/>
                <w:color w:val="auto"/>
                <w:kern w:val="0"/>
                <w:sz w:val="22"/>
                <w:szCs w:val="22"/>
                <w:highlight w:val="none"/>
              </w:rPr>
            </w:pPr>
          </w:p>
        </w:tc>
        <w:tc>
          <w:tcPr>
            <w:tcW w:w="1157" w:type="dxa"/>
            <w:tcBorders>
              <w:top w:val="nil"/>
              <w:left w:val="nil"/>
              <w:bottom w:val="single" w:color="auto" w:sz="4" w:space="0"/>
              <w:right w:val="single" w:color="auto" w:sz="4" w:space="0"/>
            </w:tcBorders>
            <w:noWrap/>
            <w:vAlign w:val="center"/>
          </w:tcPr>
          <w:p w14:paraId="6DAA32DF">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u w:val="single"/>
              </w:rPr>
              <w:t>　</w:t>
            </w:r>
            <w:r>
              <w:rPr>
                <w:rFonts w:hint="eastAsia" w:ascii="宋体" w:hAnsi="宋体" w:cs="宋体"/>
                <w:b/>
                <w:bCs/>
                <w:color w:val="auto"/>
                <w:kern w:val="0"/>
                <w:szCs w:val="21"/>
                <w:highlight w:val="none"/>
              </w:rPr>
              <w:t>%</w:t>
            </w:r>
          </w:p>
        </w:tc>
        <w:tc>
          <w:tcPr>
            <w:tcW w:w="1264" w:type="dxa"/>
            <w:tcBorders>
              <w:top w:val="nil"/>
              <w:left w:val="nil"/>
              <w:bottom w:val="single" w:color="auto" w:sz="4" w:space="0"/>
              <w:right w:val="single" w:color="auto" w:sz="8" w:space="0"/>
            </w:tcBorders>
            <w:noWrap/>
            <w:vAlign w:val="center"/>
          </w:tcPr>
          <w:p w14:paraId="73B97D29">
            <w:pPr>
              <w:widowControl/>
              <w:jc w:val="center"/>
              <w:rPr>
                <w:rFonts w:hint="eastAsia" w:ascii="宋体" w:hAnsi="宋体" w:cs="宋体"/>
                <w:color w:val="auto"/>
                <w:kern w:val="0"/>
                <w:sz w:val="22"/>
                <w:szCs w:val="22"/>
                <w:highlight w:val="none"/>
              </w:rPr>
            </w:pPr>
          </w:p>
        </w:tc>
        <w:tc>
          <w:tcPr>
            <w:tcW w:w="939" w:type="dxa"/>
            <w:tcBorders>
              <w:top w:val="nil"/>
              <w:left w:val="nil"/>
              <w:bottom w:val="single" w:color="auto" w:sz="4" w:space="0"/>
              <w:right w:val="single" w:color="auto" w:sz="8" w:space="0"/>
            </w:tcBorders>
            <w:noWrap/>
            <w:vAlign w:val="center"/>
          </w:tcPr>
          <w:p w14:paraId="3D9CB852">
            <w:pPr>
              <w:widowControl/>
              <w:jc w:val="center"/>
              <w:rPr>
                <w:rFonts w:hint="eastAsia" w:ascii="宋体" w:hAnsi="宋体" w:cs="宋体"/>
                <w:color w:val="auto"/>
                <w:kern w:val="0"/>
                <w:sz w:val="22"/>
                <w:szCs w:val="22"/>
                <w:highlight w:val="none"/>
              </w:rPr>
            </w:pPr>
          </w:p>
        </w:tc>
      </w:tr>
    </w:tbl>
    <w:p w14:paraId="7C6CCE3E">
      <w:pPr>
        <w:rPr>
          <w:rFonts w:ascii="仿宋" w:hAnsi="仿宋" w:eastAsia="仿宋"/>
          <w:color w:val="auto"/>
          <w:sz w:val="24"/>
          <w:highlight w:val="none"/>
        </w:rPr>
      </w:pPr>
    </w:p>
    <w:p w14:paraId="0E1BF811">
      <w:pPr>
        <w:spacing w:line="24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注：</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投标报价以“元”为单位，小数点后保留两位小数，第三位小数四舍五入</w:t>
      </w:r>
      <w:r>
        <w:rPr>
          <w:rFonts w:hint="eastAsia" w:ascii="宋体" w:hAnsi="宋体" w:cs="Times New Roman"/>
          <w:color w:val="auto"/>
          <w:szCs w:val="21"/>
          <w:highlight w:val="none"/>
          <w:lang w:eastAsia="zh-CN"/>
        </w:rPr>
        <w:t>；</w:t>
      </w:r>
    </w:p>
    <w:p w14:paraId="61B08C07">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2.经算术复核的投标人报价与其投标报价不一致时，按就低不就高原则确定其最终报价，具体如下：</w:t>
      </w:r>
    </w:p>
    <w:p w14:paraId="0C6C54B8">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当含税全费用投标综合单价与暂定工程量均符合招标文件要求时，若含税全费用投标综合单价与暂定工程量的乘积与含税全费用投标总价不一致时，按就低不就高原则确定修正含税全费用投标综合单价或是含税全费用投标总价。</w:t>
      </w:r>
    </w:p>
    <w:p w14:paraId="07C9D2BD">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当含税全费用投标综合单价与暂定工程量的乘积小于含税全费用投标总价，以含税全费用投标综合单价为准，修正含税全费用投标总价，除非评标委员会认为单价有明显的小数点错误，此时应以含税全费用投标总价为准，并修正含税全费用投标综合单价。</w:t>
      </w:r>
    </w:p>
    <w:p w14:paraId="02E52837">
      <w:pPr>
        <w:numPr>
          <w:ilvl w:val="0"/>
          <w:numId w:val="0"/>
        </w:numPr>
        <w:spacing w:line="24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③当含税全费用投标综合单价与暂定工程量的乘积大于含税全费用投标总价，以含税全费用投标总价为准，修正含税全费用投标综合单价。</w:t>
      </w:r>
    </w:p>
    <w:p w14:paraId="12CF6950">
      <w:pPr>
        <w:spacing w:line="24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3.含税全费用投标总价与所报增值税税率计算出的不含税投标总价不一致的，以含税全费用投标总价与增值税税率为准，修正不含税投标总价；</w:t>
      </w:r>
    </w:p>
    <w:p w14:paraId="2DE2B117">
      <w:pPr>
        <w:ind w:firstLine="420" w:firstLineChars="200"/>
        <w:jc w:val="left"/>
        <w:rPr>
          <w:rFonts w:hint="eastAsia" w:ascii="宋体" w:hAnsi="宋体" w:eastAsia="宋体" w:cs="宋体"/>
          <w:b/>
          <w:bCs/>
          <w:color w:val="auto"/>
          <w:kern w:val="44"/>
          <w:sz w:val="21"/>
          <w:szCs w:val="21"/>
          <w:highlight w:val="none"/>
          <w:lang w:val="en-US" w:eastAsia="zh-CN" w:bidi="ar-SA"/>
        </w:rPr>
        <w:sectPr>
          <w:pgSz w:w="16838" w:h="11906" w:orient="landscape"/>
          <w:pgMar w:top="1797" w:right="1440" w:bottom="1797" w:left="1440" w:header="851" w:footer="992" w:gutter="0"/>
          <w:pgNumType w:fmt="decimal"/>
          <w:cols w:space="720" w:num="1"/>
          <w:docGrid w:type="lines" w:linePitch="312" w:charSpace="0"/>
        </w:sectPr>
      </w:pPr>
      <w:r>
        <w:rPr>
          <w:rFonts w:hint="eastAsia" w:ascii="宋体" w:hAnsi="宋体"/>
          <w:color w:val="auto"/>
          <w:kern w:val="2"/>
          <w:sz w:val="21"/>
          <w:szCs w:val="21"/>
          <w:highlight w:val="none"/>
          <w:lang w:val="en-US" w:eastAsia="zh-CN" w:bidi="ar-SA"/>
        </w:rPr>
        <w:t>4.</w:t>
      </w:r>
      <w:r>
        <w:rPr>
          <w:rFonts w:hint="eastAsia" w:ascii="宋体" w:hAnsi="宋体"/>
          <w:color w:val="auto"/>
          <w:szCs w:val="21"/>
          <w:highlight w:val="none"/>
          <w:lang w:val="en-US" w:eastAsia="zh-CN"/>
        </w:rPr>
        <w:t>本表需加盖投标人电子印章。</w:t>
      </w:r>
    </w:p>
    <w:p w14:paraId="29312F70">
      <w:pPr>
        <w:pStyle w:val="2"/>
        <w:spacing w:before="0" w:after="0" w:line="240" w:lineRule="auto"/>
        <w:rPr>
          <w:rFonts w:hint="eastAsia" w:ascii="宋体" w:hAnsi="宋体"/>
          <w:strike/>
          <w:color w:val="auto"/>
          <w:sz w:val="24"/>
          <w:highlight w:val="none"/>
        </w:rPr>
      </w:pPr>
      <w:bookmarkStart w:id="26" w:name="_Toc114493762"/>
      <w:bookmarkEnd w:id="26"/>
      <w:bookmarkStart w:id="27" w:name="_Toc114493761"/>
      <w:bookmarkEnd w:id="27"/>
      <w:bookmarkStart w:id="28" w:name="_Toc11498"/>
      <w:bookmarkEnd w:id="28"/>
      <w:bookmarkStart w:id="29" w:name="_Toc7840"/>
      <w:r>
        <w:rPr>
          <w:rFonts w:hint="eastAsia" w:ascii="宋体" w:hAnsi="宋体"/>
          <w:strike/>
          <w:color w:val="auto"/>
          <w:sz w:val="21"/>
          <w:szCs w:val="21"/>
          <w:highlight w:val="none"/>
        </w:rPr>
        <w:t>附录4建筑工程设计方案测试记录表</w:t>
      </w:r>
      <w:bookmarkEnd w:id="29"/>
    </w:p>
    <w:p w14:paraId="144FF811">
      <w:pPr>
        <w:jc w:val="center"/>
        <w:rPr>
          <w:rFonts w:hint="eastAsia" w:ascii="宋体" w:hAnsi="宋体"/>
          <w:b/>
          <w:bCs/>
          <w:strike/>
          <w:color w:val="auto"/>
          <w:sz w:val="32"/>
          <w:highlight w:val="none"/>
        </w:rPr>
      </w:pPr>
      <w:r>
        <w:rPr>
          <w:rFonts w:hint="eastAsia" w:ascii="宋体" w:hAnsi="宋体"/>
          <w:b/>
          <w:bCs/>
          <w:strike/>
          <w:color w:val="auto"/>
          <w:sz w:val="32"/>
          <w:highlight w:val="none"/>
        </w:rPr>
        <w:t>建筑工程设计方案测试记录表</w:t>
      </w:r>
    </w:p>
    <w:p w14:paraId="6289B31D">
      <w:pPr>
        <w:jc w:val="center"/>
        <w:rPr>
          <w:rFonts w:hint="eastAsia" w:ascii="宋体" w:hAnsi="宋体"/>
          <w:strike/>
          <w:color w:val="auto"/>
          <w:highlight w:val="none"/>
        </w:rPr>
      </w:pPr>
      <w:r>
        <w:rPr>
          <w:rFonts w:hint="eastAsia" w:ascii="宋体" w:hAnsi="宋体"/>
          <w:strike/>
          <w:color w:val="auto"/>
          <w:highlight w:val="none"/>
        </w:rPr>
        <w:t>（本表宜装订放在设计投标文本文件的设计说明书前面）</w:t>
      </w:r>
    </w:p>
    <w:p w14:paraId="3CE496D1">
      <w:pPr>
        <w:jc w:val="left"/>
        <w:rPr>
          <w:rFonts w:hint="eastAsia" w:ascii="宋体" w:hAnsi="宋体"/>
          <w:strike/>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56B0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36296ED">
            <w:pPr>
              <w:jc w:val="center"/>
              <w:rPr>
                <w:rFonts w:hint="eastAsia" w:ascii="宋体" w:hAnsi="宋体"/>
                <w:strike/>
                <w:color w:val="auto"/>
                <w:highlight w:val="none"/>
              </w:rPr>
            </w:pPr>
            <w:r>
              <w:rPr>
                <w:rFonts w:hint="eastAsia" w:ascii="宋体" w:hAnsi="宋体"/>
                <w:strike/>
                <w:color w:val="auto"/>
                <w:highlight w:val="none"/>
              </w:rPr>
              <w:t>序号</w:t>
            </w:r>
          </w:p>
        </w:tc>
        <w:tc>
          <w:tcPr>
            <w:tcW w:w="3960" w:type="dxa"/>
            <w:noWrap w:val="0"/>
            <w:vAlign w:val="top"/>
          </w:tcPr>
          <w:p w14:paraId="0DF11AD4">
            <w:pPr>
              <w:jc w:val="center"/>
              <w:rPr>
                <w:rFonts w:hint="eastAsia" w:ascii="宋体" w:hAnsi="宋体"/>
                <w:strike/>
                <w:color w:val="auto"/>
                <w:highlight w:val="none"/>
              </w:rPr>
            </w:pPr>
            <w:r>
              <w:rPr>
                <w:rFonts w:hint="eastAsia" w:ascii="宋体" w:hAnsi="宋体"/>
                <w:strike/>
                <w:color w:val="auto"/>
                <w:highlight w:val="none"/>
              </w:rPr>
              <w:t>指标</w:t>
            </w:r>
          </w:p>
        </w:tc>
        <w:tc>
          <w:tcPr>
            <w:tcW w:w="1080" w:type="dxa"/>
            <w:noWrap w:val="0"/>
            <w:vAlign w:val="top"/>
          </w:tcPr>
          <w:p w14:paraId="7A72FDAC">
            <w:pPr>
              <w:jc w:val="center"/>
              <w:rPr>
                <w:rFonts w:hint="eastAsia" w:ascii="宋体" w:hAnsi="宋体"/>
                <w:strike/>
                <w:color w:val="auto"/>
                <w:highlight w:val="none"/>
              </w:rPr>
            </w:pPr>
            <w:r>
              <w:rPr>
                <w:rFonts w:hint="eastAsia" w:ascii="宋体" w:hAnsi="宋体"/>
                <w:strike/>
                <w:color w:val="auto"/>
                <w:highlight w:val="none"/>
              </w:rPr>
              <w:t>单位</w:t>
            </w:r>
          </w:p>
        </w:tc>
        <w:tc>
          <w:tcPr>
            <w:tcW w:w="3492" w:type="dxa"/>
            <w:noWrap w:val="0"/>
            <w:vAlign w:val="top"/>
          </w:tcPr>
          <w:p w14:paraId="7402CF89">
            <w:pPr>
              <w:jc w:val="center"/>
              <w:rPr>
                <w:rFonts w:hint="eastAsia" w:ascii="宋体" w:hAnsi="宋体"/>
                <w:strike/>
                <w:color w:val="auto"/>
                <w:highlight w:val="none"/>
              </w:rPr>
            </w:pPr>
            <w:r>
              <w:rPr>
                <w:rFonts w:hint="eastAsia" w:ascii="宋体" w:hAnsi="宋体"/>
                <w:strike/>
                <w:color w:val="auto"/>
                <w:highlight w:val="none"/>
              </w:rPr>
              <w:t>数值</w:t>
            </w:r>
          </w:p>
        </w:tc>
      </w:tr>
      <w:tr w14:paraId="38A6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87F55B2">
            <w:pPr>
              <w:jc w:val="center"/>
              <w:rPr>
                <w:rFonts w:hint="eastAsia" w:ascii="宋体" w:hAnsi="宋体"/>
                <w:strike/>
                <w:color w:val="auto"/>
                <w:highlight w:val="none"/>
              </w:rPr>
            </w:pPr>
          </w:p>
        </w:tc>
        <w:tc>
          <w:tcPr>
            <w:tcW w:w="3960" w:type="dxa"/>
            <w:noWrap w:val="0"/>
            <w:vAlign w:val="top"/>
          </w:tcPr>
          <w:p w14:paraId="45107D24">
            <w:pPr>
              <w:rPr>
                <w:rFonts w:hint="eastAsia" w:ascii="宋体" w:hAnsi="宋体"/>
                <w:strike/>
                <w:color w:val="auto"/>
                <w:highlight w:val="none"/>
              </w:rPr>
            </w:pPr>
            <w:r>
              <w:rPr>
                <w:rFonts w:hint="eastAsia" w:ascii="宋体" w:hAnsi="宋体"/>
                <w:strike/>
                <w:color w:val="auto"/>
                <w:highlight w:val="none"/>
              </w:rPr>
              <w:t>基地面积</w:t>
            </w:r>
          </w:p>
        </w:tc>
        <w:tc>
          <w:tcPr>
            <w:tcW w:w="1080" w:type="dxa"/>
            <w:noWrap w:val="0"/>
            <w:vAlign w:val="top"/>
          </w:tcPr>
          <w:p w14:paraId="57A4CD48">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3D67DFED">
            <w:pPr>
              <w:jc w:val="center"/>
              <w:rPr>
                <w:rFonts w:hint="eastAsia" w:ascii="宋体" w:hAnsi="宋体"/>
                <w:strike/>
                <w:color w:val="auto"/>
                <w:highlight w:val="none"/>
              </w:rPr>
            </w:pPr>
          </w:p>
        </w:tc>
      </w:tr>
      <w:tr w14:paraId="7262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027BE69">
            <w:pPr>
              <w:jc w:val="center"/>
              <w:rPr>
                <w:rFonts w:hint="eastAsia" w:ascii="宋体" w:hAnsi="宋体"/>
                <w:strike/>
                <w:color w:val="auto"/>
                <w:highlight w:val="none"/>
              </w:rPr>
            </w:pPr>
          </w:p>
        </w:tc>
        <w:tc>
          <w:tcPr>
            <w:tcW w:w="3960" w:type="dxa"/>
            <w:noWrap w:val="0"/>
            <w:vAlign w:val="top"/>
          </w:tcPr>
          <w:p w14:paraId="6BECEF77">
            <w:pPr>
              <w:rPr>
                <w:rFonts w:hint="eastAsia" w:ascii="宋体" w:hAnsi="宋体"/>
                <w:strike/>
                <w:color w:val="auto"/>
                <w:highlight w:val="none"/>
              </w:rPr>
            </w:pPr>
            <w:r>
              <w:rPr>
                <w:rFonts w:hint="eastAsia" w:ascii="宋体" w:hAnsi="宋体"/>
                <w:strike/>
                <w:color w:val="auto"/>
                <w:highlight w:val="none"/>
              </w:rPr>
              <w:t>建筑容积率</w:t>
            </w:r>
          </w:p>
        </w:tc>
        <w:tc>
          <w:tcPr>
            <w:tcW w:w="1080" w:type="dxa"/>
            <w:noWrap w:val="0"/>
            <w:vAlign w:val="top"/>
          </w:tcPr>
          <w:p w14:paraId="63FBBFBC">
            <w:pPr>
              <w:jc w:val="center"/>
              <w:rPr>
                <w:rFonts w:hint="eastAsia" w:ascii="宋体" w:hAnsi="宋体"/>
                <w:strike/>
                <w:color w:val="auto"/>
                <w:highlight w:val="none"/>
              </w:rPr>
            </w:pPr>
          </w:p>
        </w:tc>
        <w:tc>
          <w:tcPr>
            <w:tcW w:w="3492" w:type="dxa"/>
            <w:noWrap w:val="0"/>
            <w:vAlign w:val="top"/>
          </w:tcPr>
          <w:p w14:paraId="0AEF5298">
            <w:pPr>
              <w:jc w:val="center"/>
              <w:rPr>
                <w:rFonts w:hint="eastAsia" w:ascii="宋体" w:hAnsi="宋体"/>
                <w:strike/>
                <w:color w:val="auto"/>
                <w:highlight w:val="none"/>
              </w:rPr>
            </w:pPr>
          </w:p>
        </w:tc>
      </w:tr>
      <w:tr w14:paraId="659C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C1FBE98">
            <w:pPr>
              <w:jc w:val="center"/>
              <w:rPr>
                <w:rFonts w:hint="eastAsia" w:ascii="宋体" w:hAnsi="宋体"/>
                <w:strike/>
                <w:color w:val="auto"/>
                <w:highlight w:val="none"/>
              </w:rPr>
            </w:pPr>
          </w:p>
        </w:tc>
        <w:tc>
          <w:tcPr>
            <w:tcW w:w="3960" w:type="dxa"/>
            <w:noWrap w:val="0"/>
            <w:vAlign w:val="top"/>
          </w:tcPr>
          <w:p w14:paraId="556D9F91">
            <w:pPr>
              <w:rPr>
                <w:rFonts w:hint="eastAsia" w:ascii="宋体" w:hAnsi="宋体"/>
                <w:strike/>
                <w:color w:val="auto"/>
                <w:highlight w:val="none"/>
              </w:rPr>
            </w:pPr>
            <w:r>
              <w:rPr>
                <w:rFonts w:hint="eastAsia" w:ascii="宋体" w:hAnsi="宋体"/>
                <w:strike/>
                <w:color w:val="auto"/>
                <w:highlight w:val="none"/>
              </w:rPr>
              <w:t>建筑密度</w:t>
            </w:r>
          </w:p>
        </w:tc>
        <w:tc>
          <w:tcPr>
            <w:tcW w:w="1080" w:type="dxa"/>
            <w:noWrap w:val="0"/>
            <w:vAlign w:val="top"/>
          </w:tcPr>
          <w:p w14:paraId="31BDD404">
            <w:pPr>
              <w:jc w:val="center"/>
              <w:rPr>
                <w:rFonts w:hint="eastAsia" w:ascii="宋体" w:hAnsi="宋体"/>
                <w:strike/>
                <w:color w:val="auto"/>
                <w:highlight w:val="none"/>
              </w:rPr>
            </w:pPr>
            <w:r>
              <w:rPr>
                <w:rFonts w:hint="eastAsia" w:ascii="宋体" w:hAnsi="宋体"/>
                <w:strike/>
                <w:color w:val="auto"/>
                <w:highlight w:val="none"/>
              </w:rPr>
              <w:t>%</w:t>
            </w:r>
          </w:p>
        </w:tc>
        <w:tc>
          <w:tcPr>
            <w:tcW w:w="3492" w:type="dxa"/>
            <w:noWrap w:val="0"/>
            <w:vAlign w:val="top"/>
          </w:tcPr>
          <w:p w14:paraId="52609A5D">
            <w:pPr>
              <w:jc w:val="center"/>
              <w:rPr>
                <w:rFonts w:hint="eastAsia" w:ascii="宋体" w:hAnsi="宋体"/>
                <w:strike/>
                <w:color w:val="auto"/>
                <w:highlight w:val="none"/>
              </w:rPr>
            </w:pPr>
          </w:p>
        </w:tc>
      </w:tr>
      <w:tr w14:paraId="5843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A0C11CD">
            <w:pPr>
              <w:jc w:val="center"/>
              <w:rPr>
                <w:rFonts w:hint="eastAsia" w:ascii="宋体" w:hAnsi="宋体"/>
                <w:strike/>
                <w:color w:val="auto"/>
                <w:highlight w:val="none"/>
              </w:rPr>
            </w:pPr>
          </w:p>
        </w:tc>
        <w:tc>
          <w:tcPr>
            <w:tcW w:w="3960" w:type="dxa"/>
            <w:noWrap w:val="0"/>
            <w:vAlign w:val="top"/>
          </w:tcPr>
          <w:p w14:paraId="4CDD3C31">
            <w:pPr>
              <w:rPr>
                <w:rFonts w:hint="eastAsia" w:ascii="宋体" w:hAnsi="宋体"/>
                <w:strike/>
                <w:color w:val="auto"/>
                <w:highlight w:val="none"/>
              </w:rPr>
            </w:pPr>
            <w:r>
              <w:rPr>
                <w:rFonts w:hint="eastAsia" w:ascii="宋体" w:hAnsi="宋体"/>
                <w:strike/>
                <w:color w:val="auto"/>
                <w:highlight w:val="none"/>
              </w:rPr>
              <w:t>绿地率</w:t>
            </w:r>
          </w:p>
        </w:tc>
        <w:tc>
          <w:tcPr>
            <w:tcW w:w="1080" w:type="dxa"/>
            <w:noWrap w:val="0"/>
            <w:vAlign w:val="top"/>
          </w:tcPr>
          <w:p w14:paraId="7989DC8B">
            <w:pPr>
              <w:jc w:val="center"/>
              <w:rPr>
                <w:rFonts w:hint="eastAsia" w:ascii="宋体" w:hAnsi="宋体"/>
                <w:strike/>
                <w:color w:val="auto"/>
                <w:highlight w:val="none"/>
              </w:rPr>
            </w:pPr>
            <w:r>
              <w:rPr>
                <w:rFonts w:hint="eastAsia" w:ascii="宋体" w:hAnsi="宋体"/>
                <w:strike/>
                <w:color w:val="auto"/>
                <w:highlight w:val="none"/>
              </w:rPr>
              <w:t>%</w:t>
            </w:r>
          </w:p>
        </w:tc>
        <w:tc>
          <w:tcPr>
            <w:tcW w:w="3492" w:type="dxa"/>
            <w:noWrap w:val="0"/>
            <w:vAlign w:val="top"/>
          </w:tcPr>
          <w:p w14:paraId="5E7C9F66">
            <w:pPr>
              <w:jc w:val="center"/>
              <w:rPr>
                <w:rFonts w:hint="eastAsia" w:ascii="宋体" w:hAnsi="宋体"/>
                <w:strike/>
                <w:color w:val="auto"/>
                <w:highlight w:val="none"/>
              </w:rPr>
            </w:pPr>
          </w:p>
        </w:tc>
      </w:tr>
      <w:tr w14:paraId="263D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0F34A22">
            <w:pPr>
              <w:jc w:val="center"/>
              <w:rPr>
                <w:rFonts w:hint="eastAsia" w:ascii="宋体" w:hAnsi="宋体"/>
                <w:strike/>
                <w:color w:val="auto"/>
                <w:highlight w:val="none"/>
              </w:rPr>
            </w:pPr>
          </w:p>
        </w:tc>
        <w:tc>
          <w:tcPr>
            <w:tcW w:w="3960" w:type="dxa"/>
            <w:noWrap w:val="0"/>
            <w:vAlign w:val="top"/>
          </w:tcPr>
          <w:p w14:paraId="3B5A3297">
            <w:pPr>
              <w:jc w:val="left"/>
              <w:rPr>
                <w:rFonts w:hint="eastAsia" w:ascii="宋体" w:hAnsi="宋体"/>
                <w:strike/>
                <w:color w:val="auto"/>
                <w:highlight w:val="none"/>
              </w:rPr>
            </w:pPr>
            <w:r>
              <w:rPr>
                <w:rFonts w:hint="eastAsia" w:ascii="宋体" w:hAnsi="宋体"/>
                <w:strike/>
                <w:color w:val="auto"/>
                <w:highlight w:val="none"/>
              </w:rPr>
              <w:t>总建筑面积</w:t>
            </w:r>
          </w:p>
        </w:tc>
        <w:tc>
          <w:tcPr>
            <w:tcW w:w="1080" w:type="dxa"/>
            <w:noWrap w:val="0"/>
            <w:vAlign w:val="top"/>
          </w:tcPr>
          <w:p w14:paraId="666B1E34">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15CDC457">
            <w:pPr>
              <w:jc w:val="left"/>
              <w:rPr>
                <w:rFonts w:hint="eastAsia" w:ascii="宋体" w:hAnsi="宋体"/>
                <w:strike/>
                <w:color w:val="auto"/>
                <w:highlight w:val="none"/>
              </w:rPr>
            </w:pPr>
          </w:p>
        </w:tc>
      </w:tr>
      <w:tr w14:paraId="0487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0530449">
            <w:pPr>
              <w:jc w:val="center"/>
              <w:rPr>
                <w:rFonts w:hint="eastAsia" w:ascii="宋体" w:hAnsi="宋体"/>
                <w:strike/>
                <w:color w:val="auto"/>
                <w:highlight w:val="none"/>
              </w:rPr>
            </w:pPr>
          </w:p>
        </w:tc>
        <w:tc>
          <w:tcPr>
            <w:tcW w:w="3960" w:type="dxa"/>
            <w:noWrap w:val="0"/>
            <w:vAlign w:val="top"/>
          </w:tcPr>
          <w:p w14:paraId="6F15AFA5">
            <w:pPr>
              <w:rPr>
                <w:rFonts w:hint="eastAsia" w:ascii="宋体" w:hAnsi="宋体"/>
                <w:strike/>
                <w:color w:val="auto"/>
                <w:highlight w:val="none"/>
              </w:rPr>
            </w:pPr>
            <w:r>
              <w:rPr>
                <w:rFonts w:hint="eastAsia" w:ascii="宋体" w:hAnsi="宋体"/>
                <w:strike/>
                <w:color w:val="auto"/>
                <w:highlight w:val="none"/>
              </w:rPr>
              <w:t>地上建筑面积</w:t>
            </w:r>
          </w:p>
        </w:tc>
        <w:tc>
          <w:tcPr>
            <w:tcW w:w="1080" w:type="dxa"/>
            <w:noWrap w:val="0"/>
            <w:vAlign w:val="top"/>
          </w:tcPr>
          <w:p w14:paraId="675547DF">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0B6078E6">
            <w:pPr>
              <w:jc w:val="center"/>
              <w:rPr>
                <w:rFonts w:hint="eastAsia" w:ascii="宋体" w:hAnsi="宋体"/>
                <w:strike/>
                <w:color w:val="auto"/>
                <w:highlight w:val="none"/>
              </w:rPr>
            </w:pPr>
          </w:p>
        </w:tc>
      </w:tr>
      <w:tr w14:paraId="56EE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655FF3B">
            <w:pPr>
              <w:jc w:val="center"/>
              <w:rPr>
                <w:rFonts w:hint="eastAsia" w:ascii="宋体" w:hAnsi="宋体"/>
                <w:strike/>
                <w:color w:val="auto"/>
                <w:highlight w:val="none"/>
              </w:rPr>
            </w:pPr>
          </w:p>
        </w:tc>
        <w:tc>
          <w:tcPr>
            <w:tcW w:w="3960" w:type="dxa"/>
            <w:noWrap w:val="0"/>
            <w:vAlign w:val="top"/>
          </w:tcPr>
          <w:p w14:paraId="44ED2F65">
            <w:pPr>
              <w:rPr>
                <w:rFonts w:hint="eastAsia" w:ascii="宋体" w:hAnsi="宋体"/>
                <w:strike/>
                <w:color w:val="auto"/>
                <w:highlight w:val="none"/>
              </w:rPr>
            </w:pPr>
            <w:r>
              <w:rPr>
                <w:rFonts w:hint="eastAsia" w:ascii="宋体" w:hAnsi="宋体"/>
                <w:strike/>
                <w:color w:val="auto"/>
                <w:highlight w:val="none"/>
              </w:rPr>
              <w:t>地下建筑面积</w:t>
            </w:r>
          </w:p>
        </w:tc>
        <w:tc>
          <w:tcPr>
            <w:tcW w:w="1080" w:type="dxa"/>
            <w:noWrap w:val="0"/>
            <w:vAlign w:val="top"/>
          </w:tcPr>
          <w:p w14:paraId="1BEB0A0F">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29C3A22D">
            <w:pPr>
              <w:jc w:val="center"/>
              <w:rPr>
                <w:rFonts w:hint="eastAsia" w:ascii="宋体" w:hAnsi="宋体"/>
                <w:strike/>
                <w:color w:val="auto"/>
                <w:highlight w:val="none"/>
              </w:rPr>
            </w:pPr>
          </w:p>
        </w:tc>
      </w:tr>
      <w:tr w14:paraId="3DBA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D795708">
            <w:pPr>
              <w:jc w:val="center"/>
              <w:rPr>
                <w:rFonts w:hint="eastAsia" w:ascii="宋体" w:hAnsi="宋体"/>
                <w:strike/>
                <w:color w:val="auto"/>
                <w:highlight w:val="none"/>
              </w:rPr>
            </w:pPr>
          </w:p>
        </w:tc>
        <w:tc>
          <w:tcPr>
            <w:tcW w:w="3960" w:type="dxa"/>
            <w:noWrap w:val="0"/>
            <w:vAlign w:val="top"/>
          </w:tcPr>
          <w:p w14:paraId="4B09DD96">
            <w:pPr>
              <w:jc w:val="left"/>
              <w:rPr>
                <w:rFonts w:hint="eastAsia" w:ascii="宋体" w:hAnsi="宋体"/>
                <w:strike/>
                <w:color w:val="auto"/>
                <w:highlight w:val="none"/>
              </w:rPr>
            </w:pPr>
            <w:r>
              <w:rPr>
                <w:rFonts w:hint="eastAsia" w:ascii="宋体" w:hAnsi="宋体"/>
                <w:strike/>
                <w:color w:val="auto"/>
                <w:highlight w:val="none"/>
              </w:rPr>
              <w:t>室内停车位</w:t>
            </w:r>
          </w:p>
        </w:tc>
        <w:tc>
          <w:tcPr>
            <w:tcW w:w="1080" w:type="dxa"/>
            <w:noWrap w:val="0"/>
            <w:vAlign w:val="top"/>
          </w:tcPr>
          <w:p w14:paraId="3FD7C07D">
            <w:pPr>
              <w:jc w:val="center"/>
              <w:rPr>
                <w:rFonts w:hint="eastAsia" w:ascii="宋体" w:hAnsi="宋体"/>
                <w:strike/>
                <w:color w:val="auto"/>
                <w:highlight w:val="none"/>
              </w:rPr>
            </w:pPr>
            <w:r>
              <w:rPr>
                <w:rFonts w:hint="eastAsia" w:ascii="宋体" w:hAnsi="宋体"/>
                <w:strike/>
                <w:color w:val="auto"/>
                <w:highlight w:val="none"/>
              </w:rPr>
              <w:t>个</w:t>
            </w:r>
          </w:p>
        </w:tc>
        <w:tc>
          <w:tcPr>
            <w:tcW w:w="3492" w:type="dxa"/>
            <w:noWrap w:val="0"/>
            <w:vAlign w:val="top"/>
          </w:tcPr>
          <w:p w14:paraId="593254CE">
            <w:pPr>
              <w:jc w:val="left"/>
              <w:rPr>
                <w:rFonts w:hint="eastAsia" w:ascii="宋体" w:hAnsi="宋体"/>
                <w:strike/>
                <w:color w:val="auto"/>
                <w:highlight w:val="none"/>
              </w:rPr>
            </w:pPr>
          </w:p>
        </w:tc>
      </w:tr>
      <w:tr w14:paraId="58EF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432727D">
            <w:pPr>
              <w:jc w:val="center"/>
              <w:rPr>
                <w:rFonts w:hint="eastAsia" w:ascii="宋体" w:hAnsi="宋体"/>
                <w:strike/>
                <w:color w:val="auto"/>
                <w:highlight w:val="none"/>
              </w:rPr>
            </w:pPr>
          </w:p>
        </w:tc>
        <w:tc>
          <w:tcPr>
            <w:tcW w:w="3960" w:type="dxa"/>
            <w:noWrap w:val="0"/>
            <w:vAlign w:val="top"/>
          </w:tcPr>
          <w:p w14:paraId="55C2409C">
            <w:pPr>
              <w:jc w:val="left"/>
              <w:rPr>
                <w:rFonts w:hint="eastAsia" w:ascii="宋体" w:hAnsi="宋体"/>
                <w:strike/>
                <w:color w:val="auto"/>
                <w:highlight w:val="none"/>
              </w:rPr>
            </w:pPr>
            <w:r>
              <w:rPr>
                <w:rFonts w:hint="eastAsia" w:ascii="宋体" w:hAnsi="宋体"/>
                <w:strike/>
                <w:color w:val="auto"/>
                <w:highlight w:val="none"/>
              </w:rPr>
              <w:t>室外停车位</w:t>
            </w:r>
          </w:p>
        </w:tc>
        <w:tc>
          <w:tcPr>
            <w:tcW w:w="1080" w:type="dxa"/>
            <w:noWrap w:val="0"/>
            <w:vAlign w:val="top"/>
          </w:tcPr>
          <w:p w14:paraId="564E1F9F">
            <w:pPr>
              <w:jc w:val="center"/>
              <w:rPr>
                <w:rFonts w:hint="eastAsia" w:ascii="宋体" w:hAnsi="宋体"/>
                <w:strike/>
                <w:color w:val="auto"/>
                <w:highlight w:val="none"/>
              </w:rPr>
            </w:pPr>
            <w:r>
              <w:rPr>
                <w:rFonts w:hint="eastAsia" w:ascii="宋体" w:hAnsi="宋体"/>
                <w:strike/>
                <w:color w:val="auto"/>
                <w:highlight w:val="none"/>
              </w:rPr>
              <w:t>个</w:t>
            </w:r>
          </w:p>
        </w:tc>
        <w:tc>
          <w:tcPr>
            <w:tcW w:w="3492" w:type="dxa"/>
            <w:noWrap w:val="0"/>
            <w:vAlign w:val="top"/>
          </w:tcPr>
          <w:p w14:paraId="3BAEB906">
            <w:pPr>
              <w:jc w:val="left"/>
              <w:rPr>
                <w:rFonts w:hint="eastAsia" w:ascii="宋体" w:hAnsi="宋体"/>
                <w:strike/>
                <w:color w:val="auto"/>
                <w:highlight w:val="none"/>
              </w:rPr>
            </w:pPr>
          </w:p>
        </w:tc>
      </w:tr>
      <w:tr w14:paraId="3E8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6D1DC4C">
            <w:pPr>
              <w:jc w:val="center"/>
              <w:rPr>
                <w:rFonts w:hint="eastAsia" w:ascii="宋体" w:hAnsi="宋体"/>
                <w:strike/>
                <w:color w:val="auto"/>
                <w:highlight w:val="none"/>
              </w:rPr>
            </w:pPr>
          </w:p>
        </w:tc>
        <w:tc>
          <w:tcPr>
            <w:tcW w:w="3960" w:type="dxa"/>
            <w:noWrap w:val="0"/>
            <w:vAlign w:val="top"/>
          </w:tcPr>
          <w:p w14:paraId="3F2C021B">
            <w:pPr>
              <w:rPr>
                <w:rFonts w:hint="eastAsia" w:ascii="宋体" w:hAnsi="宋体"/>
                <w:strike/>
                <w:color w:val="auto"/>
                <w:highlight w:val="none"/>
              </w:rPr>
            </w:pPr>
            <w:r>
              <w:rPr>
                <w:rFonts w:hint="eastAsia" w:ascii="宋体" w:hAnsi="宋体"/>
                <w:strike/>
                <w:color w:val="auto"/>
                <w:highlight w:val="none"/>
              </w:rPr>
              <w:t>住宅总户数</w:t>
            </w:r>
          </w:p>
        </w:tc>
        <w:tc>
          <w:tcPr>
            <w:tcW w:w="1080" w:type="dxa"/>
            <w:noWrap w:val="0"/>
            <w:vAlign w:val="top"/>
          </w:tcPr>
          <w:p w14:paraId="36DEF418">
            <w:pPr>
              <w:jc w:val="center"/>
              <w:rPr>
                <w:rFonts w:hint="eastAsia" w:ascii="宋体" w:hAnsi="宋体"/>
                <w:strike/>
                <w:color w:val="auto"/>
                <w:highlight w:val="none"/>
              </w:rPr>
            </w:pPr>
            <w:r>
              <w:rPr>
                <w:rFonts w:hint="eastAsia" w:ascii="宋体" w:hAnsi="宋体"/>
                <w:strike/>
                <w:color w:val="auto"/>
                <w:highlight w:val="none"/>
              </w:rPr>
              <w:t>户</w:t>
            </w:r>
          </w:p>
        </w:tc>
        <w:tc>
          <w:tcPr>
            <w:tcW w:w="3492" w:type="dxa"/>
            <w:noWrap w:val="0"/>
            <w:vAlign w:val="top"/>
          </w:tcPr>
          <w:p w14:paraId="3B55B320">
            <w:pPr>
              <w:jc w:val="center"/>
              <w:rPr>
                <w:rFonts w:hint="eastAsia" w:ascii="宋体" w:hAnsi="宋体"/>
                <w:strike/>
                <w:color w:val="auto"/>
                <w:highlight w:val="none"/>
              </w:rPr>
            </w:pPr>
          </w:p>
        </w:tc>
      </w:tr>
      <w:tr w14:paraId="15A1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CB7343B">
            <w:pPr>
              <w:jc w:val="center"/>
              <w:rPr>
                <w:rFonts w:hint="eastAsia" w:ascii="宋体" w:hAnsi="宋体"/>
                <w:strike/>
                <w:color w:val="auto"/>
                <w:highlight w:val="none"/>
              </w:rPr>
            </w:pPr>
          </w:p>
        </w:tc>
        <w:tc>
          <w:tcPr>
            <w:tcW w:w="3960" w:type="dxa"/>
            <w:noWrap w:val="0"/>
            <w:vAlign w:val="top"/>
          </w:tcPr>
          <w:p w14:paraId="15413F49">
            <w:pPr>
              <w:rPr>
                <w:rFonts w:hint="eastAsia" w:ascii="宋体" w:hAnsi="宋体"/>
                <w:strike/>
                <w:color w:val="auto"/>
                <w:highlight w:val="none"/>
              </w:rPr>
            </w:pPr>
            <w:r>
              <w:rPr>
                <w:rFonts w:hint="eastAsia" w:ascii="宋体" w:hAnsi="宋体"/>
                <w:strike/>
                <w:color w:val="auto"/>
                <w:highlight w:val="none"/>
              </w:rPr>
              <w:t>90平方米以下户型住宅户数</w:t>
            </w:r>
          </w:p>
        </w:tc>
        <w:tc>
          <w:tcPr>
            <w:tcW w:w="1080" w:type="dxa"/>
            <w:noWrap w:val="0"/>
            <w:vAlign w:val="top"/>
          </w:tcPr>
          <w:p w14:paraId="7A402983">
            <w:pPr>
              <w:jc w:val="center"/>
              <w:rPr>
                <w:rFonts w:hint="eastAsia" w:ascii="宋体" w:hAnsi="宋体"/>
                <w:strike/>
                <w:color w:val="auto"/>
                <w:highlight w:val="none"/>
              </w:rPr>
            </w:pPr>
            <w:r>
              <w:rPr>
                <w:rFonts w:hint="eastAsia" w:ascii="宋体" w:hAnsi="宋体"/>
                <w:strike/>
                <w:color w:val="auto"/>
                <w:highlight w:val="none"/>
              </w:rPr>
              <w:t>户</w:t>
            </w:r>
          </w:p>
        </w:tc>
        <w:tc>
          <w:tcPr>
            <w:tcW w:w="3492" w:type="dxa"/>
            <w:noWrap w:val="0"/>
            <w:vAlign w:val="top"/>
          </w:tcPr>
          <w:p w14:paraId="5D48FD4C">
            <w:pPr>
              <w:jc w:val="center"/>
              <w:rPr>
                <w:rFonts w:hint="eastAsia" w:ascii="宋体" w:hAnsi="宋体"/>
                <w:strike/>
                <w:color w:val="auto"/>
                <w:highlight w:val="none"/>
              </w:rPr>
            </w:pPr>
          </w:p>
        </w:tc>
      </w:tr>
      <w:tr w14:paraId="7164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CEAA31D">
            <w:pPr>
              <w:jc w:val="center"/>
              <w:rPr>
                <w:rFonts w:hint="eastAsia" w:ascii="宋体" w:hAnsi="宋体"/>
                <w:strike/>
                <w:color w:val="auto"/>
                <w:highlight w:val="none"/>
              </w:rPr>
            </w:pPr>
          </w:p>
        </w:tc>
        <w:tc>
          <w:tcPr>
            <w:tcW w:w="3960" w:type="dxa"/>
            <w:noWrap w:val="0"/>
            <w:vAlign w:val="top"/>
          </w:tcPr>
          <w:p w14:paraId="79A64E9E">
            <w:pPr>
              <w:rPr>
                <w:rFonts w:hint="eastAsia" w:ascii="宋体" w:hAnsi="宋体"/>
                <w:strike/>
                <w:color w:val="auto"/>
                <w:highlight w:val="none"/>
              </w:rPr>
            </w:pPr>
            <w:r>
              <w:rPr>
                <w:rFonts w:hint="eastAsia" w:ascii="宋体" w:hAnsi="宋体"/>
                <w:strike/>
                <w:color w:val="auto"/>
                <w:highlight w:val="none"/>
              </w:rPr>
              <w:t>住宅</w:t>
            </w:r>
          </w:p>
        </w:tc>
        <w:tc>
          <w:tcPr>
            <w:tcW w:w="1080" w:type="dxa"/>
            <w:noWrap w:val="0"/>
            <w:vAlign w:val="top"/>
          </w:tcPr>
          <w:p w14:paraId="5849FE11">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2DFB0AA8">
            <w:pPr>
              <w:jc w:val="center"/>
              <w:rPr>
                <w:rFonts w:hint="eastAsia" w:ascii="宋体" w:hAnsi="宋体"/>
                <w:strike/>
                <w:color w:val="auto"/>
                <w:highlight w:val="none"/>
              </w:rPr>
            </w:pPr>
          </w:p>
        </w:tc>
      </w:tr>
      <w:tr w14:paraId="6903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7305959">
            <w:pPr>
              <w:jc w:val="center"/>
              <w:rPr>
                <w:rFonts w:hint="eastAsia" w:ascii="宋体" w:hAnsi="宋体"/>
                <w:strike/>
                <w:color w:val="auto"/>
                <w:highlight w:val="none"/>
              </w:rPr>
            </w:pPr>
          </w:p>
        </w:tc>
        <w:tc>
          <w:tcPr>
            <w:tcW w:w="3960" w:type="dxa"/>
            <w:noWrap w:val="0"/>
            <w:vAlign w:val="top"/>
          </w:tcPr>
          <w:p w14:paraId="3CE5EFD0">
            <w:pPr>
              <w:rPr>
                <w:rFonts w:hint="eastAsia" w:ascii="宋体" w:hAnsi="宋体"/>
                <w:strike/>
                <w:color w:val="auto"/>
                <w:highlight w:val="none"/>
              </w:rPr>
            </w:pPr>
            <w:r>
              <w:rPr>
                <w:rFonts w:hint="eastAsia" w:ascii="宋体" w:hAnsi="宋体"/>
                <w:strike/>
                <w:color w:val="auto"/>
                <w:highlight w:val="none"/>
              </w:rPr>
              <w:t>宾馆</w:t>
            </w:r>
          </w:p>
        </w:tc>
        <w:tc>
          <w:tcPr>
            <w:tcW w:w="1080" w:type="dxa"/>
            <w:noWrap w:val="0"/>
            <w:vAlign w:val="top"/>
          </w:tcPr>
          <w:p w14:paraId="655CDC35">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5737AA48">
            <w:pPr>
              <w:jc w:val="center"/>
              <w:rPr>
                <w:rFonts w:hint="eastAsia" w:ascii="宋体" w:hAnsi="宋体"/>
                <w:strike/>
                <w:color w:val="auto"/>
                <w:highlight w:val="none"/>
              </w:rPr>
            </w:pPr>
          </w:p>
        </w:tc>
      </w:tr>
      <w:tr w14:paraId="1D4F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EB8A51A">
            <w:pPr>
              <w:jc w:val="center"/>
              <w:rPr>
                <w:rFonts w:hint="eastAsia" w:ascii="宋体" w:hAnsi="宋体"/>
                <w:strike/>
                <w:color w:val="auto"/>
                <w:highlight w:val="none"/>
              </w:rPr>
            </w:pPr>
          </w:p>
        </w:tc>
        <w:tc>
          <w:tcPr>
            <w:tcW w:w="3960" w:type="dxa"/>
            <w:noWrap w:val="0"/>
            <w:vAlign w:val="top"/>
          </w:tcPr>
          <w:p w14:paraId="720C8105">
            <w:pPr>
              <w:rPr>
                <w:rFonts w:hint="eastAsia" w:ascii="宋体" w:hAnsi="宋体"/>
                <w:strike/>
                <w:color w:val="auto"/>
                <w:highlight w:val="none"/>
              </w:rPr>
            </w:pPr>
            <w:r>
              <w:rPr>
                <w:rFonts w:hint="eastAsia" w:ascii="宋体" w:hAnsi="宋体"/>
                <w:strike/>
                <w:color w:val="auto"/>
                <w:highlight w:val="none"/>
              </w:rPr>
              <w:t>商业</w:t>
            </w:r>
          </w:p>
        </w:tc>
        <w:tc>
          <w:tcPr>
            <w:tcW w:w="1080" w:type="dxa"/>
            <w:noWrap w:val="0"/>
            <w:vAlign w:val="top"/>
          </w:tcPr>
          <w:p w14:paraId="0EDBCF54">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627937B5">
            <w:pPr>
              <w:jc w:val="center"/>
              <w:rPr>
                <w:rFonts w:hint="eastAsia" w:ascii="宋体" w:hAnsi="宋体"/>
                <w:strike/>
                <w:color w:val="auto"/>
                <w:highlight w:val="none"/>
              </w:rPr>
            </w:pPr>
          </w:p>
        </w:tc>
      </w:tr>
      <w:tr w14:paraId="0324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996DCF8">
            <w:pPr>
              <w:jc w:val="center"/>
              <w:rPr>
                <w:rFonts w:hint="eastAsia" w:ascii="宋体" w:hAnsi="宋体"/>
                <w:strike/>
                <w:color w:val="auto"/>
                <w:highlight w:val="none"/>
              </w:rPr>
            </w:pPr>
          </w:p>
        </w:tc>
        <w:tc>
          <w:tcPr>
            <w:tcW w:w="3960" w:type="dxa"/>
            <w:noWrap w:val="0"/>
            <w:vAlign w:val="top"/>
          </w:tcPr>
          <w:p w14:paraId="0C507F6A">
            <w:pPr>
              <w:rPr>
                <w:rFonts w:hint="eastAsia" w:ascii="宋体" w:hAnsi="宋体"/>
                <w:strike/>
                <w:color w:val="auto"/>
                <w:highlight w:val="none"/>
              </w:rPr>
            </w:pPr>
            <w:r>
              <w:rPr>
                <w:rFonts w:hint="eastAsia" w:ascii="宋体" w:hAnsi="宋体"/>
                <w:strike/>
                <w:color w:val="auto"/>
                <w:highlight w:val="none"/>
              </w:rPr>
              <w:t>办公</w:t>
            </w:r>
          </w:p>
        </w:tc>
        <w:tc>
          <w:tcPr>
            <w:tcW w:w="1080" w:type="dxa"/>
            <w:noWrap w:val="0"/>
            <w:vAlign w:val="top"/>
          </w:tcPr>
          <w:p w14:paraId="27CC549D">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73D18DB8">
            <w:pPr>
              <w:jc w:val="center"/>
              <w:rPr>
                <w:rFonts w:hint="eastAsia" w:ascii="宋体" w:hAnsi="宋体"/>
                <w:strike/>
                <w:color w:val="auto"/>
                <w:highlight w:val="none"/>
              </w:rPr>
            </w:pPr>
          </w:p>
        </w:tc>
      </w:tr>
      <w:tr w14:paraId="3F20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92F6FA2">
            <w:pPr>
              <w:jc w:val="center"/>
              <w:rPr>
                <w:rFonts w:hint="eastAsia" w:ascii="宋体" w:hAnsi="宋体"/>
                <w:strike/>
                <w:color w:val="auto"/>
                <w:highlight w:val="none"/>
              </w:rPr>
            </w:pPr>
          </w:p>
        </w:tc>
        <w:tc>
          <w:tcPr>
            <w:tcW w:w="3960" w:type="dxa"/>
            <w:noWrap w:val="0"/>
            <w:vAlign w:val="top"/>
          </w:tcPr>
          <w:p w14:paraId="7EBABBEC">
            <w:pPr>
              <w:rPr>
                <w:rFonts w:hint="eastAsia" w:ascii="宋体" w:hAnsi="宋体"/>
                <w:strike/>
                <w:color w:val="auto"/>
                <w:highlight w:val="none"/>
              </w:rPr>
            </w:pPr>
            <w:r>
              <w:rPr>
                <w:rFonts w:hint="eastAsia" w:ascii="宋体" w:hAnsi="宋体"/>
                <w:strike/>
                <w:color w:val="auto"/>
                <w:highlight w:val="none"/>
              </w:rPr>
              <w:t>文教体卫</w:t>
            </w:r>
          </w:p>
        </w:tc>
        <w:tc>
          <w:tcPr>
            <w:tcW w:w="1080" w:type="dxa"/>
            <w:noWrap w:val="0"/>
            <w:vAlign w:val="top"/>
          </w:tcPr>
          <w:p w14:paraId="258ECABB">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540EF243">
            <w:pPr>
              <w:jc w:val="center"/>
              <w:rPr>
                <w:rFonts w:hint="eastAsia" w:ascii="宋体" w:hAnsi="宋体"/>
                <w:strike/>
                <w:color w:val="auto"/>
                <w:highlight w:val="none"/>
              </w:rPr>
            </w:pPr>
          </w:p>
        </w:tc>
      </w:tr>
      <w:tr w14:paraId="55F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841DD77">
            <w:pPr>
              <w:jc w:val="center"/>
              <w:rPr>
                <w:rFonts w:hint="eastAsia" w:ascii="宋体" w:hAnsi="宋体"/>
                <w:strike/>
                <w:color w:val="auto"/>
                <w:highlight w:val="none"/>
              </w:rPr>
            </w:pPr>
          </w:p>
        </w:tc>
        <w:tc>
          <w:tcPr>
            <w:tcW w:w="3960" w:type="dxa"/>
            <w:noWrap w:val="0"/>
            <w:vAlign w:val="top"/>
          </w:tcPr>
          <w:p w14:paraId="2C5427F0">
            <w:pPr>
              <w:rPr>
                <w:rFonts w:hint="eastAsia" w:ascii="宋体" w:hAnsi="宋体"/>
                <w:strike/>
                <w:color w:val="auto"/>
                <w:highlight w:val="none"/>
              </w:rPr>
            </w:pPr>
            <w:r>
              <w:rPr>
                <w:rFonts w:hint="eastAsia" w:ascii="宋体" w:hAnsi="宋体"/>
                <w:strike/>
                <w:color w:val="auto"/>
                <w:highlight w:val="none"/>
              </w:rPr>
              <w:t>工业仓储</w:t>
            </w:r>
          </w:p>
        </w:tc>
        <w:tc>
          <w:tcPr>
            <w:tcW w:w="1080" w:type="dxa"/>
            <w:noWrap w:val="0"/>
            <w:vAlign w:val="top"/>
          </w:tcPr>
          <w:p w14:paraId="26559B61">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3F1EE780">
            <w:pPr>
              <w:jc w:val="center"/>
              <w:rPr>
                <w:rFonts w:hint="eastAsia" w:ascii="宋体" w:hAnsi="宋体"/>
                <w:strike/>
                <w:color w:val="auto"/>
                <w:highlight w:val="none"/>
              </w:rPr>
            </w:pPr>
          </w:p>
        </w:tc>
      </w:tr>
      <w:tr w14:paraId="0033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9BCF5FA">
            <w:pPr>
              <w:jc w:val="center"/>
              <w:rPr>
                <w:rFonts w:hint="eastAsia" w:ascii="宋体" w:hAnsi="宋体"/>
                <w:strike/>
                <w:color w:val="auto"/>
                <w:highlight w:val="none"/>
              </w:rPr>
            </w:pPr>
          </w:p>
        </w:tc>
        <w:tc>
          <w:tcPr>
            <w:tcW w:w="3960" w:type="dxa"/>
            <w:noWrap w:val="0"/>
            <w:vAlign w:val="top"/>
          </w:tcPr>
          <w:p w14:paraId="41AEE5D8">
            <w:pPr>
              <w:rPr>
                <w:rFonts w:hint="eastAsia" w:ascii="宋体" w:hAnsi="宋体"/>
                <w:strike/>
                <w:color w:val="auto"/>
                <w:highlight w:val="none"/>
              </w:rPr>
            </w:pPr>
            <w:r>
              <w:rPr>
                <w:rFonts w:hint="eastAsia" w:ascii="宋体" w:hAnsi="宋体"/>
                <w:strike/>
                <w:color w:val="auto"/>
                <w:highlight w:val="none"/>
              </w:rPr>
              <w:t>站场设施</w:t>
            </w:r>
          </w:p>
        </w:tc>
        <w:tc>
          <w:tcPr>
            <w:tcW w:w="1080" w:type="dxa"/>
            <w:noWrap w:val="0"/>
            <w:vAlign w:val="top"/>
          </w:tcPr>
          <w:p w14:paraId="1E4BE857">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41091A11">
            <w:pPr>
              <w:jc w:val="center"/>
              <w:rPr>
                <w:rFonts w:hint="eastAsia" w:ascii="宋体" w:hAnsi="宋体"/>
                <w:strike/>
                <w:color w:val="auto"/>
                <w:highlight w:val="none"/>
              </w:rPr>
            </w:pPr>
          </w:p>
        </w:tc>
      </w:tr>
      <w:tr w14:paraId="2886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316C253">
            <w:pPr>
              <w:jc w:val="center"/>
              <w:rPr>
                <w:rFonts w:hint="eastAsia" w:ascii="宋体" w:hAnsi="宋体"/>
                <w:strike/>
                <w:color w:val="auto"/>
                <w:highlight w:val="none"/>
              </w:rPr>
            </w:pPr>
          </w:p>
        </w:tc>
        <w:tc>
          <w:tcPr>
            <w:tcW w:w="3960" w:type="dxa"/>
            <w:noWrap w:val="0"/>
            <w:vAlign w:val="top"/>
          </w:tcPr>
          <w:p w14:paraId="70132274">
            <w:pPr>
              <w:rPr>
                <w:rFonts w:hint="eastAsia" w:ascii="宋体" w:hAnsi="宋体"/>
                <w:strike/>
                <w:color w:val="auto"/>
                <w:highlight w:val="none"/>
              </w:rPr>
            </w:pPr>
            <w:r>
              <w:rPr>
                <w:rFonts w:hint="eastAsia" w:ascii="宋体" w:hAnsi="宋体"/>
                <w:strike/>
                <w:color w:val="auto"/>
                <w:highlight w:val="none"/>
              </w:rPr>
              <w:t>[        ]用途</w:t>
            </w:r>
          </w:p>
        </w:tc>
        <w:tc>
          <w:tcPr>
            <w:tcW w:w="1080" w:type="dxa"/>
            <w:noWrap w:val="0"/>
            <w:vAlign w:val="top"/>
          </w:tcPr>
          <w:p w14:paraId="27E00F29">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0000C301">
            <w:pPr>
              <w:jc w:val="center"/>
              <w:rPr>
                <w:rFonts w:hint="eastAsia" w:ascii="宋体" w:hAnsi="宋体"/>
                <w:strike/>
                <w:color w:val="auto"/>
                <w:highlight w:val="none"/>
              </w:rPr>
            </w:pPr>
          </w:p>
        </w:tc>
      </w:tr>
      <w:tr w14:paraId="4CF7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E893334">
            <w:pPr>
              <w:jc w:val="center"/>
              <w:rPr>
                <w:rFonts w:hint="eastAsia" w:ascii="宋体" w:hAnsi="宋体"/>
                <w:strike/>
                <w:color w:val="auto"/>
                <w:highlight w:val="none"/>
              </w:rPr>
            </w:pPr>
          </w:p>
        </w:tc>
        <w:tc>
          <w:tcPr>
            <w:tcW w:w="3960" w:type="dxa"/>
            <w:noWrap w:val="0"/>
            <w:vAlign w:val="top"/>
          </w:tcPr>
          <w:p w14:paraId="7873701C">
            <w:pPr>
              <w:rPr>
                <w:rFonts w:hint="eastAsia" w:ascii="宋体" w:hAnsi="宋体"/>
                <w:strike/>
                <w:color w:val="auto"/>
                <w:highlight w:val="none"/>
              </w:rPr>
            </w:pPr>
            <w:r>
              <w:rPr>
                <w:rFonts w:hint="eastAsia" w:ascii="宋体" w:hAnsi="宋体"/>
                <w:strike/>
                <w:color w:val="auto"/>
                <w:highlight w:val="none"/>
              </w:rPr>
              <w:t>[        ]用途</w:t>
            </w:r>
          </w:p>
        </w:tc>
        <w:tc>
          <w:tcPr>
            <w:tcW w:w="1080" w:type="dxa"/>
            <w:noWrap w:val="0"/>
            <w:vAlign w:val="top"/>
          </w:tcPr>
          <w:p w14:paraId="3F1E1486">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3BF7CFC2">
            <w:pPr>
              <w:jc w:val="center"/>
              <w:rPr>
                <w:rFonts w:hint="eastAsia" w:ascii="宋体" w:hAnsi="宋体"/>
                <w:strike/>
                <w:color w:val="auto"/>
                <w:highlight w:val="none"/>
              </w:rPr>
            </w:pPr>
          </w:p>
        </w:tc>
      </w:tr>
      <w:tr w14:paraId="56A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0876458">
            <w:pPr>
              <w:jc w:val="center"/>
              <w:rPr>
                <w:rFonts w:hint="eastAsia" w:ascii="宋体" w:hAnsi="宋体"/>
                <w:strike/>
                <w:color w:val="auto"/>
                <w:highlight w:val="none"/>
              </w:rPr>
            </w:pPr>
          </w:p>
        </w:tc>
        <w:tc>
          <w:tcPr>
            <w:tcW w:w="3960" w:type="dxa"/>
            <w:noWrap w:val="0"/>
            <w:vAlign w:val="top"/>
          </w:tcPr>
          <w:p w14:paraId="15D2BBC8">
            <w:pPr>
              <w:rPr>
                <w:rFonts w:hint="eastAsia" w:ascii="宋体" w:hAnsi="宋体"/>
                <w:strike/>
                <w:color w:val="auto"/>
                <w:highlight w:val="none"/>
              </w:rPr>
            </w:pPr>
            <w:r>
              <w:rPr>
                <w:rFonts w:hint="eastAsia" w:ascii="宋体" w:hAnsi="宋体"/>
                <w:strike/>
                <w:color w:val="auto"/>
                <w:highlight w:val="none"/>
              </w:rPr>
              <w:t>[        ]用途</w:t>
            </w:r>
          </w:p>
        </w:tc>
        <w:tc>
          <w:tcPr>
            <w:tcW w:w="1080" w:type="dxa"/>
            <w:noWrap w:val="0"/>
            <w:vAlign w:val="top"/>
          </w:tcPr>
          <w:p w14:paraId="6B1F12BC">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6CB14B85">
            <w:pPr>
              <w:jc w:val="center"/>
              <w:rPr>
                <w:rFonts w:hint="eastAsia" w:ascii="宋体" w:hAnsi="宋体"/>
                <w:strike/>
                <w:color w:val="auto"/>
                <w:highlight w:val="none"/>
              </w:rPr>
            </w:pPr>
          </w:p>
        </w:tc>
      </w:tr>
      <w:tr w14:paraId="7F6A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5F82368">
            <w:pPr>
              <w:jc w:val="center"/>
              <w:rPr>
                <w:rFonts w:hint="eastAsia" w:ascii="宋体" w:hAnsi="宋体"/>
                <w:strike/>
                <w:color w:val="auto"/>
                <w:highlight w:val="none"/>
              </w:rPr>
            </w:pPr>
          </w:p>
        </w:tc>
        <w:tc>
          <w:tcPr>
            <w:tcW w:w="3960" w:type="dxa"/>
            <w:noWrap w:val="0"/>
            <w:vAlign w:val="top"/>
          </w:tcPr>
          <w:p w14:paraId="58569923">
            <w:pPr>
              <w:rPr>
                <w:rFonts w:hint="eastAsia" w:ascii="宋体" w:hAnsi="宋体"/>
                <w:strike/>
                <w:color w:val="auto"/>
                <w:highlight w:val="none"/>
              </w:rPr>
            </w:pPr>
            <w:r>
              <w:rPr>
                <w:rFonts w:hint="eastAsia" w:ascii="宋体" w:hAnsi="宋体"/>
                <w:strike/>
                <w:color w:val="auto"/>
                <w:highlight w:val="none"/>
              </w:rPr>
              <w:t>[        ]用途</w:t>
            </w:r>
          </w:p>
        </w:tc>
        <w:tc>
          <w:tcPr>
            <w:tcW w:w="1080" w:type="dxa"/>
            <w:noWrap w:val="0"/>
            <w:vAlign w:val="top"/>
          </w:tcPr>
          <w:p w14:paraId="32BE035F">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689EE7AF">
            <w:pPr>
              <w:jc w:val="center"/>
              <w:rPr>
                <w:rFonts w:hint="eastAsia" w:ascii="宋体" w:hAnsi="宋体"/>
                <w:strike/>
                <w:color w:val="auto"/>
                <w:highlight w:val="none"/>
              </w:rPr>
            </w:pPr>
          </w:p>
        </w:tc>
      </w:tr>
      <w:tr w14:paraId="5D8B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A47BF81">
            <w:pPr>
              <w:jc w:val="center"/>
              <w:rPr>
                <w:rFonts w:hint="eastAsia" w:ascii="宋体" w:hAnsi="宋体"/>
                <w:strike/>
                <w:color w:val="auto"/>
                <w:highlight w:val="none"/>
              </w:rPr>
            </w:pPr>
          </w:p>
        </w:tc>
        <w:tc>
          <w:tcPr>
            <w:tcW w:w="3960" w:type="dxa"/>
            <w:noWrap w:val="0"/>
            <w:vAlign w:val="top"/>
          </w:tcPr>
          <w:p w14:paraId="7AD9E6BF">
            <w:pPr>
              <w:rPr>
                <w:rFonts w:hint="eastAsia" w:ascii="宋体" w:hAnsi="宋体"/>
                <w:strike/>
                <w:color w:val="auto"/>
                <w:highlight w:val="none"/>
              </w:rPr>
            </w:pPr>
            <w:r>
              <w:rPr>
                <w:rFonts w:hint="eastAsia" w:ascii="宋体" w:hAnsi="宋体"/>
                <w:strike/>
                <w:color w:val="auto"/>
                <w:highlight w:val="none"/>
              </w:rPr>
              <w:t>[        ]用途</w:t>
            </w:r>
          </w:p>
        </w:tc>
        <w:tc>
          <w:tcPr>
            <w:tcW w:w="1080" w:type="dxa"/>
            <w:noWrap w:val="0"/>
            <w:vAlign w:val="top"/>
          </w:tcPr>
          <w:p w14:paraId="6A5DB2F6">
            <w:pPr>
              <w:jc w:val="center"/>
              <w:rPr>
                <w:rFonts w:hint="eastAsia" w:ascii="宋体" w:hAnsi="宋体"/>
                <w:strike/>
                <w:color w:val="auto"/>
                <w:highlight w:val="none"/>
              </w:rPr>
            </w:pPr>
            <w:r>
              <w:rPr>
                <w:rFonts w:hint="eastAsia" w:ascii="宋体" w:hAnsi="宋体"/>
                <w:strike/>
                <w:color w:val="auto"/>
                <w:highlight w:val="none"/>
              </w:rPr>
              <w:t>平方米</w:t>
            </w:r>
          </w:p>
        </w:tc>
        <w:tc>
          <w:tcPr>
            <w:tcW w:w="3492" w:type="dxa"/>
            <w:noWrap w:val="0"/>
            <w:vAlign w:val="top"/>
          </w:tcPr>
          <w:p w14:paraId="5C59A1AD">
            <w:pPr>
              <w:jc w:val="center"/>
              <w:rPr>
                <w:rFonts w:hint="eastAsia" w:ascii="宋体" w:hAnsi="宋体"/>
                <w:strike/>
                <w:color w:val="auto"/>
                <w:highlight w:val="none"/>
              </w:rPr>
            </w:pPr>
          </w:p>
        </w:tc>
      </w:tr>
      <w:tr w14:paraId="1A56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F775241">
            <w:pPr>
              <w:jc w:val="center"/>
              <w:rPr>
                <w:rFonts w:hint="eastAsia" w:ascii="宋体" w:hAnsi="宋体"/>
                <w:strike/>
                <w:color w:val="auto"/>
                <w:highlight w:val="none"/>
              </w:rPr>
            </w:pPr>
          </w:p>
        </w:tc>
        <w:tc>
          <w:tcPr>
            <w:tcW w:w="3960" w:type="dxa"/>
            <w:noWrap w:val="0"/>
            <w:vAlign w:val="top"/>
          </w:tcPr>
          <w:p w14:paraId="209D2C1C">
            <w:pPr>
              <w:rPr>
                <w:rFonts w:hint="eastAsia" w:ascii="宋体" w:hAnsi="宋体"/>
                <w:strike/>
                <w:color w:val="auto"/>
                <w:highlight w:val="none"/>
              </w:rPr>
            </w:pPr>
            <w:r>
              <w:rPr>
                <w:rFonts w:hint="eastAsia" w:ascii="宋体" w:hAnsi="宋体"/>
                <w:strike/>
                <w:color w:val="auto"/>
                <w:highlight w:val="none"/>
              </w:rPr>
              <w:t>建筑总高度</w:t>
            </w:r>
          </w:p>
        </w:tc>
        <w:tc>
          <w:tcPr>
            <w:tcW w:w="1080" w:type="dxa"/>
            <w:noWrap w:val="0"/>
            <w:vAlign w:val="top"/>
          </w:tcPr>
          <w:p w14:paraId="7B55A022">
            <w:pPr>
              <w:jc w:val="center"/>
              <w:rPr>
                <w:rFonts w:hint="eastAsia" w:ascii="宋体" w:hAnsi="宋体"/>
                <w:strike/>
                <w:color w:val="auto"/>
                <w:highlight w:val="none"/>
              </w:rPr>
            </w:pPr>
            <w:r>
              <w:rPr>
                <w:rFonts w:hint="eastAsia" w:ascii="宋体" w:hAnsi="宋体"/>
                <w:strike/>
                <w:color w:val="auto"/>
                <w:highlight w:val="none"/>
              </w:rPr>
              <w:t>米</w:t>
            </w:r>
          </w:p>
        </w:tc>
        <w:tc>
          <w:tcPr>
            <w:tcW w:w="3492" w:type="dxa"/>
            <w:noWrap w:val="0"/>
            <w:vAlign w:val="top"/>
          </w:tcPr>
          <w:p w14:paraId="36D61690">
            <w:pPr>
              <w:jc w:val="center"/>
              <w:rPr>
                <w:rFonts w:hint="eastAsia" w:ascii="宋体" w:hAnsi="宋体"/>
                <w:strike/>
                <w:color w:val="auto"/>
                <w:highlight w:val="none"/>
              </w:rPr>
            </w:pPr>
          </w:p>
        </w:tc>
      </w:tr>
      <w:tr w14:paraId="2E5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EDC6F94">
            <w:pPr>
              <w:jc w:val="left"/>
              <w:rPr>
                <w:rFonts w:hint="eastAsia" w:ascii="宋体" w:hAnsi="宋体"/>
                <w:strike/>
                <w:color w:val="auto"/>
                <w:highlight w:val="none"/>
              </w:rPr>
            </w:pPr>
          </w:p>
        </w:tc>
        <w:tc>
          <w:tcPr>
            <w:tcW w:w="3960" w:type="dxa"/>
            <w:noWrap w:val="0"/>
            <w:vAlign w:val="top"/>
          </w:tcPr>
          <w:p w14:paraId="65387796">
            <w:pPr>
              <w:jc w:val="left"/>
              <w:rPr>
                <w:rFonts w:hint="eastAsia" w:ascii="宋体" w:hAnsi="宋体"/>
                <w:strike/>
                <w:color w:val="auto"/>
                <w:highlight w:val="none"/>
              </w:rPr>
            </w:pPr>
            <w:r>
              <w:rPr>
                <w:rFonts w:hint="eastAsia" w:ascii="宋体" w:hAnsi="宋体"/>
                <w:strike/>
                <w:color w:val="auto"/>
                <w:highlight w:val="none"/>
              </w:rPr>
              <w:t>地上层数</w:t>
            </w:r>
          </w:p>
        </w:tc>
        <w:tc>
          <w:tcPr>
            <w:tcW w:w="1080" w:type="dxa"/>
            <w:noWrap w:val="0"/>
            <w:vAlign w:val="top"/>
          </w:tcPr>
          <w:p w14:paraId="5BB36B23">
            <w:pPr>
              <w:jc w:val="center"/>
              <w:rPr>
                <w:rFonts w:hint="eastAsia" w:ascii="宋体" w:hAnsi="宋体"/>
                <w:strike/>
                <w:color w:val="auto"/>
                <w:highlight w:val="none"/>
              </w:rPr>
            </w:pPr>
            <w:r>
              <w:rPr>
                <w:rFonts w:hint="eastAsia" w:ascii="宋体" w:hAnsi="宋体"/>
                <w:strike/>
                <w:color w:val="auto"/>
                <w:highlight w:val="none"/>
              </w:rPr>
              <w:t>层</w:t>
            </w:r>
          </w:p>
        </w:tc>
        <w:tc>
          <w:tcPr>
            <w:tcW w:w="3492" w:type="dxa"/>
            <w:noWrap w:val="0"/>
            <w:vAlign w:val="top"/>
          </w:tcPr>
          <w:p w14:paraId="7CF3827B">
            <w:pPr>
              <w:jc w:val="left"/>
              <w:rPr>
                <w:rFonts w:hint="eastAsia" w:ascii="宋体" w:hAnsi="宋体"/>
                <w:strike/>
                <w:color w:val="auto"/>
                <w:highlight w:val="none"/>
              </w:rPr>
            </w:pPr>
          </w:p>
        </w:tc>
      </w:tr>
      <w:tr w14:paraId="7CDF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03BC47E">
            <w:pPr>
              <w:jc w:val="left"/>
              <w:rPr>
                <w:rFonts w:hint="eastAsia" w:ascii="宋体" w:hAnsi="宋体"/>
                <w:strike/>
                <w:color w:val="auto"/>
                <w:highlight w:val="none"/>
              </w:rPr>
            </w:pPr>
          </w:p>
        </w:tc>
        <w:tc>
          <w:tcPr>
            <w:tcW w:w="3960" w:type="dxa"/>
            <w:noWrap w:val="0"/>
            <w:vAlign w:val="top"/>
          </w:tcPr>
          <w:p w14:paraId="571F873A">
            <w:pPr>
              <w:jc w:val="left"/>
              <w:rPr>
                <w:rFonts w:hint="eastAsia" w:ascii="宋体" w:hAnsi="宋体"/>
                <w:strike/>
                <w:color w:val="auto"/>
                <w:highlight w:val="none"/>
              </w:rPr>
            </w:pPr>
            <w:r>
              <w:rPr>
                <w:rFonts w:hint="eastAsia" w:ascii="宋体" w:hAnsi="宋体"/>
                <w:strike/>
                <w:color w:val="auto"/>
                <w:highlight w:val="none"/>
              </w:rPr>
              <w:t>地下层数</w:t>
            </w:r>
          </w:p>
        </w:tc>
        <w:tc>
          <w:tcPr>
            <w:tcW w:w="1080" w:type="dxa"/>
            <w:noWrap w:val="0"/>
            <w:vAlign w:val="top"/>
          </w:tcPr>
          <w:p w14:paraId="21EBFADF">
            <w:pPr>
              <w:jc w:val="center"/>
              <w:rPr>
                <w:rFonts w:hint="eastAsia" w:ascii="宋体" w:hAnsi="宋体"/>
                <w:strike/>
                <w:color w:val="auto"/>
                <w:highlight w:val="none"/>
              </w:rPr>
            </w:pPr>
            <w:r>
              <w:rPr>
                <w:rFonts w:hint="eastAsia" w:ascii="宋体" w:hAnsi="宋体"/>
                <w:strike/>
                <w:color w:val="auto"/>
                <w:highlight w:val="none"/>
              </w:rPr>
              <w:t>层</w:t>
            </w:r>
          </w:p>
        </w:tc>
        <w:tc>
          <w:tcPr>
            <w:tcW w:w="3492" w:type="dxa"/>
            <w:noWrap w:val="0"/>
            <w:vAlign w:val="top"/>
          </w:tcPr>
          <w:p w14:paraId="1AB8A32E">
            <w:pPr>
              <w:jc w:val="left"/>
              <w:rPr>
                <w:rFonts w:hint="eastAsia" w:ascii="宋体" w:hAnsi="宋体"/>
                <w:strike/>
                <w:color w:val="auto"/>
                <w:highlight w:val="none"/>
              </w:rPr>
            </w:pPr>
          </w:p>
        </w:tc>
      </w:tr>
      <w:tr w14:paraId="6DC8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DA8936E">
            <w:pPr>
              <w:jc w:val="left"/>
              <w:rPr>
                <w:rFonts w:hint="eastAsia" w:ascii="宋体" w:hAnsi="宋体"/>
                <w:strike/>
                <w:color w:val="auto"/>
                <w:highlight w:val="none"/>
              </w:rPr>
            </w:pPr>
          </w:p>
        </w:tc>
        <w:tc>
          <w:tcPr>
            <w:tcW w:w="3960" w:type="dxa"/>
            <w:noWrap w:val="0"/>
            <w:vAlign w:val="top"/>
          </w:tcPr>
          <w:p w14:paraId="548DD98B">
            <w:pPr>
              <w:jc w:val="left"/>
              <w:rPr>
                <w:rFonts w:hint="eastAsia" w:ascii="宋体" w:hAnsi="宋体"/>
                <w:strike/>
                <w:color w:val="auto"/>
                <w:highlight w:val="none"/>
              </w:rPr>
            </w:pPr>
            <w:r>
              <w:rPr>
                <w:rFonts w:hint="eastAsia" w:ascii="宋体" w:hAnsi="宋体"/>
                <w:strike/>
                <w:color w:val="auto"/>
                <w:highlight w:val="none"/>
              </w:rPr>
              <w:t>电梯</w:t>
            </w:r>
          </w:p>
        </w:tc>
        <w:tc>
          <w:tcPr>
            <w:tcW w:w="1080" w:type="dxa"/>
            <w:noWrap w:val="0"/>
            <w:vAlign w:val="top"/>
          </w:tcPr>
          <w:p w14:paraId="3A84B0A8">
            <w:pPr>
              <w:jc w:val="center"/>
              <w:rPr>
                <w:rFonts w:hint="eastAsia" w:ascii="宋体" w:hAnsi="宋体"/>
                <w:strike/>
                <w:color w:val="auto"/>
                <w:highlight w:val="none"/>
              </w:rPr>
            </w:pPr>
            <w:r>
              <w:rPr>
                <w:rFonts w:hint="eastAsia" w:ascii="宋体" w:hAnsi="宋体"/>
                <w:strike/>
                <w:color w:val="auto"/>
                <w:highlight w:val="none"/>
              </w:rPr>
              <w:t>台</w:t>
            </w:r>
          </w:p>
        </w:tc>
        <w:tc>
          <w:tcPr>
            <w:tcW w:w="3492" w:type="dxa"/>
            <w:noWrap w:val="0"/>
            <w:vAlign w:val="top"/>
          </w:tcPr>
          <w:p w14:paraId="35BC0C4D">
            <w:pPr>
              <w:jc w:val="left"/>
              <w:rPr>
                <w:rFonts w:hint="eastAsia" w:ascii="宋体" w:hAnsi="宋体"/>
                <w:strike/>
                <w:color w:val="auto"/>
                <w:highlight w:val="none"/>
              </w:rPr>
            </w:pPr>
          </w:p>
        </w:tc>
      </w:tr>
      <w:tr w14:paraId="469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ACDFB6E">
            <w:pPr>
              <w:jc w:val="left"/>
              <w:rPr>
                <w:rFonts w:hint="eastAsia" w:ascii="宋体" w:hAnsi="宋体"/>
                <w:strike/>
                <w:color w:val="auto"/>
                <w:highlight w:val="none"/>
              </w:rPr>
            </w:pPr>
          </w:p>
        </w:tc>
        <w:tc>
          <w:tcPr>
            <w:tcW w:w="3960" w:type="dxa"/>
            <w:noWrap w:val="0"/>
            <w:vAlign w:val="top"/>
          </w:tcPr>
          <w:p w14:paraId="304980BE">
            <w:pPr>
              <w:jc w:val="left"/>
              <w:rPr>
                <w:rFonts w:hint="eastAsia" w:ascii="宋体" w:hAnsi="宋体"/>
                <w:strike/>
                <w:color w:val="auto"/>
                <w:highlight w:val="none"/>
              </w:rPr>
            </w:pPr>
            <w:r>
              <w:rPr>
                <w:rFonts w:hint="eastAsia" w:ascii="宋体" w:hAnsi="宋体"/>
                <w:strike/>
                <w:color w:val="auto"/>
                <w:highlight w:val="none"/>
              </w:rPr>
              <w:t>楼梯</w:t>
            </w:r>
          </w:p>
        </w:tc>
        <w:tc>
          <w:tcPr>
            <w:tcW w:w="1080" w:type="dxa"/>
            <w:noWrap w:val="0"/>
            <w:vAlign w:val="top"/>
          </w:tcPr>
          <w:p w14:paraId="3355A828">
            <w:pPr>
              <w:jc w:val="center"/>
              <w:rPr>
                <w:rFonts w:hint="eastAsia" w:ascii="宋体" w:hAnsi="宋体"/>
                <w:strike/>
                <w:color w:val="auto"/>
                <w:highlight w:val="none"/>
              </w:rPr>
            </w:pPr>
            <w:r>
              <w:rPr>
                <w:rFonts w:hint="eastAsia" w:ascii="宋体" w:hAnsi="宋体"/>
                <w:strike/>
                <w:color w:val="auto"/>
                <w:highlight w:val="none"/>
              </w:rPr>
              <w:t>樘</w:t>
            </w:r>
          </w:p>
        </w:tc>
        <w:tc>
          <w:tcPr>
            <w:tcW w:w="3492" w:type="dxa"/>
            <w:noWrap w:val="0"/>
            <w:vAlign w:val="top"/>
          </w:tcPr>
          <w:p w14:paraId="681C9F62">
            <w:pPr>
              <w:jc w:val="left"/>
              <w:rPr>
                <w:rFonts w:hint="eastAsia" w:ascii="宋体" w:hAnsi="宋体"/>
                <w:strike/>
                <w:color w:val="auto"/>
                <w:highlight w:val="none"/>
              </w:rPr>
            </w:pPr>
          </w:p>
        </w:tc>
      </w:tr>
      <w:tr w14:paraId="1463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DAA62F1">
            <w:pPr>
              <w:jc w:val="left"/>
              <w:rPr>
                <w:rFonts w:hint="eastAsia" w:ascii="宋体" w:hAnsi="宋体"/>
                <w:strike/>
                <w:color w:val="auto"/>
                <w:highlight w:val="none"/>
              </w:rPr>
            </w:pPr>
          </w:p>
        </w:tc>
        <w:tc>
          <w:tcPr>
            <w:tcW w:w="3960" w:type="dxa"/>
            <w:noWrap w:val="0"/>
            <w:vAlign w:val="top"/>
          </w:tcPr>
          <w:p w14:paraId="4FD803C0">
            <w:pPr>
              <w:jc w:val="left"/>
              <w:rPr>
                <w:rFonts w:hint="eastAsia" w:ascii="宋体" w:hAnsi="宋体"/>
                <w:strike/>
                <w:color w:val="auto"/>
                <w:highlight w:val="none"/>
              </w:rPr>
            </w:pPr>
            <w:r>
              <w:rPr>
                <w:rFonts w:hint="eastAsia" w:ascii="宋体" w:hAnsi="宋体"/>
                <w:strike/>
                <w:color w:val="auto"/>
                <w:highlight w:val="none"/>
              </w:rPr>
              <w:t>主入口朝向</w:t>
            </w:r>
          </w:p>
        </w:tc>
        <w:tc>
          <w:tcPr>
            <w:tcW w:w="1080" w:type="dxa"/>
            <w:noWrap w:val="0"/>
            <w:vAlign w:val="top"/>
          </w:tcPr>
          <w:p w14:paraId="222FCFE5">
            <w:pPr>
              <w:jc w:val="center"/>
              <w:rPr>
                <w:rFonts w:hint="eastAsia" w:ascii="宋体" w:hAnsi="宋体"/>
                <w:strike/>
                <w:color w:val="auto"/>
                <w:highlight w:val="none"/>
              </w:rPr>
            </w:pPr>
            <w:r>
              <w:rPr>
                <w:rFonts w:hint="eastAsia" w:ascii="宋体" w:hAnsi="宋体"/>
                <w:strike/>
                <w:color w:val="auto"/>
                <w:highlight w:val="none"/>
              </w:rPr>
              <w:t>方向</w:t>
            </w:r>
          </w:p>
        </w:tc>
        <w:tc>
          <w:tcPr>
            <w:tcW w:w="3492" w:type="dxa"/>
            <w:noWrap w:val="0"/>
            <w:vAlign w:val="top"/>
          </w:tcPr>
          <w:p w14:paraId="4A2F67E2">
            <w:pPr>
              <w:jc w:val="left"/>
              <w:rPr>
                <w:rFonts w:hint="eastAsia" w:ascii="宋体" w:hAnsi="宋体"/>
                <w:strike/>
                <w:color w:val="auto"/>
                <w:highlight w:val="none"/>
              </w:rPr>
            </w:pPr>
          </w:p>
        </w:tc>
      </w:tr>
      <w:tr w14:paraId="1C4E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7E5561F">
            <w:pPr>
              <w:jc w:val="left"/>
              <w:rPr>
                <w:rFonts w:hint="eastAsia" w:ascii="宋体" w:hAnsi="宋体"/>
                <w:strike/>
                <w:color w:val="auto"/>
                <w:highlight w:val="none"/>
              </w:rPr>
            </w:pPr>
          </w:p>
        </w:tc>
        <w:tc>
          <w:tcPr>
            <w:tcW w:w="3960" w:type="dxa"/>
            <w:noWrap w:val="0"/>
            <w:vAlign w:val="top"/>
          </w:tcPr>
          <w:p w14:paraId="282E0804">
            <w:pPr>
              <w:jc w:val="left"/>
              <w:rPr>
                <w:rFonts w:hint="eastAsia" w:ascii="宋体" w:hAnsi="宋体"/>
                <w:strike/>
                <w:color w:val="auto"/>
                <w:highlight w:val="none"/>
              </w:rPr>
            </w:pPr>
            <w:r>
              <w:rPr>
                <w:rFonts w:hint="eastAsia" w:ascii="宋体" w:hAnsi="宋体"/>
                <w:strike/>
                <w:color w:val="auto"/>
                <w:highlight w:val="none"/>
              </w:rPr>
              <w:t>无日照采光的房间</w:t>
            </w:r>
          </w:p>
        </w:tc>
        <w:tc>
          <w:tcPr>
            <w:tcW w:w="1080" w:type="dxa"/>
            <w:noWrap w:val="0"/>
            <w:vAlign w:val="top"/>
          </w:tcPr>
          <w:p w14:paraId="6991D7F7">
            <w:pPr>
              <w:jc w:val="center"/>
              <w:rPr>
                <w:rFonts w:hint="eastAsia" w:ascii="宋体" w:hAnsi="宋体"/>
                <w:strike/>
                <w:color w:val="auto"/>
                <w:highlight w:val="none"/>
              </w:rPr>
            </w:pPr>
            <w:r>
              <w:rPr>
                <w:rFonts w:hint="eastAsia" w:ascii="宋体" w:hAnsi="宋体"/>
                <w:strike/>
                <w:color w:val="auto"/>
                <w:highlight w:val="none"/>
              </w:rPr>
              <w:t>个</w:t>
            </w:r>
          </w:p>
        </w:tc>
        <w:tc>
          <w:tcPr>
            <w:tcW w:w="3492" w:type="dxa"/>
            <w:noWrap w:val="0"/>
            <w:vAlign w:val="top"/>
          </w:tcPr>
          <w:p w14:paraId="782563E3">
            <w:pPr>
              <w:jc w:val="left"/>
              <w:rPr>
                <w:rFonts w:hint="eastAsia" w:ascii="宋体" w:hAnsi="宋体"/>
                <w:strike/>
                <w:color w:val="auto"/>
                <w:highlight w:val="none"/>
              </w:rPr>
            </w:pPr>
          </w:p>
        </w:tc>
      </w:tr>
      <w:tr w14:paraId="7358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62B0D64">
            <w:pPr>
              <w:jc w:val="left"/>
              <w:rPr>
                <w:rFonts w:hint="eastAsia" w:ascii="宋体" w:hAnsi="宋体"/>
                <w:strike/>
                <w:color w:val="auto"/>
                <w:highlight w:val="none"/>
              </w:rPr>
            </w:pPr>
          </w:p>
        </w:tc>
        <w:tc>
          <w:tcPr>
            <w:tcW w:w="3960" w:type="dxa"/>
            <w:noWrap w:val="0"/>
            <w:vAlign w:val="top"/>
          </w:tcPr>
          <w:p w14:paraId="4A8A2F56">
            <w:pPr>
              <w:jc w:val="left"/>
              <w:rPr>
                <w:rFonts w:hint="eastAsia" w:ascii="宋体" w:hAnsi="宋体"/>
                <w:strike/>
                <w:color w:val="auto"/>
                <w:highlight w:val="none"/>
              </w:rPr>
            </w:pPr>
          </w:p>
        </w:tc>
        <w:tc>
          <w:tcPr>
            <w:tcW w:w="1080" w:type="dxa"/>
            <w:noWrap w:val="0"/>
            <w:vAlign w:val="top"/>
          </w:tcPr>
          <w:p w14:paraId="5A3C3BE5">
            <w:pPr>
              <w:jc w:val="left"/>
              <w:rPr>
                <w:rFonts w:hint="eastAsia" w:ascii="宋体" w:hAnsi="宋体"/>
                <w:strike/>
                <w:color w:val="auto"/>
                <w:highlight w:val="none"/>
              </w:rPr>
            </w:pPr>
          </w:p>
        </w:tc>
        <w:tc>
          <w:tcPr>
            <w:tcW w:w="3492" w:type="dxa"/>
            <w:noWrap w:val="0"/>
            <w:vAlign w:val="top"/>
          </w:tcPr>
          <w:p w14:paraId="1DB130A9">
            <w:pPr>
              <w:jc w:val="left"/>
              <w:rPr>
                <w:rFonts w:hint="eastAsia" w:ascii="宋体" w:hAnsi="宋体"/>
                <w:strike/>
                <w:color w:val="auto"/>
                <w:highlight w:val="none"/>
              </w:rPr>
            </w:pPr>
          </w:p>
        </w:tc>
      </w:tr>
    </w:tbl>
    <w:p w14:paraId="352EE8A3">
      <w:pPr>
        <w:jc w:val="left"/>
        <w:rPr>
          <w:rFonts w:hint="eastAsia" w:ascii="宋体" w:hAnsi="宋体"/>
          <w:strike/>
          <w:color w:val="auto"/>
          <w:highlight w:val="none"/>
        </w:rPr>
      </w:pPr>
      <w:r>
        <w:rPr>
          <w:rFonts w:hint="eastAsia" w:ascii="宋体" w:hAnsi="宋体"/>
          <w:strike/>
          <w:color w:val="auto"/>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694E5F5E">
      <w:pPr>
        <w:pStyle w:val="2"/>
        <w:spacing w:before="0" w:after="0" w:line="240" w:lineRule="auto"/>
        <w:rPr>
          <w:rFonts w:hint="eastAsia" w:ascii="宋体" w:hAnsi="宋体"/>
          <w:strike/>
          <w:color w:val="auto"/>
          <w:sz w:val="21"/>
          <w:szCs w:val="21"/>
          <w:highlight w:val="none"/>
        </w:rPr>
      </w:pPr>
      <w:bookmarkStart w:id="30" w:name="_Toc24314"/>
    </w:p>
    <w:p w14:paraId="62480493">
      <w:pPr>
        <w:rPr>
          <w:rFonts w:hint="eastAsia"/>
          <w:color w:val="auto"/>
          <w:highlight w:val="none"/>
        </w:rPr>
      </w:pPr>
    </w:p>
    <w:p w14:paraId="7D966968">
      <w:pPr>
        <w:pStyle w:val="2"/>
        <w:rPr>
          <w:rFonts w:hint="eastAsia" w:ascii="宋体" w:hAnsi="宋体"/>
          <w:strike/>
          <w:color w:val="auto"/>
          <w:highlight w:val="none"/>
        </w:rPr>
      </w:pPr>
      <w:r>
        <w:rPr>
          <w:rFonts w:hint="eastAsia" w:ascii="宋体" w:hAnsi="宋体"/>
          <w:strike/>
          <w:color w:val="auto"/>
          <w:sz w:val="21"/>
          <w:szCs w:val="21"/>
          <w:highlight w:val="none"/>
        </w:rPr>
        <w:t>附件5勘察投标文件编制要求</w:t>
      </w:r>
      <w:bookmarkEnd w:id="30"/>
    </w:p>
    <w:p w14:paraId="68BC2746">
      <w:pPr>
        <w:jc w:val="center"/>
        <w:rPr>
          <w:rFonts w:hint="eastAsia" w:ascii="宋体" w:hAnsi="宋体"/>
          <w:b/>
          <w:bCs/>
          <w:strike/>
          <w:color w:val="auto"/>
          <w:sz w:val="32"/>
          <w:highlight w:val="none"/>
        </w:rPr>
      </w:pPr>
      <w:r>
        <w:rPr>
          <w:rFonts w:hint="eastAsia" w:ascii="宋体" w:hAnsi="宋体"/>
          <w:b/>
          <w:strike/>
          <w:color w:val="auto"/>
          <w:sz w:val="32"/>
          <w:highlight w:val="none"/>
        </w:rPr>
        <w:t>勘察</w:t>
      </w:r>
      <w:r>
        <w:rPr>
          <w:rFonts w:hint="eastAsia" w:ascii="宋体" w:hAnsi="宋体"/>
          <w:b/>
          <w:bCs/>
          <w:strike/>
          <w:color w:val="auto"/>
          <w:sz w:val="32"/>
          <w:highlight w:val="none"/>
        </w:rPr>
        <w:t>投标文件编制要求</w:t>
      </w:r>
    </w:p>
    <w:p w14:paraId="68DDBE62">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（只适用于勘察投标）</w:t>
      </w:r>
    </w:p>
    <w:p w14:paraId="541460DB">
      <w:pPr>
        <w:spacing w:line="360" w:lineRule="auto"/>
        <w:jc w:val="center"/>
        <w:rPr>
          <w:rFonts w:hint="eastAsia" w:ascii="宋体" w:hAnsi="宋体"/>
          <w:strike/>
          <w:color w:val="auto"/>
          <w:sz w:val="24"/>
          <w:highlight w:val="none"/>
        </w:rPr>
      </w:pPr>
    </w:p>
    <w:p w14:paraId="5559FEC1">
      <w:pPr>
        <w:spacing w:line="360" w:lineRule="auto"/>
        <w:jc w:val="left"/>
        <w:rPr>
          <w:rFonts w:hint="eastAsia" w:ascii="宋体" w:hAnsi="宋体"/>
          <w:strike/>
          <w:color w:val="auto"/>
          <w:sz w:val="24"/>
          <w:highlight w:val="none"/>
        </w:rPr>
      </w:pPr>
      <w:r>
        <w:rPr>
          <w:rFonts w:hint="eastAsia" w:ascii="宋体" w:hAnsi="宋体"/>
          <w:b/>
          <w:strike/>
          <w:color w:val="auto"/>
          <w:sz w:val="24"/>
          <w:highlight w:val="none"/>
        </w:rPr>
        <w:t>1</w:t>
      </w:r>
      <w:r>
        <w:rPr>
          <w:rFonts w:hint="eastAsia" w:ascii="宋体" w:hAnsi="宋体"/>
          <w:b/>
          <w:bCs/>
          <w:strike/>
          <w:color w:val="auto"/>
          <w:sz w:val="24"/>
          <w:highlight w:val="none"/>
        </w:rPr>
        <w:t xml:space="preserve">      投标文件</w:t>
      </w:r>
    </w:p>
    <w:p w14:paraId="6B570BFA">
      <w:pPr>
        <w:spacing w:line="360" w:lineRule="auto"/>
        <w:jc w:val="left"/>
        <w:rPr>
          <w:rFonts w:hint="eastAsia" w:ascii="宋体" w:hAnsi="宋体"/>
          <w:strike/>
          <w:color w:val="auto"/>
          <w:sz w:val="24"/>
          <w:highlight w:val="none"/>
        </w:rPr>
      </w:pPr>
    </w:p>
    <w:p w14:paraId="7C0F1999">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1.1    投标文件由下列资料组成。</w:t>
      </w:r>
    </w:p>
    <w:p w14:paraId="25258584">
      <w:pPr>
        <w:spacing w:line="360" w:lineRule="auto"/>
        <w:jc w:val="left"/>
        <w:rPr>
          <w:rFonts w:hint="eastAsia" w:ascii="宋体" w:hAnsi="宋体"/>
          <w:strike/>
          <w:color w:val="auto"/>
          <w:sz w:val="24"/>
          <w:highlight w:val="none"/>
        </w:rPr>
      </w:pPr>
      <w:r>
        <w:rPr>
          <w:rFonts w:hint="eastAsia" w:ascii="宋体" w:hAnsi="宋体"/>
          <w:strike/>
          <w:color w:val="auto"/>
          <w:sz w:val="24"/>
          <w:highlight w:val="none"/>
        </w:rPr>
        <w:t xml:space="preserve">   (a) 开标信封。</w:t>
      </w:r>
    </w:p>
    <w:p w14:paraId="1F440972">
      <w:pPr>
        <w:spacing w:line="360" w:lineRule="auto"/>
        <w:jc w:val="left"/>
        <w:rPr>
          <w:rFonts w:hint="eastAsia" w:ascii="宋体" w:hAnsi="宋体"/>
          <w:strike/>
          <w:color w:val="auto"/>
          <w:sz w:val="24"/>
          <w:highlight w:val="none"/>
        </w:rPr>
      </w:pPr>
      <w:r>
        <w:rPr>
          <w:rFonts w:hint="eastAsia" w:ascii="宋体" w:hAnsi="宋体"/>
          <w:strike/>
          <w:color w:val="auto"/>
          <w:sz w:val="24"/>
          <w:highlight w:val="none"/>
        </w:rPr>
        <w:t xml:space="preserve">   (b) 勘察方案。</w:t>
      </w:r>
    </w:p>
    <w:p w14:paraId="6953E4C9">
      <w:pPr>
        <w:spacing w:line="360" w:lineRule="auto"/>
        <w:jc w:val="left"/>
        <w:rPr>
          <w:rFonts w:hint="eastAsia" w:ascii="宋体" w:hAnsi="宋体"/>
          <w:strike/>
          <w:color w:val="auto"/>
          <w:sz w:val="24"/>
          <w:highlight w:val="none"/>
        </w:rPr>
      </w:pPr>
      <w:r>
        <w:rPr>
          <w:rFonts w:hint="eastAsia" w:ascii="宋体" w:hAnsi="宋体"/>
          <w:strike/>
          <w:color w:val="auto"/>
          <w:sz w:val="24"/>
          <w:highlight w:val="none"/>
        </w:rPr>
        <w:t xml:space="preserve">   (c) 资格审查文件（如果招标人要求提供）。</w:t>
      </w:r>
    </w:p>
    <w:p w14:paraId="6141F523">
      <w:pPr>
        <w:spacing w:line="360" w:lineRule="auto"/>
        <w:jc w:val="left"/>
        <w:rPr>
          <w:rFonts w:hint="eastAsia" w:ascii="宋体" w:hAnsi="宋体"/>
          <w:strike/>
          <w:color w:val="auto"/>
          <w:sz w:val="24"/>
          <w:highlight w:val="none"/>
        </w:rPr>
      </w:pPr>
    </w:p>
    <w:p w14:paraId="01AB9797">
      <w:pPr>
        <w:spacing w:line="360" w:lineRule="auto"/>
        <w:rPr>
          <w:rFonts w:hint="eastAsia" w:ascii="宋体" w:hAnsi="宋体"/>
          <w:strike/>
          <w:color w:val="auto"/>
          <w:sz w:val="24"/>
          <w:highlight w:val="none"/>
        </w:rPr>
      </w:pPr>
      <w:r>
        <w:rPr>
          <w:rFonts w:hint="eastAsia" w:ascii="宋体" w:hAnsi="宋体"/>
          <w:b/>
          <w:bCs/>
          <w:strike/>
          <w:color w:val="auto"/>
          <w:sz w:val="24"/>
          <w:highlight w:val="none"/>
        </w:rPr>
        <w:t>2      保密要求</w:t>
      </w:r>
    </w:p>
    <w:p w14:paraId="685821BB">
      <w:pPr>
        <w:spacing w:line="360" w:lineRule="auto"/>
        <w:rPr>
          <w:rFonts w:hint="eastAsia" w:ascii="宋体" w:hAnsi="宋体"/>
          <w:strike/>
          <w:color w:val="auto"/>
          <w:sz w:val="24"/>
          <w:highlight w:val="none"/>
        </w:rPr>
      </w:pPr>
    </w:p>
    <w:p w14:paraId="10D08597">
      <w:pPr>
        <w:spacing w:line="360" w:lineRule="auto"/>
        <w:ind w:left="821" w:hanging="820" w:hangingChars="342"/>
        <w:jc w:val="left"/>
        <w:rPr>
          <w:rFonts w:hint="eastAsia" w:ascii="宋体" w:hAnsi="宋体"/>
          <w:strike/>
          <w:color w:val="auto"/>
          <w:sz w:val="24"/>
          <w:highlight w:val="none"/>
        </w:rPr>
      </w:pPr>
      <w:r>
        <w:rPr>
          <w:rFonts w:hint="eastAsia" w:ascii="宋体" w:hAnsi="宋体"/>
          <w:strike/>
          <w:color w:val="auto"/>
          <w:sz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2102DF97">
      <w:pPr>
        <w:spacing w:line="360" w:lineRule="auto"/>
        <w:ind w:left="410" w:hanging="410" w:hangingChars="171"/>
        <w:rPr>
          <w:rFonts w:hint="eastAsia" w:ascii="宋体" w:hAnsi="宋体"/>
          <w:strike/>
          <w:color w:val="auto"/>
          <w:sz w:val="24"/>
          <w:highlight w:val="none"/>
        </w:rPr>
      </w:pPr>
    </w:p>
    <w:p w14:paraId="3B68F16C">
      <w:pPr>
        <w:spacing w:line="360" w:lineRule="auto"/>
        <w:jc w:val="left"/>
        <w:rPr>
          <w:rFonts w:hint="eastAsia" w:ascii="宋体" w:hAnsi="宋体"/>
          <w:b/>
          <w:bCs/>
          <w:strike/>
          <w:color w:val="auto"/>
          <w:sz w:val="24"/>
          <w:highlight w:val="none"/>
        </w:rPr>
      </w:pPr>
      <w:r>
        <w:rPr>
          <w:rFonts w:hint="eastAsia" w:ascii="宋体" w:hAnsi="宋体"/>
          <w:b/>
          <w:bCs/>
          <w:strike/>
          <w:color w:val="auto"/>
          <w:sz w:val="24"/>
          <w:highlight w:val="none"/>
        </w:rPr>
        <w:t>3      开标信封</w:t>
      </w:r>
    </w:p>
    <w:p w14:paraId="01025DC8">
      <w:pPr>
        <w:spacing w:line="360" w:lineRule="auto"/>
        <w:rPr>
          <w:rFonts w:hint="eastAsia" w:ascii="宋体" w:hAnsi="宋体"/>
          <w:strike/>
          <w:color w:val="auto"/>
          <w:sz w:val="24"/>
          <w:highlight w:val="none"/>
        </w:rPr>
      </w:pPr>
    </w:p>
    <w:p w14:paraId="787AFF2B">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3.1    开标信封内附填妥并签字盖章的《投标书》（格式见附录6），联合体同时附填妥并签字盖章的《联合体投标协议》（格式见附录7）。未设资格审查环节的项目，还应提供填妥并盖章的《投标人声明》（格式见附录</w:t>
      </w:r>
      <w:r>
        <w:rPr>
          <w:rFonts w:ascii="宋体" w:hAnsi="宋体"/>
          <w:strike/>
          <w:color w:val="auto"/>
          <w:sz w:val="24"/>
          <w:highlight w:val="none"/>
        </w:rPr>
        <w:t>8</w:t>
      </w:r>
      <w:r>
        <w:rPr>
          <w:rFonts w:hint="eastAsia" w:ascii="宋体" w:hAnsi="宋体"/>
          <w:strike/>
          <w:color w:val="auto"/>
          <w:sz w:val="24"/>
          <w:highlight w:val="none"/>
        </w:rPr>
        <w:t>）。</w:t>
      </w:r>
    </w:p>
    <w:p w14:paraId="7FC948EF">
      <w:pPr>
        <w:spacing w:line="360" w:lineRule="auto"/>
        <w:rPr>
          <w:rFonts w:hint="eastAsia" w:ascii="宋体" w:hAnsi="宋体"/>
          <w:strike/>
          <w:color w:val="auto"/>
          <w:sz w:val="24"/>
          <w:highlight w:val="none"/>
        </w:rPr>
      </w:pPr>
    </w:p>
    <w:p w14:paraId="66122F2A">
      <w:pPr>
        <w:spacing w:line="360" w:lineRule="auto"/>
        <w:rPr>
          <w:rFonts w:hint="eastAsia" w:ascii="宋体" w:hAnsi="宋体"/>
          <w:strike/>
          <w:color w:val="auto"/>
          <w:sz w:val="24"/>
          <w:highlight w:val="none"/>
        </w:rPr>
      </w:pPr>
    </w:p>
    <w:p w14:paraId="20DECECF">
      <w:pPr>
        <w:spacing w:line="360" w:lineRule="auto"/>
        <w:rPr>
          <w:rFonts w:hint="eastAsia" w:ascii="宋体" w:hAnsi="宋体"/>
          <w:b/>
          <w:strike/>
          <w:color w:val="auto"/>
          <w:sz w:val="24"/>
          <w:highlight w:val="none"/>
        </w:rPr>
      </w:pPr>
      <w:r>
        <w:rPr>
          <w:rFonts w:hint="eastAsia" w:ascii="宋体" w:hAnsi="宋体"/>
          <w:b/>
          <w:strike/>
          <w:color w:val="auto"/>
          <w:sz w:val="24"/>
          <w:highlight w:val="none"/>
        </w:rPr>
        <w:t>4      勘察方案</w:t>
      </w:r>
    </w:p>
    <w:p w14:paraId="255A84F5">
      <w:pPr>
        <w:spacing w:line="360" w:lineRule="auto"/>
        <w:rPr>
          <w:rFonts w:hint="eastAsia" w:ascii="宋体" w:hAnsi="宋体"/>
          <w:strike/>
          <w:color w:val="auto"/>
          <w:sz w:val="24"/>
          <w:highlight w:val="none"/>
        </w:rPr>
      </w:pPr>
    </w:p>
    <w:p w14:paraId="78A5CC00">
      <w:pPr>
        <w:pStyle w:val="14"/>
        <w:spacing w:line="360" w:lineRule="auto"/>
        <w:ind w:firstLine="0" w:firstLineChars="0"/>
        <w:rPr>
          <w:rFonts w:hint="eastAsia" w:hAnsi="宋体"/>
          <w:strike/>
          <w:color w:val="auto"/>
          <w:sz w:val="24"/>
          <w:szCs w:val="24"/>
          <w:highlight w:val="none"/>
        </w:rPr>
      </w:pPr>
      <w:r>
        <w:rPr>
          <w:rFonts w:hint="eastAsia" w:hAnsi="宋体"/>
          <w:strike/>
          <w:color w:val="auto"/>
          <w:sz w:val="24"/>
          <w:szCs w:val="24"/>
          <w:highlight w:val="none"/>
        </w:rPr>
        <w:t>4.1    勘察方案内容（文件</w:t>
      </w:r>
      <w:r>
        <w:rPr>
          <w:rFonts w:hAnsi="宋体"/>
          <w:strike/>
          <w:color w:val="auto"/>
          <w:sz w:val="24"/>
          <w:szCs w:val="24"/>
          <w:highlight w:val="none"/>
        </w:rPr>
        <w:t>大小不得超过</w:t>
      </w:r>
      <w:r>
        <w:rPr>
          <w:rFonts w:hint="eastAsia" w:hAnsi="宋体"/>
          <w:strike/>
          <w:color w:val="auto"/>
          <w:sz w:val="24"/>
          <w:szCs w:val="24"/>
          <w:highlight w:val="none"/>
        </w:rPr>
        <w:t>500M）：</w:t>
      </w:r>
    </w:p>
    <w:p w14:paraId="1C6817DD">
      <w:pPr>
        <w:spacing w:line="360" w:lineRule="auto"/>
        <w:rPr>
          <w:rFonts w:hint="eastAsia" w:ascii="宋体" w:hAnsi="宋体"/>
          <w:strike/>
          <w:color w:val="auto"/>
          <w:sz w:val="24"/>
          <w:highlight w:val="none"/>
        </w:rPr>
      </w:pPr>
      <w:r>
        <w:rPr>
          <w:rFonts w:hint="eastAsia" w:hAnsi="宋体"/>
          <w:strike/>
          <w:color w:val="auto"/>
          <w:sz w:val="24"/>
          <w:highlight w:val="none"/>
        </w:rPr>
        <w:t xml:space="preserve">   (a) </w:t>
      </w:r>
      <w:r>
        <w:rPr>
          <w:rFonts w:hint="eastAsia" w:ascii="宋体" w:hAnsi="宋体"/>
          <w:strike/>
          <w:color w:val="auto"/>
          <w:sz w:val="24"/>
          <w:highlight w:val="none"/>
        </w:rPr>
        <w:t>首页：写明项目名称、编制年月；</w:t>
      </w:r>
    </w:p>
    <w:p w14:paraId="275BA236">
      <w:pPr>
        <w:pStyle w:val="14"/>
        <w:spacing w:line="360" w:lineRule="auto"/>
        <w:ind w:firstLine="0" w:firstLineChars="0"/>
        <w:rPr>
          <w:rFonts w:hint="eastAsia" w:hAnsi="宋体"/>
          <w:strike/>
          <w:color w:val="auto"/>
          <w:sz w:val="24"/>
          <w:szCs w:val="24"/>
          <w:highlight w:val="none"/>
        </w:rPr>
      </w:pPr>
      <w:r>
        <w:rPr>
          <w:rFonts w:hint="eastAsia" w:hAnsi="宋体"/>
          <w:strike/>
          <w:color w:val="auto"/>
          <w:sz w:val="24"/>
          <w:szCs w:val="24"/>
          <w:highlight w:val="none"/>
        </w:rPr>
        <w:t xml:space="preserve">   (b) 目录；</w:t>
      </w:r>
    </w:p>
    <w:p w14:paraId="747C4439">
      <w:pPr>
        <w:spacing w:line="360" w:lineRule="auto"/>
        <w:ind w:left="821" w:hanging="820" w:hangingChars="342"/>
        <w:rPr>
          <w:rFonts w:hint="eastAsia" w:ascii="宋体" w:hAnsi="宋体"/>
          <w:strike/>
          <w:color w:val="auto"/>
          <w:sz w:val="24"/>
          <w:highlight w:val="none"/>
        </w:rPr>
      </w:pPr>
      <w:r>
        <w:rPr>
          <w:rFonts w:hint="eastAsia" w:hAnsi="宋体"/>
          <w:strike/>
          <w:color w:val="auto"/>
          <w:sz w:val="24"/>
          <w:highlight w:val="none"/>
        </w:rPr>
        <w:t xml:space="preserve">  </w:t>
      </w:r>
      <w:r>
        <w:rPr>
          <w:rFonts w:hAnsi="宋体"/>
          <w:strike/>
          <w:color w:val="auto"/>
          <w:sz w:val="24"/>
          <w:highlight w:val="none"/>
        </w:rPr>
        <w:t>（c）</w:t>
      </w:r>
      <w:r>
        <w:rPr>
          <w:rFonts w:hint="eastAsia" w:hAnsi="宋体"/>
          <w:strike/>
          <w:color w:val="auto"/>
          <w:sz w:val="24"/>
          <w:highlight w:val="none"/>
        </w:rPr>
        <w:t>《勘察设计费报价表》（见附录3）</w:t>
      </w:r>
      <w:r>
        <w:rPr>
          <w:rFonts w:hint="eastAsia" w:ascii="宋体" w:hAnsi="宋体"/>
          <w:strike/>
          <w:color w:val="auto"/>
          <w:sz w:val="24"/>
          <w:highlight w:val="none"/>
        </w:rPr>
        <w:t xml:space="preserve">； </w:t>
      </w:r>
    </w:p>
    <w:p w14:paraId="11E84492">
      <w:pPr>
        <w:spacing w:line="360" w:lineRule="auto"/>
        <w:ind w:left="818" w:hanging="818" w:hangingChars="341"/>
        <w:rPr>
          <w:rFonts w:hint="eastAsia" w:ascii="宋体" w:hAnsi="宋体"/>
          <w:strike/>
          <w:color w:val="auto"/>
          <w:sz w:val="24"/>
          <w:highlight w:val="none"/>
        </w:rPr>
      </w:pPr>
      <w:r>
        <w:rPr>
          <w:rFonts w:hint="eastAsia" w:hAnsi="宋体"/>
          <w:strike/>
          <w:color w:val="auto"/>
          <w:sz w:val="24"/>
          <w:highlight w:val="none"/>
        </w:rPr>
        <w:t xml:space="preserve">   (d) </w:t>
      </w:r>
      <w:r>
        <w:rPr>
          <w:rFonts w:hint="eastAsia" w:ascii="宋体" w:hAnsi="宋体"/>
          <w:strike/>
          <w:color w:val="auto"/>
          <w:sz w:val="24"/>
          <w:highlight w:val="none"/>
        </w:rPr>
        <w:t xml:space="preserve">除上述报价外，如果有另需付费的项目，应详细列明勘察工作和收费标准（内容、数量、单价、合价）； </w:t>
      </w:r>
    </w:p>
    <w:p w14:paraId="529B4A7C">
      <w:pPr>
        <w:spacing w:line="360" w:lineRule="auto"/>
        <w:ind w:left="821" w:hanging="820" w:hangingChars="342"/>
        <w:rPr>
          <w:rFonts w:hint="eastAsia" w:ascii="宋体" w:hAnsi="宋体"/>
          <w:strike/>
          <w:color w:val="auto"/>
          <w:sz w:val="24"/>
          <w:highlight w:val="none"/>
        </w:rPr>
      </w:pPr>
      <w:r>
        <w:rPr>
          <w:rFonts w:hint="eastAsia" w:hAnsi="宋体"/>
          <w:strike/>
          <w:color w:val="auto"/>
          <w:sz w:val="24"/>
          <w:highlight w:val="none"/>
        </w:rPr>
        <w:t xml:space="preserve">   (e) </w:t>
      </w:r>
      <w:r>
        <w:rPr>
          <w:rFonts w:hint="eastAsia" w:ascii="宋体" w:hAnsi="宋体"/>
          <w:strike/>
          <w:color w:val="auto"/>
          <w:sz w:val="24"/>
          <w:highlight w:val="none"/>
        </w:rPr>
        <w:t>针对项目场地采用的原位试验种类。勘察方案（勘察手段、方法及工艺）及建议，本次勘察的难点及建议；</w:t>
      </w:r>
    </w:p>
    <w:p w14:paraId="5C8ADC72">
      <w:pPr>
        <w:spacing w:line="360" w:lineRule="auto"/>
        <w:rPr>
          <w:rFonts w:hint="eastAsia" w:ascii="宋体" w:hAnsi="宋体"/>
          <w:strike/>
          <w:color w:val="auto"/>
          <w:sz w:val="24"/>
          <w:highlight w:val="none"/>
        </w:rPr>
      </w:pPr>
      <w:r>
        <w:rPr>
          <w:rFonts w:hint="eastAsia" w:hAnsi="宋体"/>
          <w:strike/>
          <w:color w:val="auto"/>
          <w:sz w:val="24"/>
          <w:highlight w:val="none"/>
        </w:rPr>
        <w:t xml:space="preserve">   (f) </w:t>
      </w:r>
      <w:r>
        <w:rPr>
          <w:rFonts w:hint="eastAsia" w:ascii="宋体" w:hAnsi="宋体"/>
          <w:strike/>
          <w:color w:val="auto"/>
          <w:sz w:val="24"/>
          <w:highlight w:val="none"/>
        </w:rPr>
        <w:t>勘察工作流程和相应的工期进度计划；</w:t>
      </w:r>
    </w:p>
    <w:p w14:paraId="416DE46A">
      <w:pPr>
        <w:spacing w:line="360" w:lineRule="auto"/>
        <w:rPr>
          <w:rFonts w:hint="eastAsia" w:ascii="宋体" w:hAnsi="宋体"/>
          <w:strike/>
          <w:color w:val="auto"/>
          <w:sz w:val="24"/>
          <w:highlight w:val="none"/>
        </w:rPr>
      </w:pPr>
      <w:r>
        <w:rPr>
          <w:rFonts w:hint="eastAsia" w:hAnsi="宋体"/>
          <w:strike/>
          <w:color w:val="auto"/>
          <w:sz w:val="24"/>
          <w:highlight w:val="none"/>
        </w:rPr>
        <w:t xml:space="preserve">   (g) </w:t>
      </w:r>
      <w:r>
        <w:rPr>
          <w:rFonts w:hint="eastAsia" w:ascii="宋体" w:hAnsi="宋体"/>
          <w:strike/>
          <w:color w:val="auto"/>
          <w:sz w:val="24"/>
          <w:highlight w:val="none"/>
        </w:rPr>
        <w:t>投入本项目的人数、工种、设备；</w:t>
      </w:r>
    </w:p>
    <w:p w14:paraId="7C9DCB4C">
      <w:pPr>
        <w:spacing w:line="360" w:lineRule="auto"/>
        <w:rPr>
          <w:rFonts w:hint="eastAsia" w:ascii="宋体" w:hAnsi="宋体"/>
          <w:strike/>
          <w:color w:val="auto"/>
          <w:sz w:val="24"/>
          <w:highlight w:val="none"/>
        </w:rPr>
      </w:pPr>
      <w:r>
        <w:rPr>
          <w:rFonts w:hint="eastAsia" w:hAnsi="宋体"/>
          <w:strike/>
          <w:color w:val="auto"/>
          <w:sz w:val="24"/>
          <w:highlight w:val="none"/>
        </w:rPr>
        <w:t xml:space="preserve">   (h) </w:t>
      </w:r>
      <w:r>
        <w:rPr>
          <w:rFonts w:hint="eastAsia" w:ascii="宋体" w:hAnsi="宋体"/>
          <w:strike/>
          <w:color w:val="auto"/>
          <w:sz w:val="24"/>
          <w:highlight w:val="none"/>
        </w:rPr>
        <w:t>勘察报告综合评价深度，勘察成果文件内容目录；</w:t>
      </w:r>
    </w:p>
    <w:p w14:paraId="4B409328">
      <w:pPr>
        <w:spacing w:line="360" w:lineRule="auto"/>
        <w:rPr>
          <w:rFonts w:hint="eastAsia" w:ascii="宋体" w:hAnsi="宋体"/>
          <w:strike/>
          <w:color w:val="auto"/>
          <w:sz w:val="24"/>
          <w:highlight w:val="none"/>
        </w:rPr>
      </w:pPr>
      <w:r>
        <w:rPr>
          <w:rFonts w:hint="eastAsia" w:hAnsi="宋体"/>
          <w:strike/>
          <w:color w:val="auto"/>
          <w:sz w:val="24"/>
          <w:highlight w:val="none"/>
        </w:rPr>
        <w:t xml:space="preserve">   (i) </w:t>
      </w:r>
      <w:r>
        <w:rPr>
          <w:rFonts w:hint="eastAsia" w:ascii="宋体" w:hAnsi="宋体"/>
          <w:strike/>
          <w:color w:val="auto"/>
          <w:sz w:val="24"/>
          <w:highlight w:val="none"/>
        </w:rPr>
        <w:t>投标人掌握的勘察工作有关的法律法规、标准、规范一览表；</w:t>
      </w:r>
    </w:p>
    <w:p w14:paraId="501F9489">
      <w:pPr>
        <w:spacing w:line="360" w:lineRule="auto"/>
        <w:rPr>
          <w:rFonts w:hint="eastAsia" w:ascii="宋体" w:hAnsi="宋体"/>
          <w:strike/>
          <w:color w:val="auto"/>
          <w:sz w:val="24"/>
          <w:highlight w:val="none"/>
        </w:rPr>
      </w:pPr>
      <w:r>
        <w:rPr>
          <w:rFonts w:hint="eastAsia" w:hAnsi="宋体"/>
          <w:strike/>
          <w:color w:val="auto"/>
          <w:sz w:val="24"/>
          <w:highlight w:val="none"/>
        </w:rPr>
        <w:t xml:space="preserve">   (j) </w:t>
      </w:r>
      <w:r>
        <w:rPr>
          <w:rFonts w:hint="eastAsia" w:ascii="宋体" w:hAnsi="宋体"/>
          <w:strike/>
          <w:color w:val="auto"/>
          <w:sz w:val="24"/>
          <w:highlight w:val="none"/>
        </w:rPr>
        <w:t>需要建设单位、设计单位配合的事项；</w:t>
      </w:r>
    </w:p>
    <w:p w14:paraId="4AE1E49E">
      <w:pPr>
        <w:spacing w:line="360" w:lineRule="auto"/>
        <w:rPr>
          <w:rFonts w:hint="eastAsia" w:ascii="宋体" w:hAnsi="宋体"/>
          <w:strike/>
          <w:color w:val="auto"/>
          <w:sz w:val="24"/>
          <w:highlight w:val="none"/>
        </w:rPr>
      </w:pPr>
      <w:r>
        <w:rPr>
          <w:rFonts w:hint="eastAsia" w:hAnsi="宋体"/>
          <w:strike/>
          <w:color w:val="auto"/>
          <w:sz w:val="24"/>
          <w:highlight w:val="none"/>
        </w:rPr>
        <w:t xml:space="preserve">   (k) </w:t>
      </w:r>
      <w:r>
        <w:rPr>
          <w:rFonts w:hint="eastAsia" w:ascii="宋体" w:hAnsi="宋体"/>
          <w:strike/>
          <w:color w:val="auto"/>
          <w:sz w:val="24"/>
          <w:highlight w:val="none"/>
        </w:rPr>
        <w:t>发生追记行为的相应赔偿办法；</w:t>
      </w:r>
    </w:p>
    <w:p w14:paraId="6D9ACCE4">
      <w:pPr>
        <w:spacing w:line="360" w:lineRule="auto"/>
        <w:ind w:left="821" w:hanging="820" w:hangingChars="342"/>
        <w:rPr>
          <w:rFonts w:hint="eastAsia" w:ascii="宋体" w:hAnsi="宋体"/>
          <w:strike/>
          <w:color w:val="auto"/>
          <w:sz w:val="24"/>
          <w:highlight w:val="none"/>
        </w:rPr>
      </w:pPr>
      <w:r>
        <w:rPr>
          <w:rFonts w:hint="eastAsia" w:hAnsi="宋体"/>
          <w:strike/>
          <w:color w:val="auto"/>
          <w:sz w:val="24"/>
          <w:highlight w:val="none"/>
        </w:rPr>
        <w:t xml:space="preserve">   (l) </w:t>
      </w:r>
      <w:r>
        <w:rPr>
          <w:rFonts w:hint="eastAsia" w:ascii="宋体" w:hAnsi="宋体"/>
          <w:strike/>
          <w:color w:val="auto"/>
          <w:sz w:val="24"/>
          <w:highlight w:val="none"/>
        </w:rPr>
        <w:t>投标人参与施工验槽，解决工程设计和施工中与勘察工作有关问题的服务承诺、响应时间、相关费用。</w:t>
      </w:r>
    </w:p>
    <w:p w14:paraId="143CBD21">
      <w:pPr>
        <w:spacing w:line="360" w:lineRule="auto"/>
        <w:rPr>
          <w:rFonts w:hint="eastAsia" w:ascii="宋体" w:hAnsi="宋体"/>
          <w:strike/>
          <w:color w:val="auto"/>
          <w:sz w:val="24"/>
          <w:highlight w:val="none"/>
        </w:rPr>
      </w:pPr>
      <w:r>
        <w:rPr>
          <w:rFonts w:hint="eastAsia" w:hAnsi="宋体"/>
          <w:strike/>
          <w:color w:val="auto"/>
          <w:sz w:val="24"/>
          <w:highlight w:val="none"/>
        </w:rPr>
        <w:t xml:space="preserve">   (m) </w:t>
      </w:r>
      <w:r>
        <w:rPr>
          <w:rFonts w:hint="eastAsia" w:ascii="宋体" w:hAnsi="宋体"/>
          <w:strike/>
          <w:color w:val="auto"/>
          <w:sz w:val="24"/>
          <w:highlight w:val="none"/>
        </w:rPr>
        <w:t>技术培训和职业道德教育情况。</w:t>
      </w:r>
    </w:p>
    <w:p w14:paraId="1EE17833">
      <w:pPr>
        <w:spacing w:line="360" w:lineRule="auto"/>
        <w:rPr>
          <w:rFonts w:hint="eastAsia" w:ascii="宋体" w:hAnsi="宋体"/>
          <w:strike/>
          <w:color w:val="auto"/>
          <w:sz w:val="24"/>
          <w:highlight w:val="none"/>
        </w:rPr>
      </w:pPr>
      <w:r>
        <w:rPr>
          <w:rFonts w:hint="eastAsia" w:hAnsi="宋体"/>
          <w:strike/>
          <w:color w:val="auto"/>
          <w:sz w:val="24"/>
          <w:highlight w:val="none"/>
        </w:rPr>
        <w:t xml:space="preserve">   (n) </w:t>
      </w:r>
      <w:r>
        <w:rPr>
          <w:rFonts w:hint="eastAsia" w:ascii="宋体" w:hAnsi="宋体"/>
          <w:strike/>
          <w:color w:val="auto"/>
          <w:sz w:val="24"/>
          <w:highlight w:val="none"/>
        </w:rPr>
        <w:t>以往完工项目的资料分类编目、装订、归档保存的情况。</w:t>
      </w:r>
    </w:p>
    <w:p w14:paraId="576196A4">
      <w:pPr>
        <w:spacing w:line="360" w:lineRule="auto"/>
        <w:rPr>
          <w:rFonts w:hint="eastAsia" w:ascii="宋体" w:hAnsi="宋体"/>
          <w:strike/>
          <w:color w:val="auto"/>
          <w:sz w:val="24"/>
          <w:highlight w:val="none"/>
        </w:rPr>
      </w:pPr>
    </w:p>
    <w:p w14:paraId="743D8045">
      <w:pPr>
        <w:spacing w:line="360" w:lineRule="auto"/>
        <w:jc w:val="left"/>
        <w:rPr>
          <w:rFonts w:hint="eastAsia" w:ascii="宋体" w:hAnsi="宋体"/>
          <w:b/>
          <w:bCs/>
          <w:strike/>
          <w:color w:val="auto"/>
          <w:sz w:val="24"/>
          <w:highlight w:val="none"/>
        </w:rPr>
      </w:pPr>
      <w:r>
        <w:rPr>
          <w:rFonts w:hint="eastAsia" w:ascii="宋体" w:hAnsi="宋体"/>
          <w:b/>
          <w:bCs/>
          <w:strike/>
          <w:color w:val="auto"/>
          <w:sz w:val="24"/>
          <w:highlight w:val="none"/>
        </w:rPr>
        <w:t>5   资格审查文件（如有）</w:t>
      </w:r>
    </w:p>
    <w:p w14:paraId="1F661437">
      <w:pPr>
        <w:pStyle w:val="14"/>
        <w:spacing w:line="360" w:lineRule="auto"/>
        <w:ind w:firstLine="0" w:firstLineChars="0"/>
        <w:rPr>
          <w:rFonts w:hint="eastAsia" w:hAnsi="宋体"/>
          <w:strike/>
          <w:color w:val="auto"/>
          <w:sz w:val="24"/>
          <w:szCs w:val="24"/>
          <w:highlight w:val="none"/>
        </w:rPr>
      </w:pPr>
    </w:p>
    <w:p w14:paraId="0967F84F">
      <w:pPr>
        <w:pStyle w:val="14"/>
        <w:spacing w:line="360" w:lineRule="auto"/>
        <w:ind w:firstLine="0" w:firstLineChars="0"/>
        <w:rPr>
          <w:rFonts w:hint="eastAsia" w:hAnsi="宋体"/>
          <w:strike/>
          <w:color w:val="auto"/>
          <w:sz w:val="24"/>
          <w:szCs w:val="24"/>
          <w:highlight w:val="none"/>
        </w:rPr>
      </w:pPr>
      <w:r>
        <w:rPr>
          <w:rFonts w:hint="eastAsia" w:hAnsi="宋体"/>
          <w:strike/>
          <w:color w:val="auto"/>
          <w:sz w:val="24"/>
          <w:szCs w:val="24"/>
          <w:highlight w:val="none"/>
        </w:rPr>
        <w:t>5.1   资格审查文件内容：</w:t>
      </w:r>
    </w:p>
    <w:p w14:paraId="70331949">
      <w:pPr>
        <w:pStyle w:val="14"/>
        <w:spacing w:line="360" w:lineRule="auto"/>
        <w:ind w:firstLine="0" w:firstLineChars="0"/>
        <w:rPr>
          <w:rFonts w:hint="eastAsia" w:hAnsi="宋体"/>
          <w:strike/>
          <w:color w:val="auto"/>
          <w:sz w:val="24"/>
          <w:szCs w:val="24"/>
          <w:highlight w:val="none"/>
        </w:rPr>
      </w:pPr>
      <w:r>
        <w:rPr>
          <w:rFonts w:hint="eastAsia" w:hAnsi="宋体"/>
          <w:strike/>
          <w:color w:val="auto"/>
          <w:sz w:val="24"/>
          <w:szCs w:val="24"/>
          <w:highlight w:val="none"/>
        </w:rPr>
        <w:t xml:space="preserve">   (a) 目录；</w:t>
      </w:r>
    </w:p>
    <w:p w14:paraId="3F318848">
      <w:pPr>
        <w:pStyle w:val="14"/>
        <w:spacing w:line="360" w:lineRule="auto"/>
        <w:ind w:firstLine="0" w:firstLineChars="0"/>
        <w:rPr>
          <w:rFonts w:hint="eastAsia" w:hAnsi="宋体"/>
          <w:strike/>
          <w:color w:val="auto"/>
          <w:sz w:val="24"/>
          <w:szCs w:val="24"/>
          <w:highlight w:val="none"/>
        </w:rPr>
      </w:pPr>
      <w:r>
        <w:rPr>
          <w:rFonts w:hint="eastAsia" w:hAnsi="宋体"/>
          <w:strike/>
          <w:color w:val="auto"/>
          <w:sz w:val="24"/>
          <w:szCs w:val="24"/>
          <w:highlight w:val="none"/>
        </w:rPr>
        <w:t xml:space="preserve">   (b) 填妥并签字盖章的《投标书》（投标人无需</w:t>
      </w:r>
      <w:r>
        <w:rPr>
          <w:rFonts w:hAnsi="宋体"/>
          <w:strike/>
          <w:color w:val="auto"/>
          <w:sz w:val="24"/>
          <w:szCs w:val="24"/>
          <w:highlight w:val="none"/>
        </w:rPr>
        <w:t>提供，评标委员会根据</w:t>
      </w:r>
      <w:r>
        <w:rPr>
          <w:rFonts w:hint="eastAsia" w:hAnsi="宋体"/>
          <w:strike/>
          <w:color w:val="auto"/>
          <w:sz w:val="24"/>
          <w:szCs w:val="24"/>
          <w:highlight w:val="none"/>
        </w:rPr>
        <w:t>“开标</w:t>
      </w:r>
      <w:r>
        <w:rPr>
          <w:rFonts w:hAnsi="宋体"/>
          <w:strike/>
          <w:color w:val="auto"/>
          <w:sz w:val="24"/>
          <w:szCs w:val="24"/>
          <w:highlight w:val="none"/>
        </w:rPr>
        <w:t>信封</w:t>
      </w:r>
      <w:r>
        <w:rPr>
          <w:rFonts w:hint="eastAsia" w:hAnsi="宋体"/>
          <w:strike/>
          <w:color w:val="auto"/>
          <w:sz w:val="24"/>
          <w:szCs w:val="24"/>
          <w:highlight w:val="none"/>
        </w:rPr>
        <w:t>”中</w:t>
      </w:r>
      <w:r>
        <w:rPr>
          <w:rFonts w:hAnsi="宋体"/>
          <w:strike/>
          <w:color w:val="auto"/>
          <w:sz w:val="24"/>
          <w:szCs w:val="24"/>
          <w:highlight w:val="none"/>
        </w:rPr>
        <w:t>的《</w:t>
      </w:r>
      <w:r>
        <w:rPr>
          <w:rFonts w:hint="eastAsia" w:hAnsi="宋体"/>
          <w:strike/>
          <w:color w:val="auto"/>
          <w:sz w:val="24"/>
          <w:szCs w:val="24"/>
          <w:highlight w:val="none"/>
        </w:rPr>
        <w:t>投标书</w:t>
      </w:r>
      <w:r>
        <w:rPr>
          <w:rFonts w:hAnsi="宋体"/>
          <w:strike/>
          <w:color w:val="auto"/>
          <w:sz w:val="24"/>
          <w:szCs w:val="24"/>
          <w:highlight w:val="none"/>
        </w:rPr>
        <w:t>》</w:t>
      </w:r>
      <w:r>
        <w:rPr>
          <w:rFonts w:hint="eastAsia" w:hAnsi="宋体"/>
          <w:strike/>
          <w:color w:val="auto"/>
          <w:sz w:val="24"/>
          <w:szCs w:val="24"/>
          <w:highlight w:val="none"/>
        </w:rPr>
        <w:t>进行</w:t>
      </w:r>
      <w:r>
        <w:rPr>
          <w:rFonts w:hAnsi="宋体"/>
          <w:strike/>
          <w:color w:val="auto"/>
          <w:sz w:val="24"/>
          <w:szCs w:val="24"/>
          <w:highlight w:val="none"/>
        </w:rPr>
        <w:t>评审</w:t>
      </w:r>
      <w:r>
        <w:rPr>
          <w:rFonts w:hint="eastAsia" w:hAnsi="宋体"/>
          <w:strike/>
          <w:color w:val="auto"/>
          <w:sz w:val="24"/>
          <w:szCs w:val="24"/>
          <w:highlight w:val="none"/>
        </w:rPr>
        <w:t>。</w:t>
      </w:r>
      <w:r>
        <w:rPr>
          <w:rFonts w:hAnsi="宋体"/>
          <w:strike/>
          <w:color w:val="auto"/>
          <w:sz w:val="24"/>
          <w:szCs w:val="24"/>
          <w:highlight w:val="none"/>
        </w:rPr>
        <w:t>投标人</w:t>
      </w:r>
      <w:r>
        <w:rPr>
          <w:rFonts w:hint="eastAsia" w:hAnsi="宋体"/>
          <w:strike/>
          <w:color w:val="auto"/>
          <w:sz w:val="24"/>
          <w:szCs w:val="24"/>
          <w:highlight w:val="none"/>
        </w:rPr>
        <w:t>再次</w:t>
      </w:r>
      <w:r>
        <w:rPr>
          <w:rFonts w:hAnsi="宋体"/>
          <w:strike/>
          <w:color w:val="auto"/>
          <w:sz w:val="24"/>
          <w:szCs w:val="24"/>
          <w:highlight w:val="none"/>
        </w:rPr>
        <w:t>提供且不一致的，以</w:t>
      </w:r>
      <w:r>
        <w:rPr>
          <w:rFonts w:hint="eastAsia" w:hAnsi="宋体"/>
          <w:strike/>
          <w:color w:val="auto"/>
          <w:sz w:val="24"/>
          <w:szCs w:val="24"/>
          <w:highlight w:val="none"/>
        </w:rPr>
        <w:t>“开标</w:t>
      </w:r>
      <w:r>
        <w:rPr>
          <w:rFonts w:hAnsi="宋体"/>
          <w:strike/>
          <w:color w:val="auto"/>
          <w:sz w:val="24"/>
          <w:szCs w:val="24"/>
          <w:highlight w:val="none"/>
        </w:rPr>
        <w:t>信封</w:t>
      </w:r>
      <w:r>
        <w:rPr>
          <w:rFonts w:hint="eastAsia" w:hAnsi="宋体"/>
          <w:strike/>
          <w:color w:val="auto"/>
          <w:sz w:val="24"/>
          <w:szCs w:val="24"/>
          <w:highlight w:val="none"/>
        </w:rPr>
        <w:t>”中</w:t>
      </w:r>
      <w:r>
        <w:rPr>
          <w:rFonts w:hAnsi="宋体"/>
          <w:strike/>
          <w:color w:val="auto"/>
          <w:sz w:val="24"/>
          <w:szCs w:val="24"/>
          <w:highlight w:val="none"/>
        </w:rPr>
        <w:t>的《</w:t>
      </w:r>
      <w:r>
        <w:rPr>
          <w:rFonts w:hint="eastAsia" w:hAnsi="宋体"/>
          <w:strike/>
          <w:color w:val="auto"/>
          <w:sz w:val="24"/>
          <w:szCs w:val="24"/>
          <w:highlight w:val="none"/>
        </w:rPr>
        <w:t>投标书</w:t>
      </w:r>
      <w:r>
        <w:rPr>
          <w:rFonts w:hAnsi="宋体"/>
          <w:strike/>
          <w:color w:val="auto"/>
          <w:sz w:val="24"/>
          <w:szCs w:val="24"/>
          <w:highlight w:val="none"/>
        </w:rPr>
        <w:t>》</w:t>
      </w:r>
      <w:r>
        <w:rPr>
          <w:rFonts w:hint="eastAsia" w:hAnsi="宋体"/>
          <w:strike/>
          <w:color w:val="auto"/>
          <w:sz w:val="24"/>
          <w:szCs w:val="24"/>
          <w:highlight w:val="none"/>
        </w:rPr>
        <w:t>为准）；</w:t>
      </w:r>
    </w:p>
    <w:p w14:paraId="7B543551">
      <w:pPr>
        <w:pStyle w:val="14"/>
        <w:spacing w:line="360" w:lineRule="auto"/>
        <w:ind w:firstLine="360" w:firstLineChars="150"/>
        <w:rPr>
          <w:rFonts w:hint="eastAsia" w:hAnsi="宋体"/>
          <w:strike/>
          <w:color w:val="auto"/>
          <w:sz w:val="24"/>
          <w:szCs w:val="24"/>
          <w:highlight w:val="none"/>
        </w:rPr>
      </w:pPr>
      <w:r>
        <w:rPr>
          <w:rFonts w:hint="eastAsia" w:hAnsi="宋体"/>
          <w:strike/>
          <w:color w:val="auto"/>
          <w:sz w:val="24"/>
          <w:szCs w:val="24"/>
          <w:highlight w:val="none"/>
        </w:rPr>
        <w:t>(c) 填妥并签字盖章的《投标人声明》（格式见附录8）；</w:t>
      </w:r>
    </w:p>
    <w:p w14:paraId="5E0E8DB0">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 xml:space="preserve">   (d) 填妥并签字盖章的《联合体投标协议》（联合体投标人提供）（</w:t>
      </w:r>
      <w:r>
        <w:rPr>
          <w:rFonts w:hint="eastAsia" w:hAnsi="宋体"/>
          <w:strike/>
          <w:color w:val="auto"/>
          <w:sz w:val="24"/>
          <w:highlight w:val="none"/>
        </w:rPr>
        <w:t>投标人无需</w:t>
      </w:r>
      <w:r>
        <w:rPr>
          <w:rFonts w:hAnsi="宋体"/>
          <w:strike/>
          <w:color w:val="auto"/>
          <w:sz w:val="24"/>
          <w:highlight w:val="none"/>
        </w:rPr>
        <w:t>提供，评标委员会根据</w:t>
      </w:r>
      <w:r>
        <w:rPr>
          <w:rFonts w:hint="eastAsia" w:hAnsi="宋体"/>
          <w:strike/>
          <w:color w:val="auto"/>
          <w:sz w:val="24"/>
          <w:highlight w:val="none"/>
        </w:rPr>
        <w:t>“开标</w:t>
      </w:r>
      <w:r>
        <w:rPr>
          <w:rFonts w:hAnsi="宋体"/>
          <w:strike/>
          <w:color w:val="auto"/>
          <w:sz w:val="24"/>
          <w:highlight w:val="none"/>
        </w:rPr>
        <w:t>信封</w:t>
      </w:r>
      <w:r>
        <w:rPr>
          <w:rFonts w:hint="eastAsia" w:hAnsi="宋体"/>
          <w:strike/>
          <w:color w:val="auto"/>
          <w:sz w:val="24"/>
          <w:highlight w:val="none"/>
        </w:rPr>
        <w:t>”中</w:t>
      </w:r>
      <w:r>
        <w:rPr>
          <w:rFonts w:hAnsi="宋体"/>
          <w:strike/>
          <w:color w:val="auto"/>
          <w:sz w:val="24"/>
          <w:highlight w:val="none"/>
        </w:rPr>
        <w:t>的《</w:t>
      </w:r>
      <w:r>
        <w:rPr>
          <w:rFonts w:hint="eastAsia" w:ascii="宋体" w:hAnsi="宋体"/>
          <w:strike/>
          <w:color w:val="auto"/>
          <w:sz w:val="24"/>
          <w:highlight w:val="none"/>
        </w:rPr>
        <w:t>联合体投标协议</w:t>
      </w:r>
      <w:r>
        <w:rPr>
          <w:rFonts w:hAnsi="宋体"/>
          <w:strike/>
          <w:color w:val="auto"/>
          <w:sz w:val="24"/>
          <w:highlight w:val="none"/>
        </w:rPr>
        <w:t>》</w:t>
      </w:r>
      <w:r>
        <w:rPr>
          <w:rFonts w:hint="eastAsia" w:hAnsi="宋体"/>
          <w:strike/>
          <w:color w:val="auto"/>
          <w:sz w:val="24"/>
          <w:highlight w:val="none"/>
        </w:rPr>
        <w:t>进行</w:t>
      </w:r>
      <w:r>
        <w:rPr>
          <w:rFonts w:hAnsi="宋体"/>
          <w:strike/>
          <w:color w:val="auto"/>
          <w:sz w:val="24"/>
          <w:highlight w:val="none"/>
        </w:rPr>
        <w:t>评审</w:t>
      </w:r>
      <w:r>
        <w:rPr>
          <w:rFonts w:hint="eastAsia" w:hAnsi="宋体"/>
          <w:strike/>
          <w:color w:val="auto"/>
          <w:sz w:val="24"/>
          <w:highlight w:val="none"/>
        </w:rPr>
        <w:t>。</w:t>
      </w:r>
      <w:r>
        <w:rPr>
          <w:rFonts w:hAnsi="宋体"/>
          <w:strike/>
          <w:color w:val="auto"/>
          <w:sz w:val="24"/>
          <w:highlight w:val="none"/>
        </w:rPr>
        <w:t>投标人</w:t>
      </w:r>
      <w:r>
        <w:rPr>
          <w:rFonts w:hint="eastAsia" w:hAnsi="宋体"/>
          <w:strike/>
          <w:color w:val="auto"/>
          <w:sz w:val="24"/>
          <w:highlight w:val="none"/>
        </w:rPr>
        <w:t>再次</w:t>
      </w:r>
      <w:r>
        <w:rPr>
          <w:rFonts w:hAnsi="宋体"/>
          <w:strike/>
          <w:color w:val="auto"/>
          <w:sz w:val="24"/>
          <w:highlight w:val="none"/>
        </w:rPr>
        <w:t>提供且不一致的，以</w:t>
      </w:r>
      <w:r>
        <w:rPr>
          <w:rFonts w:hint="eastAsia" w:hAnsi="宋体"/>
          <w:strike/>
          <w:color w:val="auto"/>
          <w:sz w:val="24"/>
          <w:highlight w:val="none"/>
        </w:rPr>
        <w:t>“开标</w:t>
      </w:r>
      <w:r>
        <w:rPr>
          <w:rFonts w:hAnsi="宋体"/>
          <w:strike/>
          <w:color w:val="auto"/>
          <w:sz w:val="24"/>
          <w:highlight w:val="none"/>
        </w:rPr>
        <w:t>信封</w:t>
      </w:r>
      <w:r>
        <w:rPr>
          <w:rFonts w:hint="eastAsia" w:hAnsi="宋体"/>
          <w:strike/>
          <w:color w:val="auto"/>
          <w:sz w:val="24"/>
          <w:highlight w:val="none"/>
        </w:rPr>
        <w:t>”中</w:t>
      </w:r>
      <w:r>
        <w:rPr>
          <w:rFonts w:hAnsi="宋体"/>
          <w:strike/>
          <w:color w:val="auto"/>
          <w:sz w:val="24"/>
          <w:highlight w:val="none"/>
        </w:rPr>
        <w:t>的《</w:t>
      </w:r>
      <w:r>
        <w:rPr>
          <w:rFonts w:hint="eastAsia" w:ascii="宋体" w:hAnsi="宋体"/>
          <w:strike/>
          <w:color w:val="auto"/>
          <w:sz w:val="24"/>
          <w:highlight w:val="none"/>
        </w:rPr>
        <w:t>联合体投标协议</w:t>
      </w:r>
      <w:r>
        <w:rPr>
          <w:rFonts w:hAnsi="宋体"/>
          <w:strike/>
          <w:color w:val="auto"/>
          <w:sz w:val="24"/>
          <w:highlight w:val="none"/>
        </w:rPr>
        <w:t>》</w:t>
      </w:r>
      <w:r>
        <w:rPr>
          <w:rFonts w:hint="eastAsia" w:hAnsi="宋体"/>
          <w:strike/>
          <w:color w:val="auto"/>
          <w:sz w:val="24"/>
          <w:highlight w:val="none"/>
        </w:rPr>
        <w:t>为准</w:t>
      </w:r>
      <w:r>
        <w:rPr>
          <w:rFonts w:hint="eastAsia" w:ascii="宋体" w:hAnsi="宋体"/>
          <w:strike/>
          <w:color w:val="auto"/>
          <w:sz w:val="24"/>
          <w:highlight w:val="none"/>
        </w:rPr>
        <w:t>）；</w:t>
      </w:r>
    </w:p>
    <w:p w14:paraId="7D8D8EEF">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 xml:space="preserve">   (e) </w:t>
      </w:r>
      <w:r>
        <w:rPr>
          <w:rFonts w:hint="eastAsia" w:hAnsi="宋体"/>
          <w:strike/>
          <w:color w:val="auto"/>
          <w:sz w:val="24"/>
          <w:highlight w:val="none"/>
        </w:rPr>
        <w:t>投标人</w:t>
      </w:r>
      <w:r>
        <w:rPr>
          <w:rFonts w:hint="eastAsia" w:ascii="宋体" w:hAnsi="宋体"/>
          <w:strike/>
          <w:color w:val="auto"/>
          <w:sz w:val="24"/>
          <w:highlight w:val="none"/>
        </w:rPr>
        <w:t>资质证书；</w:t>
      </w:r>
    </w:p>
    <w:p w14:paraId="3A853A6B">
      <w:pPr>
        <w:spacing w:line="360" w:lineRule="auto"/>
        <w:ind w:left="821" w:hanging="820" w:hangingChars="342"/>
        <w:rPr>
          <w:rFonts w:hint="eastAsia" w:ascii="宋体" w:hAnsi="宋体"/>
          <w:strike/>
          <w:color w:val="auto"/>
          <w:sz w:val="24"/>
          <w:highlight w:val="none"/>
        </w:rPr>
      </w:pPr>
      <w:r>
        <w:rPr>
          <w:rFonts w:hint="eastAsia" w:ascii="宋体" w:hAnsi="宋体"/>
          <w:strike/>
          <w:color w:val="auto"/>
          <w:sz w:val="24"/>
          <w:highlight w:val="none"/>
        </w:rPr>
        <w:t xml:space="preserve">   (f) 申请人已在广州市住房和城乡建设局建立企业诚信档案，拟委派的项目负责人须</w:t>
      </w:r>
      <w:r>
        <w:rPr>
          <w:rFonts w:ascii="宋体" w:hAnsi="宋体"/>
          <w:strike/>
          <w:color w:val="auto"/>
          <w:sz w:val="24"/>
          <w:highlight w:val="none"/>
        </w:rPr>
        <w:t>是本企业诚信档案中</w:t>
      </w:r>
      <w:r>
        <w:rPr>
          <w:rFonts w:hint="eastAsia" w:ascii="宋体" w:hAnsi="宋体"/>
          <w:strike/>
          <w:color w:val="auto"/>
          <w:sz w:val="24"/>
          <w:highlight w:val="none"/>
        </w:rPr>
        <w:t>的</w:t>
      </w:r>
      <w:r>
        <w:rPr>
          <w:rFonts w:ascii="宋体" w:hAnsi="宋体"/>
          <w:strike/>
          <w:color w:val="auto"/>
          <w:sz w:val="24"/>
          <w:highlight w:val="none"/>
        </w:rPr>
        <w:t>在册人员</w:t>
      </w:r>
      <w:r>
        <w:rPr>
          <w:rFonts w:hint="eastAsia" w:hAnsi="宋体"/>
          <w:strike/>
          <w:color w:val="auto"/>
          <w:sz w:val="24"/>
          <w:highlight w:val="none"/>
        </w:rPr>
        <w:t>；</w:t>
      </w:r>
    </w:p>
    <w:p w14:paraId="0F79D818">
      <w:pPr>
        <w:spacing w:line="360" w:lineRule="auto"/>
        <w:ind w:left="789" w:leftChars="67" w:hanging="648" w:hangingChars="270"/>
        <w:rPr>
          <w:rFonts w:hint="eastAsia" w:ascii="宋体" w:hAnsi="宋体"/>
          <w:strike/>
          <w:color w:val="auto"/>
          <w:sz w:val="24"/>
          <w:highlight w:val="none"/>
        </w:rPr>
      </w:pPr>
      <w:r>
        <w:rPr>
          <w:rFonts w:hint="eastAsia" w:hAnsi="宋体"/>
          <w:strike/>
          <w:color w:val="auto"/>
          <w:sz w:val="24"/>
          <w:highlight w:val="none"/>
        </w:rPr>
        <w:t xml:space="preserve">  (g) 投标申请表（附录1）；</w:t>
      </w:r>
    </w:p>
    <w:p w14:paraId="43989963">
      <w:pPr>
        <w:spacing w:line="360" w:lineRule="auto"/>
        <w:ind w:left="759" w:leftChars="167" w:hanging="408" w:hangingChars="170"/>
        <w:rPr>
          <w:rFonts w:hint="eastAsia" w:ascii="宋体" w:hAnsi="宋体"/>
          <w:strike/>
          <w:color w:val="auto"/>
          <w:sz w:val="24"/>
          <w:highlight w:val="none"/>
        </w:rPr>
      </w:pPr>
      <w:r>
        <w:rPr>
          <w:rFonts w:hint="eastAsia" w:hAnsi="宋体"/>
          <w:strike/>
          <w:color w:val="auto"/>
          <w:sz w:val="24"/>
          <w:highlight w:val="none"/>
        </w:rPr>
        <w:t>(h) 拟派</w:t>
      </w:r>
      <w:r>
        <w:rPr>
          <w:rFonts w:hint="eastAsia" w:ascii="宋体" w:hAnsi="宋体"/>
          <w:strike/>
          <w:color w:val="auto"/>
          <w:sz w:val="24"/>
          <w:highlight w:val="none"/>
        </w:rPr>
        <w:t>项目负责人注册执业资格证书或职称证书；</w:t>
      </w:r>
    </w:p>
    <w:p w14:paraId="0D7B8B67">
      <w:pPr>
        <w:spacing w:line="360" w:lineRule="auto"/>
        <w:rPr>
          <w:rFonts w:hint="eastAsia" w:ascii="宋体" w:hAnsi="宋体"/>
          <w:strike/>
          <w:color w:val="auto"/>
          <w:sz w:val="24"/>
          <w:highlight w:val="none"/>
        </w:rPr>
      </w:pPr>
      <w:r>
        <w:rPr>
          <w:rFonts w:hint="eastAsia" w:hAnsi="宋体"/>
          <w:strike/>
          <w:color w:val="auto"/>
          <w:sz w:val="24"/>
          <w:highlight w:val="none"/>
        </w:rPr>
        <w:t xml:space="preserve">   (i) 拟派各专业负责人注册</w:t>
      </w:r>
      <w:r>
        <w:rPr>
          <w:rFonts w:hint="eastAsia" w:ascii="宋体" w:hAnsi="宋体"/>
          <w:strike/>
          <w:color w:val="auto"/>
          <w:sz w:val="24"/>
          <w:highlight w:val="none"/>
        </w:rPr>
        <w:t>执业资格证书或职称证书及工作简历；</w:t>
      </w:r>
    </w:p>
    <w:p w14:paraId="45561249">
      <w:pPr>
        <w:spacing w:line="360" w:lineRule="auto"/>
        <w:rPr>
          <w:rFonts w:hint="eastAsia" w:ascii="宋体" w:hAnsi="宋体"/>
          <w:strike/>
          <w:color w:val="auto"/>
          <w:sz w:val="24"/>
          <w:highlight w:val="none"/>
        </w:rPr>
      </w:pPr>
      <w:r>
        <w:rPr>
          <w:rFonts w:hint="eastAsia" w:ascii="宋体" w:hAnsi="宋体"/>
          <w:strike/>
          <w:color w:val="auto"/>
          <w:sz w:val="24"/>
          <w:highlight w:val="none"/>
        </w:rPr>
        <w:t xml:space="preserve">   </w:t>
      </w:r>
      <w:r>
        <w:rPr>
          <w:rFonts w:hint="eastAsia" w:hAnsi="宋体"/>
          <w:strike/>
          <w:color w:val="auto"/>
          <w:sz w:val="24"/>
          <w:highlight w:val="none"/>
        </w:rPr>
        <w:t xml:space="preserve">(j) </w:t>
      </w:r>
      <w:r>
        <w:rPr>
          <w:rFonts w:hint="eastAsia" w:ascii="宋体" w:hAnsi="宋体"/>
          <w:strike/>
          <w:color w:val="auto"/>
          <w:sz w:val="24"/>
          <w:highlight w:val="none"/>
        </w:rPr>
        <w:t>投标人认为有必要提供的其他资料。</w:t>
      </w:r>
    </w:p>
    <w:p w14:paraId="7A13972E">
      <w:pPr>
        <w:spacing w:line="360" w:lineRule="auto"/>
        <w:rPr>
          <w:rFonts w:hint="eastAsia" w:ascii="宋体" w:hAnsi="宋体"/>
          <w:strike/>
          <w:color w:val="auto"/>
          <w:sz w:val="24"/>
          <w:highlight w:val="none"/>
        </w:rPr>
      </w:pPr>
      <w:r>
        <w:rPr>
          <w:rFonts w:hint="eastAsia" w:hAnsi="宋体"/>
          <w:strike/>
          <w:color w:val="auto"/>
          <w:sz w:val="24"/>
          <w:highlight w:val="none"/>
        </w:rPr>
        <w:t xml:space="preserve">   </w:t>
      </w:r>
    </w:p>
    <w:p w14:paraId="75430D94">
      <w:pPr>
        <w:spacing w:line="360" w:lineRule="auto"/>
        <w:ind w:left="611" w:leftChars="15" w:hanging="580" w:hangingChars="242"/>
        <w:rPr>
          <w:rFonts w:ascii="宋体" w:hAnsi="宋体"/>
          <w:strike/>
          <w:color w:val="auto"/>
          <w:sz w:val="24"/>
          <w:highlight w:val="none"/>
        </w:rPr>
      </w:pPr>
      <w:r>
        <w:rPr>
          <w:rFonts w:hint="eastAsia" w:ascii="宋体" w:hAnsi="宋体"/>
          <w:strike/>
          <w:color w:val="auto"/>
          <w:sz w:val="24"/>
          <w:highlight w:val="none"/>
        </w:rPr>
        <w:t>注：资格审查文件中的(e)、(f)取自广州市住房和城乡建设局企业诚信档案信息库，投标人档案信息库中记录的该部分上传件将被视为投标人递交投标文件的一部分，不需重复提交。评标委员会对该部分资料的审查将以投标截止时间在广州市住房和城乡建设局企业诚信档案信息库内上传件为依据。若招标人延长投标截止时间的，以上资料的评审时点也相应延长。投标人应及时维护其在广州市住房和城乡建设局企业诚信档案信息库登记的信息及上传件，确保各项信息及上传件在有效期内。</w:t>
      </w:r>
    </w:p>
    <w:p w14:paraId="038DDD57">
      <w:pPr>
        <w:spacing w:line="360" w:lineRule="auto"/>
        <w:ind w:left="611" w:leftChars="15" w:hanging="580" w:hangingChars="242"/>
        <w:rPr>
          <w:rFonts w:hint="eastAsia" w:ascii="宋体" w:hAnsi="宋体"/>
          <w:strike/>
          <w:color w:val="auto"/>
          <w:sz w:val="24"/>
          <w:highlight w:val="none"/>
        </w:rPr>
      </w:pPr>
    </w:p>
    <w:p w14:paraId="163D5C51">
      <w:pPr>
        <w:spacing w:line="360" w:lineRule="auto"/>
        <w:ind w:left="361" w:hanging="361" w:hangingChars="150"/>
        <w:rPr>
          <w:rFonts w:ascii="宋体" w:hAnsi="宋体"/>
          <w:b/>
          <w:bCs/>
          <w:strike/>
          <w:color w:val="auto"/>
          <w:sz w:val="24"/>
          <w:highlight w:val="none"/>
        </w:rPr>
      </w:pPr>
      <w:r>
        <w:rPr>
          <w:rFonts w:ascii="宋体" w:hAnsi="宋体"/>
          <w:b/>
          <w:bCs/>
          <w:strike/>
          <w:color w:val="auto"/>
          <w:sz w:val="24"/>
          <w:highlight w:val="none"/>
        </w:rPr>
        <w:t xml:space="preserve">6    </w:t>
      </w:r>
      <w:r>
        <w:rPr>
          <w:rFonts w:hint="eastAsia" w:ascii="宋体" w:hAnsi="宋体"/>
          <w:b/>
          <w:bCs/>
          <w:strike/>
          <w:color w:val="auto"/>
          <w:sz w:val="24"/>
          <w:highlight w:val="none"/>
        </w:rPr>
        <w:t>定标资料（如有）</w:t>
      </w:r>
    </w:p>
    <w:p w14:paraId="3E1EA2C2">
      <w:pPr>
        <w:spacing w:line="360" w:lineRule="auto"/>
        <w:ind w:left="360" w:hanging="360" w:hangingChars="150"/>
        <w:rPr>
          <w:rFonts w:ascii="宋体" w:hAnsi="宋体"/>
          <w:strike/>
          <w:color w:val="auto"/>
          <w:sz w:val="24"/>
          <w:highlight w:val="none"/>
        </w:rPr>
      </w:pPr>
    </w:p>
    <w:p w14:paraId="4F4FC7AA">
      <w:pPr>
        <w:spacing w:line="360" w:lineRule="auto"/>
        <w:ind w:left="360" w:hanging="360" w:hangingChars="150"/>
        <w:rPr>
          <w:rFonts w:hint="eastAsia" w:ascii="宋体" w:hAnsi="宋体"/>
          <w:strike/>
          <w:color w:val="auto"/>
          <w:sz w:val="24"/>
          <w:highlight w:val="none"/>
        </w:rPr>
      </w:pPr>
      <w:r>
        <w:rPr>
          <w:rFonts w:hint="eastAsia" w:ascii="宋体" w:hAnsi="宋体"/>
          <w:strike/>
          <w:color w:val="auto"/>
          <w:sz w:val="24"/>
          <w:highlight w:val="none"/>
        </w:rPr>
        <w:t>（由招标人自定）</w:t>
      </w:r>
    </w:p>
    <w:p w14:paraId="0B6BD36A">
      <w:pPr>
        <w:jc w:val="left"/>
        <w:rPr>
          <w:rFonts w:hint="eastAsia" w:ascii="宋体" w:hAnsi="宋体"/>
          <w:strike/>
          <w:color w:val="auto"/>
          <w:highlight w:val="none"/>
        </w:rPr>
      </w:pPr>
    </w:p>
    <w:p w14:paraId="6E76CADB">
      <w:pPr>
        <w:pStyle w:val="2"/>
        <w:spacing w:before="120" w:after="100" w:afterAutospacing="1"/>
        <w:rPr>
          <w:rFonts w:hint="eastAsia" w:ascii="宋体" w:hAnsi="宋体"/>
          <w:b w:val="0"/>
          <w:bCs w:val="0"/>
          <w:color w:val="auto"/>
          <w:highlight w:val="none"/>
        </w:rPr>
      </w:pPr>
      <w:r>
        <w:rPr>
          <w:rFonts w:ascii="宋体" w:hAnsi="宋体"/>
          <w:strike/>
          <w:color w:val="auto"/>
          <w:highlight w:val="none"/>
        </w:rPr>
        <w:br w:type="page"/>
      </w:r>
      <w:bookmarkStart w:id="31" w:name="_Toc29997"/>
      <w:r>
        <w:rPr>
          <w:rFonts w:hint="eastAsia" w:ascii="宋体" w:hAnsi="宋体"/>
          <w:color w:val="auto"/>
          <w:sz w:val="21"/>
          <w:szCs w:val="21"/>
          <w:highlight w:val="none"/>
        </w:rPr>
        <w:t>附录6 投标书</w:t>
      </w:r>
      <w:bookmarkEnd w:id="31"/>
    </w:p>
    <w:p w14:paraId="7253C90C">
      <w:pPr>
        <w:jc w:val="center"/>
        <w:rPr>
          <w:rFonts w:ascii="宋体" w:hAnsi="宋体"/>
          <w:b/>
          <w:bCs/>
          <w:color w:val="auto"/>
          <w:sz w:val="32"/>
          <w:highlight w:val="none"/>
        </w:rPr>
      </w:pPr>
      <w:r>
        <w:rPr>
          <w:rFonts w:hint="eastAsia" w:ascii="宋体" w:hAnsi="宋体"/>
          <w:b/>
          <w:bCs/>
          <w:color w:val="auto"/>
          <w:sz w:val="32"/>
          <w:highlight w:val="none"/>
        </w:rPr>
        <w:t>投标书</w:t>
      </w:r>
    </w:p>
    <w:p w14:paraId="37782B52">
      <w:pPr>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p w14:paraId="423D61C1">
      <w:pPr>
        <w:pStyle w:val="15"/>
        <w:spacing w:line="360" w:lineRule="auto"/>
        <w:rPr>
          <w:rFonts w:hint="eastAsia" w:ascii="宋体" w:hAnsi="宋体" w:cs="宋体"/>
          <w:color w:val="auto"/>
          <w:sz w:val="24"/>
          <w:szCs w:val="24"/>
          <w:highlight w:val="none"/>
          <w:u w:val="single"/>
          <w:lang w:eastAsia="zh-CN"/>
        </w:rPr>
      </w:pPr>
      <w:r>
        <w:rPr>
          <w:rFonts w:hint="eastAsia" w:hAnsi="宋体"/>
          <w:color w:val="auto"/>
          <w:sz w:val="24"/>
          <w:szCs w:val="24"/>
          <w:highlight w:val="none"/>
        </w:rPr>
        <w:t>致：</w:t>
      </w:r>
      <w:r>
        <w:rPr>
          <w:rFonts w:hint="eastAsia" w:ascii="宋体" w:hAnsi="宋体" w:cs="宋体"/>
          <w:color w:val="auto"/>
          <w:sz w:val="24"/>
          <w:szCs w:val="24"/>
          <w:highlight w:val="none"/>
          <w:u w:val="single"/>
          <w:lang w:eastAsia="zh-CN"/>
        </w:rPr>
        <w:t>广州市天投城市更新有限公司</w:t>
      </w:r>
    </w:p>
    <w:p w14:paraId="71C2E102">
      <w:pPr>
        <w:pStyle w:val="15"/>
        <w:spacing w:line="360" w:lineRule="auto"/>
        <w:rPr>
          <w:rFonts w:hint="eastAsia" w:ascii="宋体" w:hAnsi="宋体" w:cs="宋体"/>
          <w:color w:val="auto"/>
          <w:sz w:val="24"/>
          <w:szCs w:val="24"/>
          <w:highlight w:val="none"/>
          <w:u w:val="single"/>
          <w:lang w:eastAsia="zh-CN"/>
        </w:rPr>
      </w:pPr>
    </w:p>
    <w:p w14:paraId="18156CFE">
      <w:pPr>
        <w:pStyle w:val="15"/>
        <w:spacing w:line="360" w:lineRule="auto"/>
        <w:ind w:firstLine="420"/>
        <w:rPr>
          <w:rFonts w:hint="eastAsia" w:hAnsi="宋体"/>
          <w:color w:val="auto"/>
          <w:sz w:val="24"/>
          <w:szCs w:val="24"/>
          <w:highlight w:val="none"/>
        </w:rPr>
      </w:pPr>
      <w:r>
        <w:rPr>
          <w:rFonts w:hint="eastAsia" w:hAnsi="宋体"/>
          <w:color w:val="auto"/>
          <w:sz w:val="24"/>
          <w:highlight w:val="none"/>
        </w:rPr>
        <w:t>我方</w:t>
      </w:r>
      <w:r>
        <w:rPr>
          <w:rFonts w:hint="eastAsia" w:hAnsi="宋体"/>
          <w:color w:val="auto"/>
          <w:sz w:val="24"/>
          <w:highlight w:val="none"/>
          <w:u w:val="single"/>
        </w:rPr>
        <w:t>（投标人的简称）</w:t>
      </w:r>
      <w:r>
        <w:rPr>
          <w:rFonts w:hint="eastAsia" w:hAnsi="宋体"/>
          <w:color w:val="auto"/>
          <w:sz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hAnsi="宋体"/>
          <w:color w:val="auto"/>
          <w:sz w:val="24"/>
          <w:highlight w:val="none"/>
          <w:u w:val="single"/>
        </w:rPr>
        <w:t>《工程勘察设计费</w:t>
      </w:r>
      <w:r>
        <w:rPr>
          <w:rFonts w:hint="eastAsia" w:hAnsi="宋体"/>
          <w:color w:val="auto"/>
          <w:sz w:val="24"/>
          <w:highlight w:val="none"/>
          <w:u w:val="single"/>
          <w:lang w:eastAsia="zh-CN"/>
        </w:rPr>
        <w:t>投标</w:t>
      </w:r>
      <w:r>
        <w:rPr>
          <w:rFonts w:hint="eastAsia" w:hAnsi="宋体"/>
          <w:color w:val="auto"/>
          <w:sz w:val="24"/>
          <w:highlight w:val="none"/>
          <w:u w:val="single"/>
        </w:rPr>
        <w:t>报价汇总表》</w:t>
      </w:r>
      <w:r>
        <w:rPr>
          <w:rFonts w:hint="eastAsia" w:hAnsi="宋体"/>
          <w:color w:val="auto"/>
          <w:sz w:val="24"/>
          <w:highlight w:val="none"/>
        </w:rPr>
        <w:t>的投标总报价，承包本次招标所包含的工作，并承担质量缺陷责任。我方项目负责人为</w:t>
      </w:r>
      <w:r>
        <w:rPr>
          <w:rFonts w:hint="eastAsia" w:hAnsi="宋体"/>
          <w:bCs/>
          <w:color w:val="auto"/>
          <w:sz w:val="24"/>
          <w:highlight w:val="none"/>
        </w:rPr>
        <w:t>网上投标登记时选择的项目负责人</w:t>
      </w:r>
      <w:r>
        <w:rPr>
          <w:rFonts w:hint="eastAsia" w:hAnsi="宋体"/>
          <w:color w:val="auto"/>
          <w:sz w:val="24"/>
          <w:highlight w:val="none"/>
        </w:rPr>
        <w:t>。如我司成为本项目中标候选人，我司同意并授权招标人将我司投标文件商务部分进行公开。</w:t>
      </w:r>
    </w:p>
    <w:p w14:paraId="0E478707">
      <w:pPr>
        <w:pStyle w:val="15"/>
        <w:spacing w:line="360" w:lineRule="auto"/>
        <w:ind w:firstLine="420"/>
        <w:rPr>
          <w:rFonts w:hint="eastAsia" w:hAnsi="宋体"/>
          <w:color w:val="auto"/>
          <w:sz w:val="24"/>
          <w:szCs w:val="24"/>
          <w:highlight w:val="none"/>
        </w:rPr>
      </w:pPr>
      <w:r>
        <w:rPr>
          <w:rFonts w:hint="eastAsia" w:hAnsi="宋体"/>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4A7E591D">
      <w:pPr>
        <w:pStyle w:val="15"/>
        <w:spacing w:line="360" w:lineRule="auto"/>
        <w:ind w:firstLine="420"/>
        <w:rPr>
          <w:rFonts w:hint="eastAsia" w:hAnsi="宋体"/>
          <w:color w:val="auto"/>
          <w:sz w:val="24"/>
          <w:szCs w:val="24"/>
          <w:highlight w:val="none"/>
        </w:rPr>
      </w:pPr>
      <w:r>
        <w:rPr>
          <w:rFonts w:hint="eastAsia" w:hAnsi="宋体"/>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0935DD74">
      <w:pPr>
        <w:pStyle w:val="15"/>
        <w:spacing w:line="360" w:lineRule="auto"/>
        <w:ind w:firstLine="420"/>
        <w:rPr>
          <w:rFonts w:hint="eastAsia" w:hAnsi="宋体"/>
          <w:color w:val="auto"/>
          <w:sz w:val="24"/>
          <w:szCs w:val="24"/>
          <w:highlight w:val="none"/>
        </w:rPr>
      </w:pPr>
      <w:r>
        <w:rPr>
          <w:rFonts w:hint="eastAsia" w:hAnsi="宋体"/>
          <w:color w:val="auto"/>
          <w:sz w:val="24"/>
          <w:szCs w:val="24"/>
          <w:highlight w:val="none"/>
        </w:rPr>
        <w:t>如果我方中标，我方将提供规定的履约担保，将在合同规定的日期开工，并在竣工时间内，按照上述文件完成项目。</w:t>
      </w:r>
    </w:p>
    <w:p w14:paraId="64BFFEAB">
      <w:pPr>
        <w:pStyle w:val="15"/>
        <w:spacing w:line="360" w:lineRule="auto"/>
        <w:ind w:firstLine="420"/>
        <w:rPr>
          <w:rFonts w:hint="eastAsia" w:hAnsi="宋体"/>
          <w:color w:val="auto"/>
          <w:sz w:val="24"/>
          <w:szCs w:val="24"/>
          <w:highlight w:val="none"/>
        </w:rPr>
      </w:pPr>
      <w:r>
        <w:rPr>
          <w:rFonts w:hint="eastAsia" w:hAnsi="宋体"/>
          <w:color w:val="auto"/>
          <w:sz w:val="24"/>
          <w:szCs w:val="24"/>
          <w:highlight w:val="none"/>
        </w:rPr>
        <w:t>除非制订正式合同协议书并生效，本投标书以及你方中标通知书，应构成你我双方间具有约束力的合同。</w:t>
      </w:r>
    </w:p>
    <w:p w14:paraId="3717F3B8">
      <w:pPr>
        <w:spacing w:line="360" w:lineRule="auto"/>
        <w:ind w:firstLine="405"/>
        <w:rPr>
          <w:rFonts w:hint="eastAsia" w:ascii="宋体" w:hAnsi="宋体"/>
          <w:color w:val="auto"/>
          <w:sz w:val="24"/>
          <w:highlight w:val="none"/>
        </w:rPr>
      </w:pPr>
      <w:r>
        <w:rPr>
          <w:rFonts w:hint="eastAsia" w:ascii="宋体" w:hAnsi="宋体"/>
          <w:color w:val="auto"/>
          <w:sz w:val="24"/>
          <w:highlight w:val="none"/>
        </w:rPr>
        <w:t>本投标书同时作为法人证明书或法人授权委托书。</w:t>
      </w:r>
    </w:p>
    <w:p w14:paraId="11F5B8B9">
      <w:pPr>
        <w:spacing w:line="360" w:lineRule="auto"/>
        <w:rPr>
          <w:rFonts w:hint="eastAsia" w:ascii="宋体" w:hAnsi="宋体"/>
          <w:color w:val="auto"/>
          <w:sz w:val="24"/>
          <w:highlight w:val="none"/>
        </w:rPr>
      </w:pPr>
    </w:p>
    <w:p w14:paraId="293F8943">
      <w:pPr>
        <w:pStyle w:val="15"/>
        <w:spacing w:line="360" w:lineRule="auto"/>
        <w:ind w:firstLine="405"/>
        <w:rPr>
          <w:rFonts w:hAnsi="宋体"/>
          <w:color w:val="auto"/>
          <w:sz w:val="24"/>
          <w:szCs w:val="24"/>
          <w:highlight w:val="none"/>
        </w:rPr>
      </w:pPr>
      <w:r>
        <w:rPr>
          <w:rFonts w:hint="eastAsia" w:hAnsi="宋体"/>
          <w:color w:val="auto"/>
          <w:sz w:val="24"/>
          <w:szCs w:val="24"/>
          <w:highlight w:val="none"/>
        </w:rPr>
        <w:t>投标人：（盖章）</w:t>
      </w:r>
      <w:r>
        <w:rPr>
          <w:rFonts w:hint="eastAsia" w:hAnsi="宋体"/>
          <w:color w:val="auto"/>
          <w:sz w:val="24"/>
          <w:szCs w:val="24"/>
          <w:highlight w:val="none"/>
          <w:u w:val="single"/>
        </w:rPr>
        <w:t xml:space="preserve">                                  </w:t>
      </w:r>
    </w:p>
    <w:p w14:paraId="63C44A3B">
      <w:pPr>
        <w:pStyle w:val="15"/>
        <w:spacing w:line="360" w:lineRule="auto"/>
        <w:ind w:firstLine="405"/>
        <w:rPr>
          <w:rFonts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7A32F2AB">
      <w:pPr>
        <w:pStyle w:val="15"/>
        <w:spacing w:line="360" w:lineRule="auto"/>
        <w:ind w:firstLine="405"/>
        <w:rPr>
          <w:rFonts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661984D2">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项目负责人：（签字或盖章）</w:t>
      </w:r>
      <w:r>
        <w:rPr>
          <w:rFonts w:hint="eastAsia" w:hAnsi="宋体"/>
          <w:color w:val="auto"/>
          <w:sz w:val="24"/>
          <w:szCs w:val="24"/>
          <w:highlight w:val="none"/>
          <w:u w:val="single"/>
        </w:rPr>
        <w:t xml:space="preserve">                        </w:t>
      </w:r>
    </w:p>
    <w:p w14:paraId="154E1822">
      <w:pPr>
        <w:pStyle w:val="15"/>
        <w:spacing w:line="360" w:lineRule="auto"/>
        <w:ind w:firstLine="405"/>
        <w:rPr>
          <w:rFonts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653E0D49">
      <w:pPr>
        <w:pStyle w:val="15"/>
        <w:spacing w:line="360" w:lineRule="auto"/>
        <w:ind w:firstLine="405"/>
        <w:rPr>
          <w:rFonts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p>
    <w:p w14:paraId="3EA0BFFB">
      <w:pPr>
        <w:pStyle w:val="15"/>
        <w:spacing w:line="360" w:lineRule="auto"/>
        <w:ind w:firstLine="405"/>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/FAX              </w:t>
      </w:r>
    </w:p>
    <w:p w14:paraId="73F6B81D">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电子邮箱：</w:t>
      </w:r>
      <w:r>
        <w:rPr>
          <w:rFonts w:hint="eastAsia" w:hAnsi="宋体"/>
          <w:color w:val="auto"/>
          <w:sz w:val="24"/>
          <w:szCs w:val="24"/>
          <w:highlight w:val="none"/>
          <w:u w:val="single"/>
        </w:rPr>
        <w:t xml:space="preserve">                                       </w:t>
      </w:r>
    </w:p>
    <w:p w14:paraId="681B4DD1">
      <w:pPr>
        <w:pStyle w:val="15"/>
        <w:spacing w:line="360" w:lineRule="auto"/>
        <w:ind w:firstLine="405"/>
        <w:rPr>
          <w:rFonts w:hAnsi="宋体"/>
          <w:color w:val="auto"/>
          <w:sz w:val="24"/>
          <w:szCs w:val="24"/>
          <w:highlight w:val="none"/>
        </w:rPr>
      </w:pPr>
      <w:r>
        <w:rPr>
          <w:rFonts w:hint="eastAsia" w:hAnsi="宋体"/>
          <w:color w:val="auto"/>
          <w:sz w:val="24"/>
          <w:szCs w:val="24"/>
          <w:highlight w:val="none"/>
        </w:rPr>
        <w:t>开户银行名称、帐号：</w:t>
      </w:r>
      <w:r>
        <w:rPr>
          <w:rFonts w:hint="eastAsia" w:hAnsi="宋体"/>
          <w:color w:val="auto"/>
          <w:sz w:val="24"/>
          <w:szCs w:val="24"/>
          <w:highlight w:val="none"/>
          <w:u w:val="single"/>
        </w:rPr>
        <w:t xml:space="preserve">                             </w:t>
      </w:r>
    </w:p>
    <w:p w14:paraId="4BF428A0">
      <w:pPr>
        <w:pStyle w:val="15"/>
        <w:spacing w:line="360" w:lineRule="auto"/>
        <w:ind w:firstLine="405"/>
        <w:rPr>
          <w:rFonts w:hAnsi="宋体"/>
          <w:color w:val="auto"/>
          <w:sz w:val="24"/>
          <w:szCs w:val="24"/>
          <w:highlight w:val="none"/>
        </w:rPr>
      </w:pPr>
      <w:r>
        <w:rPr>
          <w:rFonts w:hint="eastAsia" w:hAnsi="宋体"/>
          <w:color w:val="auto"/>
          <w:sz w:val="24"/>
          <w:szCs w:val="24"/>
          <w:highlight w:val="none"/>
        </w:rPr>
        <w:t>开户行地址/电话：</w:t>
      </w:r>
      <w:r>
        <w:rPr>
          <w:rFonts w:hint="eastAsia" w:hAnsi="宋体"/>
          <w:color w:val="auto"/>
          <w:sz w:val="24"/>
          <w:szCs w:val="24"/>
          <w:highlight w:val="none"/>
          <w:u w:val="single"/>
        </w:rPr>
        <w:t xml:space="preserve">                                </w:t>
      </w:r>
    </w:p>
    <w:p w14:paraId="0F015EC9">
      <w:pPr>
        <w:pStyle w:val="15"/>
        <w:spacing w:line="360" w:lineRule="auto"/>
        <w:rPr>
          <w:rFonts w:hint="eastAsia" w:hAnsi="宋体"/>
          <w:color w:val="auto"/>
          <w:sz w:val="24"/>
          <w:szCs w:val="24"/>
          <w:highlight w:val="none"/>
        </w:rPr>
      </w:pPr>
    </w:p>
    <w:p w14:paraId="70D683C3">
      <w:pPr>
        <w:pStyle w:val="15"/>
        <w:spacing w:line="360" w:lineRule="auto"/>
        <w:rPr>
          <w:rFonts w:hint="eastAsia" w:hAnsi="宋体"/>
          <w:color w:val="auto"/>
          <w:sz w:val="24"/>
          <w:szCs w:val="24"/>
          <w:highlight w:val="none"/>
        </w:rPr>
      </w:pPr>
      <w:r>
        <w:rPr>
          <w:rFonts w:hint="eastAsia" w:hAnsi="宋体"/>
          <w:color w:val="auto"/>
          <w:sz w:val="24"/>
          <w:szCs w:val="24"/>
          <w:highlight w:val="none"/>
        </w:rPr>
        <w:t xml:space="preserve">                                     日期：       年    月    日</w:t>
      </w:r>
    </w:p>
    <w:p w14:paraId="5A15228B">
      <w:pPr>
        <w:pStyle w:val="2"/>
        <w:spacing w:line="360" w:lineRule="auto"/>
        <w:rPr>
          <w:rFonts w:hint="eastAsia" w:ascii="宋体" w:hAnsi="宋体"/>
          <w:b w:val="0"/>
          <w:bCs w:val="0"/>
          <w:color w:val="auto"/>
          <w:highlight w:val="none"/>
        </w:rPr>
      </w:pPr>
      <w:r>
        <w:rPr>
          <w:rFonts w:hint="eastAsia"/>
          <w:color w:val="auto"/>
          <w:sz w:val="24"/>
          <w:szCs w:val="24"/>
          <w:highlight w:val="none"/>
          <w:u w:val="single"/>
        </w:rPr>
        <w:t>（注：如联合体投标人，由联合体</w:t>
      </w:r>
      <w:r>
        <w:rPr>
          <w:rFonts w:hint="eastAsia"/>
          <w:color w:val="auto"/>
          <w:sz w:val="24"/>
          <w:szCs w:val="24"/>
          <w:highlight w:val="none"/>
          <w:u w:val="single"/>
          <w:lang w:eastAsia="zh-CN"/>
        </w:rPr>
        <w:t>牵头人</w:t>
      </w:r>
      <w:r>
        <w:rPr>
          <w:rFonts w:hint="eastAsia"/>
          <w:color w:val="auto"/>
          <w:sz w:val="24"/>
          <w:szCs w:val="24"/>
          <w:highlight w:val="none"/>
          <w:u w:val="single"/>
        </w:rPr>
        <w:t>出具即可。）</w:t>
      </w:r>
      <w:r>
        <w:rPr>
          <w:rFonts w:ascii="宋体" w:hAnsi="宋体"/>
          <w:color w:val="auto"/>
          <w:sz w:val="24"/>
          <w:szCs w:val="24"/>
          <w:highlight w:val="none"/>
        </w:rPr>
        <w:br w:type="page"/>
      </w:r>
      <w:bookmarkStart w:id="32" w:name="_Toc2171"/>
      <w:r>
        <w:rPr>
          <w:rFonts w:hint="eastAsia" w:ascii="宋体" w:hAnsi="宋体" w:eastAsia="宋体" w:cs="Times New Roman"/>
          <w:b/>
          <w:bCs/>
          <w:color w:val="auto"/>
          <w:sz w:val="21"/>
          <w:szCs w:val="21"/>
          <w:highlight w:val="none"/>
        </w:rPr>
        <w:t>附录7 联合体共同投标协议</w:t>
      </w:r>
      <w:bookmarkEnd w:id="32"/>
    </w:p>
    <w:p w14:paraId="7BBDD4DD">
      <w:pPr>
        <w:jc w:val="center"/>
        <w:rPr>
          <w:rFonts w:hint="eastAsia" w:ascii="宋体" w:hAnsi="宋体"/>
          <w:color w:val="auto"/>
          <w:sz w:val="24"/>
          <w:highlight w:val="none"/>
        </w:rPr>
      </w:pPr>
      <w:r>
        <w:rPr>
          <w:rFonts w:hint="eastAsia" w:ascii="宋体" w:hAnsi="宋体"/>
          <w:b/>
          <w:bCs/>
          <w:color w:val="auto"/>
          <w:sz w:val="32"/>
          <w:highlight w:val="none"/>
        </w:rPr>
        <w:t>联合体共同投标协议</w:t>
      </w:r>
    </w:p>
    <w:p w14:paraId="792FC26B">
      <w:pPr>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p w14:paraId="245F5239">
      <w:pPr>
        <w:pStyle w:val="15"/>
        <w:spacing w:line="360" w:lineRule="auto"/>
        <w:rPr>
          <w:rFonts w:ascii="宋体" w:hAnsi="宋体"/>
          <w:color w:val="auto"/>
          <w:sz w:val="24"/>
          <w:highlight w:val="none"/>
        </w:rPr>
      </w:pPr>
      <w:r>
        <w:rPr>
          <w:rFonts w:hint="eastAsia" w:hAnsi="宋体"/>
          <w:color w:val="auto"/>
          <w:sz w:val="24"/>
          <w:szCs w:val="24"/>
          <w:highlight w:val="none"/>
        </w:rPr>
        <w:t>致：</w:t>
      </w:r>
      <w:r>
        <w:rPr>
          <w:rFonts w:hint="eastAsia" w:ascii="宋体" w:hAnsi="宋体" w:cs="宋体"/>
          <w:color w:val="auto"/>
          <w:sz w:val="24"/>
          <w:szCs w:val="24"/>
          <w:highlight w:val="none"/>
          <w:u w:val="single"/>
          <w:lang w:eastAsia="zh-CN"/>
        </w:rPr>
        <w:t>广州市天投城市更新有限公司</w:t>
      </w:r>
    </w:p>
    <w:p w14:paraId="68FE619E">
      <w:pPr>
        <w:pStyle w:val="15"/>
        <w:spacing w:line="360" w:lineRule="auto"/>
        <w:ind w:firstLine="420"/>
        <w:rPr>
          <w:rFonts w:hint="eastAsia" w:hAnsi="宋体"/>
          <w:color w:val="auto"/>
          <w:sz w:val="24"/>
          <w:szCs w:val="24"/>
          <w:highlight w:val="none"/>
        </w:rPr>
      </w:pPr>
      <w:r>
        <w:rPr>
          <w:rFonts w:hint="eastAsia" w:hAnsi="宋体"/>
          <w:color w:val="auto"/>
          <w:sz w:val="24"/>
          <w:szCs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24C5D7D1">
      <w:pPr>
        <w:pStyle w:val="15"/>
        <w:spacing w:line="360" w:lineRule="auto"/>
        <w:ind w:firstLine="420"/>
        <w:rPr>
          <w:rFonts w:hint="eastAsia" w:hAnsi="宋体"/>
          <w:color w:val="auto"/>
          <w:sz w:val="24"/>
          <w:szCs w:val="24"/>
          <w:highlight w:val="none"/>
        </w:rPr>
      </w:pPr>
      <w:bookmarkStart w:id="33" w:name="OLE_LINK2"/>
      <w:r>
        <w:rPr>
          <w:rFonts w:hint="eastAsia" w:hAnsi="宋体"/>
          <w:color w:val="auto"/>
          <w:sz w:val="24"/>
          <w:szCs w:val="24"/>
          <w:highlight w:val="none"/>
        </w:rPr>
        <w:t>本协议牵头人及联合体成员单位单方签署、盖章确认的本项目投标文件及相关投标资料，均视</w:t>
      </w:r>
      <w:bookmarkStart w:id="34" w:name="OLE_LINK30"/>
      <w:r>
        <w:rPr>
          <w:rFonts w:hint="eastAsia" w:hAnsi="宋体"/>
          <w:color w:val="auto"/>
          <w:sz w:val="24"/>
          <w:szCs w:val="24"/>
          <w:highlight w:val="none"/>
        </w:rPr>
        <w:t>为联合体成员单位共</w:t>
      </w:r>
      <w:bookmarkEnd w:id="34"/>
      <w:r>
        <w:rPr>
          <w:rFonts w:hint="eastAsia" w:hAnsi="宋体"/>
          <w:color w:val="auto"/>
          <w:sz w:val="24"/>
          <w:szCs w:val="24"/>
          <w:highlight w:val="none"/>
        </w:rPr>
        <w:t>同编制，联合体成员单位均承认其法律效力，</w:t>
      </w:r>
      <w:bookmarkEnd w:id="33"/>
      <w:r>
        <w:rPr>
          <w:rFonts w:hint="eastAsia" w:hAnsi="宋体"/>
          <w:color w:val="auto"/>
          <w:sz w:val="24"/>
          <w:szCs w:val="24"/>
          <w:highlight w:val="none"/>
        </w:rPr>
        <w:t>并共同对投标文件内容的真实性、合法性和完整性承担民事、行政、刑事责任。</w:t>
      </w:r>
    </w:p>
    <w:p w14:paraId="7A79C14A">
      <w:pPr>
        <w:spacing w:line="360" w:lineRule="auto"/>
        <w:ind w:firstLine="405"/>
        <w:rPr>
          <w:rFonts w:hint="eastAsia" w:ascii="宋体" w:hAnsi="宋体"/>
          <w:color w:val="auto"/>
          <w:sz w:val="24"/>
          <w:highlight w:val="none"/>
        </w:rPr>
      </w:pPr>
      <w:r>
        <w:rPr>
          <w:rFonts w:hint="eastAsia" w:ascii="宋体" w:hAnsi="宋体"/>
          <w:color w:val="auto"/>
          <w:sz w:val="24"/>
          <w:highlight w:val="none"/>
        </w:rPr>
        <w:t>本投标协议同时作为法人证明书或法人授权委托书。</w:t>
      </w:r>
    </w:p>
    <w:p w14:paraId="31C4BD03">
      <w:pPr>
        <w:pStyle w:val="15"/>
        <w:spacing w:line="360" w:lineRule="auto"/>
        <w:rPr>
          <w:rFonts w:hint="eastAsia" w:hAnsi="宋体"/>
          <w:color w:val="auto"/>
          <w:sz w:val="24"/>
          <w:szCs w:val="24"/>
          <w:highlight w:val="none"/>
        </w:rPr>
      </w:pPr>
    </w:p>
    <w:p w14:paraId="285EE845">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投标牵头人：（盖章）</w:t>
      </w:r>
      <w:r>
        <w:rPr>
          <w:rFonts w:hint="eastAsia" w:hAnsi="宋体"/>
          <w:color w:val="auto"/>
          <w:sz w:val="24"/>
          <w:szCs w:val="24"/>
          <w:highlight w:val="none"/>
          <w:u w:val="single"/>
        </w:rPr>
        <w:t xml:space="preserve">                                         </w:t>
      </w:r>
    </w:p>
    <w:p w14:paraId="6473F6FD">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0FDCEE18">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353A4D9D">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60D66BDE">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3590FEF2">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63D7D4C1">
      <w:pPr>
        <w:pStyle w:val="15"/>
        <w:spacing w:line="360" w:lineRule="auto"/>
        <w:rPr>
          <w:rFonts w:hint="eastAsia" w:hAnsi="宋体"/>
          <w:color w:val="auto"/>
          <w:sz w:val="24"/>
          <w:szCs w:val="24"/>
          <w:highlight w:val="none"/>
        </w:rPr>
      </w:pPr>
    </w:p>
    <w:p w14:paraId="25F365F1">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联合体成员：（盖章）</w:t>
      </w:r>
      <w:r>
        <w:rPr>
          <w:rFonts w:hint="eastAsia" w:hAnsi="宋体"/>
          <w:color w:val="auto"/>
          <w:sz w:val="24"/>
          <w:szCs w:val="24"/>
          <w:highlight w:val="none"/>
          <w:u w:val="single"/>
        </w:rPr>
        <w:t xml:space="preserve">                                         </w:t>
      </w:r>
    </w:p>
    <w:p w14:paraId="6535831A">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68CC2FDF">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793BAC89">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240BAF8A">
      <w:pPr>
        <w:pStyle w:val="15"/>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7863EE9C">
      <w:pPr>
        <w:pStyle w:val="15"/>
        <w:spacing w:line="360" w:lineRule="auto"/>
        <w:ind w:firstLine="405"/>
        <w:rPr>
          <w:rFonts w:hint="eastAsia" w:hAnsi="宋体"/>
          <w:color w:val="auto"/>
          <w:sz w:val="24"/>
          <w:szCs w:val="24"/>
          <w:highlight w:val="none"/>
          <w:u w:val="singl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04B344FB">
      <w:pPr>
        <w:spacing w:line="360" w:lineRule="auto"/>
        <w:rPr>
          <w:rFonts w:hint="eastAsia" w:ascii="宋体" w:hAnsi="宋体"/>
          <w:color w:val="auto"/>
          <w:sz w:val="24"/>
          <w:highlight w:val="none"/>
        </w:rPr>
      </w:pPr>
      <w:r>
        <w:rPr>
          <w:rFonts w:hint="eastAsia" w:ascii="宋体" w:hAnsi="宋体"/>
          <w:color w:val="auto"/>
          <w:sz w:val="24"/>
          <w:highlight w:val="none"/>
        </w:rPr>
        <w:t xml:space="preserve">                                 签订日期：       年    月    日</w:t>
      </w:r>
    </w:p>
    <w:p w14:paraId="620F5C04">
      <w:pPr>
        <w:spacing w:line="360" w:lineRule="auto"/>
        <w:rPr>
          <w:rFonts w:ascii="宋体" w:hAnsi="宋体"/>
          <w:b/>
          <w:color w:val="auto"/>
          <w:kern w:val="44"/>
          <w:szCs w:val="21"/>
          <w:highlight w:val="none"/>
        </w:rPr>
      </w:pPr>
      <w:r>
        <w:rPr>
          <w:rFonts w:ascii="宋体" w:hAnsi="宋体"/>
          <w:b/>
          <w:bCs/>
          <w:color w:val="auto"/>
          <w:sz w:val="24"/>
          <w:highlight w:val="none"/>
          <w:u w:val="single"/>
        </w:rPr>
        <w:br w:type="page"/>
      </w:r>
      <w:r>
        <w:rPr>
          <w:rFonts w:hint="eastAsia" w:ascii="宋体" w:hAnsi="宋体" w:cs="宋体"/>
          <w:b/>
          <w:color w:val="auto"/>
          <w:kern w:val="44"/>
          <w:szCs w:val="21"/>
          <w:highlight w:val="none"/>
        </w:rPr>
        <w:t>附录</w:t>
      </w:r>
      <w:r>
        <w:rPr>
          <w:rFonts w:hint="eastAsia" w:ascii="宋体" w:hAnsi="宋体"/>
          <w:b/>
          <w:color w:val="auto"/>
          <w:kern w:val="44"/>
          <w:szCs w:val="21"/>
          <w:highlight w:val="none"/>
        </w:rPr>
        <w:t xml:space="preserve"> 7-1（</w:t>
      </w:r>
      <w:r>
        <w:rPr>
          <w:rFonts w:hint="eastAsia" w:ascii="宋体" w:hAnsi="宋体" w:cs="宋体"/>
          <w:b/>
          <w:color w:val="auto"/>
          <w:kern w:val="44"/>
          <w:szCs w:val="21"/>
          <w:highlight w:val="none"/>
          <w:u w:val="single"/>
        </w:rPr>
        <w:t>适用于合作设计</w:t>
      </w:r>
      <w:r>
        <w:rPr>
          <w:rFonts w:hint="eastAsia" w:ascii="宋体" w:hAnsi="宋体" w:cs="宋体"/>
          <w:b/>
          <w:color w:val="auto"/>
          <w:kern w:val="44"/>
          <w:szCs w:val="21"/>
          <w:highlight w:val="none"/>
        </w:rPr>
        <w:t>）</w:t>
      </w:r>
    </w:p>
    <w:p w14:paraId="2AA3B40D">
      <w:pPr>
        <w:spacing w:line="360" w:lineRule="auto"/>
        <w:jc w:val="center"/>
        <w:rPr>
          <w:rFonts w:ascii="宋体" w:hAnsi="宋体"/>
          <w:b/>
          <w:color w:val="auto"/>
          <w:sz w:val="32"/>
          <w:szCs w:val="32"/>
          <w:highlight w:val="none"/>
        </w:rPr>
      </w:pPr>
      <w:r>
        <w:rPr>
          <w:rFonts w:hint="eastAsia" w:ascii="宋体" w:hAnsi="宋体" w:cs="宋体"/>
          <w:b/>
          <w:color w:val="auto"/>
          <w:sz w:val="32"/>
          <w:szCs w:val="32"/>
          <w:highlight w:val="none"/>
        </w:rPr>
        <w:t>合作设计协议书</w:t>
      </w:r>
    </w:p>
    <w:p w14:paraId="368A0A1D">
      <w:pPr>
        <w:spacing w:line="360" w:lineRule="auto"/>
        <w:rPr>
          <w:rFonts w:ascii="宋体" w:hAnsi="宋体"/>
          <w:b/>
          <w:color w:val="auto"/>
          <w:szCs w:val="21"/>
          <w:highlight w:val="none"/>
        </w:rPr>
      </w:pPr>
    </w:p>
    <w:p w14:paraId="56E2B3B9">
      <w:pPr>
        <w:spacing w:line="360" w:lineRule="auto"/>
        <w:rPr>
          <w:rFonts w:ascii="宋体" w:hAnsi="宋体"/>
          <w:color w:val="auto"/>
          <w:sz w:val="24"/>
          <w:highlight w:val="none"/>
        </w:rPr>
      </w:pPr>
    </w:p>
    <w:p w14:paraId="1D5FD985">
      <w:pPr>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p w14:paraId="188D7276">
      <w:pPr>
        <w:pStyle w:val="15"/>
        <w:spacing w:line="360" w:lineRule="auto"/>
        <w:rPr>
          <w:rFonts w:hAnsi="宋体"/>
          <w:color w:val="auto"/>
          <w:sz w:val="24"/>
          <w:szCs w:val="24"/>
          <w:highlight w:val="none"/>
        </w:rPr>
      </w:pPr>
      <w:r>
        <w:rPr>
          <w:rFonts w:hint="eastAsia" w:hAnsi="宋体"/>
          <w:color w:val="auto"/>
          <w:sz w:val="24"/>
          <w:szCs w:val="24"/>
          <w:highlight w:val="none"/>
        </w:rPr>
        <w:t>致：</w:t>
      </w:r>
      <w:r>
        <w:rPr>
          <w:rFonts w:hint="eastAsia" w:ascii="宋体" w:hAnsi="宋体" w:cs="宋体"/>
          <w:color w:val="auto"/>
          <w:sz w:val="24"/>
          <w:szCs w:val="24"/>
          <w:highlight w:val="none"/>
          <w:u w:val="single"/>
          <w:lang w:eastAsia="zh-CN"/>
        </w:rPr>
        <w:t>广州市天投城市更新有限公司</w:t>
      </w:r>
    </w:p>
    <w:p w14:paraId="76CAB2B7">
      <w:pPr>
        <w:spacing w:line="360" w:lineRule="auto"/>
        <w:rPr>
          <w:rFonts w:ascii="宋体" w:hAnsi="宋体"/>
          <w:color w:val="auto"/>
          <w:szCs w:val="21"/>
          <w:highlight w:val="none"/>
        </w:rPr>
      </w:pPr>
    </w:p>
    <w:p w14:paraId="66196FF6">
      <w:pPr>
        <w:spacing w:line="360" w:lineRule="auto"/>
        <w:jc w:val="left"/>
        <w:rPr>
          <w:rFonts w:ascii="宋体" w:hAnsi="宋体"/>
          <w:color w:val="auto"/>
          <w:sz w:val="24"/>
          <w:highlight w:val="none"/>
        </w:rPr>
      </w:pPr>
    </w:p>
    <w:p w14:paraId="67F53755">
      <w:pPr>
        <w:spacing w:line="360" w:lineRule="auto"/>
        <w:ind w:firstLine="420"/>
        <w:rPr>
          <w:rFonts w:ascii="宋体" w:hAnsi="宋体"/>
          <w:color w:val="auto"/>
          <w:sz w:val="24"/>
          <w:szCs w:val="24"/>
          <w:highlight w:val="none"/>
        </w:rPr>
      </w:pPr>
      <w:r>
        <w:rPr>
          <w:rFonts w:hint="eastAsia" w:ascii="宋体" w:hAnsi="宋体" w:cs="宋体"/>
          <w:color w:val="auto"/>
          <w:sz w:val="24"/>
          <w:szCs w:val="24"/>
          <w:highlight w:val="none"/>
        </w:rPr>
        <w:t>按照招标公告的规定，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（外国或香港、澳门、台湾的设计企业）作为投标人（即“申请人”，下同）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（符合招标公告第</w:t>
      </w:r>
      <w:r>
        <w:rPr>
          <w:rFonts w:hint="eastAsia" w:ascii="宋体" w:hAnsi="宋体"/>
          <w:color w:val="auto"/>
          <w:sz w:val="24"/>
          <w:szCs w:val="24"/>
          <w:highlight w:val="none"/>
        </w:rPr>
        <w:t>1.4.2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条资质条件的企业</w:t>
      </w:r>
      <w:r>
        <w:rPr>
          <w:rFonts w:hint="eastAsia" w:ascii="宋体" w:hAnsi="宋体" w:cs="宋体"/>
          <w:color w:val="auto"/>
          <w:sz w:val="24"/>
          <w:szCs w:val="24"/>
          <w:highlight w:val="none"/>
        </w:rPr>
        <w:t>）的合作设计方，参与本项目进行合作设计。若中标，各成员向招标人承担连带责任。合作设计方授权委托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（符合招标公告第</w:t>
      </w:r>
      <w:r>
        <w:rPr>
          <w:rFonts w:hint="eastAsia" w:ascii="宋体" w:hAnsi="宋体"/>
          <w:color w:val="auto"/>
          <w:sz w:val="24"/>
          <w:szCs w:val="24"/>
          <w:highlight w:val="none"/>
        </w:rPr>
        <w:t>1.4.2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条资质条件的企业）代表所有合作成员参加投标、提交投标文件，以及与招标人签订合同，负责整个合同实施阶段的协调工作。</w:t>
      </w:r>
    </w:p>
    <w:p w14:paraId="4C101071">
      <w:pPr>
        <w:spacing w:line="360" w:lineRule="auto"/>
        <w:ind w:firstLine="420"/>
        <w:rPr>
          <w:rFonts w:ascii="宋体" w:hAnsi="宋体"/>
          <w:color w:val="auto"/>
          <w:sz w:val="24"/>
          <w:szCs w:val="24"/>
          <w:highlight w:val="none"/>
        </w:rPr>
      </w:pPr>
    </w:p>
    <w:p w14:paraId="0F21DAB5">
      <w:pPr>
        <w:spacing w:line="360" w:lineRule="auto"/>
        <w:ind w:left="735" w:hanging="840" w:hangingChars="350"/>
        <w:jc w:val="left"/>
        <w:rPr>
          <w:rFonts w:ascii="宋体" w:hAnsi="宋体"/>
          <w:color w:val="auto"/>
          <w:sz w:val="24"/>
          <w:szCs w:val="24"/>
          <w:highlight w:val="none"/>
        </w:rPr>
      </w:pPr>
    </w:p>
    <w:p w14:paraId="46EFEBEE">
      <w:pPr>
        <w:spacing w:line="360" w:lineRule="auto"/>
        <w:rPr>
          <w:rFonts w:ascii="宋体" w:hAnsi="宋体"/>
          <w:color w:val="auto"/>
          <w:sz w:val="24"/>
          <w:szCs w:val="24"/>
          <w:highlight w:val="none"/>
        </w:rPr>
      </w:pPr>
    </w:p>
    <w:p w14:paraId="53FE8F54">
      <w:pPr>
        <w:spacing w:line="360" w:lineRule="auto"/>
        <w:rPr>
          <w:rFonts w:ascii="宋体" w:hAnsi="宋体"/>
          <w:color w:val="auto"/>
          <w:sz w:val="24"/>
          <w:szCs w:val="24"/>
          <w:highlight w:val="none"/>
        </w:rPr>
      </w:pPr>
    </w:p>
    <w:p w14:paraId="14DE17AB">
      <w:pPr>
        <w:spacing w:line="360" w:lineRule="auto"/>
        <w:ind w:firstLine="240" w:firstLineChars="100"/>
        <w:rPr>
          <w:rFonts w:hint="eastAsia" w:ascii="宋体" w:hAnsi="宋体"/>
          <w:color w:val="auto"/>
          <w:sz w:val="24"/>
          <w:szCs w:val="24"/>
          <w:highlight w:val="none"/>
        </w:rPr>
      </w:pPr>
      <w:r>
        <w:rPr>
          <w:rFonts w:hint="eastAsia" w:ascii="宋体" w:hAnsi="宋体" w:cs="宋体"/>
          <w:color w:val="auto"/>
          <w:sz w:val="24"/>
          <w:szCs w:val="24"/>
          <w:highlight w:val="none"/>
          <w:lang w:bidi="ar"/>
        </w:rPr>
        <w:t>合作设计方：（盖章）</w:t>
      </w:r>
    </w:p>
    <w:p w14:paraId="0F5121B8">
      <w:pPr>
        <w:spacing w:line="360" w:lineRule="auto"/>
        <w:ind w:firstLine="240" w:firstLineChars="100"/>
        <w:rPr>
          <w:rFonts w:hint="eastAsia" w:ascii="宋体" w:hAnsi="宋体"/>
          <w:color w:val="auto"/>
          <w:sz w:val="24"/>
          <w:szCs w:val="24"/>
          <w:highlight w:val="none"/>
          <w:u w:val="single"/>
        </w:rPr>
      </w:pPr>
      <w:r>
        <w:rPr>
          <w:rFonts w:hint="eastAsia" w:ascii="宋体" w:hAnsi="宋体" w:cs="宋体"/>
          <w:color w:val="auto"/>
          <w:sz w:val="24"/>
          <w:szCs w:val="24"/>
          <w:highlight w:val="none"/>
          <w:lang w:bidi="ar"/>
        </w:rPr>
        <w:t>代表人：（签字或盖章）</w:t>
      </w:r>
    </w:p>
    <w:p w14:paraId="6890809E">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bidi="ar"/>
        </w:rPr>
        <w:t xml:space="preserve">  </w:t>
      </w:r>
      <w:r>
        <w:rPr>
          <w:rFonts w:hint="eastAsia" w:ascii="宋体" w:hAnsi="宋体" w:cs="宋体"/>
          <w:color w:val="auto"/>
          <w:sz w:val="24"/>
          <w:szCs w:val="24"/>
          <w:highlight w:val="none"/>
          <w:lang w:bidi="ar"/>
        </w:rPr>
        <w:t>分工内容：</w:t>
      </w:r>
    </w:p>
    <w:p w14:paraId="4D70B72D">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bidi="ar"/>
        </w:rPr>
        <w:t xml:space="preserve"> </w:t>
      </w:r>
    </w:p>
    <w:p w14:paraId="18A04DA8">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bidi="ar"/>
        </w:rPr>
        <w:t xml:space="preserve">  </w:t>
      </w:r>
      <w:r>
        <w:rPr>
          <w:rFonts w:hint="eastAsia" w:ascii="宋体" w:hAnsi="宋体" w:cs="宋体"/>
          <w:color w:val="auto"/>
          <w:sz w:val="24"/>
          <w:szCs w:val="24"/>
          <w:highlight w:val="none"/>
          <w:lang w:bidi="ar"/>
        </w:rPr>
        <w:t>投标人：（盖章）</w:t>
      </w:r>
    </w:p>
    <w:p w14:paraId="4D356A52">
      <w:pPr>
        <w:spacing w:line="360" w:lineRule="auto"/>
        <w:ind w:firstLine="240" w:firstLineChars="100"/>
        <w:rPr>
          <w:rFonts w:hint="eastAsia" w:ascii="宋体" w:hAnsi="宋体"/>
          <w:color w:val="auto"/>
          <w:sz w:val="24"/>
          <w:szCs w:val="24"/>
          <w:highlight w:val="none"/>
          <w:u w:val="single"/>
        </w:rPr>
      </w:pPr>
      <w:r>
        <w:rPr>
          <w:rFonts w:hint="eastAsia" w:ascii="宋体" w:hAnsi="宋体" w:cs="宋体"/>
          <w:color w:val="auto"/>
          <w:sz w:val="24"/>
          <w:szCs w:val="24"/>
          <w:highlight w:val="none"/>
          <w:lang w:bidi="ar"/>
        </w:rPr>
        <w:t>法定代表人：（签字或盖章）</w:t>
      </w:r>
    </w:p>
    <w:p w14:paraId="04E790D0">
      <w:pPr>
        <w:spacing w:line="360" w:lineRule="auto"/>
        <w:rPr>
          <w:rFonts w:ascii="宋体" w:hAnsi="宋体"/>
          <w:color w:val="auto"/>
          <w:sz w:val="24"/>
          <w:szCs w:val="24"/>
          <w:highlight w:val="none"/>
        </w:rPr>
      </w:pPr>
      <w:r>
        <w:rPr>
          <w:rFonts w:hint="eastAsia" w:ascii="宋体" w:hAnsi="宋体"/>
          <w:color w:val="auto"/>
          <w:sz w:val="24"/>
          <w:szCs w:val="24"/>
          <w:highlight w:val="none"/>
          <w:lang w:bidi="ar"/>
        </w:rPr>
        <w:t xml:space="preserve">  </w:t>
      </w:r>
      <w:r>
        <w:rPr>
          <w:rFonts w:hint="eastAsia" w:ascii="宋体" w:hAnsi="宋体" w:cs="宋体"/>
          <w:color w:val="auto"/>
          <w:sz w:val="24"/>
          <w:szCs w:val="24"/>
          <w:highlight w:val="none"/>
          <w:lang w:bidi="ar"/>
        </w:rPr>
        <w:t>分工内容：</w:t>
      </w:r>
    </w:p>
    <w:p w14:paraId="3FE42AB3">
      <w:pPr>
        <w:pStyle w:val="2"/>
        <w:spacing w:line="360" w:lineRule="auto"/>
        <w:rPr>
          <w:rFonts w:ascii="宋体" w:hAnsi="宋体"/>
          <w:color w:val="auto"/>
          <w:sz w:val="21"/>
          <w:szCs w:val="21"/>
          <w:highlight w:val="none"/>
        </w:rPr>
      </w:pPr>
      <w:r>
        <w:rPr>
          <w:rFonts w:ascii="宋体" w:hAnsi="宋体"/>
          <w:b w:val="0"/>
          <w:bCs w:val="0"/>
          <w:color w:val="auto"/>
          <w:sz w:val="24"/>
          <w:highlight w:val="none"/>
          <w:u w:val="single"/>
        </w:rPr>
        <w:br w:type="page"/>
      </w:r>
      <w:bookmarkStart w:id="35" w:name="_Toc31182"/>
      <w:r>
        <w:rPr>
          <w:rFonts w:hint="eastAsia" w:ascii="宋体" w:hAnsi="宋体"/>
          <w:color w:val="auto"/>
          <w:sz w:val="21"/>
          <w:szCs w:val="21"/>
          <w:highlight w:val="none"/>
        </w:rPr>
        <w:t>附录8 投标人声明</w:t>
      </w:r>
      <w:bookmarkEnd w:id="35"/>
    </w:p>
    <w:p w14:paraId="372282A8">
      <w:pPr>
        <w:jc w:val="center"/>
        <w:rPr>
          <w:rFonts w:ascii="宋体" w:hAnsi="宋体"/>
          <w:b/>
          <w:color w:val="auto"/>
          <w:sz w:val="32"/>
          <w:highlight w:val="none"/>
        </w:rPr>
      </w:pPr>
      <w:r>
        <w:rPr>
          <w:rFonts w:hint="eastAsia" w:ascii="宋体" w:hAnsi="宋体"/>
          <w:b/>
          <w:color w:val="auto"/>
          <w:sz w:val="32"/>
          <w:highlight w:val="none"/>
        </w:rPr>
        <w:t>投标人声明（适用于设资格审查环节的项目）</w:t>
      </w:r>
    </w:p>
    <w:p w14:paraId="5545E5CD">
      <w:pPr>
        <w:pStyle w:val="43"/>
        <w:spacing w:line="400" w:lineRule="exact"/>
        <w:rPr>
          <w:rFonts w:ascii="宋体" w:hAnsi="宋体" w:eastAsia="宋体"/>
          <w:color w:val="auto"/>
          <w:sz w:val="24"/>
          <w:szCs w:val="24"/>
          <w:highlight w:val="none"/>
        </w:rPr>
      </w:pPr>
    </w:p>
    <w:p w14:paraId="52B1FFFD">
      <w:pPr>
        <w:pStyle w:val="43"/>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w:t>
      </w:r>
      <w:r>
        <w:rPr>
          <w:rFonts w:hint="eastAsia" w:ascii="宋体" w:hAnsi="宋体" w:eastAsia="宋体"/>
          <w:color w:val="auto"/>
          <w:sz w:val="24"/>
          <w:szCs w:val="24"/>
          <w:highlight w:val="none"/>
          <w:lang w:val="en-US" w:eastAsia="zh-CN"/>
        </w:rPr>
        <w:t>广州市天投城市更新有限公司</w:t>
      </w:r>
      <w:r>
        <w:rPr>
          <w:rFonts w:hint="eastAsia" w:ascii="宋体" w:hAnsi="宋体" w:eastAsia="宋体"/>
          <w:color w:val="auto"/>
          <w:sz w:val="24"/>
          <w:szCs w:val="24"/>
          <w:highlight w:val="none"/>
        </w:rPr>
        <w:t>及广州市天河区建设工程招标管理办公室：</w:t>
      </w:r>
    </w:p>
    <w:p w14:paraId="2C12BF09">
      <w:pPr>
        <w:pStyle w:val="43"/>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r>
        <w:rPr>
          <w:rFonts w:hint="eastAsia" w:ascii="宋体" w:hAnsi="宋体" w:eastAsia="宋体"/>
          <w:color w:val="auto"/>
          <w:sz w:val="24"/>
          <w:szCs w:val="24"/>
          <w:highlight w:val="none"/>
        </w:rPr>
        <w:t>投标工作，作出郑重声明：</w:t>
      </w:r>
    </w:p>
    <w:p w14:paraId="022D10C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27188475">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F6835F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olor w:val="auto"/>
          <w:sz w:val="24"/>
          <w:szCs w:val="24"/>
          <w:highlight w:val="none"/>
        </w:rPr>
        <w:t>不存在第三章第3.11项规定的任何一种情形</w:t>
      </w:r>
      <w:r>
        <w:rPr>
          <w:rFonts w:hint="eastAsia" w:ascii="宋体" w:hAnsi="宋体" w:eastAsia="宋体" w:cs="宋体"/>
          <w:color w:val="auto"/>
          <w:sz w:val="24"/>
          <w:szCs w:val="24"/>
          <w:highlight w:val="none"/>
        </w:rPr>
        <w:t>。</w:t>
      </w:r>
    </w:p>
    <w:p w14:paraId="78D316FD">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四、不存在以下情形：被列入拖欠农民工工资失信联合惩戒对象名单。</w:t>
      </w:r>
    </w:p>
    <w:p w14:paraId="37037E57">
      <w:pPr>
        <w:pStyle w:val="43"/>
        <w:rPr>
          <w:rFonts w:hint="eastAsia" w:ascii="宋体" w:hAnsi="宋体" w:eastAsia="宋体"/>
          <w:color w:val="auto"/>
          <w:sz w:val="24"/>
          <w:szCs w:val="24"/>
          <w:highlight w:val="none"/>
        </w:rPr>
      </w:pPr>
    </w:p>
    <w:p w14:paraId="76DB719C">
      <w:pPr>
        <w:spacing w:line="360" w:lineRule="auto"/>
        <w:rPr>
          <w:rFonts w:ascii="宋体" w:hAnsi="宋体"/>
          <w:color w:val="auto"/>
          <w:sz w:val="24"/>
          <w:highlight w:val="none"/>
        </w:rPr>
      </w:pPr>
    </w:p>
    <w:p w14:paraId="450B48FE">
      <w:pPr>
        <w:pStyle w:val="43"/>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69B1A926">
      <w:pPr>
        <w:pStyle w:val="43"/>
        <w:rPr>
          <w:rFonts w:ascii="宋体" w:hAnsi="宋体" w:eastAsia="宋体"/>
          <w:color w:val="auto"/>
          <w:sz w:val="24"/>
          <w:szCs w:val="24"/>
          <w:highlight w:val="none"/>
        </w:rPr>
      </w:pPr>
    </w:p>
    <w:p w14:paraId="13C3B2BB">
      <w:pPr>
        <w:pStyle w:val="44"/>
        <w:ind w:left="0" w:right="1449" w:firstLine="3840" w:firstLineChars="16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投标人：(盖章)</w:t>
      </w:r>
    </w:p>
    <w:p w14:paraId="12F85025">
      <w:pPr>
        <w:pStyle w:val="43"/>
        <w:ind w:right="1449"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48172AC1">
      <w:pPr>
        <w:pStyle w:val="43"/>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   月   日</w:t>
      </w:r>
    </w:p>
    <w:p w14:paraId="07763A76">
      <w:pPr>
        <w:spacing w:line="360" w:lineRule="auto"/>
        <w:jc w:val="left"/>
        <w:rPr>
          <w:rFonts w:ascii="宋体" w:hAnsi="宋体"/>
          <w:color w:val="auto"/>
          <w:sz w:val="24"/>
          <w:highlight w:val="none"/>
        </w:rPr>
      </w:pPr>
    </w:p>
    <w:p w14:paraId="19CE8AA5">
      <w:pPr>
        <w:pStyle w:val="15"/>
        <w:spacing w:line="360" w:lineRule="auto"/>
        <w:rPr>
          <w:color w:val="auto"/>
          <w:sz w:val="24"/>
          <w:szCs w:val="24"/>
          <w:highlight w:val="none"/>
        </w:rPr>
      </w:pPr>
      <w:r>
        <w:rPr>
          <w:rFonts w:hint="eastAsia"/>
          <w:b/>
          <w:color w:val="auto"/>
          <w:sz w:val="24"/>
          <w:szCs w:val="24"/>
          <w:highlight w:val="none"/>
          <w:u w:val="single"/>
        </w:rPr>
        <w:t>（注：如联合体投标人，须由联合体</w:t>
      </w:r>
      <w:r>
        <w:rPr>
          <w:rFonts w:hint="eastAsia"/>
          <w:b/>
          <w:color w:val="auto"/>
          <w:sz w:val="24"/>
          <w:szCs w:val="24"/>
          <w:highlight w:val="none"/>
          <w:u w:val="single"/>
          <w:lang w:eastAsia="zh-CN"/>
        </w:rPr>
        <w:t>牵头人</w:t>
      </w:r>
      <w:r>
        <w:rPr>
          <w:rFonts w:hint="eastAsia"/>
          <w:b/>
          <w:color w:val="auto"/>
          <w:sz w:val="24"/>
          <w:szCs w:val="24"/>
          <w:highlight w:val="none"/>
          <w:u w:val="single"/>
        </w:rPr>
        <w:t>盖章。）</w:t>
      </w:r>
      <w:r>
        <w:rPr>
          <w:rFonts w:hint="eastAsia"/>
          <w:color w:val="auto"/>
          <w:sz w:val="24"/>
          <w:szCs w:val="24"/>
          <w:highlight w:val="none"/>
        </w:rPr>
        <w:t xml:space="preserve">   </w:t>
      </w:r>
    </w:p>
    <w:p w14:paraId="284E2F6F">
      <w:pPr>
        <w:pStyle w:val="15"/>
        <w:rPr>
          <w:rFonts w:hAnsi="宋体"/>
          <w:color w:val="auto"/>
          <w:highlight w:val="none"/>
        </w:rPr>
      </w:pPr>
    </w:p>
    <w:p w14:paraId="21448A7B">
      <w:pPr>
        <w:rPr>
          <w:rFonts w:ascii="宋体" w:hAnsi="宋体"/>
          <w:color w:val="auto"/>
          <w:highlight w:val="none"/>
        </w:rPr>
      </w:pPr>
      <w:r>
        <w:rPr>
          <w:rFonts w:ascii="宋体" w:hAnsi="宋体"/>
          <w:color w:val="auto"/>
          <w:highlight w:val="none"/>
        </w:rPr>
        <w:br w:type="page"/>
      </w:r>
    </w:p>
    <w:p w14:paraId="2F3229FF">
      <w:pPr>
        <w:rPr>
          <w:rFonts w:ascii="宋体" w:hAnsi="宋体"/>
          <w:color w:val="auto"/>
          <w:highlight w:val="none"/>
        </w:rPr>
      </w:pPr>
    </w:p>
    <w:p w14:paraId="50078EF2">
      <w:pPr>
        <w:jc w:val="center"/>
        <w:rPr>
          <w:rFonts w:ascii="宋体" w:hAnsi="宋体"/>
          <w:b/>
          <w:strike/>
          <w:color w:val="auto"/>
          <w:sz w:val="32"/>
          <w:highlight w:val="none"/>
        </w:rPr>
      </w:pPr>
      <w:r>
        <w:rPr>
          <w:rFonts w:hint="eastAsia" w:ascii="宋体" w:hAnsi="宋体"/>
          <w:b/>
          <w:strike/>
          <w:color w:val="auto"/>
          <w:sz w:val="32"/>
          <w:highlight w:val="none"/>
        </w:rPr>
        <w:t>投标人声明（适用于未设资格审查环节的项目）</w:t>
      </w:r>
    </w:p>
    <w:p w14:paraId="3BF56444">
      <w:pPr>
        <w:pStyle w:val="43"/>
        <w:rPr>
          <w:rFonts w:ascii="宋体" w:hAnsi="宋体" w:eastAsia="宋体"/>
          <w:strike/>
          <w:color w:val="auto"/>
          <w:sz w:val="24"/>
          <w:szCs w:val="24"/>
          <w:highlight w:val="none"/>
        </w:rPr>
      </w:pPr>
    </w:p>
    <w:p w14:paraId="1A415C7A">
      <w:pPr>
        <w:pStyle w:val="43"/>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广州市住房和城乡建设局、本招标项目招标人及招标监管机构：</w:t>
      </w:r>
    </w:p>
    <w:p w14:paraId="18FD82F4">
      <w:pPr>
        <w:pStyle w:val="43"/>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本公司就参加</w:t>
      </w:r>
      <w:r>
        <w:rPr>
          <w:rFonts w:hint="eastAsia" w:ascii="宋体" w:hAnsi="宋体" w:eastAsia="宋体"/>
          <w:strike/>
          <w:color w:val="auto"/>
          <w:sz w:val="24"/>
          <w:szCs w:val="24"/>
          <w:highlight w:val="none"/>
          <w:u w:val="single"/>
        </w:rPr>
        <w:t xml:space="preserve">        </w:t>
      </w:r>
      <w:r>
        <w:rPr>
          <w:rFonts w:hint="eastAsia" w:ascii="宋体" w:hAnsi="宋体" w:eastAsia="宋体"/>
          <w:strike/>
          <w:color w:val="auto"/>
          <w:sz w:val="24"/>
          <w:szCs w:val="24"/>
          <w:highlight w:val="none"/>
        </w:rPr>
        <w:t>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1A1330BF">
      <w:pPr>
        <w:spacing w:line="360" w:lineRule="auto"/>
        <w:rPr>
          <w:rFonts w:ascii="宋体" w:hAnsi="宋体"/>
          <w:strike/>
          <w:color w:val="auto"/>
          <w:sz w:val="24"/>
          <w:highlight w:val="none"/>
        </w:rPr>
      </w:pPr>
    </w:p>
    <w:p w14:paraId="0AEAE914">
      <w:pPr>
        <w:pStyle w:val="43"/>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特此声明。</w:t>
      </w:r>
    </w:p>
    <w:p w14:paraId="05A8DCB6">
      <w:pPr>
        <w:pStyle w:val="43"/>
        <w:rPr>
          <w:rFonts w:ascii="宋体" w:hAnsi="宋体" w:eastAsia="宋体"/>
          <w:strike/>
          <w:color w:val="auto"/>
          <w:sz w:val="24"/>
          <w:szCs w:val="24"/>
          <w:highlight w:val="none"/>
        </w:rPr>
      </w:pPr>
    </w:p>
    <w:p w14:paraId="122F7EF8">
      <w:pPr>
        <w:pStyle w:val="44"/>
        <w:ind w:left="0" w:right="1449" w:firstLine="3840" w:firstLineChars="1600"/>
        <w:jc w:val="both"/>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投标人：(盖章)</w:t>
      </w:r>
    </w:p>
    <w:p w14:paraId="516A19EE">
      <w:pPr>
        <w:pStyle w:val="43"/>
        <w:ind w:right="1449" w:firstLine="0"/>
        <w:jc w:val="center"/>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 xml:space="preserve">                                          </w:t>
      </w:r>
    </w:p>
    <w:p w14:paraId="42023678">
      <w:pPr>
        <w:pStyle w:val="43"/>
        <w:ind w:right="2079" w:firstLine="2160" w:firstLineChars="900"/>
        <w:jc w:val="right"/>
        <w:rPr>
          <w:rFonts w:ascii="宋体" w:hAnsi="宋体"/>
          <w:strike/>
          <w:color w:val="auto"/>
          <w:sz w:val="24"/>
          <w:szCs w:val="24"/>
          <w:highlight w:val="none"/>
        </w:rPr>
      </w:pPr>
      <w:r>
        <w:rPr>
          <w:rFonts w:hint="eastAsia" w:ascii="宋体" w:hAnsi="宋体" w:eastAsia="宋体"/>
          <w:strike/>
          <w:color w:val="auto"/>
          <w:sz w:val="24"/>
          <w:szCs w:val="24"/>
          <w:highlight w:val="none"/>
        </w:rPr>
        <w:t>年   月   日</w:t>
      </w:r>
    </w:p>
    <w:p w14:paraId="342D9657">
      <w:pPr>
        <w:spacing w:line="360" w:lineRule="auto"/>
        <w:jc w:val="left"/>
        <w:rPr>
          <w:rFonts w:ascii="宋体" w:hAnsi="宋体"/>
          <w:strike/>
          <w:color w:val="auto"/>
          <w:sz w:val="24"/>
          <w:highlight w:val="none"/>
        </w:rPr>
      </w:pPr>
    </w:p>
    <w:p w14:paraId="2C196480">
      <w:pPr>
        <w:spacing w:line="360" w:lineRule="auto"/>
        <w:jc w:val="left"/>
        <w:rPr>
          <w:rFonts w:ascii="宋体" w:hAnsi="宋体"/>
          <w:strike/>
          <w:color w:val="auto"/>
          <w:sz w:val="24"/>
          <w:highlight w:val="none"/>
        </w:rPr>
      </w:pPr>
    </w:p>
    <w:p w14:paraId="242B3E8A">
      <w:pPr>
        <w:spacing w:line="360" w:lineRule="auto"/>
        <w:jc w:val="left"/>
        <w:rPr>
          <w:rFonts w:ascii="宋体" w:hAnsi="宋体"/>
          <w:strike/>
          <w:color w:val="auto"/>
          <w:sz w:val="24"/>
          <w:highlight w:val="none"/>
        </w:rPr>
      </w:pPr>
    </w:p>
    <w:p w14:paraId="700E19F0">
      <w:pPr>
        <w:pStyle w:val="15"/>
        <w:spacing w:line="360" w:lineRule="auto"/>
        <w:rPr>
          <w:rFonts w:hint="eastAsia"/>
          <w:strike/>
          <w:color w:val="auto"/>
          <w:sz w:val="24"/>
          <w:szCs w:val="24"/>
          <w:highlight w:val="none"/>
        </w:rPr>
      </w:pPr>
      <w:r>
        <w:rPr>
          <w:rFonts w:hint="eastAsia"/>
          <w:b/>
          <w:strike/>
          <w:color w:val="auto"/>
          <w:sz w:val="24"/>
          <w:szCs w:val="24"/>
          <w:highlight w:val="none"/>
          <w:u w:val="single"/>
        </w:rPr>
        <w:t>（注：如联合体投标人，须由联合体</w:t>
      </w:r>
      <w:r>
        <w:rPr>
          <w:rFonts w:hint="eastAsia"/>
          <w:b/>
          <w:strike/>
          <w:color w:val="auto"/>
          <w:sz w:val="24"/>
          <w:szCs w:val="24"/>
          <w:highlight w:val="none"/>
          <w:u w:val="single"/>
          <w:lang w:eastAsia="zh-CN"/>
        </w:rPr>
        <w:t>牵头人</w:t>
      </w:r>
      <w:r>
        <w:rPr>
          <w:rFonts w:hint="eastAsia"/>
          <w:b/>
          <w:strike/>
          <w:color w:val="auto"/>
          <w:sz w:val="24"/>
          <w:szCs w:val="24"/>
          <w:highlight w:val="none"/>
          <w:u w:val="single"/>
        </w:rPr>
        <w:t>盖章。）</w:t>
      </w:r>
      <w:r>
        <w:rPr>
          <w:rFonts w:hint="eastAsia"/>
          <w:strike/>
          <w:color w:val="auto"/>
          <w:sz w:val="24"/>
          <w:szCs w:val="24"/>
          <w:highlight w:val="none"/>
        </w:rPr>
        <w:t xml:space="preserve">   </w:t>
      </w:r>
    </w:p>
    <w:p w14:paraId="18566B02">
      <w:pPr>
        <w:pStyle w:val="15"/>
        <w:spacing w:line="360" w:lineRule="auto"/>
        <w:rPr>
          <w:rFonts w:hint="eastAsia" w:hAnsi="宋体"/>
          <w:b/>
          <w:bCs/>
          <w:color w:val="auto"/>
          <w:kern w:val="44"/>
          <w:szCs w:val="21"/>
          <w:highlight w:val="none"/>
        </w:rPr>
      </w:pPr>
      <w:r>
        <w:rPr>
          <w:rFonts w:hint="eastAsia"/>
          <w:strike/>
          <w:color w:val="auto"/>
          <w:sz w:val="24"/>
          <w:szCs w:val="24"/>
          <w:highlight w:val="none"/>
        </w:rPr>
        <w:br w:type="page"/>
      </w:r>
      <w:bookmarkStart w:id="36" w:name="_Toc23886"/>
      <w:r>
        <w:rPr>
          <w:rStyle w:val="33"/>
          <w:rFonts w:hint="eastAsia"/>
          <w:color w:val="auto"/>
          <w:sz w:val="22"/>
          <w:szCs w:val="22"/>
          <w:highlight w:val="none"/>
        </w:rPr>
        <w:t>附录9 资格审查表</w:t>
      </w:r>
      <w:bookmarkEnd w:id="36"/>
    </w:p>
    <w:p w14:paraId="19891911">
      <w:pPr>
        <w:pStyle w:val="15"/>
        <w:jc w:val="center"/>
        <w:rPr>
          <w:rFonts w:hint="eastAsia" w:hAnsi="宋体"/>
          <w:b/>
          <w:color w:val="auto"/>
          <w:sz w:val="32"/>
          <w:highlight w:val="none"/>
        </w:rPr>
      </w:pPr>
      <w:r>
        <w:rPr>
          <w:rFonts w:hint="eastAsia" w:hAnsi="宋体"/>
          <w:b/>
          <w:color w:val="auto"/>
          <w:sz w:val="32"/>
          <w:highlight w:val="none"/>
        </w:rPr>
        <w:t>资格审查表</w:t>
      </w:r>
    </w:p>
    <w:p w14:paraId="2A62886F">
      <w:pPr>
        <w:pStyle w:val="15"/>
        <w:rPr>
          <w:rFonts w:hint="eastAsia" w:hAnsi="宋体" w:eastAsia="宋体"/>
          <w:b/>
          <w:color w:val="auto"/>
          <w:sz w:val="24"/>
          <w:szCs w:val="24"/>
          <w:highlight w:val="none"/>
          <w:lang w:eastAsia="zh-CN"/>
        </w:rPr>
      </w:pPr>
      <w:r>
        <w:rPr>
          <w:rFonts w:hint="eastAsia" w:hAnsi="宋体"/>
          <w:color w:val="auto"/>
          <w:sz w:val="24"/>
          <w:szCs w:val="24"/>
          <w:highlight w:val="none"/>
        </w:rPr>
        <w:t>项目名称：</w:t>
      </w:r>
      <w:r>
        <w:rPr>
          <w:rFonts w:hint="eastAsia" w:hAnsi="宋体"/>
          <w:color w:val="auto"/>
          <w:sz w:val="24"/>
          <w:szCs w:val="24"/>
          <w:highlight w:val="none"/>
          <w:lang w:eastAsia="zh-CN"/>
        </w:rPr>
        <w:t>天河区柯木塱村城中村改造项目-首开区凤凰汇西侧地块复建安置房及配套设施工程勘察及初步设计服务</w:t>
      </w:r>
    </w:p>
    <w:tbl>
      <w:tblPr>
        <w:tblStyle w:val="2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200"/>
        <w:gridCol w:w="1059"/>
        <w:gridCol w:w="1080"/>
      </w:tblGrid>
      <w:tr w14:paraId="3D65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8ACD9E9">
            <w:pPr>
              <w:pStyle w:val="15"/>
              <w:jc w:val="center"/>
              <w:rPr>
                <w:rFonts w:hAnsi="宋体"/>
                <w:color w:val="auto"/>
                <w:sz w:val="24"/>
                <w:szCs w:val="24"/>
                <w:highlight w:val="none"/>
              </w:rPr>
            </w:pPr>
            <w:r>
              <w:rPr>
                <w:rFonts w:hint="eastAsia" w:hAnsi="宋体"/>
                <w:color w:val="auto"/>
                <w:sz w:val="24"/>
                <w:szCs w:val="24"/>
                <w:highlight w:val="none"/>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6219BE4">
            <w:pPr>
              <w:pStyle w:val="15"/>
              <w:jc w:val="center"/>
              <w:rPr>
                <w:color w:val="auto"/>
                <w:sz w:val="24"/>
                <w:szCs w:val="24"/>
                <w:highlight w:val="none"/>
              </w:rPr>
            </w:pPr>
            <w:r>
              <w:rPr>
                <w:rFonts w:hint="eastAsia"/>
                <w:color w:val="auto"/>
                <w:sz w:val="24"/>
                <w:szCs w:val="24"/>
                <w:highlight w:val="none"/>
              </w:rPr>
              <w:t xml:space="preserve">                      投标人名称</w:t>
            </w:r>
          </w:p>
          <w:p w14:paraId="001273BD">
            <w:pPr>
              <w:pStyle w:val="15"/>
              <w:rPr>
                <w:rFonts w:hAnsi="宋体"/>
                <w:b/>
                <w:color w:val="auto"/>
                <w:sz w:val="24"/>
                <w:szCs w:val="24"/>
                <w:highlight w:val="none"/>
              </w:rPr>
            </w:pPr>
            <w:r>
              <w:rPr>
                <w:rFonts w:hint="eastAsia"/>
                <w:color w:val="auto"/>
                <w:sz w:val="24"/>
                <w:szCs w:val="24"/>
                <w:highlight w:val="none"/>
              </w:rPr>
              <w:t>审查项目</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64EE0EC0">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5741DB2E">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C802A7">
            <w:pPr>
              <w:pStyle w:val="15"/>
              <w:jc w:val="center"/>
              <w:rPr>
                <w:rFonts w:hAnsi="宋体"/>
                <w:b/>
                <w:color w:val="auto"/>
                <w:sz w:val="24"/>
                <w:szCs w:val="24"/>
                <w:highlight w:val="none"/>
              </w:rPr>
            </w:pPr>
          </w:p>
        </w:tc>
      </w:tr>
      <w:tr w14:paraId="68CD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5052F334">
            <w:pPr>
              <w:pStyle w:val="15"/>
              <w:jc w:val="center"/>
              <w:rPr>
                <w:rFonts w:hAnsi="宋体"/>
                <w:color w:val="auto"/>
                <w:sz w:val="24"/>
                <w:szCs w:val="24"/>
                <w:highlight w:val="none"/>
              </w:rPr>
            </w:pPr>
            <w:r>
              <w:rPr>
                <w:rFonts w:hint="eastAsia" w:hAnsi="宋体"/>
                <w:color w:val="auto"/>
                <w:sz w:val="24"/>
                <w:szCs w:val="24"/>
                <w:highlight w:val="none"/>
              </w:rPr>
              <w:t>1</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36F8100B">
            <w:pPr>
              <w:pStyle w:val="15"/>
              <w:rPr>
                <w:rFonts w:hint="eastAsia" w:hAnsi="宋体"/>
                <w:color w:val="auto"/>
                <w:sz w:val="24"/>
                <w:szCs w:val="24"/>
                <w:highlight w:val="none"/>
              </w:rPr>
            </w:pPr>
            <w:r>
              <w:rPr>
                <w:rFonts w:hint="eastAsia" w:hAnsi="宋体"/>
                <w:color w:val="auto"/>
                <w:sz w:val="24"/>
                <w:szCs w:val="24"/>
                <w:highlight w:val="none"/>
              </w:rPr>
              <w:t>申请人（如联合体投标，含联合体各成员）与招标人过去3年内无合同履约纠纷</w:t>
            </w:r>
            <w:r>
              <w:rPr>
                <w:rFonts w:hint="eastAsia" w:hAnsi="宋体"/>
                <w:color w:val="auto"/>
                <w:sz w:val="24"/>
                <w:highlight w:val="none"/>
              </w:rPr>
              <w:t>，没有不得参加投标的情形</w:t>
            </w:r>
            <w:r>
              <w:rPr>
                <w:rFonts w:hint="eastAsia" w:hAnsi="宋体"/>
                <w:color w:val="auto"/>
                <w:sz w:val="24"/>
                <w:szCs w:val="24"/>
                <w:highlight w:val="none"/>
              </w:rPr>
              <w:t>。</w:t>
            </w:r>
            <w:r>
              <w:rPr>
                <w:rFonts w:hint="eastAsia" w:hAnsi="宋体" w:cs="宋体"/>
                <w:color w:val="auto"/>
                <w:sz w:val="24"/>
                <w:szCs w:val="24"/>
                <w:highlight w:val="none"/>
                <w:u w:val="single"/>
              </w:rPr>
              <w:t>（注：不得参加投标的情形详见招标文件第三章第</w:t>
            </w:r>
            <w:r>
              <w:rPr>
                <w:rFonts w:hint="eastAsia" w:hAnsi="宋体"/>
                <w:color w:val="auto"/>
                <w:sz w:val="24"/>
                <w:szCs w:val="24"/>
                <w:highlight w:val="none"/>
                <w:u w:val="single"/>
              </w:rPr>
              <w:t>3.11项，根据《</w:t>
            </w:r>
            <w:r>
              <w:rPr>
                <w:rFonts w:hint="eastAsia" w:hAnsi="宋体" w:cs="宋体"/>
                <w:color w:val="auto"/>
                <w:sz w:val="24"/>
                <w:szCs w:val="24"/>
                <w:highlight w:val="none"/>
                <w:u w:val="single"/>
              </w:rPr>
              <w:t>投标人声明》</w:t>
            </w:r>
            <w:r>
              <w:rPr>
                <w:rFonts w:hint="eastAsia" w:hAnsi="宋体"/>
                <w:color w:val="auto"/>
                <w:sz w:val="24"/>
                <w:szCs w:val="24"/>
                <w:highlight w:val="none"/>
                <w:u w:val="single"/>
              </w:rPr>
              <w:t>评审）。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776BE2CF">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25432C58">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196967">
            <w:pPr>
              <w:pStyle w:val="15"/>
              <w:jc w:val="center"/>
              <w:rPr>
                <w:rFonts w:hAnsi="宋体"/>
                <w:b/>
                <w:color w:val="auto"/>
                <w:sz w:val="24"/>
                <w:szCs w:val="24"/>
                <w:highlight w:val="none"/>
              </w:rPr>
            </w:pPr>
          </w:p>
        </w:tc>
      </w:tr>
      <w:tr w14:paraId="7095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911E71F">
            <w:pPr>
              <w:pStyle w:val="15"/>
              <w:jc w:val="center"/>
              <w:rPr>
                <w:rFonts w:hAnsi="宋体"/>
                <w:color w:val="auto"/>
                <w:sz w:val="24"/>
                <w:szCs w:val="24"/>
                <w:highlight w:val="none"/>
              </w:rPr>
            </w:pPr>
            <w:r>
              <w:rPr>
                <w:rFonts w:hint="eastAsia" w:hAnsi="宋体"/>
                <w:color w:val="auto"/>
                <w:sz w:val="24"/>
                <w:szCs w:val="24"/>
                <w:highlight w:val="none"/>
              </w:rPr>
              <w:t>2</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54218A3E">
            <w:pPr>
              <w:pStyle w:val="15"/>
              <w:rPr>
                <w:rFonts w:hint="eastAsia" w:hAnsi="宋体" w:eastAsia="宋体"/>
                <w:color w:val="auto"/>
                <w:sz w:val="24"/>
                <w:szCs w:val="24"/>
                <w:highlight w:val="none"/>
                <w:lang w:eastAsia="zh-CN"/>
              </w:rPr>
            </w:pPr>
            <w:r>
              <w:rPr>
                <w:rFonts w:hint="eastAsia" w:hAnsi="宋体"/>
                <w:color w:val="auto"/>
                <w:sz w:val="24"/>
                <w:szCs w:val="24"/>
                <w:highlight w:val="none"/>
              </w:rPr>
              <w:t>申请人的资质满足招标公告规定</w:t>
            </w:r>
            <w:r>
              <w:rPr>
                <w:rFonts w:hint="eastAsia" w:hAnsi="宋体"/>
                <w:color w:val="auto"/>
                <w:sz w:val="24"/>
                <w:szCs w:val="24"/>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2942F960">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14724115">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3EA302">
            <w:pPr>
              <w:pStyle w:val="15"/>
              <w:jc w:val="center"/>
              <w:rPr>
                <w:rFonts w:hAnsi="宋体"/>
                <w:b/>
                <w:color w:val="auto"/>
                <w:sz w:val="24"/>
                <w:szCs w:val="24"/>
                <w:highlight w:val="none"/>
              </w:rPr>
            </w:pPr>
          </w:p>
        </w:tc>
      </w:tr>
      <w:tr w14:paraId="794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62C65B83">
            <w:pPr>
              <w:pStyle w:val="15"/>
              <w:jc w:val="center"/>
              <w:rPr>
                <w:rFonts w:hAnsi="宋体"/>
                <w:color w:val="auto"/>
                <w:sz w:val="24"/>
                <w:szCs w:val="24"/>
                <w:highlight w:val="none"/>
              </w:rPr>
            </w:pPr>
            <w:r>
              <w:rPr>
                <w:rFonts w:hint="eastAsia" w:hAnsi="宋体"/>
                <w:color w:val="auto"/>
                <w:sz w:val="24"/>
                <w:szCs w:val="24"/>
                <w:highlight w:val="none"/>
              </w:rPr>
              <w:t>3</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23309332">
            <w:pPr>
              <w:pStyle w:val="15"/>
              <w:rPr>
                <w:rFonts w:hAnsi="宋体"/>
                <w:color w:val="auto"/>
                <w:sz w:val="24"/>
                <w:szCs w:val="24"/>
                <w:highlight w:val="none"/>
              </w:rPr>
            </w:pPr>
            <w:r>
              <w:rPr>
                <w:rFonts w:hint="eastAsia" w:hAnsi="宋体" w:cs="宋体"/>
                <w:color w:val="auto"/>
                <w:sz w:val="24"/>
                <w:szCs w:val="24"/>
                <w:highlight w:val="none"/>
                <w:u w:val="single"/>
              </w:rPr>
              <w:t>外国或澳门、台湾的设计企业必须选择一家符合</w:t>
            </w:r>
            <w:r>
              <w:rPr>
                <w:rFonts w:hint="eastAsia" w:hAnsi="宋体" w:cs="宋体"/>
                <w:color w:val="auto"/>
                <w:sz w:val="24"/>
                <w:szCs w:val="24"/>
                <w:highlight w:val="none"/>
                <w:u w:val="single"/>
                <w:lang w:eastAsia="zh-CN"/>
              </w:rPr>
              <w:t>招标公告规定条件</w:t>
            </w:r>
            <w:r>
              <w:rPr>
                <w:rFonts w:hint="eastAsia" w:hAnsi="宋体" w:cs="宋体"/>
                <w:color w:val="auto"/>
                <w:sz w:val="24"/>
                <w:szCs w:val="24"/>
                <w:highlight w:val="none"/>
                <w:u w:val="single"/>
              </w:rPr>
              <w:t>的企业进行合作设计。香港企业如不单独参加投标，也必须选择一家符合</w:t>
            </w:r>
            <w:r>
              <w:rPr>
                <w:rFonts w:hint="eastAsia" w:hAnsi="宋体" w:cs="宋体"/>
                <w:color w:val="auto"/>
                <w:sz w:val="24"/>
                <w:szCs w:val="24"/>
                <w:highlight w:val="none"/>
                <w:u w:val="single"/>
                <w:lang w:eastAsia="zh-CN"/>
              </w:rPr>
              <w:t>招标公告规定条件</w:t>
            </w:r>
            <w:r>
              <w:rPr>
                <w:rFonts w:hint="eastAsia" w:hAnsi="宋体" w:cs="宋体"/>
                <w:color w:val="auto"/>
                <w:sz w:val="24"/>
                <w:szCs w:val="24"/>
                <w:highlight w:val="none"/>
                <w:u w:val="single"/>
              </w:rPr>
              <w:t>的企业进行合作设计。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29F5896B">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0D6E7C51">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6D74EEF">
            <w:pPr>
              <w:pStyle w:val="15"/>
              <w:jc w:val="center"/>
              <w:rPr>
                <w:rFonts w:hAnsi="宋体"/>
                <w:b/>
                <w:color w:val="auto"/>
                <w:sz w:val="24"/>
                <w:szCs w:val="24"/>
                <w:highlight w:val="none"/>
              </w:rPr>
            </w:pPr>
          </w:p>
        </w:tc>
      </w:tr>
      <w:tr w14:paraId="7426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4C3E92C">
            <w:pPr>
              <w:pStyle w:val="15"/>
              <w:jc w:val="center"/>
              <w:rPr>
                <w:rFonts w:hAnsi="宋体"/>
                <w:color w:val="auto"/>
                <w:sz w:val="24"/>
                <w:szCs w:val="24"/>
                <w:highlight w:val="none"/>
              </w:rPr>
            </w:pPr>
            <w:r>
              <w:rPr>
                <w:rFonts w:hint="eastAsia" w:hAnsi="宋体"/>
                <w:color w:val="auto"/>
                <w:sz w:val="24"/>
                <w:szCs w:val="24"/>
                <w:highlight w:val="none"/>
              </w:rPr>
              <w:t>4</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535C2493">
            <w:pPr>
              <w:pStyle w:val="15"/>
              <w:rPr>
                <w:rFonts w:hAnsi="宋体"/>
                <w:color w:val="auto"/>
                <w:sz w:val="24"/>
                <w:szCs w:val="24"/>
                <w:highlight w:val="none"/>
              </w:rPr>
            </w:pPr>
            <w:r>
              <w:rPr>
                <w:rFonts w:hint="eastAsia" w:hAnsi="宋体"/>
                <w:color w:val="auto"/>
                <w:sz w:val="24"/>
                <w:highlight w:val="none"/>
              </w:rPr>
              <w:t>申请人（如联合体投标，含联合体各成员）已在广州市住房和城乡建设局建立企业信用档案，拟委派的项目负责人须</w:t>
            </w:r>
            <w:r>
              <w:rPr>
                <w:rFonts w:hAnsi="宋体"/>
                <w:color w:val="auto"/>
                <w:sz w:val="24"/>
                <w:highlight w:val="none"/>
              </w:rPr>
              <w:t>是本企业</w:t>
            </w:r>
            <w:r>
              <w:rPr>
                <w:rFonts w:hint="eastAsia" w:hAnsi="宋体"/>
                <w:color w:val="auto"/>
                <w:sz w:val="24"/>
                <w:highlight w:val="none"/>
              </w:rPr>
              <w:t>（如联合体投标，指</w:t>
            </w:r>
            <w:r>
              <w:rPr>
                <w:rFonts w:hint="eastAsia" w:hAnsi="宋体"/>
                <w:color w:val="auto"/>
                <w:sz w:val="24"/>
                <w:highlight w:val="none"/>
                <w:lang w:eastAsia="zh-CN"/>
              </w:rPr>
              <w:t>牵头人</w:t>
            </w:r>
            <w:r>
              <w:rPr>
                <w:rFonts w:hint="eastAsia" w:hAnsi="宋体"/>
                <w:color w:val="auto"/>
                <w:sz w:val="24"/>
                <w:highlight w:val="none"/>
              </w:rPr>
              <w:t>）信用</w:t>
            </w:r>
            <w:r>
              <w:rPr>
                <w:rFonts w:hAnsi="宋体"/>
                <w:color w:val="auto"/>
                <w:sz w:val="24"/>
                <w:highlight w:val="none"/>
              </w:rPr>
              <w:t>档案中</w:t>
            </w:r>
            <w:r>
              <w:rPr>
                <w:rFonts w:hint="eastAsia" w:hAnsi="宋体"/>
                <w:color w:val="auto"/>
                <w:sz w:val="24"/>
                <w:highlight w:val="none"/>
              </w:rPr>
              <w:t>的</w:t>
            </w:r>
            <w:r>
              <w:rPr>
                <w:rFonts w:hAnsi="宋体"/>
                <w:color w:val="auto"/>
                <w:sz w:val="24"/>
                <w:highlight w:val="none"/>
              </w:rPr>
              <w:t>在册人员。</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01F0F723">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7AD5872E">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1F8433">
            <w:pPr>
              <w:pStyle w:val="15"/>
              <w:jc w:val="center"/>
              <w:rPr>
                <w:rFonts w:hAnsi="宋体"/>
                <w:b/>
                <w:color w:val="auto"/>
                <w:sz w:val="24"/>
                <w:szCs w:val="24"/>
                <w:highlight w:val="none"/>
              </w:rPr>
            </w:pPr>
          </w:p>
        </w:tc>
      </w:tr>
      <w:tr w14:paraId="6A24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41BB196">
            <w:pPr>
              <w:pStyle w:val="15"/>
              <w:jc w:val="center"/>
              <w:rPr>
                <w:rFonts w:hAnsi="宋体"/>
                <w:color w:val="auto"/>
                <w:sz w:val="24"/>
                <w:szCs w:val="24"/>
                <w:highlight w:val="none"/>
              </w:rPr>
            </w:pPr>
            <w:r>
              <w:rPr>
                <w:rFonts w:hint="eastAsia" w:hAnsi="宋体"/>
                <w:color w:val="auto"/>
                <w:sz w:val="24"/>
                <w:szCs w:val="24"/>
                <w:highlight w:val="none"/>
              </w:rPr>
              <w:t>5</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152E0942">
            <w:pPr>
              <w:pStyle w:val="15"/>
              <w:rPr>
                <w:rFonts w:hint="eastAsia" w:eastAsia="宋体"/>
                <w:color w:val="auto"/>
                <w:sz w:val="24"/>
                <w:szCs w:val="24"/>
                <w:highlight w:val="none"/>
                <w:lang w:eastAsia="zh-CN"/>
              </w:rPr>
            </w:pPr>
            <w:r>
              <w:rPr>
                <w:rFonts w:hint="eastAsia" w:hAnsi="宋体"/>
                <w:color w:val="auto"/>
                <w:sz w:val="24"/>
                <w:szCs w:val="24"/>
                <w:highlight w:val="none"/>
              </w:rPr>
              <w:t>申请人（如联合体投标，指</w:t>
            </w:r>
            <w:r>
              <w:rPr>
                <w:rFonts w:hint="eastAsia" w:hAnsi="宋体"/>
                <w:color w:val="auto"/>
                <w:sz w:val="24"/>
                <w:szCs w:val="24"/>
                <w:highlight w:val="none"/>
                <w:lang w:eastAsia="zh-CN"/>
              </w:rPr>
              <w:t>牵头人</w:t>
            </w:r>
            <w:r>
              <w:rPr>
                <w:rFonts w:hint="eastAsia" w:hAnsi="宋体"/>
                <w:color w:val="auto"/>
                <w:sz w:val="24"/>
                <w:szCs w:val="24"/>
                <w:highlight w:val="none"/>
              </w:rPr>
              <w:t>）拟派项目负责人资格满足招标公告规定</w:t>
            </w:r>
            <w:r>
              <w:rPr>
                <w:rFonts w:hint="eastAsia" w:hAnsi="宋体"/>
                <w:color w:val="auto"/>
                <w:sz w:val="24"/>
                <w:szCs w:val="24"/>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478AC077">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24B3EDF6">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983399">
            <w:pPr>
              <w:pStyle w:val="15"/>
              <w:jc w:val="center"/>
              <w:rPr>
                <w:rFonts w:hAnsi="宋体"/>
                <w:b/>
                <w:color w:val="auto"/>
                <w:sz w:val="24"/>
                <w:szCs w:val="24"/>
                <w:highlight w:val="none"/>
              </w:rPr>
            </w:pPr>
          </w:p>
        </w:tc>
      </w:tr>
      <w:tr w14:paraId="0860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9748671">
            <w:pPr>
              <w:pStyle w:val="15"/>
              <w:jc w:val="center"/>
              <w:rPr>
                <w:rFonts w:hAnsi="宋体"/>
                <w:color w:val="auto"/>
                <w:sz w:val="24"/>
                <w:szCs w:val="24"/>
                <w:highlight w:val="none"/>
              </w:rPr>
            </w:pPr>
            <w:r>
              <w:rPr>
                <w:rFonts w:hint="eastAsia" w:hAnsi="宋体"/>
                <w:color w:val="auto"/>
                <w:sz w:val="24"/>
                <w:szCs w:val="24"/>
                <w:highlight w:val="none"/>
              </w:rPr>
              <w:t>6</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6F451B13">
            <w:pPr>
              <w:pStyle w:val="15"/>
              <w:rPr>
                <w:rFonts w:hint="eastAsia" w:hAnsi="宋体" w:eastAsia="宋体"/>
                <w:color w:val="auto"/>
                <w:sz w:val="24"/>
                <w:szCs w:val="24"/>
                <w:highlight w:val="none"/>
                <w:lang w:eastAsia="zh-CN"/>
              </w:rPr>
            </w:pPr>
            <w:r>
              <w:rPr>
                <w:rFonts w:hint="eastAsia" w:hAnsi="宋体"/>
                <w:color w:val="auto"/>
                <w:sz w:val="24"/>
                <w:szCs w:val="24"/>
                <w:highlight w:val="none"/>
              </w:rPr>
              <w:t>以联合体形式投标的，已按要求向招标人提交共同投标协议</w:t>
            </w:r>
            <w:r>
              <w:rPr>
                <w:rFonts w:hint="eastAsia" w:hAnsi="宋体"/>
                <w:color w:val="auto"/>
                <w:sz w:val="24"/>
                <w:szCs w:val="24"/>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13546B95">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29069D3E">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6D7A89">
            <w:pPr>
              <w:pStyle w:val="15"/>
              <w:jc w:val="center"/>
              <w:rPr>
                <w:rFonts w:hAnsi="宋体"/>
                <w:b/>
                <w:color w:val="auto"/>
                <w:sz w:val="24"/>
                <w:szCs w:val="24"/>
                <w:highlight w:val="none"/>
              </w:rPr>
            </w:pPr>
          </w:p>
        </w:tc>
      </w:tr>
      <w:tr w14:paraId="11F7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8CC0116">
            <w:pPr>
              <w:pStyle w:val="15"/>
              <w:jc w:val="center"/>
              <w:rPr>
                <w:rFonts w:hAnsi="宋体"/>
                <w:color w:val="auto"/>
                <w:sz w:val="24"/>
                <w:szCs w:val="24"/>
                <w:highlight w:val="none"/>
              </w:rPr>
            </w:pPr>
            <w:r>
              <w:rPr>
                <w:rFonts w:hint="eastAsia" w:hAnsi="宋体"/>
                <w:color w:val="auto"/>
                <w:sz w:val="24"/>
                <w:szCs w:val="24"/>
                <w:highlight w:val="none"/>
              </w:rPr>
              <w:t>7</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252751B2">
            <w:pPr>
              <w:pStyle w:val="15"/>
              <w:rPr>
                <w:rFonts w:hint="eastAsia" w:hAnsi="宋体"/>
                <w:color w:val="auto"/>
                <w:sz w:val="24"/>
                <w:szCs w:val="24"/>
                <w:highlight w:val="none"/>
              </w:rPr>
            </w:pPr>
            <w:r>
              <w:rPr>
                <w:rFonts w:hint="eastAsia" w:hAnsi="宋体" w:cs="宋体"/>
                <w:color w:val="auto"/>
                <w:sz w:val="24"/>
                <w:szCs w:val="24"/>
                <w:highlight w:val="none"/>
              </w:rPr>
              <w:t>申请人（如联合体投标，含联合体各成员）没有第三章第</w:t>
            </w:r>
            <w:r>
              <w:rPr>
                <w:rFonts w:hint="eastAsia" w:hAnsi="宋体"/>
                <w:color w:val="auto"/>
                <w:sz w:val="24"/>
                <w:szCs w:val="24"/>
                <w:highlight w:val="none"/>
              </w:rPr>
              <w:t>3.11项规定的任何一种情形（根据《</w:t>
            </w:r>
            <w:r>
              <w:rPr>
                <w:rFonts w:hint="eastAsia" w:hAnsi="宋体" w:cs="宋体"/>
                <w:color w:val="auto"/>
                <w:sz w:val="24"/>
                <w:szCs w:val="24"/>
                <w:highlight w:val="none"/>
              </w:rPr>
              <w:t>投标人声明》进行评审）。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7E4C4AAB">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2DDC1FDC">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6466964">
            <w:pPr>
              <w:pStyle w:val="15"/>
              <w:jc w:val="center"/>
              <w:rPr>
                <w:rFonts w:hAnsi="宋体"/>
                <w:b/>
                <w:color w:val="auto"/>
                <w:sz w:val="24"/>
                <w:szCs w:val="24"/>
                <w:highlight w:val="none"/>
              </w:rPr>
            </w:pPr>
          </w:p>
        </w:tc>
      </w:tr>
      <w:tr w14:paraId="459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8CB2CC1">
            <w:pPr>
              <w:pStyle w:val="15"/>
              <w:jc w:val="center"/>
              <w:rPr>
                <w:rFonts w:hint="eastAsia" w:hAnsi="宋体"/>
                <w:color w:val="auto"/>
                <w:sz w:val="24"/>
                <w:szCs w:val="24"/>
                <w:highlight w:val="none"/>
              </w:rPr>
            </w:pPr>
            <w:r>
              <w:rPr>
                <w:rFonts w:hint="eastAsia" w:hAnsi="宋体"/>
                <w:color w:val="auto"/>
                <w:sz w:val="24"/>
                <w:szCs w:val="24"/>
                <w:highlight w:val="none"/>
              </w:rPr>
              <w:t>8</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53A807EA">
            <w:pPr>
              <w:pStyle w:val="15"/>
              <w:rPr>
                <w:rFonts w:hint="eastAsia" w:hAnsi="宋体"/>
                <w:color w:val="auto"/>
                <w:sz w:val="24"/>
                <w:szCs w:val="24"/>
                <w:highlight w:val="none"/>
              </w:rPr>
            </w:pPr>
            <w:r>
              <w:rPr>
                <w:rFonts w:hint="eastAsia" w:hAnsi="宋体" w:cs="宋体"/>
                <w:b/>
                <w:color w:val="auto"/>
                <w:sz w:val="24"/>
                <w:szCs w:val="24"/>
                <w:highlight w:val="none"/>
                <w:u w:val="single"/>
              </w:rPr>
              <w:t>信誉要求：未被列入拖欠农民工工资失信联合惩戒对象名单。</w:t>
            </w:r>
            <w:r>
              <w:rPr>
                <w:rFonts w:hint="eastAsia" w:hAnsi="宋体" w:cs="宋体"/>
                <w:color w:val="auto"/>
                <w:sz w:val="24"/>
                <w:szCs w:val="24"/>
                <w:highlight w:val="none"/>
              </w:rPr>
              <w:t>（申请人（如联合体投标，含联合体各成员）无需提供资料，按</w:t>
            </w:r>
            <w:r>
              <w:rPr>
                <w:rFonts w:hint="eastAsia" w:hAnsi="宋体" w:cs="宋体"/>
                <w:color w:val="auto"/>
                <w:sz w:val="24"/>
                <w:szCs w:val="24"/>
                <w:highlight w:val="none"/>
                <w:lang w:val="en-US" w:eastAsia="zh-CN"/>
              </w:rPr>
              <w:t>投标截止时间</w:t>
            </w:r>
            <w:r>
              <w:rPr>
                <w:rFonts w:hint="eastAsia" w:hAnsi="宋体" w:cs="宋体"/>
                <w:color w:val="auto"/>
                <w:sz w:val="24"/>
                <w:szCs w:val="24"/>
                <w:highlight w:val="none"/>
              </w:rPr>
              <w:t>交易系统比对的结果进行评审）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7C032A88">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46E3F48C">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683352">
            <w:pPr>
              <w:pStyle w:val="15"/>
              <w:jc w:val="center"/>
              <w:rPr>
                <w:rFonts w:hAnsi="宋体"/>
                <w:b/>
                <w:color w:val="auto"/>
                <w:sz w:val="24"/>
                <w:szCs w:val="24"/>
                <w:highlight w:val="none"/>
              </w:rPr>
            </w:pPr>
          </w:p>
        </w:tc>
      </w:tr>
      <w:tr w14:paraId="183C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C24B338">
            <w:pPr>
              <w:pStyle w:val="15"/>
              <w:jc w:val="center"/>
              <w:rPr>
                <w:rFonts w:hAnsi="宋体"/>
                <w:color w:val="auto"/>
                <w:sz w:val="24"/>
                <w:szCs w:val="24"/>
                <w:highlight w:val="none"/>
              </w:rPr>
            </w:pPr>
            <w:r>
              <w:rPr>
                <w:rFonts w:hint="eastAsia" w:hAnsi="宋体"/>
                <w:color w:val="auto"/>
                <w:sz w:val="24"/>
                <w:szCs w:val="24"/>
                <w:highlight w:val="none"/>
              </w:rPr>
              <w:t>结论</w:t>
            </w:r>
          </w:p>
        </w:tc>
        <w:tc>
          <w:tcPr>
            <w:tcW w:w="4614" w:type="dxa"/>
            <w:tcBorders>
              <w:top w:val="single" w:color="auto" w:sz="4" w:space="0"/>
              <w:left w:val="single" w:color="auto" w:sz="4" w:space="0"/>
              <w:bottom w:val="single" w:color="auto" w:sz="4" w:space="0"/>
              <w:right w:val="single" w:color="auto" w:sz="4" w:space="0"/>
            </w:tcBorders>
            <w:noWrap w:val="0"/>
            <w:vAlign w:val="center"/>
          </w:tcPr>
          <w:p w14:paraId="18C19816">
            <w:pPr>
              <w:pStyle w:val="15"/>
              <w:rPr>
                <w:color w:val="auto"/>
                <w:sz w:val="24"/>
                <w:szCs w:val="24"/>
                <w:highlight w:val="none"/>
              </w:rPr>
            </w:pPr>
            <w:r>
              <w:rPr>
                <w:rFonts w:hint="eastAsia"/>
                <w:color w:val="auto"/>
                <w:sz w:val="24"/>
                <w:szCs w:val="24"/>
                <w:highlight w:val="none"/>
              </w:rPr>
              <w:t>是否通过并进入下一阶段评审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18EC8E44">
            <w:pPr>
              <w:pStyle w:val="15"/>
              <w:jc w:val="center"/>
              <w:rPr>
                <w:rFonts w:hAnsi="宋体"/>
                <w:b/>
                <w:color w:val="auto"/>
                <w:sz w:val="24"/>
                <w:szCs w:val="24"/>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top"/>
          </w:tcPr>
          <w:p w14:paraId="6B91ED78">
            <w:pPr>
              <w:pStyle w:val="15"/>
              <w:jc w:val="center"/>
              <w:rPr>
                <w:rFonts w:hAnsi="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EA9970">
            <w:pPr>
              <w:pStyle w:val="15"/>
              <w:jc w:val="center"/>
              <w:rPr>
                <w:rFonts w:hAnsi="宋体"/>
                <w:b/>
                <w:color w:val="auto"/>
                <w:sz w:val="24"/>
                <w:szCs w:val="24"/>
                <w:highlight w:val="none"/>
              </w:rPr>
            </w:pPr>
          </w:p>
        </w:tc>
      </w:tr>
    </w:tbl>
    <w:p w14:paraId="3D7CC16D">
      <w:pPr>
        <w:keepNext w:val="0"/>
        <w:keepLines w:val="0"/>
        <w:pageBreakBefore w:val="0"/>
        <w:widowControl w:val="0"/>
        <w:tabs>
          <w:tab w:val="left" w:pos="720"/>
        </w:tabs>
        <w:kinsoku/>
        <w:wordWrap/>
        <w:overflowPunct/>
        <w:topLinePunct w:val="0"/>
        <w:autoSpaceDE/>
        <w:autoSpaceDN/>
        <w:bidi w:val="0"/>
        <w:adjustRightInd w:val="0"/>
        <w:snapToGrid w:val="0"/>
        <w:spacing w:line="240" w:lineRule="exact"/>
        <w:textAlignment w:val="auto"/>
        <w:rPr>
          <w:rFonts w:hint="eastAsia" w:ascii="宋体" w:hAnsi="Courier New"/>
          <w:color w:val="auto"/>
          <w:sz w:val="24"/>
          <w:highlight w:val="none"/>
        </w:rPr>
      </w:pPr>
      <w:r>
        <w:rPr>
          <w:rFonts w:hint="eastAsia" w:ascii="宋体" w:hAnsi="Courier New"/>
          <w:color w:val="auto"/>
          <w:sz w:val="24"/>
          <w:highlight w:val="none"/>
        </w:rPr>
        <w:t>备注：1、根据本表的审查项目，填“是”或“否”。</w:t>
      </w:r>
    </w:p>
    <w:p w14:paraId="017C37D1">
      <w:pPr>
        <w:keepNext w:val="0"/>
        <w:keepLines w:val="0"/>
        <w:pageBreakBefore w:val="0"/>
        <w:widowControl w:val="0"/>
        <w:tabs>
          <w:tab w:val="left" w:pos="720"/>
        </w:tabs>
        <w:kinsoku/>
        <w:wordWrap/>
        <w:overflowPunct/>
        <w:topLinePunct w:val="0"/>
        <w:autoSpaceDE/>
        <w:autoSpaceDN/>
        <w:bidi w:val="0"/>
        <w:adjustRightInd w:val="0"/>
        <w:snapToGrid w:val="0"/>
        <w:spacing w:line="240" w:lineRule="exact"/>
        <w:ind w:left="870" w:leftChars="300" w:hanging="240" w:hangingChars="100"/>
        <w:textAlignment w:val="auto"/>
        <w:rPr>
          <w:rFonts w:hint="eastAsia" w:ascii="宋体" w:hAnsi="Courier New"/>
          <w:color w:val="auto"/>
          <w:sz w:val="24"/>
          <w:highlight w:val="none"/>
        </w:rPr>
      </w:pPr>
      <w:r>
        <w:rPr>
          <w:rFonts w:hint="eastAsia" w:ascii="宋体" w:hAnsi="Courier New"/>
          <w:color w:val="auto"/>
          <w:sz w:val="24"/>
          <w:highlight w:val="none"/>
        </w:rPr>
        <w:t>2、表中出现一个或以上“否”，即该投标人的评审“结论”为“否”，即该投标人不进入下一阶段评审</w:t>
      </w:r>
      <w:r>
        <w:rPr>
          <w:rFonts w:hint="eastAsia"/>
          <w:color w:val="auto"/>
          <w:sz w:val="24"/>
          <w:highlight w:val="none"/>
        </w:rPr>
        <w:t>。</w:t>
      </w:r>
    </w:p>
    <w:p w14:paraId="0DBE9667">
      <w:pPr>
        <w:keepNext w:val="0"/>
        <w:keepLines w:val="0"/>
        <w:pageBreakBefore w:val="0"/>
        <w:widowControl w:val="0"/>
        <w:tabs>
          <w:tab w:val="left" w:pos="720"/>
        </w:tabs>
        <w:kinsoku/>
        <w:wordWrap/>
        <w:overflowPunct/>
        <w:topLinePunct w:val="0"/>
        <w:autoSpaceDE/>
        <w:autoSpaceDN/>
        <w:bidi w:val="0"/>
        <w:adjustRightInd w:val="0"/>
        <w:snapToGrid w:val="0"/>
        <w:spacing w:line="240" w:lineRule="exact"/>
        <w:ind w:firstLine="720" w:firstLineChars="300"/>
        <w:textAlignment w:val="auto"/>
        <w:rPr>
          <w:rFonts w:hint="eastAsia" w:ascii="宋体" w:hAnsi="Courier New"/>
          <w:color w:val="auto"/>
          <w:sz w:val="24"/>
          <w:highlight w:val="none"/>
        </w:rPr>
      </w:pPr>
      <w:r>
        <w:rPr>
          <w:rFonts w:hint="eastAsia" w:ascii="宋体" w:hAnsi="Courier New"/>
          <w:color w:val="auto"/>
          <w:sz w:val="24"/>
          <w:highlight w:val="none"/>
        </w:rPr>
        <w:t>3、表中全部评审结果为“是”，视为同意进入下一阶段评审。</w:t>
      </w:r>
    </w:p>
    <w:p w14:paraId="3AC73DA5">
      <w:pPr>
        <w:keepNext w:val="0"/>
        <w:keepLines w:val="0"/>
        <w:pageBreakBefore w:val="0"/>
        <w:widowControl w:val="0"/>
        <w:tabs>
          <w:tab w:val="left" w:pos="720"/>
        </w:tabs>
        <w:kinsoku/>
        <w:wordWrap/>
        <w:overflowPunct/>
        <w:topLinePunct w:val="0"/>
        <w:autoSpaceDE/>
        <w:autoSpaceDN/>
        <w:bidi w:val="0"/>
        <w:adjustRightInd w:val="0"/>
        <w:snapToGrid w:val="0"/>
        <w:spacing w:line="240" w:lineRule="exact"/>
        <w:ind w:left="990" w:leftChars="300" w:hanging="360" w:hangingChars="150"/>
        <w:textAlignment w:val="auto"/>
        <w:rPr>
          <w:rFonts w:hint="eastAsia" w:ascii="宋体" w:hAnsi="Courier New"/>
          <w:color w:val="auto"/>
          <w:sz w:val="24"/>
          <w:highlight w:val="none"/>
        </w:rPr>
      </w:pPr>
      <w:r>
        <w:rPr>
          <w:rFonts w:hint="eastAsia" w:ascii="宋体" w:hAnsi="Courier New"/>
          <w:color w:val="auto"/>
          <w:sz w:val="24"/>
          <w:highlight w:val="none"/>
        </w:rPr>
        <w:t>4、若评委意见不一致时，则按少数服从多数的原则，决定该投标人是否通过符合性审查，进入下一阶段评审。</w:t>
      </w:r>
    </w:p>
    <w:p w14:paraId="016C9717">
      <w:pPr>
        <w:pStyle w:val="15"/>
        <w:keepNext w:val="0"/>
        <w:keepLines w:val="0"/>
        <w:pageBreakBefore w:val="0"/>
        <w:widowControl w:val="0"/>
        <w:kinsoku/>
        <w:wordWrap/>
        <w:overflowPunct/>
        <w:topLinePunct w:val="0"/>
        <w:autoSpaceDE/>
        <w:autoSpaceDN/>
        <w:bidi w:val="0"/>
        <w:adjustRightInd w:val="0"/>
        <w:snapToGrid w:val="0"/>
        <w:spacing w:line="240" w:lineRule="exact"/>
        <w:jc w:val="right"/>
        <w:textAlignment w:val="auto"/>
        <w:rPr>
          <w:rFonts w:hint="eastAsia"/>
          <w:color w:val="auto"/>
          <w:sz w:val="24"/>
          <w:szCs w:val="24"/>
          <w:highlight w:val="none"/>
        </w:rPr>
      </w:pPr>
    </w:p>
    <w:p w14:paraId="5F6727DB">
      <w:pPr>
        <w:pStyle w:val="15"/>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hAnsi="宋体"/>
          <w:b/>
          <w:color w:val="auto"/>
          <w:sz w:val="24"/>
          <w:szCs w:val="24"/>
          <w:highlight w:val="none"/>
        </w:rPr>
      </w:pPr>
      <w:r>
        <w:rPr>
          <w:rFonts w:hint="eastAsia"/>
          <w:color w:val="auto"/>
          <w:sz w:val="24"/>
          <w:szCs w:val="24"/>
          <w:highlight w:val="none"/>
        </w:rPr>
        <w:t xml:space="preserve">评委签名：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cs="宋体"/>
          <w:color w:val="auto"/>
          <w:sz w:val="24"/>
          <w:highlight w:val="none"/>
        </w:rPr>
        <w:t>日期：</w:t>
      </w:r>
      <w:r>
        <w:rPr>
          <w:rFonts w:hint="eastAsia" w:cs="宋体"/>
          <w:color w:val="auto"/>
          <w:sz w:val="24"/>
          <w:highlight w:val="none"/>
        </w:rPr>
        <w:t xml:space="preserve">  </w:t>
      </w:r>
      <w:r>
        <w:rPr>
          <w:rFonts w:cs="宋体"/>
          <w:color w:val="auto"/>
          <w:sz w:val="24"/>
          <w:highlight w:val="none"/>
        </w:rPr>
        <w:t>年</w:t>
      </w:r>
      <w:r>
        <w:rPr>
          <w:rFonts w:hint="eastAsia" w:cs="宋体"/>
          <w:color w:val="auto"/>
          <w:sz w:val="24"/>
          <w:highlight w:val="none"/>
        </w:rPr>
        <w:t xml:space="preserve">  </w:t>
      </w:r>
      <w:r>
        <w:rPr>
          <w:rFonts w:cs="宋体"/>
          <w:color w:val="auto"/>
          <w:sz w:val="24"/>
          <w:highlight w:val="none"/>
        </w:rPr>
        <w:t>月</w:t>
      </w:r>
      <w:r>
        <w:rPr>
          <w:rFonts w:hint="eastAsia" w:cs="宋体"/>
          <w:color w:val="auto"/>
          <w:sz w:val="24"/>
          <w:highlight w:val="none"/>
        </w:rPr>
        <w:t xml:space="preserve">   </w:t>
      </w:r>
      <w:r>
        <w:rPr>
          <w:rFonts w:cs="宋体"/>
          <w:color w:val="auto"/>
          <w:sz w:val="24"/>
          <w:highlight w:val="none"/>
        </w:rPr>
        <w:t>日</w:t>
      </w:r>
    </w:p>
    <w:p w14:paraId="42F55EFB">
      <w:pPr>
        <w:pStyle w:val="2"/>
        <w:spacing w:before="0" w:after="0" w:line="579" w:lineRule="auto"/>
        <w:rPr>
          <w:rFonts w:hint="eastAsia" w:ascii="宋体" w:hAnsi="宋体"/>
          <w:b w:val="0"/>
          <w:bCs w:val="0"/>
          <w:strike/>
          <w:color w:val="auto"/>
          <w:highlight w:val="none"/>
        </w:rPr>
      </w:pPr>
      <w:r>
        <w:rPr>
          <w:rFonts w:ascii="宋体" w:hAnsi="宋体"/>
          <w:b w:val="0"/>
          <w:color w:val="auto"/>
          <w:sz w:val="32"/>
          <w:highlight w:val="none"/>
        </w:rPr>
        <w:br w:type="page"/>
      </w:r>
      <w:bookmarkStart w:id="37" w:name="_Toc8400"/>
      <w:r>
        <w:rPr>
          <w:rFonts w:hint="eastAsia" w:ascii="宋体" w:hAnsi="宋体"/>
          <w:strike/>
          <w:color w:val="auto"/>
          <w:sz w:val="21"/>
          <w:szCs w:val="21"/>
          <w:highlight w:val="none"/>
        </w:rPr>
        <w:t>附件10 投票表格</w:t>
      </w:r>
      <w:bookmarkEnd w:id="37"/>
    </w:p>
    <w:p w14:paraId="2C0C208F">
      <w:pPr>
        <w:pStyle w:val="15"/>
        <w:jc w:val="center"/>
        <w:rPr>
          <w:rFonts w:hint="eastAsia" w:hAnsi="宋体"/>
          <w:b/>
          <w:strike/>
          <w:color w:val="auto"/>
          <w:sz w:val="32"/>
          <w:highlight w:val="none"/>
        </w:rPr>
      </w:pPr>
      <w:r>
        <w:rPr>
          <w:rFonts w:hint="eastAsia" w:hAnsi="宋体"/>
          <w:b/>
          <w:strike/>
          <w:color w:val="auto"/>
          <w:sz w:val="32"/>
          <w:highlight w:val="none"/>
        </w:rPr>
        <w:t>投票表格</w:t>
      </w:r>
    </w:p>
    <w:p w14:paraId="25F867BF">
      <w:pPr>
        <w:rPr>
          <w:rFonts w:hint="eastAsia" w:ascii="宋体" w:hAnsi="宋体"/>
          <w:strike/>
          <w:color w:val="auto"/>
          <w:sz w:val="24"/>
          <w:highlight w:val="none"/>
        </w:rPr>
      </w:pPr>
    </w:p>
    <w:p w14:paraId="5AF69EC4">
      <w:pPr>
        <w:spacing w:line="360" w:lineRule="auto"/>
        <w:rPr>
          <w:rFonts w:hint="eastAsia" w:ascii="宋体" w:hAnsi="宋体"/>
          <w:strike/>
          <w:color w:val="auto"/>
          <w:sz w:val="24"/>
          <w:highlight w:val="none"/>
        </w:rPr>
      </w:pPr>
      <w:r>
        <w:rPr>
          <w:rFonts w:hint="eastAsia" w:ascii="宋体" w:hAnsi="宋体"/>
          <w:strike/>
          <w:color w:val="auto"/>
          <w:sz w:val="24"/>
          <w:highlight w:val="none"/>
        </w:rPr>
        <w:t>项目名称：</w:t>
      </w:r>
      <w:r>
        <w:rPr>
          <w:rFonts w:hint="eastAsia" w:ascii="宋体" w:hAnsi="宋体"/>
          <w:strike/>
          <w:color w:val="auto"/>
          <w:sz w:val="24"/>
          <w:highlight w:val="none"/>
          <w:u w:val="single"/>
        </w:rPr>
        <w:t xml:space="preserve">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530"/>
        <w:gridCol w:w="550"/>
        <w:gridCol w:w="612"/>
        <w:gridCol w:w="714"/>
        <w:gridCol w:w="600"/>
        <w:gridCol w:w="591"/>
        <w:gridCol w:w="559"/>
        <w:gridCol w:w="673"/>
        <w:gridCol w:w="707"/>
        <w:gridCol w:w="613"/>
        <w:gridCol w:w="598"/>
        <w:gridCol w:w="483"/>
      </w:tblGrid>
      <w:tr w14:paraId="77B5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60" w:type="pct"/>
            <w:tcBorders>
              <w:top w:val="double" w:color="auto" w:sz="4" w:space="0"/>
              <w:left w:val="double" w:color="auto" w:sz="4" w:space="0"/>
              <w:bottom w:val="double" w:color="auto" w:sz="4" w:space="0"/>
              <w:right w:val="single" w:color="auto" w:sz="4" w:space="0"/>
            </w:tcBorders>
            <w:noWrap w:val="0"/>
            <w:vAlign w:val="center"/>
          </w:tcPr>
          <w:p w14:paraId="2AE24EC8">
            <w:pPr>
              <w:spacing w:line="360" w:lineRule="auto"/>
              <w:jc w:val="center"/>
              <w:rPr>
                <w:rFonts w:ascii="宋体" w:hAnsi="宋体"/>
                <w:strike/>
                <w:color w:val="auto"/>
                <w:sz w:val="24"/>
                <w:highlight w:val="none"/>
              </w:rPr>
            </w:pPr>
            <w:r>
              <w:rPr>
                <w:rFonts w:hint="eastAsia" w:ascii="宋体" w:hAnsi="宋体"/>
                <w:strike/>
                <w:color w:val="auto"/>
                <w:sz w:val="24"/>
                <w:highlight w:val="none"/>
              </w:rPr>
              <w:t>第</w:t>
            </w:r>
            <w:r>
              <w:rPr>
                <w:rFonts w:ascii="宋体" w:hAnsi="宋体"/>
                <w:strike/>
                <w:color w:val="auto"/>
                <w:sz w:val="24"/>
                <w:highlight w:val="none"/>
              </w:rPr>
              <w:t xml:space="preserve">    </w:t>
            </w:r>
            <w:r>
              <w:rPr>
                <w:rFonts w:hint="eastAsia" w:ascii="宋体" w:hAnsi="宋体"/>
                <w:strike/>
                <w:color w:val="auto"/>
                <w:sz w:val="24"/>
                <w:highlight w:val="none"/>
              </w:rPr>
              <w:t>轮</w:t>
            </w:r>
          </w:p>
        </w:tc>
        <w:tc>
          <w:tcPr>
            <w:tcW w:w="310" w:type="pct"/>
            <w:tcBorders>
              <w:top w:val="double" w:color="auto" w:sz="4" w:space="0"/>
              <w:left w:val="single" w:color="auto" w:sz="4" w:space="0"/>
              <w:bottom w:val="double" w:color="auto" w:sz="4" w:space="0"/>
            </w:tcBorders>
            <w:noWrap w:val="0"/>
            <w:vAlign w:val="top"/>
          </w:tcPr>
          <w:p w14:paraId="03A84537">
            <w:pPr>
              <w:spacing w:line="360" w:lineRule="auto"/>
              <w:jc w:val="center"/>
              <w:rPr>
                <w:rFonts w:ascii="宋体" w:hAnsi="宋体"/>
                <w:strike/>
                <w:color w:val="auto"/>
                <w:sz w:val="24"/>
                <w:highlight w:val="none"/>
              </w:rPr>
            </w:pPr>
          </w:p>
        </w:tc>
        <w:tc>
          <w:tcPr>
            <w:tcW w:w="321" w:type="pct"/>
            <w:tcBorders>
              <w:top w:val="double" w:color="auto" w:sz="4" w:space="0"/>
              <w:left w:val="single" w:color="auto" w:sz="4" w:space="0"/>
              <w:bottom w:val="double" w:color="auto" w:sz="4" w:space="0"/>
            </w:tcBorders>
            <w:noWrap w:val="0"/>
            <w:vAlign w:val="top"/>
          </w:tcPr>
          <w:p w14:paraId="6F32FCE5">
            <w:pPr>
              <w:spacing w:line="360" w:lineRule="auto"/>
              <w:jc w:val="center"/>
              <w:rPr>
                <w:rFonts w:ascii="宋体" w:hAnsi="宋体"/>
                <w:strike/>
                <w:color w:val="auto"/>
                <w:sz w:val="24"/>
                <w:highlight w:val="none"/>
              </w:rPr>
            </w:pPr>
          </w:p>
        </w:tc>
        <w:tc>
          <w:tcPr>
            <w:tcW w:w="358" w:type="pct"/>
            <w:tcBorders>
              <w:top w:val="double" w:color="auto" w:sz="4" w:space="0"/>
              <w:left w:val="single" w:color="auto" w:sz="4" w:space="0"/>
              <w:bottom w:val="double" w:color="auto" w:sz="4" w:space="0"/>
            </w:tcBorders>
            <w:noWrap w:val="0"/>
            <w:vAlign w:val="top"/>
          </w:tcPr>
          <w:p w14:paraId="562EBD07">
            <w:pPr>
              <w:spacing w:line="360" w:lineRule="auto"/>
              <w:jc w:val="center"/>
              <w:rPr>
                <w:rFonts w:ascii="宋体" w:hAnsi="宋体"/>
                <w:strike/>
                <w:color w:val="auto"/>
                <w:sz w:val="24"/>
                <w:highlight w:val="none"/>
              </w:rPr>
            </w:pPr>
          </w:p>
        </w:tc>
        <w:tc>
          <w:tcPr>
            <w:tcW w:w="416" w:type="pct"/>
            <w:tcBorders>
              <w:top w:val="double" w:color="auto" w:sz="4" w:space="0"/>
              <w:left w:val="single" w:color="auto" w:sz="4" w:space="0"/>
              <w:bottom w:val="double" w:color="auto" w:sz="4" w:space="0"/>
            </w:tcBorders>
            <w:noWrap w:val="0"/>
            <w:vAlign w:val="top"/>
          </w:tcPr>
          <w:p w14:paraId="32DA7FFE">
            <w:pPr>
              <w:spacing w:line="360" w:lineRule="auto"/>
              <w:jc w:val="center"/>
              <w:rPr>
                <w:rFonts w:ascii="宋体" w:hAnsi="宋体"/>
                <w:strike/>
                <w:color w:val="auto"/>
                <w:sz w:val="24"/>
                <w:highlight w:val="none"/>
              </w:rPr>
            </w:pPr>
          </w:p>
        </w:tc>
        <w:tc>
          <w:tcPr>
            <w:tcW w:w="351" w:type="pct"/>
            <w:tcBorders>
              <w:top w:val="double" w:color="auto" w:sz="4" w:space="0"/>
              <w:left w:val="single" w:color="auto" w:sz="4" w:space="0"/>
              <w:bottom w:val="double" w:color="auto" w:sz="4" w:space="0"/>
            </w:tcBorders>
            <w:noWrap w:val="0"/>
            <w:vAlign w:val="top"/>
          </w:tcPr>
          <w:p w14:paraId="0A805352">
            <w:pPr>
              <w:spacing w:line="360" w:lineRule="auto"/>
              <w:jc w:val="center"/>
              <w:rPr>
                <w:rFonts w:ascii="宋体" w:hAnsi="宋体"/>
                <w:strike/>
                <w:color w:val="auto"/>
                <w:sz w:val="24"/>
                <w:highlight w:val="none"/>
              </w:rPr>
            </w:pPr>
          </w:p>
        </w:tc>
        <w:tc>
          <w:tcPr>
            <w:tcW w:w="345" w:type="pct"/>
            <w:tcBorders>
              <w:top w:val="double" w:color="auto" w:sz="4" w:space="0"/>
              <w:left w:val="single" w:color="auto" w:sz="4" w:space="0"/>
              <w:bottom w:val="double" w:color="auto" w:sz="4" w:space="0"/>
            </w:tcBorders>
            <w:noWrap w:val="0"/>
            <w:vAlign w:val="top"/>
          </w:tcPr>
          <w:p w14:paraId="30241552">
            <w:pPr>
              <w:spacing w:line="360" w:lineRule="auto"/>
              <w:jc w:val="center"/>
              <w:rPr>
                <w:rFonts w:ascii="宋体" w:hAnsi="宋体"/>
                <w:strike/>
                <w:color w:val="auto"/>
                <w:sz w:val="24"/>
                <w:highlight w:val="none"/>
              </w:rPr>
            </w:pPr>
          </w:p>
        </w:tc>
        <w:tc>
          <w:tcPr>
            <w:tcW w:w="327" w:type="pct"/>
            <w:tcBorders>
              <w:top w:val="double" w:color="auto" w:sz="4" w:space="0"/>
              <w:left w:val="single" w:color="auto" w:sz="4" w:space="0"/>
              <w:bottom w:val="double" w:color="auto" w:sz="4" w:space="0"/>
            </w:tcBorders>
            <w:noWrap w:val="0"/>
            <w:vAlign w:val="top"/>
          </w:tcPr>
          <w:p w14:paraId="6BB6B045">
            <w:pPr>
              <w:spacing w:line="360" w:lineRule="auto"/>
              <w:jc w:val="center"/>
              <w:rPr>
                <w:rFonts w:ascii="宋体" w:hAnsi="宋体"/>
                <w:strike/>
                <w:color w:val="auto"/>
                <w:sz w:val="24"/>
                <w:highlight w:val="none"/>
              </w:rPr>
            </w:pPr>
          </w:p>
        </w:tc>
        <w:tc>
          <w:tcPr>
            <w:tcW w:w="393" w:type="pct"/>
            <w:tcBorders>
              <w:top w:val="double" w:color="auto" w:sz="4" w:space="0"/>
              <w:left w:val="single" w:color="auto" w:sz="4" w:space="0"/>
              <w:bottom w:val="double" w:color="auto" w:sz="4" w:space="0"/>
            </w:tcBorders>
            <w:noWrap w:val="0"/>
            <w:vAlign w:val="top"/>
          </w:tcPr>
          <w:p w14:paraId="00041FA4">
            <w:pPr>
              <w:spacing w:line="360" w:lineRule="auto"/>
              <w:jc w:val="center"/>
              <w:rPr>
                <w:rFonts w:ascii="宋体" w:hAnsi="宋体"/>
                <w:strike/>
                <w:color w:val="auto"/>
                <w:sz w:val="24"/>
                <w:highlight w:val="none"/>
              </w:rPr>
            </w:pPr>
          </w:p>
        </w:tc>
        <w:tc>
          <w:tcPr>
            <w:tcW w:w="414" w:type="pct"/>
            <w:tcBorders>
              <w:top w:val="double" w:color="auto" w:sz="4" w:space="0"/>
              <w:left w:val="single" w:color="auto" w:sz="4" w:space="0"/>
              <w:bottom w:val="double" w:color="auto" w:sz="4" w:space="0"/>
            </w:tcBorders>
            <w:noWrap w:val="0"/>
            <w:vAlign w:val="top"/>
          </w:tcPr>
          <w:p w14:paraId="307E642B">
            <w:pPr>
              <w:spacing w:line="360" w:lineRule="auto"/>
              <w:jc w:val="center"/>
              <w:rPr>
                <w:rFonts w:ascii="宋体" w:hAnsi="宋体"/>
                <w:strike/>
                <w:color w:val="auto"/>
                <w:sz w:val="24"/>
                <w:highlight w:val="none"/>
              </w:rPr>
            </w:pPr>
          </w:p>
        </w:tc>
        <w:tc>
          <w:tcPr>
            <w:tcW w:w="358" w:type="pct"/>
            <w:tcBorders>
              <w:top w:val="double" w:color="auto" w:sz="4" w:space="0"/>
              <w:left w:val="single" w:color="auto" w:sz="4" w:space="0"/>
              <w:bottom w:val="double" w:color="auto" w:sz="4" w:space="0"/>
            </w:tcBorders>
            <w:noWrap w:val="0"/>
            <w:vAlign w:val="top"/>
          </w:tcPr>
          <w:p w14:paraId="06AF16AE">
            <w:pPr>
              <w:spacing w:line="360" w:lineRule="auto"/>
              <w:jc w:val="center"/>
              <w:rPr>
                <w:rFonts w:ascii="宋体" w:hAnsi="宋体"/>
                <w:strike/>
                <w:color w:val="auto"/>
                <w:sz w:val="24"/>
                <w:highlight w:val="none"/>
              </w:rPr>
            </w:pPr>
          </w:p>
        </w:tc>
        <w:tc>
          <w:tcPr>
            <w:tcW w:w="350" w:type="pct"/>
            <w:tcBorders>
              <w:top w:val="double" w:color="auto" w:sz="4" w:space="0"/>
              <w:left w:val="single" w:color="auto" w:sz="4" w:space="0"/>
              <w:bottom w:val="double" w:color="auto" w:sz="4" w:space="0"/>
            </w:tcBorders>
            <w:noWrap w:val="0"/>
            <w:vAlign w:val="top"/>
          </w:tcPr>
          <w:p w14:paraId="66C1B479">
            <w:pPr>
              <w:spacing w:line="360" w:lineRule="auto"/>
              <w:jc w:val="center"/>
              <w:rPr>
                <w:rFonts w:ascii="宋体" w:hAnsi="宋体"/>
                <w:strike/>
                <w:color w:val="auto"/>
                <w:sz w:val="24"/>
                <w:highlight w:val="none"/>
              </w:rPr>
            </w:pPr>
          </w:p>
        </w:tc>
        <w:tc>
          <w:tcPr>
            <w:tcW w:w="282" w:type="pct"/>
            <w:tcBorders>
              <w:top w:val="double" w:color="auto" w:sz="4" w:space="0"/>
              <w:left w:val="single" w:color="auto" w:sz="4" w:space="0"/>
              <w:bottom w:val="double" w:color="auto" w:sz="4" w:space="0"/>
            </w:tcBorders>
            <w:noWrap w:val="0"/>
            <w:vAlign w:val="top"/>
          </w:tcPr>
          <w:p w14:paraId="7AC09A63">
            <w:pPr>
              <w:spacing w:line="360" w:lineRule="auto"/>
              <w:jc w:val="center"/>
              <w:rPr>
                <w:rFonts w:ascii="宋体" w:hAnsi="宋体"/>
                <w:strike/>
                <w:color w:val="auto"/>
                <w:sz w:val="24"/>
                <w:highlight w:val="none"/>
              </w:rPr>
            </w:pPr>
          </w:p>
        </w:tc>
      </w:tr>
      <w:tr w14:paraId="017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60" w:type="pct"/>
            <w:tcBorders>
              <w:top w:val="double" w:color="auto" w:sz="4" w:space="0"/>
              <w:left w:val="double" w:color="auto" w:sz="4" w:space="0"/>
              <w:bottom w:val="double" w:color="auto" w:sz="4" w:space="0"/>
              <w:right w:val="single" w:color="auto" w:sz="4" w:space="0"/>
            </w:tcBorders>
            <w:noWrap w:val="0"/>
            <w:vAlign w:val="center"/>
          </w:tcPr>
          <w:p w14:paraId="460521EF">
            <w:pPr>
              <w:spacing w:line="360" w:lineRule="auto"/>
              <w:jc w:val="center"/>
              <w:rPr>
                <w:rFonts w:ascii="宋体" w:hAnsi="宋体"/>
                <w:strike/>
                <w:color w:val="auto"/>
                <w:sz w:val="24"/>
                <w:highlight w:val="none"/>
              </w:rPr>
            </w:pPr>
            <w:r>
              <w:rPr>
                <w:rFonts w:hint="eastAsia" w:ascii="宋体" w:hAnsi="宋体"/>
                <w:strike/>
                <w:color w:val="auto"/>
                <w:sz w:val="24"/>
                <w:highlight w:val="none"/>
              </w:rPr>
              <w:t>第</w:t>
            </w:r>
            <w:r>
              <w:rPr>
                <w:rFonts w:ascii="宋体" w:hAnsi="宋体"/>
                <w:strike/>
                <w:color w:val="auto"/>
                <w:sz w:val="24"/>
                <w:highlight w:val="none"/>
              </w:rPr>
              <w:t xml:space="preserve">    </w:t>
            </w:r>
            <w:r>
              <w:rPr>
                <w:rFonts w:hint="eastAsia" w:ascii="宋体" w:hAnsi="宋体"/>
                <w:strike/>
                <w:color w:val="auto"/>
                <w:sz w:val="24"/>
                <w:highlight w:val="none"/>
              </w:rPr>
              <w:t>轮</w:t>
            </w:r>
          </w:p>
        </w:tc>
        <w:tc>
          <w:tcPr>
            <w:tcW w:w="632" w:type="pct"/>
            <w:gridSpan w:val="2"/>
            <w:tcBorders>
              <w:top w:val="double" w:color="auto" w:sz="4" w:space="0"/>
              <w:left w:val="single" w:color="auto" w:sz="4" w:space="0"/>
              <w:bottom w:val="double" w:color="auto" w:sz="4" w:space="0"/>
            </w:tcBorders>
            <w:noWrap w:val="0"/>
            <w:vAlign w:val="top"/>
          </w:tcPr>
          <w:p w14:paraId="49FD3E51">
            <w:pPr>
              <w:spacing w:line="360" w:lineRule="auto"/>
              <w:jc w:val="center"/>
              <w:rPr>
                <w:rFonts w:ascii="宋体" w:hAnsi="宋体"/>
                <w:strike/>
                <w:color w:val="auto"/>
                <w:sz w:val="24"/>
                <w:highlight w:val="none"/>
              </w:rPr>
            </w:pPr>
          </w:p>
        </w:tc>
        <w:tc>
          <w:tcPr>
            <w:tcW w:w="775" w:type="pct"/>
            <w:gridSpan w:val="2"/>
            <w:tcBorders>
              <w:top w:val="double" w:color="auto" w:sz="4" w:space="0"/>
              <w:left w:val="single" w:color="auto" w:sz="4" w:space="0"/>
              <w:bottom w:val="double" w:color="auto" w:sz="4" w:space="0"/>
            </w:tcBorders>
            <w:noWrap w:val="0"/>
            <w:vAlign w:val="top"/>
          </w:tcPr>
          <w:p w14:paraId="70BF77B8">
            <w:pPr>
              <w:spacing w:line="360" w:lineRule="auto"/>
              <w:jc w:val="center"/>
              <w:rPr>
                <w:rFonts w:ascii="宋体" w:hAnsi="宋体"/>
                <w:strike/>
                <w:color w:val="auto"/>
                <w:sz w:val="24"/>
                <w:highlight w:val="none"/>
              </w:rPr>
            </w:pPr>
          </w:p>
        </w:tc>
        <w:tc>
          <w:tcPr>
            <w:tcW w:w="697" w:type="pct"/>
            <w:gridSpan w:val="2"/>
            <w:tcBorders>
              <w:top w:val="double" w:color="auto" w:sz="4" w:space="0"/>
              <w:left w:val="single" w:color="auto" w:sz="4" w:space="0"/>
              <w:bottom w:val="double" w:color="auto" w:sz="4" w:space="0"/>
            </w:tcBorders>
            <w:noWrap w:val="0"/>
            <w:vAlign w:val="top"/>
          </w:tcPr>
          <w:p w14:paraId="2A6C0DC4">
            <w:pPr>
              <w:spacing w:line="360" w:lineRule="auto"/>
              <w:jc w:val="center"/>
              <w:rPr>
                <w:rFonts w:ascii="宋体" w:hAnsi="宋体"/>
                <w:strike/>
                <w:color w:val="auto"/>
                <w:sz w:val="24"/>
                <w:highlight w:val="none"/>
              </w:rPr>
            </w:pPr>
          </w:p>
        </w:tc>
        <w:tc>
          <w:tcPr>
            <w:tcW w:w="721" w:type="pct"/>
            <w:gridSpan w:val="2"/>
            <w:tcBorders>
              <w:top w:val="double" w:color="auto" w:sz="4" w:space="0"/>
              <w:left w:val="single" w:color="auto" w:sz="4" w:space="0"/>
              <w:bottom w:val="double" w:color="auto" w:sz="4" w:space="0"/>
            </w:tcBorders>
            <w:noWrap w:val="0"/>
            <w:vAlign w:val="top"/>
          </w:tcPr>
          <w:p w14:paraId="7865D379">
            <w:pPr>
              <w:spacing w:line="360" w:lineRule="auto"/>
              <w:jc w:val="center"/>
              <w:rPr>
                <w:rFonts w:ascii="宋体" w:hAnsi="宋体"/>
                <w:strike/>
                <w:color w:val="auto"/>
                <w:sz w:val="24"/>
                <w:highlight w:val="none"/>
              </w:rPr>
            </w:pPr>
          </w:p>
        </w:tc>
        <w:tc>
          <w:tcPr>
            <w:tcW w:w="773" w:type="pct"/>
            <w:gridSpan w:val="2"/>
            <w:tcBorders>
              <w:top w:val="double" w:color="auto" w:sz="4" w:space="0"/>
              <w:left w:val="single" w:color="auto" w:sz="4" w:space="0"/>
              <w:bottom w:val="double" w:color="auto" w:sz="4" w:space="0"/>
            </w:tcBorders>
            <w:noWrap w:val="0"/>
            <w:vAlign w:val="top"/>
          </w:tcPr>
          <w:p w14:paraId="1CD928FB">
            <w:pPr>
              <w:spacing w:line="360" w:lineRule="auto"/>
              <w:jc w:val="center"/>
              <w:rPr>
                <w:rFonts w:ascii="宋体" w:hAnsi="宋体"/>
                <w:strike/>
                <w:color w:val="auto"/>
                <w:sz w:val="24"/>
                <w:highlight w:val="none"/>
              </w:rPr>
            </w:pPr>
          </w:p>
        </w:tc>
        <w:tc>
          <w:tcPr>
            <w:tcW w:w="633" w:type="pct"/>
            <w:gridSpan w:val="2"/>
            <w:tcBorders>
              <w:top w:val="double" w:color="auto" w:sz="4" w:space="0"/>
              <w:left w:val="single" w:color="auto" w:sz="4" w:space="0"/>
              <w:bottom w:val="double" w:color="auto" w:sz="4" w:space="0"/>
            </w:tcBorders>
            <w:noWrap w:val="0"/>
            <w:vAlign w:val="top"/>
          </w:tcPr>
          <w:p w14:paraId="67C58338">
            <w:pPr>
              <w:spacing w:line="360" w:lineRule="auto"/>
              <w:jc w:val="center"/>
              <w:rPr>
                <w:rFonts w:ascii="宋体" w:hAnsi="宋体"/>
                <w:strike/>
                <w:color w:val="auto"/>
                <w:sz w:val="24"/>
                <w:highlight w:val="none"/>
              </w:rPr>
            </w:pPr>
          </w:p>
        </w:tc>
      </w:tr>
      <w:tr w14:paraId="76E0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60" w:type="pct"/>
            <w:tcBorders>
              <w:top w:val="double" w:color="auto" w:sz="4" w:space="0"/>
              <w:left w:val="double" w:color="auto" w:sz="4" w:space="0"/>
              <w:bottom w:val="double" w:color="auto" w:sz="4" w:space="0"/>
              <w:right w:val="single" w:color="auto" w:sz="4" w:space="0"/>
            </w:tcBorders>
            <w:noWrap w:val="0"/>
            <w:vAlign w:val="center"/>
          </w:tcPr>
          <w:p w14:paraId="035639FE">
            <w:pPr>
              <w:spacing w:line="360" w:lineRule="auto"/>
              <w:jc w:val="center"/>
              <w:rPr>
                <w:rFonts w:ascii="宋体" w:hAnsi="宋体"/>
                <w:strike/>
                <w:color w:val="auto"/>
                <w:sz w:val="24"/>
                <w:highlight w:val="none"/>
              </w:rPr>
            </w:pPr>
            <w:r>
              <w:rPr>
                <w:rFonts w:hint="eastAsia" w:ascii="宋体" w:hAnsi="宋体"/>
                <w:strike/>
                <w:color w:val="auto"/>
                <w:sz w:val="24"/>
                <w:highlight w:val="none"/>
              </w:rPr>
              <w:t>第</w:t>
            </w:r>
            <w:r>
              <w:rPr>
                <w:rFonts w:ascii="宋体" w:hAnsi="宋体"/>
                <w:strike/>
                <w:color w:val="auto"/>
                <w:sz w:val="24"/>
                <w:highlight w:val="none"/>
              </w:rPr>
              <w:t xml:space="preserve">    </w:t>
            </w:r>
            <w:r>
              <w:rPr>
                <w:rFonts w:hint="eastAsia" w:ascii="宋体" w:hAnsi="宋体"/>
                <w:strike/>
                <w:color w:val="auto"/>
                <w:sz w:val="24"/>
                <w:highlight w:val="none"/>
              </w:rPr>
              <w:t>轮</w:t>
            </w:r>
          </w:p>
        </w:tc>
        <w:tc>
          <w:tcPr>
            <w:tcW w:w="1408" w:type="pct"/>
            <w:gridSpan w:val="4"/>
            <w:tcBorders>
              <w:top w:val="double" w:color="auto" w:sz="4" w:space="0"/>
              <w:left w:val="single" w:color="auto" w:sz="4" w:space="0"/>
              <w:bottom w:val="double" w:color="auto" w:sz="4" w:space="0"/>
            </w:tcBorders>
            <w:noWrap w:val="0"/>
            <w:vAlign w:val="top"/>
          </w:tcPr>
          <w:p w14:paraId="364ECD4E">
            <w:pPr>
              <w:spacing w:line="360" w:lineRule="auto"/>
              <w:jc w:val="center"/>
              <w:rPr>
                <w:rFonts w:ascii="宋体" w:hAnsi="宋体"/>
                <w:strike/>
                <w:color w:val="auto"/>
                <w:sz w:val="24"/>
                <w:highlight w:val="none"/>
              </w:rPr>
            </w:pPr>
          </w:p>
        </w:tc>
        <w:tc>
          <w:tcPr>
            <w:tcW w:w="1418" w:type="pct"/>
            <w:gridSpan w:val="4"/>
            <w:tcBorders>
              <w:top w:val="double" w:color="auto" w:sz="4" w:space="0"/>
              <w:left w:val="single" w:color="auto" w:sz="4" w:space="0"/>
              <w:bottom w:val="double" w:color="auto" w:sz="4" w:space="0"/>
            </w:tcBorders>
            <w:noWrap w:val="0"/>
            <w:vAlign w:val="top"/>
          </w:tcPr>
          <w:p w14:paraId="607D17D0">
            <w:pPr>
              <w:spacing w:line="360" w:lineRule="auto"/>
              <w:jc w:val="center"/>
              <w:rPr>
                <w:rFonts w:ascii="宋体" w:hAnsi="宋体"/>
                <w:strike/>
                <w:color w:val="auto"/>
                <w:sz w:val="24"/>
                <w:highlight w:val="none"/>
              </w:rPr>
            </w:pPr>
          </w:p>
        </w:tc>
        <w:tc>
          <w:tcPr>
            <w:tcW w:w="1406" w:type="pct"/>
            <w:gridSpan w:val="4"/>
            <w:tcBorders>
              <w:top w:val="double" w:color="auto" w:sz="4" w:space="0"/>
              <w:left w:val="single" w:color="auto" w:sz="4" w:space="0"/>
              <w:bottom w:val="double" w:color="auto" w:sz="4" w:space="0"/>
            </w:tcBorders>
            <w:noWrap w:val="0"/>
            <w:vAlign w:val="top"/>
          </w:tcPr>
          <w:p w14:paraId="61577EAE">
            <w:pPr>
              <w:spacing w:line="360" w:lineRule="auto"/>
              <w:jc w:val="center"/>
              <w:rPr>
                <w:rFonts w:ascii="宋体" w:hAnsi="宋体"/>
                <w:strike/>
                <w:color w:val="auto"/>
                <w:sz w:val="24"/>
                <w:highlight w:val="none"/>
              </w:rPr>
            </w:pPr>
          </w:p>
        </w:tc>
      </w:tr>
    </w:tbl>
    <w:p w14:paraId="345ADC52">
      <w:pPr>
        <w:spacing w:line="360" w:lineRule="auto"/>
        <w:rPr>
          <w:rFonts w:ascii="宋体" w:hAnsi="宋体"/>
          <w:strike/>
          <w:color w:val="auto"/>
          <w:sz w:val="24"/>
          <w:highlight w:val="none"/>
        </w:rPr>
      </w:pPr>
      <w:r>
        <w:rPr>
          <w:rFonts w:hint="eastAsia" w:ascii="宋体" w:hAnsi="宋体"/>
          <w:strike/>
          <w:color w:val="auto"/>
          <w:sz w:val="24"/>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color w:val="auto"/>
          <w:sz w:val="24"/>
          <w:highlight w:val="none"/>
        </w:rPr>
        <w:t>以得票多的方案当选为</w:t>
      </w:r>
      <w:r>
        <w:rPr>
          <w:rFonts w:hint="eastAsia" w:ascii="宋体" w:hAnsi="宋体"/>
          <w:strike/>
          <w:color w:val="auto"/>
          <w:sz w:val="24"/>
          <w:highlight w:val="none"/>
        </w:rPr>
        <w:t>下一轮投票的候选方案</w:t>
      </w:r>
      <w:r>
        <w:rPr>
          <w:rFonts w:hint="eastAsia" w:ascii="宋体" w:hAnsi="宋体" w:cs="Arial"/>
          <w:strike/>
          <w:color w:val="auto"/>
          <w:sz w:val="24"/>
          <w:highlight w:val="none"/>
        </w:rPr>
        <w:t>。</w:t>
      </w:r>
      <w:r>
        <w:rPr>
          <w:rFonts w:hint="eastAsia" w:ascii="宋体" w:hAnsi="宋体"/>
          <w:strike/>
          <w:color w:val="auto"/>
          <w:sz w:val="24"/>
          <w:highlight w:val="none"/>
        </w:rPr>
        <w:t>不能进入下一轮的方案，根据本轮得票数量确定名次。</w:t>
      </w:r>
      <w:r>
        <w:rPr>
          <w:rFonts w:hint="eastAsia" w:ascii="宋体" w:hAnsi="宋体" w:cs="Arial"/>
          <w:strike/>
          <w:color w:val="auto"/>
          <w:sz w:val="24"/>
          <w:highlight w:val="none"/>
        </w:rPr>
        <w:t>遇票数相等不能确定入选下一轮的投标方案时，</w:t>
      </w:r>
      <w:r>
        <w:rPr>
          <w:rFonts w:hint="eastAsia"/>
          <w:strike/>
          <w:color w:val="auto"/>
          <w:sz w:val="24"/>
          <w:highlight w:val="none"/>
        </w:rPr>
        <w:t>应进行附加投票，以确定名次。</w:t>
      </w:r>
      <w:r>
        <w:rPr>
          <w:rFonts w:hint="eastAsia" w:ascii="宋体" w:hAnsi="宋体" w:cs="宋体"/>
          <w:strike/>
          <w:color w:val="auto"/>
          <w:sz w:val="24"/>
          <w:highlight w:val="none"/>
        </w:rPr>
        <w:t>若投标人数为</w:t>
      </w:r>
      <w:r>
        <w:rPr>
          <w:rFonts w:hint="eastAsia" w:ascii="宋体" w:hAnsi="宋体"/>
          <w:strike/>
          <w:color w:val="auto"/>
          <w:sz w:val="24"/>
          <w:highlight w:val="none"/>
        </w:rPr>
        <w:t>9人或以上，第一轮投票从第1行空格开始；若投标人数为5至8人，第一轮投票从上表第2行空格开始；若投标人数为3至4人，第一轮投票从上表第3行空格开始。每轮正式投票允许选择投标方案总数如下：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D94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2F007248">
            <w:pPr>
              <w:spacing w:line="360" w:lineRule="auto"/>
              <w:rPr>
                <w:rFonts w:hint="eastAsia" w:ascii="宋体" w:hAnsi="宋体"/>
                <w:strike/>
                <w:color w:val="auto"/>
                <w:sz w:val="24"/>
                <w:highlight w:val="none"/>
              </w:rPr>
            </w:pPr>
          </w:p>
        </w:tc>
        <w:tc>
          <w:tcPr>
            <w:tcW w:w="6120" w:type="dxa"/>
            <w:gridSpan w:val="3"/>
            <w:noWrap w:val="0"/>
            <w:vAlign w:val="top"/>
          </w:tcPr>
          <w:p w14:paraId="2E0835CF">
            <w:pPr>
              <w:spacing w:line="360" w:lineRule="auto"/>
              <w:jc w:val="center"/>
              <w:rPr>
                <w:rFonts w:hint="eastAsia" w:ascii="宋体" w:hAnsi="宋体"/>
                <w:strike/>
                <w:color w:val="auto"/>
                <w:sz w:val="24"/>
                <w:highlight w:val="none"/>
              </w:rPr>
            </w:pPr>
            <w:r>
              <w:rPr>
                <w:rFonts w:hint="eastAsia" w:ascii="宋体" w:hAnsi="宋体" w:cs="宋体"/>
                <w:strike/>
                <w:color w:val="auto"/>
                <w:sz w:val="24"/>
                <w:highlight w:val="none"/>
              </w:rPr>
              <w:t>每轮正式投票允许选择总数</w:t>
            </w:r>
          </w:p>
        </w:tc>
      </w:tr>
      <w:tr w14:paraId="7D27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6887A452">
            <w:pPr>
              <w:spacing w:line="360" w:lineRule="auto"/>
              <w:rPr>
                <w:rFonts w:hint="eastAsia" w:ascii="宋体" w:hAnsi="宋体"/>
                <w:strike/>
                <w:color w:val="auto"/>
                <w:sz w:val="24"/>
                <w:highlight w:val="none"/>
              </w:rPr>
            </w:pPr>
            <w:r>
              <w:rPr>
                <w:rFonts w:hint="eastAsia" w:ascii="宋体" w:hAnsi="宋体" w:cs="宋体"/>
                <w:strike/>
                <w:color w:val="auto"/>
                <w:sz w:val="24"/>
                <w:highlight w:val="none"/>
              </w:rPr>
              <w:t>投标人数</w:t>
            </w:r>
          </w:p>
        </w:tc>
        <w:tc>
          <w:tcPr>
            <w:tcW w:w="1980" w:type="dxa"/>
            <w:noWrap w:val="0"/>
            <w:vAlign w:val="top"/>
          </w:tcPr>
          <w:p w14:paraId="46889830">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3至4</w:t>
            </w:r>
          </w:p>
        </w:tc>
        <w:tc>
          <w:tcPr>
            <w:tcW w:w="1980" w:type="dxa"/>
            <w:noWrap w:val="0"/>
            <w:vAlign w:val="top"/>
          </w:tcPr>
          <w:p w14:paraId="1F085FB1">
            <w:pPr>
              <w:spacing w:line="360" w:lineRule="auto"/>
              <w:jc w:val="center"/>
              <w:rPr>
                <w:rFonts w:ascii="宋体" w:hAnsi="宋体"/>
                <w:strike/>
                <w:color w:val="auto"/>
                <w:sz w:val="24"/>
                <w:highlight w:val="none"/>
              </w:rPr>
            </w:pPr>
            <w:r>
              <w:rPr>
                <w:rFonts w:hint="eastAsia" w:ascii="宋体" w:hAnsi="宋体"/>
                <w:strike/>
                <w:color w:val="auto"/>
                <w:sz w:val="24"/>
                <w:highlight w:val="none"/>
              </w:rPr>
              <w:t>5至8</w:t>
            </w:r>
          </w:p>
        </w:tc>
        <w:tc>
          <w:tcPr>
            <w:tcW w:w="2160" w:type="dxa"/>
            <w:noWrap w:val="0"/>
            <w:vAlign w:val="top"/>
          </w:tcPr>
          <w:p w14:paraId="55F45AEC">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9人或以上</w:t>
            </w:r>
          </w:p>
        </w:tc>
      </w:tr>
      <w:tr w14:paraId="728A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0362F669">
            <w:pPr>
              <w:spacing w:line="360" w:lineRule="auto"/>
              <w:rPr>
                <w:rFonts w:hint="eastAsia" w:ascii="宋体" w:hAnsi="宋体"/>
                <w:strike/>
                <w:color w:val="auto"/>
                <w:sz w:val="24"/>
                <w:highlight w:val="none"/>
              </w:rPr>
            </w:pPr>
            <w:r>
              <w:rPr>
                <w:rFonts w:hint="eastAsia" w:ascii="宋体" w:hAnsi="宋体" w:cs="宋体"/>
                <w:strike/>
                <w:color w:val="auto"/>
                <w:sz w:val="24"/>
                <w:highlight w:val="none"/>
              </w:rPr>
              <w:t>第</w:t>
            </w:r>
            <w:r>
              <w:rPr>
                <w:rFonts w:hint="eastAsia" w:ascii="宋体" w:hAnsi="宋体"/>
                <w:strike/>
                <w:color w:val="auto"/>
                <w:sz w:val="24"/>
                <w:highlight w:val="none"/>
              </w:rPr>
              <w:t>1轮</w:t>
            </w:r>
          </w:p>
        </w:tc>
        <w:tc>
          <w:tcPr>
            <w:tcW w:w="1980" w:type="dxa"/>
            <w:noWrap w:val="0"/>
            <w:vAlign w:val="top"/>
          </w:tcPr>
          <w:p w14:paraId="45475109">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2</w:t>
            </w:r>
          </w:p>
        </w:tc>
        <w:tc>
          <w:tcPr>
            <w:tcW w:w="1980" w:type="dxa"/>
            <w:noWrap w:val="0"/>
            <w:vAlign w:val="top"/>
          </w:tcPr>
          <w:p w14:paraId="2EBE1988">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4</w:t>
            </w:r>
          </w:p>
        </w:tc>
        <w:tc>
          <w:tcPr>
            <w:tcW w:w="2160" w:type="dxa"/>
            <w:noWrap w:val="0"/>
            <w:vAlign w:val="top"/>
          </w:tcPr>
          <w:p w14:paraId="45987093">
            <w:pPr>
              <w:spacing w:line="360" w:lineRule="auto"/>
              <w:jc w:val="center"/>
              <w:rPr>
                <w:rFonts w:ascii="宋体" w:hAnsi="宋体"/>
                <w:strike/>
                <w:color w:val="auto"/>
                <w:sz w:val="24"/>
                <w:highlight w:val="none"/>
              </w:rPr>
            </w:pPr>
            <w:r>
              <w:rPr>
                <w:rFonts w:hint="eastAsia" w:ascii="宋体" w:hAnsi="宋体"/>
                <w:strike/>
                <w:color w:val="auto"/>
                <w:sz w:val="24"/>
                <w:highlight w:val="none"/>
              </w:rPr>
              <w:t>8</w:t>
            </w:r>
          </w:p>
        </w:tc>
      </w:tr>
      <w:tr w14:paraId="1393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756FFF34">
            <w:pPr>
              <w:spacing w:line="360" w:lineRule="auto"/>
              <w:rPr>
                <w:rFonts w:hint="eastAsia" w:ascii="宋体" w:hAnsi="宋体"/>
                <w:strike/>
                <w:color w:val="auto"/>
                <w:sz w:val="24"/>
                <w:highlight w:val="none"/>
              </w:rPr>
            </w:pPr>
            <w:r>
              <w:rPr>
                <w:rFonts w:hint="eastAsia" w:ascii="宋体" w:hAnsi="宋体" w:cs="宋体"/>
                <w:strike/>
                <w:color w:val="auto"/>
                <w:sz w:val="24"/>
                <w:highlight w:val="none"/>
              </w:rPr>
              <w:t>第</w:t>
            </w:r>
            <w:r>
              <w:rPr>
                <w:rFonts w:hint="eastAsia" w:ascii="宋体" w:hAnsi="宋体"/>
                <w:strike/>
                <w:color w:val="auto"/>
                <w:sz w:val="24"/>
                <w:highlight w:val="none"/>
              </w:rPr>
              <w:t>2轮</w:t>
            </w:r>
          </w:p>
        </w:tc>
        <w:tc>
          <w:tcPr>
            <w:tcW w:w="1980" w:type="dxa"/>
            <w:noWrap w:val="0"/>
            <w:vAlign w:val="top"/>
          </w:tcPr>
          <w:p w14:paraId="73B2624A">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1</w:t>
            </w:r>
          </w:p>
        </w:tc>
        <w:tc>
          <w:tcPr>
            <w:tcW w:w="1980" w:type="dxa"/>
            <w:noWrap w:val="0"/>
            <w:vAlign w:val="top"/>
          </w:tcPr>
          <w:p w14:paraId="210F549A">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2</w:t>
            </w:r>
          </w:p>
        </w:tc>
        <w:tc>
          <w:tcPr>
            <w:tcW w:w="2160" w:type="dxa"/>
            <w:noWrap w:val="0"/>
            <w:vAlign w:val="top"/>
          </w:tcPr>
          <w:p w14:paraId="303F285B">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4</w:t>
            </w:r>
          </w:p>
        </w:tc>
      </w:tr>
      <w:tr w14:paraId="0AC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376E7282">
            <w:pPr>
              <w:spacing w:line="360" w:lineRule="auto"/>
              <w:rPr>
                <w:rFonts w:hint="eastAsia" w:ascii="宋体" w:hAnsi="宋体"/>
                <w:strike/>
                <w:color w:val="auto"/>
                <w:sz w:val="24"/>
                <w:highlight w:val="none"/>
              </w:rPr>
            </w:pPr>
            <w:r>
              <w:rPr>
                <w:rFonts w:hint="eastAsia" w:ascii="宋体" w:hAnsi="宋体" w:cs="宋体"/>
                <w:strike/>
                <w:color w:val="auto"/>
                <w:sz w:val="24"/>
                <w:highlight w:val="none"/>
              </w:rPr>
              <w:t>第</w:t>
            </w:r>
            <w:r>
              <w:rPr>
                <w:rFonts w:hint="eastAsia" w:ascii="宋体" w:hAnsi="宋体"/>
                <w:strike/>
                <w:color w:val="auto"/>
                <w:sz w:val="24"/>
                <w:highlight w:val="none"/>
              </w:rPr>
              <w:t>3轮</w:t>
            </w:r>
          </w:p>
        </w:tc>
        <w:tc>
          <w:tcPr>
            <w:tcW w:w="1980" w:type="dxa"/>
            <w:noWrap w:val="0"/>
            <w:vAlign w:val="top"/>
          </w:tcPr>
          <w:p w14:paraId="63F72DB3">
            <w:pPr>
              <w:spacing w:line="360" w:lineRule="auto"/>
              <w:jc w:val="center"/>
              <w:rPr>
                <w:rFonts w:hint="eastAsia" w:ascii="宋体" w:hAnsi="宋体"/>
                <w:strike/>
                <w:color w:val="auto"/>
                <w:sz w:val="24"/>
                <w:highlight w:val="none"/>
              </w:rPr>
            </w:pPr>
          </w:p>
        </w:tc>
        <w:tc>
          <w:tcPr>
            <w:tcW w:w="1980" w:type="dxa"/>
            <w:noWrap w:val="0"/>
            <w:vAlign w:val="top"/>
          </w:tcPr>
          <w:p w14:paraId="6538A717">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1</w:t>
            </w:r>
          </w:p>
        </w:tc>
        <w:tc>
          <w:tcPr>
            <w:tcW w:w="2160" w:type="dxa"/>
            <w:noWrap w:val="0"/>
            <w:vAlign w:val="top"/>
          </w:tcPr>
          <w:p w14:paraId="4B4742C2">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2</w:t>
            </w:r>
          </w:p>
        </w:tc>
      </w:tr>
      <w:tr w14:paraId="1459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043DCD01">
            <w:pPr>
              <w:spacing w:line="360" w:lineRule="auto"/>
              <w:rPr>
                <w:rFonts w:hint="eastAsia" w:ascii="宋体" w:hAnsi="宋体"/>
                <w:strike/>
                <w:color w:val="auto"/>
                <w:sz w:val="24"/>
                <w:highlight w:val="none"/>
              </w:rPr>
            </w:pPr>
            <w:r>
              <w:rPr>
                <w:rFonts w:hint="eastAsia" w:ascii="宋体" w:hAnsi="宋体" w:cs="宋体"/>
                <w:strike/>
                <w:color w:val="auto"/>
                <w:sz w:val="24"/>
                <w:highlight w:val="none"/>
              </w:rPr>
              <w:t>第</w:t>
            </w:r>
            <w:r>
              <w:rPr>
                <w:rFonts w:hint="eastAsia" w:ascii="宋体" w:hAnsi="宋体"/>
                <w:strike/>
                <w:color w:val="auto"/>
                <w:sz w:val="24"/>
                <w:highlight w:val="none"/>
              </w:rPr>
              <w:t>4轮</w:t>
            </w:r>
          </w:p>
        </w:tc>
        <w:tc>
          <w:tcPr>
            <w:tcW w:w="1980" w:type="dxa"/>
            <w:noWrap w:val="0"/>
            <w:vAlign w:val="top"/>
          </w:tcPr>
          <w:p w14:paraId="62AF0641">
            <w:pPr>
              <w:spacing w:line="360" w:lineRule="auto"/>
              <w:jc w:val="center"/>
              <w:rPr>
                <w:rFonts w:hint="eastAsia" w:ascii="宋体" w:hAnsi="宋体"/>
                <w:strike/>
                <w:color w:val="auto"/>
                <w:sz w:val="24"/>
                <w:highlight w:val="none"/>
              </w:rPr>
            </w:pPr>
          </w:p>
        </w:tc>
        <w:tc>
          <w:tcPr>
            <w:tcW w:w="1980" w:type="dxa"/>
            <w:noWrap w:val="0"/>
            <w:vAlign w:val="top"/>
          </w:tcPr>
          <w:p w14:paraId="298B5BC9">
            <w:pPr>
              <w:spacing w:line="360" w:lineRule="auto"/>
              <w:jc w:val="center"/>
              <w:rPr>
                <w:rFonts w:hint="eastAsia" w:ascii="宋体" w:hAnsi="宋体"/>
                <w:strike/>
                <w:color w:val="auto"/>
                <w:sz w:val="24"/>
                <w:highlight w:val="none"/>
              </w:rPr>
            </w:pPr>
          </w:p>
        </w:tc>
        <w:tc>
          <w:tcPr>
            <w:tcW w:w="2160" w:type="dxa"/>
            <w:noWrap w:val="0"/>
            <w:vAlign w:val="top"/>
          </w:tcPr>
          <w:p w14:paraId="0E0760E0">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1</w:t>
            </w:r>
          </w:p>
        </w:tc>
      </w:tr>
    </w:tbl>
    <w:p w14:paraId="41966380">
      <w:pPr>
        <w:spacing w:line="360" w:lineRule="auto"/>
        <w:rPr>
          <w:rFonts w:hint="eastAsia" w:ascii="宋体" w:hAnsi="宋体"/>
          <w:strike/>
          <w:color w:val="auto"/>
          <w:sz w:val="24"/>
          <w:highlight w:val="none"/>
        </w:rPr>
      </w:pPr>
      <w:r>
        <w:rPr>
          <w:rFonts w:hint="eastAsia" w:ascii="宋体" w:hAnsi="宋体"/>
          <w:strike/>
          <w:color w:val="auto"/>
          <w:sz w:val="24"/>
          <w:highlight w:val="none"/>
        </w:rPr>
        <w:t xml:space="preserve">    (1) </w:t>
      </w:r>
      <w:r>
        <w:rPr>
          <w:rFonts w:hint="eastAsia" w:ascii="宋体" w:hAnsi="宋体" w:cs="Arial"/>
          <w:strike/>
          <w:color w:val="auto"/>
          <w:sz w:val="24"/>
          <w:highlight w:val="none"/>
        </w:rPr>
        <w:t>投票结束后，</w:t>
      </w:r>
      <w:r>
        <w:rPr>
          <w:rFonts w:hint="eastAsia" w:ascii="宋体" w:hAnsi="宋体"/>
          <w:strike/>
          <w:color w:val="auto"/>
          <w:sz w:val="24"/>
          <w:highlight w:val="none"/>
        </w:rPr>
        <w:t>点票人员</w:t>
      </w:r>
      <w:r>
        <w:rPr>
          <w:rFonts w:hint="eastAsia" w:ascii="宋体" w:hAnsi="宋体" w:cs="Arial"/>
          <w:strike/>
          <w:color w:val="auto"/>
          <w:sz w:val="24"/>
          <w:highlight w:val="none"/>
        </w:rPr>
        <w:t>对投票人数、票数和每票应选方案总数加以核对和统计，作废的选票不得统计，并向</w:t>
      </w:r>
      <w:r>
        <w:rPr>
          <w:rFonts w:hint="eastAsia" w:ascii="宋体" w:hAnsi="宋体"/>
          <w:strike/>
          <w:color w:val="auto"/>
          <w:sz w:val="24"/>
          <w:highlight w:val="none"/>
        </w:rPr>
        <w:t>评标委员会</w:t>
      </w:r>
      <w:r>
        <w:rPr>
          <w:rFonts w:hint="eastAsia" w:ascii="宋体" w:hAnsi="宋体" w:cs="Arial"/>
          <w:strike/>
          <w:color w:val="auto"/>
          <w:sz w:val="24"/>
          <w:highlight w:val="none"/>
        </w:rPr>
        <w:t>报告。</w:t>
      </w:r>
    </w:p>
    <w:p w14:paraId="76B25681">
      <w:pPr>
        <w:spacing w:line="360" w:lineRule="auto"/>
        <w:ind w:firstLine="480"/>
        <w:rPr>
          <w:rFonts w:ascii="宋体" w:hAnsi="宋体"/>
          <w:strike/>
          <w:color w:val="auto"/>
          <w:sz w:val="24"/>
          <w:highlight w:val="none"/>
        </w:rPr>
      </w:pPr>
      <w:r>
        <w:rPr>
          <w:rFonts w:hint="eastAsia" w:ascii="宋体" w:hAnsi="宋体"/>
          <w:strike/>
          <w:color w:val="auto"/>
          <w:sz w:val="24"/>
          <w:highlight w:val="none"/>
        </w:rPr>
        <w:t>(2)评标委员会成员应当独立投票，自投票开始至最终排名统计结果公布期间，任何人不得非法干预、影响投票过程，不得透露、协商、改变投票结果，不得使用通信联络工具。</w:t>
      </w:r>
    </w:p>
    <w:p w14:paraId="395D1EC5">
      <w:pPr>
        <w:spacing w:line="360" w:lineRule="auto"/>
        <w:ind w:firstLine="480"/>
        <w:rPr>
          <w:rFonts w:hint="eastAsia" w:ascii="宋体" w:hAnsi="宋体"/>
          <w:strike/>
          <w:color w:val="auto"/>
          <w:sz w:val="24"/>
          <w:highlight w:val="none"/>
        </w:rPr>
      </w:pPr>
    </w:p>
    <w:p w14:paraId="1B385B30">
      <w:pPr>
        <w:spacing w:line="360" w:lineRule="auto"/>
        <w:rPr>
          <w:rFonts w:hint="eastAsia" w:ascii="宋体" w:hAnsi="宋体"/>
          <w:strike/>
          <w:color w:val="auto"/>
          <w:sz w:val="24"/>
          <w:highlight w:val="none"/>
        </w:rPr>
      </w:pPr>
      <w:r>
        <w:rPr>
          <w:rFonts w:hint="eastAsia" w:ascii="宋体" w:hAnsi="宋体"/>
          <w:strike/>
          <w:color w:val="auto"/>
          <w:sz w:val="24"/>
          <w:highlight w:val="none"/>
        </w:rPr>
        <w:t>评委签名：                                 日期：     年    月    日</w:t>
      </w:r>
    </w:p>
    <w:p w14:paraId="66FA4324">
      <w:pPr>
        <w:rPr>
          <w:rFonts w:ascii="宋体" w:hAnsi="宋体"/>
          <w:color w:val="auto"/>
          <w:highlight w:val="none"/>
        </w:rPr>
        <w:sectPr>
          <w:footerReference r:id="rId7" w:type="default"/>
          <w:footerReference r:id="rId8" w:type="even"/>
          <w:type w:val="nextColumn"/>
          <w:pgSz w:w="11906" w:h="16838"/>
          <w:pgMar w:top="1440" w:right="1797" w:bottom="1440" w:left="1797" w:header="851" w:footer="992" w:gutter="0"/>
          <w:pgNumType w:fmt="decimal"/>
          <w:cols w:space="720" w:num="1"/>
          <w:docGrid w:type="lines" w:linePitch="312" w:charSpace="0"/>
        </w:sectPr>
      </w:pPr>
    </w:p>
    <w:p w14:paraId="639298F3">
      <w:pPr>
        <w:pStyle w:val="2"/>
        <w:rPr>
          <w:rFonts w:hint="eastAsia" w:ascii="宋体" w:hAnsi="宋体"/>
          <w:strike/>
          <w:color w:val="auto"/>
          <w:sz w:val="21"/>
          <w:szCs w:val="21"/>
          <w:highlight w:val="none"/>
        </w:rPr>
      </w:pPr>
      <w:bookmarkStart w:id="38" w:name="_Toc3833"/>
      <w:r>
        <w:rPr>
          <w:rFonts w:hint="eastAsia" w:ascii="宋体" w:hAnsi="宋体"/>
          <w:strike/>
          <w:color w:val="auto"/>
          <w:sz w:val="21"/>
          <w:szCs w:val="21"/>
          <w:highlight w:val="none"/>
        </w:rPr>
        <w:t>附录11 投票汇总表格</w:t>
      </w:r>
      <w:bookmarkEnd w:id="38"/>
    </w:p>
    <w:p w14:paraId="1C7E89E4">
      <w:pPr>
        <w:jc w:val="center"/>
        <w:rPr>
          <w:rFonts w:hint="eastAsia" w:ascii="宋体" w:hAnsi="宋体"/>
          <w:b/>
          <w:strike/>
          <w:color w:val="auto"/>
          <w:sz w:val="32"/>
          <w:highlight w:val="none"/>
        </w:rPr>
      </w:pPr>
      <w:r>
        <w:rPr>
          <w:rFonts w:hint="eastAsia" w:ascii="宋体" w:hAnsi="宋体"/>
          <w:b/>
          <w:strike/>
          <w:color w:val="auto"/>
          <w:sz w:val="32"/>
          <w:highlight w:val="none"/>
        </w:rPr>
        <w:t>投票汇总表格</w:t>
      </w:r>
    </w:p>
    <w:p w14:paraId="2BC7A152">
      <w:pPr>
        <w:rPr>
          <w:rFonts w:hint="eastAsia" w:ascii="宋体" w:hAnsi="宋体"/>
          <w:strike/>
          <w:color w:val="auto"/>
          <w:sz w:val="24"/>
          <w:highlight w:val="none"/>
        </w:rPr>
      </w:pPr>
      <w:r>
        <w:rPr>
          <w:rFonts w:hint="eastAsia" w:ascii="宋体" w:hAnsi="宋体"/>
          <w:strike/>
          <w:color w:val="auto"/>
          <w:sz w:val="24"/>
          <w:highlight w:val="none"/>
        </w:rPr>
        <w:t>项目名称：                                                                              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06F9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noWrap w:val="0"/>
            <w:vAlign w:val="top"/>
          </w:tcPr>
          <w:p w14:paraId="0827FEE7">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方案编号</w:t>
            </w:r>
          </w:p>
        </w:tc>
        <w:tc>
          <w:tcPr>
            <w:tcW w:w="1420" w:type="dxa"/>
            <w:vMerge w:val="restart"/>
            <w:noWrap w:val="0"/>
            <w:vAlign w:val="top"/>
          </w:tcPr>
          <w:p w14:paraId="45E20123">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第一轮得票</w:t>
            </w:r>
          </w:p>
        </w:tc>
        <w:tc>
          <w:tcPr>
            <w:tcW w:w="1420" w:type="dxa"/>
            <w:vMerge w:val="restart"/>
            <w:noWrap w:val="0"/>
            <w:vAlign w:val="top"/>
          </w:tcPr>
          <w:p w14:paraId="71D7CA07">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第二轮得票</w:t>
            </w:r>
          </w:p>
        </w:tc>
        <w:tc>
          <w:tcPr>
            <w:tcW w:w="1420" w:type="dxa"/>
            <w:vMerge w:val="restart"/>
            <w:noWrap w:val="0"/>
            <w:vAlign w:val="top"/>
          </w:tcPr>
          <w:p w14:paraId="50E75CE2">
            <w:pPr>
              <w:spacing w:line="360" w:lineRule="auto"/>
              <w:jc w:val="center"/>
              <w:rPr>
                <w:rFonts w:hint="eastAsia" w:ascii="宋体" w:hAnsi="宋体"/>
                <w:strike/>
                <w:color w:val="auto"/>
                <w:sz w:val="24"/>
                <w:highlight w:val="none"/>
              </w:rPr>
            </w:pPr>
            <w:r>
              <w:rPr>
                <w:rFonts w:hint="eastAsia" w:ascii="宋体" w:hAnsi="宋体" w:cs="宋体"/>
                <w:strike/>
                <w:color w:val="auto"/>
                <w:sz w:val="24"/>
                <w:highlight w:val="none"/>
              </w:rPr>
              <w:t>第三轮得票</w:t>
            </w:r>
          </w:p>
        </w:tc>
        <w:tc>
          <w:tcPr>
            <w:tcW w:w="1420" w:type="dxa"/>
            <w:vMerge w:val="restart"/>
            <w:noWrap w:val="0"/>
            <w:vAlign w:val="top"/>
          </w:tcPr>
          <w:p w14:paraId="1A46DBDF">
            <w:pPr>
              <w:spacing w:line="360" w:lineRule="auto"/>
              <w:jc w:val="center"/>
              <w:rPr>
                <w:rFonts w:hint="eastAsia" w:ascii="宋体" w:hAnsi="宋体"/>
                <w:strike/>
                <w:color w:val="auto"/>
                <w:sz w:val="24"/>
                <w:highlight w:val="none"/>
              </w:rPr>
            </w:pPr>
            <w:r>
              <w:rPr>
                <w:rFonts w:hint="eastAsia" w:ascii="宋体" w:hAnsi="宋体" w:cs="宋体"/>
                <w:strike/>
                <w:color w:val="auto"/>
                <w:sz w:val="24"/>
                <w:highlight w:val="none"/>
              </w:rPr>
              <w:t>第四轮得票</w:t>
            </w:r>
          </w:p>
        </w:tc>
        <w:tc>
          <w:tcPr>
            <w:tcW w:w="2708" w:type="dxa"/>
            <w:gridSpan w:val="4"/>
            <w:noWrap w:val="0"/>
            <w:vAlign w:val="top"/>
          </w:tcPr>
          <w:p w14:paraId="2F5857AA">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每轮得票相同的排序</w:t>
            </w:r>
          </w:p>
        </w:tc>
        <w:tc>
          <w:tcPr>
            <w:tcW w:w="1275" w:type="dxa"/>
            <w:vMerge w:val="restart"/>
            <w:noWrap w:val="0"/>
            <w:vAlign w:val="top"/>
          </w:tcPr>
          <w:p w14:paraId="63DDE0A5">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排列名次</w:t>
            </w:r>
          </w:p>
        </w:tc>
        <w:tc>
          <w:tcPr>
            <w:tcW w:w="3045" w:type="dxa"/>
            <w:vMerge w:val="restart"/>
            <w:noWrap w:val="0"/>
            <w:vAlign w:val="top"/>
          </w:tcPr>
          <w:p w14:paraId="7D5CB5CE">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投标人名称</w:t>
            </w:r>
          </w:p>
          <w:p w14:paraId="7B06876A">
            <w:pPr>
              <w:spacing w:line="360" w:lineRule="auto"/>
              <w:jc w:val="center"/>
              <w:rPr>
                <w:rFonts w:hint="eastAsia" w:ascii="宋体" w:hAnsi="宋体"/>
                <w:strike/>
                <w:color w:val="auto"/>
                <w:sz w:val="24"/>
                <w:highlight w:val="none"/>
              </w:rPr>
            </w:pPr>
            <w:r>
              <w:rPr>
                <w:rFonts w:hint="eastAsia" w:ascii="宋体" w:hAnsi="宋体"/>
                <w:strike/>
                <w:color w:val="auto"/>
                <w:sz w:val="24"/>
                <w:highlight w:val="none"/>
              </w:rPr>
              <w:t>（建筑师）</w:t>
            </w:r>
          </w:p>
        </w:tc>
      </w:tr>
      <w:tr w14:paraId="689E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noWrap w:val="0"/>
            <w:vAlign w:val="top"/>
          </w:tcPr>
          <w:p w14:paraId="3F83E334">
            <w:pPr>
              <w:spacing w:line="360" w:lineRule="auto"/>
              <w:jc w:val="center"/>
              <w:rPr>
                <w:rFonts w:hint="eastAsia" w:ascii="宋体" w:hAnsi="宋体"/>
                <w:strike/>
                <w:color w:val="auto"/>
                <w:highlight w:val="none"/>
              </w:rPr>
            </w:pPr>
          </w:p>
        </w:tc>
        <w:tc>
          <w:tcPr>
            <w:tcW w:w="1420" w:type="dxa"/>
            <w:vMerge w:val="continue"/>
            <w:noWrap w:val="0"/>
            <w:vAlign w:val="top"/>
          </w:tcPr>
          <w:p w14:paraId="6C216412">
            <w:pPr>
              <w:spacing w:line="360" w:lineRule="auto"/>
              <w:jc w:val="center"/>
              <w:rPr>
                <w:rFonts w:hint="eastAsia" w:ascii="宋体" w:hAnsi="宋体"/>
                <w:strike/>
                <w:color w:val="auto"/>
                <w:highlight w:val="none"/>
              </w:rPr>
            </w:pPr>
          </w:p>
        </w:tc>
        <w:tc>
          <w:tcPr>
            <w:tcW w:w="1420" w:type="dxa"/>
            <w:vMerge w:val="continue"/>
            <w:noWrap w:val="0"/>
            <w:vAlign w:val="top"/>
          </w:tcPr>
          <w:p w14:paraId="2165B110">
            <w:pPr>
              <w:spacing w:line="360" w:lineRule="auto"/>
              <w:jc w:val="center"/>
              <w:rPr>
                <w:rFonts w:hint="eastAsia" w:ascii="宋体" w:hAnsi="宋体"/>
                <w:strike/>
                <w:color w:val="auto"/>
                <w:highlight w:val="none"/>
              </w:rPr>
            </w:pPr>
          </w:p>
        </w:tc>
        <w:tc>
          <w:tcPr>
            <w:tcW w:w="1420" w:type="dxa"/>
            <w:vMerge w:val="continue"/>
            <w:noWrap w:val="0"/>
            <w:vAlign w:val="top"/>
          </w:tcPr>
          <w:p w14:paraId="09472815">
            <w:pPr>
              <w:spacing w:line="360" w:lineRule="auto"/>
              <w:jc w:val="center"/>
              <w:rPr>
                <w:rFonts w:hint="eastAsia" w:ascii="宋体" w:hAnsi="宋体"/>
                <w:strike/>
                <w:color w:val="auto"/>
                <w:highlight w:val="none"/>
              </w:rPr>
            </w:pPr>
          </w:p>
        </w:tc>
        <w:tc>
          <w:tcPr>
            <w:tcW w:w="1420" w:type="dxa"/>
            <w:vMerge w:val="continue"/>
            <w:noWrap w:val="0"/>
            <w:vAlign w:val="top"/>
          </w:tcPr>
          <w:p w14:paraId="1F9C1697">
            <w:pPr>
              <w:spacing w:line="360" w:lineRule="auto"/>
              <w:jc w:val="center"/>
              <w:rPr>
                <w:rFonts w:hint="eastAsia" w:ascii="宋体" w:hAnsi="宋体"/>
                <w:strike/>
                <w:color w:val="auto"/>
                <w:highlight w:val="none"/>
              </w:rPr>
            </w:pPr>
          </w:p>
        </w:tc>
        <w:tc>
          <w:tcPr>
            <w:tcW w:w="677" w:type="dxa"/>
            <w:noWrap w:val="0"/>
            <w:vAlign w:val="top"/>
          </w:tcPr>
          <w:p w14:paraId="4BF099FD">
            <w:pPr>
              <w:spacing w:line="360" w:lineRule="auto"/>
              <w:jc w:val="center"/>
              <w:rPr>
                <w:rFonts w:hint="eastAsia" w:ascii="宋体" w:hAnsi="宋体"/>
                <w:strike/>
                <w:color w:val="auto"/>
                <w:highlight w:val="none"/>
              </w:rPr>
            </w:pPr>
            <w:r>
              <w:rPr>
                <w:rFonts w:hint="eastAsia" w:ascii="宋体" w:hAnsi="宋体"/>
                <w:strike/>
                <w:color w:val="auto"/>
                <w:highlight w:val="none"/>
              </w:rPr>
              <w:t>1</w:t>
            </w:r>
          </w:p>
        </w:tc>
        <w:tc>
          <w:tcPr>
            <w:tcW w:w="677" w:type="dxa"/>
            <w:noWrap w:val="0"/>
            <w:vAlign w:val="top"/>
          </w:tcPr>
          <w:p w14:paraId="5CF04689">
            <w:pPr>
              <w:spacing w:line="360" w:lineRule="auto"/>
              <w:jc w:val="center"/>
              <w:rPr>
                <w:rFonts w:hint="eastAsia" w:ascii="宋体" w:hAnsi="宋体"/>
                <w:strike/>
                <w:color w:val="auto"/>
                <w:highlight w:val="none"/>
              </w:rPr>
            </w:pPr>
            <w:r>
              <w:rPr>
                <w:rFonts w:hint="eastAsia" w:ascii="宋体" w:hAnsi="宋体"/>
                <w:strike/>
                <w:color w:val="auto"/>
                <w:highlight w:val="none"/>
              </w:rPr>
              <w:t>2</w:t>
            </w:r>
          </w:p>
        </w:tc>
        <w:tc>
          <w:tcPr>
            <w:tcW w:w="677" w:type="dxa"/>
            <w:noWrap w:val="0"/>
            <w:vAlign w:val="top"/>
          </w:tcPr>
          <w:p w14:paraId="078333E7">
            <w:pPr>
              <w:spacing w:line="360" w:lineRule="auto"/>
              <w:jc w:val="center"/>
              <w:rPr>
                <w:rFonts w:hint="eastAsia" w:ascii="宋体" w:hAnsi="宋体"/>
                <w:strike/>
                <w:color w:val="auto"/>
                <w:highlight w:val="none"/>
              </w:rPr>
            </w:pPr>
            <w:r>
              <w:rPr>
                <w:rFonts w:hint="eastAsia" w:ascii="宋体" w:hAnsi="宋体"/>
                <w:strike/>
                <w:color w:val="auto"/>
                <w:highlight w:val="none"/>
              </w:rPr>
              <w:t>3</w:t>
            </w:r>
          </w:p>
        </w:tc>
        <w:tc>
          <w:tcPr>
            <w:tcW w:w="677" w:type="dxa"/>
            <w:noWrap w:val="0"/>
            <w:vAlign w:val="top"/>
          </w:tcPr>
          <w:p w14:paraId="1DEEDD1C">
            <w:pPr>
              <w:spacing w:line="360" w:lineRule="auto"/>
              <w:jc w:val="center"/>
              <w:rPr>
                <w:rFonts w:hint="eastAsia" w:ascii="宋体" w:hAnsi="宋体"/>
                <w:strike/>
                <w:color w:val="auto"/>
                <w:highlight w:val="none"/>
              </w:rPr>
            </w:pPr>
            <w:r>
              <w:rPr>
                <w:rFonts w:hint="eastAsia" w:ascii="宋体" w:hAnsi="宋体"/>
                <w:strike/>
                <w:color w:val="auto"/>
                <w:highlight w:val="none"/>
              </w:rPr>
              <w:t>4</w:t>
            </w:r>
          </w:p>
        </w:tc>
        <w:tc>
          <w:tcPr>
            <w:tcW w:w="1275" w:type="dxa"/>
            <w:vMerge w:val="continue"/>
            <w:noWrap w:val="0"/>
            <w:vAlign w:val="top"/>
          </w:tcPr>
          <w:p w14:paraId="429B010C">
            <w:pPr>
              <w:spacing w:line="360" w:lineRule="auto"/>
              <w:jc w:val="center"/>
              <w:rPr>
                <w:rFonts w:hint="eastAsia" w:ascii="宋体" w:hAnsi="宋体"/>
                <w:strike/>
                <w:color w:val="auto"/>
                <w:highlight w:val="none"/>
              </w:rPr>
            </w:pPr>
          </w:p>
        </w:tc>
        <w:tc>
          <w:tcPr>
            <w:tcW w:w="3045" w:type="dxa"/>
            <w:vMerge w:val="continue"/>
            <w:noWrap w:val="0"/>
            <w:vAlign w:val="top"/>
          </w:tcPr>
          <w:p w14:paraId="2F7C082B">
            <w:pPr>
              <w:spacing w:line="360" w:lineRule="auto"/>
              <w:jc w:val="center"/>
              <w:rPr>
                <w:rFonts w:hint="eastAsia" w:ascii="宋体" w:hAnsi="宋体"/>
                <w:strike/>
                <w:color w:val="auto"/>
                <w:highlight w:val="none"/>
              </w:rPr>
            </w:pPr>
          </w:p>
        </w:tc>
      </w:tr>
      <w:tr w14:paraId="58D8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noWrap w:val="0"/>
            <w:vAlign w:val="top"/>
          </w:tcPr>
          <w:p w14:paraId="6F630221">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1</w:t>
            </w:r>
          </w:p>
        </w:tc>
        <w:tc>
          <w:tcPr>
            <w:tcW w:w="1420" w:type="dxa"/>
            <w:noWrap w:val="0"/>
            <w:vAlign w:val="top"/>
          </w:tcPr>
          <w:p w14:paraId="25444E70">
            <w:pPr>
              <w:spacing w:line="480" w:lineRule="auto"/>
              <w:rPr>
                <w:rFonts w:hint="eastAsia" w:ascii="宋体" w:hAnsi="宋体"/>
                <w:strike/>
                <w:snapToGrid w:val="0"/>
                <w:color w:val="auto"/>
                <w:kern w:val="0"/>
                <w:szCs w:val="21"/>
                <w:highlight w:val="none"/>
              </w:rPr>
            </w:pPr>
          </w:p>
        </w:tc>
        <w:tc>
          <w:tcPr>
            <w:tcW w:w="1420" w:type="dxa"/>
            <w:noWrap w:val="0"/>
            <w:vAlign w:val="top"/>
          </w:tcPr>
          <w:p w14:paraId="212B3863">
            <w:pPr>
              <w:spacing w:line="480" w:lineRule="auto"/>
              <w:rPr>
                <w:rFonts w:hint="eastAsia" w:ascii="宋体" w:hAnsi="宋体"/>
                <w:strike/>
                <w:snapToGrid w:val="0"/>
                <w:color w:val="auto"/>
                <w:kern w:val="0"/>
                <w:szCs w:val="21"/>
                <w:highlight w:val="none"/>
              </w:rPr>
            </w:pPr>
          </w:p>
        </w:tc>
        <w:tc>
          <w:tcPr>
            <w:tcW w:w="1420" w:type="dxa"/>
            <w:noWrap w:val="0"/>
            <w:vAlign w:val="top"/>
          </w:tcPr>
          <w:p w14:paraId="39FA1D38">
            <w:pPr>
              <w:spacing w:line="480" w:lineRule="auto"/>
              <w:rPr>
                <w:rFonts w:hint="eastAsia" w:ascii="宋体" w:hAnsi="宋体"/>
                <w:strike/>
                <w:snapToGrid w:val="0"/>
                <w:color w:val="auto"/>
                <w:kern w:val="0"/>
                <w:szCs w:val="21"/>
                <w:highlight w:val="none"/>
              </w:rPr>
            </w:pPr>
          </w:p>
        </w:tc>
        <w:tc>
          <w:tcPr>
            <w:tcW w:w="1420" w:type="dxa"/>
            <w:noWrap w:val="0"/>
            <w:vAlign w:val="top"/>
          </w:tcPr>
          <w:p w14:paraId="68144B14">
            <w:pPr>
              <w:spacing w:line="480" w:lineRule="auto"/>
              <w:rPr>
                <w:rFonts w:hint="eastAsia" w:ascii="宋体" w:hAnsi="宋体"/>
                <w:strike/>
                <w:snapToGrid w:val="0"/>
                <w:color w:val="auto"/>
                <w:kern w:val="0"/>
                <w:szCs w:val="21"/>
                <w:highlight w:val="none"/>
              </w:rPr>
            </w:pPr>
          </w:p>
        </w:tc>
        <w:tc>
          <w:tcPr>
            <w:tcW w:w="677" w:type="dxa"/>
            <w:noWrap w:val="0"/>
            <w:vAlign w:val="top"/>
          </w:tcPr>
          <w:p w14:paraId="3900CECB">
            <w:pPr>
              <w:spacing w:line="480" w:lineRule="auto"/>
              <w:rPr>
                <w:rFonts w:hint="eastAsia" w:ascii="宋体" w:hAnsi="宋体"/>
                <w:strike/>
                <w:snapToGrid w:val="0"/>
                <w:color w:val="auto"/>
                <w:kern w:val="0"/>
                <w:szCs w:val="21"/>
                <w:highlight w:val="none"/>
              </w:rPr>
            </w:pPr>
          </w:p>
        </w:tc>
        <w:tc>
          <w:tcPr>
            <w:tcW w:w="677" w:type="dxa"/>
            <w:noWrap w:val="0"/>
            <w:vAlign w:val="top"/>
          </w:tcPr>
          <w:p w14:paraId="3BD8AADA">
            <w:pPr>
              <w:spacing w:line="480" w:lineRule="auto"/>
              <w:rPr>
                <w:rFonts w:hint="eastAsia" w:ascii="宋体" w:hAnsi="宋体"/>
                <w:strike/>
                <w:snapToGrid w:val="0"/>
                <w:color w:val="auto"/>
                <w:kern w:val="0"/>
                <w:szCs w:val="21"/>
                <w:highlight w:val="none"/>
              </w:rPr>
            </w:pPr>
          </w:p>
        </w:tc>
        <w:tc>
          <w:tcPr>
            <w:tcW w:w="677" w:type="dxa"/>
            <w:noWrap w:val="0"/>
            <w:vAlign w:val="top"/>
          </w:tcPr>
          <w:p w14:paraId="7E999680">
            <w:pPr>
              <w:spacing w:line="480" w:lineRule="auto"/>
              <w:rPr>
                <w:rFonts w:hint="eastAsia" w:ascii="宋体" w:hAnsi="宋体"/>
                <w:strike/>
                <w:snapToGrid w:val="0"/>
                <w:color w:val="auto"/>
                <w:kern w:val="0"/>
                <w:szCs w:val="21"/>
                <w:highlight w:val="none"/>
              </w:rPr>
            </w:pPr>
          </w:p>
        </w:tc>
        <w:tc>
          <w:tcPr>
            <w:tcW w:w="677" w:type="dxa"/>
            <w:noWrap w:val="0"/>
            <w:vAlign w:val="top"/>
          </w:tcPr>
          <w:p w14:paraId="3D627862">
            <w:pPr>
              <w:spacing w:line="480" w:lineRule="auto"/>
              <w:rPr>
                <w:rFonts w:hint="eastAsia" w:ascii="宋体" w:hAnsi="宋体"/>
                <w:strike/>
                <w:snapToGrid w:val="0"/>
                <w:color w:val="auto"/>
                <w:kern w:val="0"/>
                <w:szCs w:val="21"/>
                <w:highlight w:val="none"/>
              </w:rPr>
            </w:pPr>
          </w:p>
        </w:tc>
        <w:tc>
          <w:tcPr>
            <w:tcW w:w="1275" w:type="dxa"/>
            <w:noWrap w:val="0"/>
            <w:vAlign w:val="top"/>
          </w:tcPr>
          <w:p w14:paraId="1606AB46">
            <w:pPr>
              <w:spacing w:line="480" w:lineRule="auto"/>
              <w:rPr>
                <w:rFonts w:hint="eastAsia" w:ascii="宋体" w:hAnsi="宋体"/>
                <w:strike/>
                <w:snapToGrid w:val="0"/>
                <w:color w:val="auto"/>
                <w:kern w:val="0"/>
                <w:szCs w:val="21"/>
                <w:highlight w:val="none"/>
              </w:rPr>
            </w:pPr>
          </w:p>
        </w:tc>
        <w:tc>
          <w:tcPr>
            <w:tcW w:w="3045" w:type="dxa"/>
            <w:noWrap w:val="0"/>
            <w:vAlign w:val="top"/>
          </w:tcPr>
          <w:p w14:paraId="1F230840">
            <w:pPr>
              <w:spacing w:line="480" w:lineRule="auto"/>
              <w:rPr>
                <w:rFonts w:hint="eastAsia" w:ascii="宋体" w:hAnsi="宋体"/>
                <w:strike/>
                <w:snapToGrid w:val="0"/>
                <w:color w:val="auto"/>
                <w:kern w:val="0"/>
                <w:szCs w:val="21"/>
                <w:highlight w:val="none"/>
              </w:rPr>
            </w:pPr>
          </w:p>
        </w:tc>
      </w:tr>
      <w:tr w14:paraId="537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6FAAF953">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2</w:t>
            </w:r>
          </w:p>
        </w:tc>
        <w:tc>
          <w:tcPr>
            <w:tcW w:w="1420" w:type="dxa"/>
            <w:noWrap w:val="0"/>
            <w:vAlign w:val="top"/>
          </w:tcPr>
          <w:p w14:paraId="57E00F51">
            <w:pPr>
              <w:spacing w:line="480" w:lineRule="auto"/>
              <w:rPr>
                <w:rFonts w:hint="eastAsia" w:ascii="宋体" w:hAnsi="宋体"/>
                <w:strike/>
                <w:snapToGrid w:val="0"/>
                <w:color w:val="auto"/>
                <w:kern w:val="0"/>
                <w:szCs w:val="21"/>
                <w:highlight w:val="none"/>
              </w:rPr>
            </w:pPr>
          </w:p>
        </w:tc>
        <w:tc>
          <w:tcPr>
            <w:tcW w:w="1420" w:type="dxa"/>
            <w:noWrap w:val="0"/>
            <w:vAlign w:val="top"/>
          </w:tcPr>
          <w:p w14:paraId="29407A32">
            <w:pPr>
              <w:spacing w:line="480" w:lineRule="auto"/>
              <w:rPr>
                <w:rFonts w:hint="eastAsia" w:ascii="宋体" w:hAnsi="宋体"/>
                <w:strike/>
                <w:snapToGrid w:val="0"/>
                <w:color w:val="auto"/>
                <w:kern w:val="0"/>
                <w:szCs w:val="21"/>
                <w:highlight w:val="none"/>
              </w:rPr>
            </w:pPr>
          </w:p>
        </w:tc>
        <w:tc>
          <w:tcPr>
            <w:tcW w:w="1420" w:type="dxa"/>
            <w:noWrap w:val="0"/>
            <w:vAlign w:val="top"/>
          </w:tcPr>
          <w:p w14:paraId="141ECE39">
            <w:pPr>
              <w:spacing w:line="480" w:lineRule="auto"/>
              <w:rPr>
                <w:rFonts w:hint="eastAsia" w:ascii="宋体" w:hAnsi="宋体"/>
                <w:strike/>
                <w:snapToGrid w:val="0"/>
                <w:color w:val="auto"/>
                <w:kern w:val="0"/>
                <w:szCs w:val="21"/>
                <w:highlight w:val="none"/>
              </w:rPr>
            </w:pPr>
          </w:p>
        </w:tc>
        <w:tc>
          <w:tcPr>
            <w:tcW w:w="1420" w:type="dxa"/>
            <w:noWrap w:val="0"/>
            <w:vAlign w:val="top"/>
          </w:tcPr>
          <w:p w14:paraId="6DB63228">
            <w:pPr>
              <w:spacing w:line="480" w:lineRule="auto"/>
              <w:rPr>
                <w:rFonts w:hint="eastAsia" w:ascii="宋体" w:hAnsi="宋体"/>
                <w:strike/>
                <w:snapToGrid w:val="0"/>
                <w:color w:val="auto"/>
                <w:kern w:val="0"/>
                <w:szCs w:val="21"/>
                <w:highlight w:val="none"/>
              </w:rPr>
            </w:pPr>
          </w:p>
        </w:tc>
        <w:tc>
          <w:tcPr>
            <w:tcW w:w="677" w:type="dxa"/>
            <w:noWrap w:val="0"/>
            <w:vAlign w:val="top"/>
          </w:tcPr>
          <w:p w14:paraId="2D468D6C">
            <w:pPr>
              <w:spacing w:line="480" w:lineRule="auto"/>
              <w:rPr>
                <w:rFonts w:hint="eastAsia" w:ascii="宋体" w:hAnsi="宋体"/>
                <w:strike/>
                <w:snapToGrid w:val="0"/>
                <w:color w:val="auto"/>
                <w:kern w:val="0"/>
                <w:szCs w:val="21"/>
                <w:highlight w:val="none"/>
              </w:rPr>
            </w:pPr>
          </w:p>
        </w:tc>
        <w:tc>
          <w:tcPr>
            <w:tcW w:w="677" w:type="dxa"/>
            <w:noWrap w:val="0"/>
            <w:vAlign w:val="top"/>
          </w:tcPr>
          <w:p w14:paraId="09DAE6DA">
            <w:pPr>
              <w:spacing w:line="480" w:lineRule="auto"/>
              <w:rPr>
                <w:rFonts w:hint="eastAsia" w:ascii="宋体" w:hAnsi="宋体"/>
                <w:strike/>
                <w:snapToGrid w:val="0"/>
                <w:color w:val="auto"/>
                <w:kern w:val="0"/>
                <w:szCs w:val="21"/>
                <w:highlight w:val="none"/>
              </w:rPr>
            </w:pPr>
          </w:p>
        </w:tc>
        <w:tc>
          <w:tcPr>
            <w:tcW w:w="677" w:type="dxa"/>
            <w:noWrap w:val="0"/>
            <w:vAlign w:val="top"/>
          </w:tcPr>
          <w:p w14:paraId="0F3FC89E">
            <w:pPr>
              <w:spacing w:line="480" w:lineRule="auto"/>
              <w:rPr>
                <w:rFonts w:hint="eastAsia" w:ascii="宋体" w:hAnsi="宋体"/>
                <w:strike/>
                <w:snapToGrid w:val="0"/>
                <w:color w:val="auto"/>
                <w:kern w:val="0"/>
                <w:szCs w:val="21"/>
                <w:highlight w:val="none"/>
              </w:rPr>
            </w:pPr>
          </w:p>
        </w:tc>
        <w:tc>
          <w:tcPr>
            <w:tcW w:w="677" w:type="dxa"/>
            <w:noWrap w:val="0"/>
            <w:vAlign w:val="top"/>
          </w:tcPr>
          <w:p w14:paraId="3137A0AC">
            <w:pPr>
              <w:spacing w:line="480" w:lineRule="auto"/>
              <w:rPr>
                <w:rFonts w:hint="eastAsia" w:ascii="宋体" w:hAnsi="宋体"/>
                <w:strike/>
                <w:snapToGrid w:val="0"/>
                <w:color w:val="auto"/>
                <w:kern w:val="0"/>
                <w:szCs w:val="21"/>
                <w:highlight w:val="none"/>
              </w:rPr>
            </w:pPr>
          </w:p>
        </w:tc>
        <w:tc>
          <w:tcPr>
            <w:tcW w:w="1275" w:type="dxa"/>
            <w:noWrap w:val="0"/>
            <w:vAlign w:val="top"/>
          </w:tcPr>
          <w:p w14:paraId="3263A77A">
            <w:pPr>
              <w:spacing w:line="480" w:lineRule="auto"/>
              <w:rPr>
                <w:rFonts w:hint="eastAsia" w:ascii="宋体" w:hAnsi="宋体"/>
                <w:strike/>
                <w:snapToGrid w:val="0"/>
                <w:color w:val="auto"/>
                <w:kern w:val="0"/>
                <w:szCs w:val="21"/>
                <w:highlight w:val="none"/>
              </w:rPr>
            </w:pPr>
          </w:p>
        </w:tc>
        <w:tc>
          <w:tcPr>
            <w:tcW w:w="3045" w:type="dxa"/>
            <w:noWrap w:val="0"/>
            <w:vAlign w:val="top"/>
          </w:tcPr>
          <w:p w14:paraId="1A1CD9A5">
            <w:pPr>
              <w:spacing w:line="480" w:lineRule="auto"/>
              <w:rPr>
                <w:rFonts w:hint="eastAsia" w:ascii="宋体" w:hAnsi="宋体"/>
                <w:strike/>
                <w:snapToGrid w:val="0"/>
                <w:color w:val="auto"/>
                <w:kern w:val="0"/>
                <w:szCs w:val="21"/>
                <w:highlight w:val="none"/>
              </w:rPr>
            </w:pPr>
          </w:p>
        </w:tc>
      </w:tr>
      <w:tr w14:paraId="1ABE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21C96DD5">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3</w:t>
            </w:r>
          </w:p>
        </w:tc>
        <w:tc>
          <w:tcPr>
            <w:tcW w:w="1420" w:type="dxa"/>
            <w:noWrap w:val="0"/>
            <w:vAlign w:val="top"/>
          </w:tcPr>
          <w:p w14:paraId="62F66AA6">
            <w:pPr>
              <w:spacing w:line="480" w:lineRule="auto"/>
              <w:rPr>
                <w:rFonts w:hint="eastAsia" w:ascii="宋体" w:hAnsi="宋体"/>
                <w:strike/>
                <w:snapToGrid w:val="0"/>
                <w:color w:val="auto"/>
                <w:kern w:val="0"/>
                <w:szCs w:val="21"/>
                <w:highlight w:val="none"/>
              </w:rPr>
            </w:pPr>
          </w:p>
        </w:tc>
        <w:tc>
          <w:tcPr>
            <w:tcW w:w="1420" w:type="dxa"/>
            <w:noWrap w:val="0"/>
            <w:vAlign w:val="top"/>
          </w:tcPr>
          <w:p w14:paraId="336A0019">
            <w:pPr>
              <w:spacing w:line="480" w:lineRule="auto"/>
              <w:rPr>
                <w:rFonts w:hint="eastAsia" w:ascii="宋体" w:hAnsi="宋体"/>
                <w:strike/>
                <w:snapToGrid w:val="0"/>
                <w:color w:val="auto"/>
                <w:kern w:val="0"/>
                <w:szCs w:val="21"/>
                <w:highlight w:val="none"/>
              </w:rPr>
            </w:pPr>
          </w:p>
        </w:tc>
        <w:tc>
          <w:tcPr>
            <w:tcW w:w="1420" w:type="dxa"/>
            <w:noWrap w:val="0"/>
            <w:vAlign w:val="top"/>
          </w:tcPr>
          <w:p w14:paraId="11059443">
            <w:pPr>
              <w:spacing w:line="480" w:lineRule="auto"/>
              <w:rPr>
                <w:rFonts w:hint="eastAsia" w:ascii="宋体" w:hAnsi="宋体"/>
                <w:strike/>
                <w:snapToGrid w:val="0"/>
                <w:color w:val="auto"/>
                <w:kern w:val="0"/>
                <w:szCs w:val="21"/>
                <w:highlight w:val="none"/>
              </w:rPr>
            </w:pPr>
          </w:p>
        </w:tc>
        <w:tc>
          <w:tcPr>
            <w:tcW w:w="1420" w:type="dxa"/>
            <w:noWrap w:val="0"/>
            <w:vAlign w:val="top"/>
          </w:tcPr>
          <w:p w14:paraId="12113551">
            <w:pPr>
              <w:spacing w:line="480" w:lineRule="auto"/>
              <w:rPr>
                <w:rFonts w:hint="eastAsia" w:ascii="宋体" w:hAnsi="宋体"/>
                <w:strike/>
                <w:snapToGrid w:val="0"/>
                <w:color w:val="auto"/>
                <w:kern w:val="0"/>
                <w:szCs w:val="21"/>
                <w:highlight w:val="none"/>
              </w:rPr>
            </w:pPr>
          </w:p>
        </w:tc>
        <w:tc>
          <w:tcPr>
            <w:tcW w:w="677" w:type="dxa"/>
            <w:noWrap w:val="0"/>
            <w:vAlign w:val="top"/>
          </w:tcPr>
          <w:p w14:paraId="3E28F4BD">
            <w:pPr>
              <w:spacing w:line="480" w:lineRule="auto"/>
              <w:rPr>
                <w:rFonts w:hint="eastAsia" w:ascii="宋体" w:hAnsi="宋体"/>
                <w:strike/>
                <w:snapToGrid w:val="0"/>
                <w:color w:val="auto"/>
                <w:kern w:val="0"/>
                <w:szCs w:val="21"/>
                <w:highlight w:val="none"/>
              </w:rPr>
            </w:pPr>
          </w:p>
        </w:tc>
        <w:tc>
          <w:tcPr>
            <w:tcW w:w="677" w:type="dxa"/>
            <w:noWrap w:val="0"/>
            <w:vAlign w:val="top"/>
          </w:tcPr>
          <w:p w14:paraId="16E35137">
            <w:pPr>
              <w:spacing w:line="480" w:lineRule="auto"/>
              <w:rPr>
                <w:rFonts w:hint="eastAsia" w:ascii="宋体" w:hAnsi="宋体"/>
                <w:strike/>
                <w:snapToGrid w:val="0"/>
                <w:color w:val="auto"/>
                <w:kern w:val="0"/>
                <w:szCs w:val="21"/>
                <w:highlight w:val="none"/>
              </w:rPr>
            </w:pPr>
          </w:p>
        </w:tc>
        <w:tc>
          <w:tcPr>
            <w:tcW w:w="677" w:type="dxa"/>
            <w:noWrap w:val="0"/>
            <w:vAlign w:val="top"/>
          </w:tcPr>
          <w:p w14:paraId="55C83F7F">
            <w:pPr>
              <w:spacing w:line="480" w:lineRule="auto"/>
              <w:rPr>
                <w:rFonts w:hint="eastAsia" w:ascii="宋体" w:hAnsi="宋体"/>
                <w:strike/>
                <w:snapToGrid w:val="0"/>
                <w:color w:val="auto"/>
                <w:kern w:val="0"/>
                <w:szCs w:val="21"/>
                <w:highlight w:val="none"/>
              </w:rPr>
            </w:pPr>
          </w:p>
        </w:tc>
        <w:tc>
          <w:tcPr>
            <w:tcW w:w="677" w:type="dxa"/>
            <w:noWrap w:val="0"/>
            <w:vAlign w:val="top"/>
          </w:tcPr>
          <w:p w14:paraId="008094A7">
            <w:pPr>
              <w:spacing w:line="480" w:lineRule="auto"/>
              <w:rPr>
                <w:rFonts w:hint="eastAsia" w:ascii="宋体" w:hAnsi="宋体"/>
                <w:strike/>
                <w:snapToGrid w:val="0"/>
                <w:color w:val="auto"/>
                <w:kern w:val="0"/>
                <w:szCs w:val="21"/>
                <w:highlight w:val="none"/>
              </w:rPr>
            </w:pPr>
          </w:p>
        </w:tc>
        <w:tc>
          <w:tcPr>
            <w:tcW w:w="1275" w:type="dxa"/>
            <w:noWrap w:val="0"/>
            <w:vAlign w:val="top"/>
          </w:tcPr>
          <w:p w14:paraId="75EBA89A">
            <w:pPr>
              <w:spacing w:line="480" w:lineRule="auto"/>
              <w:rPr>
                <w:rFonts w:hint="eastAsia" w:ascii="宋体" w:hAnsi="宋体"/>
                <w:strike/>
                <w:snapToGrid w:val="0"/>
                <w:color w:val="auto"/>
                <w:kern w:val="0"/>
                <w:szCs w:val="21"/>
                <w:highlight w:val="none"/>
              </w:rPr>
            </w:pPr>
          </w:p>
        </w:tc>
        <w:tc>
          <w:tcPr>
            <w:tcW w:w="3045" w:type="dxa"/>
            <w:noWrap w:val="0"/>
            <w:vAlign w:val="top"/>
          </w:tcPr>
          <w:p w14:paraId="7BBD8C99">
            <w:pPr>
              <w:spacing w:line="480" w:lineRule="auto"/>
              <w:rPr>
                <w:rFonts w:hint="eastAsia" w:ascii="宋体" w:hAnsi="宋体"/>
                <w:strike/>
                <w:snapToGrid w:val="0"/>
                <w:color w:val="auto"/>
                <w:kern w:val="0"/>
                <w:szCs w:val="21"/>
                <w:highlight w:val="none"/>
              </w:rPr>
            </w:pPr>
          </w:p>
        </w:tc>
      </w:tr>
      <w:tr w14:paraId="4441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62C7C5F8">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4</w:t>
            </w:r>
          </w:p>
        </w:tc>
        <w:tc>
          <w:tcPr>
            <w:tcW w:w="1420" w:type="dxa"/>
            <w:noWrap w:val="0"/>
            <w:vAlign w:val="top"/>
          </w:tcPr>
          <w:p w14:paraId="0BF0FD51">
            <w:pPr>
              <w:spacing w:line="480" w:lineRule="auto"/>
              <w:rPr>
                <w:rFonts w:hint="eastAsia" w:ascii="宋体" w:hAnsi="宋体"/>
                <w:strike/>
                <w:snapToGrid w:val="0"/>
                <w:color w:val="auto"/>
                <w:kern w:val="0"/>
                <w:szCs w:val="21"/>
                <w:highlight w:val="none"/>
              </w:rPr>
            </w:pPr>
          </w:p>
        </w:tc>
        <w:tc>
          <w:tcPr>
            <w:tcW w:w="1420" w:type="dxa"/>
            <w:noWrap w:val="0"/>
            <w:vAlign w:val="top"/>
          </w:tcPr>
          <w:p w14:paraId="027D4736">
            <w:pPr>
              <w:spacing w:line="480" w:lineRule="auto"/>
              <w:rPr>
                <w:rFonts w:hint="eastAsia" w:ascii="宋体" w:hAnsi="宋体"/>
                <w:strike/>
                <w:snapToGrid w:val="0"/>
                <w:color w:val="auto"/>
                <w:kern w:val="0"/>
                <w:szCs w:val="21"/>
                <w:highlight w:val="none"/>
              </w:rPr>
            </w:pPr>
          </w:p>
        </w:tc>
        <w:tc>
          <w:tcPr>
            <w:tcW w:w="1420" w:type="dxa"/>
            <w:noWrap w:val="0"/>
            <w:vAlign w:val="top"/>
          </w:tcPr>
          <w:p w14:paraId="7E63184C">
            <w:pPr>
              <w:spacing w:line="480" w:lineRule="auto"/>
              <w:rPr>
                <w:rFonts w:hint="eastAsia" w:ascii="宋体" w:hAnsi="宋体"/>
                <w:strike/>
                <w:snapToGrid w:val="0"/>
                <w:color w:val="auto"/>
                <w:kern w:val="0"/>
                <w:szCs w:val="21"/>
                <w:highlight w:val="none"/>
              </w:rPr>
            </w:pPr>
          </w:p>
        </w:tc>
        <w:tc>
          <w:tcPr>
            <w:tcW w:w="1420" w:type="dxa"/>
            <w:noWrap w:val="0"/>
            <w:vAlign w:val="top"/>
          </w:tcPr>
          <w:p w14:paraId="65C72C0D">
            <w:pPr>
              <w:spacing w:line="480" w:lineRule="auto"/>
              <w:rPr>
                <w:rFonts w:hint="eastAsia" w:ascii="宋体" w:hAnsi="宋体"/>
                <w:strike/>
                <w:snapToGrid w:val="0"/>
                <w:color w:val="auto"/>
                <w:kern w:val="0"/>
                <w:szCs w:val="21"/>
                <w:highlight w:val="none"/>
              </w:rPr>
            </w:pPr>
          </w:p>
        </w:tc>
        <w:tc>
          <w:tcPr>
            <w:tcW w:w="677" w:type="dxa"/>
            <w:noWrap w:val="0"/>
            <w:vAlign w:val="top"/>
          </w:tcPr>
          <w:p w14:paraId="2C2674FC">
            <w:pPr>
              <w:spacing w:line="480" w:lineRule="auto"/>
              <w:rPr>
                <w:rFonts w:hint="eastAsia" w:ascii="宋体" w:hAnsi="宋体"/>
                <w:strike/>
                <w:snapToGrid w:val="0"/>
                <w:color w:val="auto"/>
                <w:kern w:val="0"/>
                <w:szCs w:val="21"/>
                <w:highlight w:val="none"/>
              </w:rPr>
            </w:pPr>
          </w:p>
        </w:tc>
        <w:tc>
          <w:tcPr>
            <w:tcW w:w="677" w:type="dxa"/>
            <w:noWrap w:val="0"/>
            <w:vAlign w:val="top"/>
          </w:tcPr>
          <w:p w14:paraId="21B7F056">
            <w:pPr>
              <w:spacing w:line="480" w:lineRule="auto"/>
              <w:rPr>
                <w:rFonts w:hint="eastAsia" w:ascii="宋体" w:hAnsi="宋体"/>
                <w:strike/>
                <w:snapToGrid w:val="0"/>
                <w:color w:val="auto"/>
                <w:kern w:val="0"/>
                <w:szCs w:val="21"/>
                <w:highlight w:val="none"/>
              </w:rPr>
            </w:pPr>
          </w:p>
        </w:tc>
        <w:tc>
          <w:tcPr>
            <w:tcW w:w="677" w:type="dxa"/>
            <w:noWrap w:val="0"/>
            <w:vAlign w:val="top"/>
          </w:tcPr>
          <w:p w14:paraId="3AAE4ED8">
            <w:pPr>
              <w:spacing w:line="480" w:lineRule="auto"/>
              <w:rPr>
                <w:rFonts w:hint="eastAsia" w:ascii="宋体" w:hAnsi="宋体"/>
                <w:strike/>
                <w:snapToGrid w:val="0"/>
                <w:color w:val="auto"/>
                <w:kern w:val="0"/>
                <w:szCs w:val="21"/>
                <w:highlight w:val="none"/>
              </w:rPr>
            </w:pPr>
          </w:p>
        </w:tc>
        <w:tc>
          <w:tcPr>
            <w:tcW w:w="677" w:type="dxa"/>
            <w:noWrap w:val="0"/>
            <w:vAlign w:val="top"/>
          </w:tcPr>
          <w:p w14:paraId="627E6716">
            <w:pPr>
              <w:spacing w:line="480" w:lineRule="auto"/>
              <w:rPr>
                <w:rFonts w:hint="eastAsia" w:ascii="宋体" w:hAnsi="宋体"/>
                <w:strike/>
                <w:snapToGrid w:val="0"/>
                <w:color w:val="auto"/>
                <w:kern w:val="0"/>
                <w:szCs w:val="21"/>
                <w:highlight w:val="none"/>
              </w:rPr>
            </w:pPr>
          </w:p>
        </w:tc>
        <w:tc>
          <w:tcPr>
            <w:tcW w:w="1275" w:type="dxa"/>
            <w:noWrap w:val="0"/>
            <w:vAlign w:val="top"/>
          </w:tcPr>
          <w:p w14:paraId="185CF65D">
            <w:pPr>
              <w:spacing w:line="480" w:lineRule="auto"/>
              <w:rPr>
                <w:rFonts w:hint="eastAsia" w:ascii="宋体" w:hAnsi="宋体"/>
                <w:strike/>
                <w:snapToGrid w:val="0"/>
                <w:color w:val="auto"/>
                <w:kern w:val="0"/>
                <w:szCs w:val="21"/>
                <w:highlight w:val="none"/>
              </w:rPr>
            </w:pPr>
          </w:p>
        </w:tc>
        <w:tc>
          <w:tcPr>
            <w:tcW w:w="3045" w:type="dxa"/>
            <w:noWrap w:val="0"/>
            <w:vAlign w:val="top"/>
          </w:tcPr>
          <w:p w14:paraId="0D964300">
            <w:pPr>
              <w:spacing w:line="480" w:lineRule="auto"/>
              <w:rPr>
                <w:rFonts w:hint="eastAsia" w:ascii="宋体" w:hAnsi="宋体"/>
                <w:strike/>
                <w:snapToGrid w:val="0"/>
                <w:color w:val="auto"/>
                <w:kern w:val="0"/>
                <w:szCs w:val="21"/>
                <w:highlight w:val="none"/>
              </w:rPr>
            </w:pPr>
          </w:p>
        </w:tc>
      </w:tr>
      <w:tr w14:paraId="117B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12EF7830">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5</w:t>
            </w:r>
          </w:p>
        </w:tc>
        <w:tc>
          <w:tcPr>
            <w:tcW w:w="1420" w:type="dxa"/>
            <w:noWrap w:val="0"/>
            <w:vAlign w:val="top"/>
          </w:tcPr>
          <w:p w14:paraId="156E7A8B">
            <w:pPr>
              <w:spacing w:line="480" w:lineRule="auto"/>
              <w:rPr>
                <w:rFonts w:hint="eastAsia" w:ascii="宋体" w:hAnsi="宋体"/>
                <w:strike/>
                <w:snapToGrid w:val="0"/>
                <w:color w:val="auto"/>
                <w:kern w:val="0"/>
                <w:szCs w:val="21"/>
                <w:highlight w:val="none"/>
              </w:rPr>
            </w:pPr>
          </w:p>
        </w:tc>
        <w:tc>
          <w:tcPr>
            <w:tcW w:w="1420" w:type="dxa"/>
            <w:noWrap w:val="0"/>
            <w:vAlign w:val="top"/>
          </w:tcPr>
          <w:p w14:paraId="36339F47">
            <w:pPr>
              <w:spacing w:line="480" w:lineRule="auto"/>
              <w:rPr>
                <w:rFonts w:hint="eastAsia" w:ascii="宋体" w:hAnsi="宋体"/>
                <w:strike/>
                <w:snapToGrid w:val="0"/>
                <w:color w:val="auto"/>
                <w:kern w:val="0"/>
                <w:szCs w:val="21"/>
                <w:highlight w:val="none"/>
              </w:rPr>
            </w:pPr>
          </w:p>
        </w:tc>
        <w:tc>
          <w:tcPr>
            <w:tcW w:w="1420" w:type="dxa"/>
            <w:noWrap w:val="0"/>
            <w:vAlign w:val="top"/>
          </w:tcPr>
          <w:p w14:paraId="5FF3DD4C">
            <w:pPr>
              <w:spacing w:line="480" w:lineRule="auto"/>
              <w:rPr>
                <w:rFonts w:hint="eastAsia" w:ascii="宋体" w:hAnsi="宋体"/>
                <w:strike/>
                <w:snapToGrid w:val="0"/>
                <w:color w:val="auto"/>
                <w:kern w:val="0"/>
                <w:szCs w:val="21"/>
                <w:highlight w:val="none"/>
              </w:rPr>
            </w:pPr>
          </w:p>
        </w:tc>
        <w:tc>
          <w:tcPr>
            <w:tcW w:w="1420" w:type="dxa"/>
            <w:noWrap w:val="0"/>
            <w:vAlign w:val="top"/>
          </w:tcPr>
          <w:p w14:paraId="26ED611F">
            <w:pPr>
              <w:spacing w:line="480" w:lineRule="auto"/>
              <w:rPr>
                <w:rFonts w:hint="eastAsia" w:ascii="宋体" w:hAnsi="宋体"/>
                <w:strike/>
                <w:snapToGrid w:val="0"/>
                <w:color w:val="auto"/>
                <w:kern w:val="0"/>
                <w:szCs w:val="21"/>
                <w:highlight w:val="none"/>
              </w:rPr>
            </w:pPr>
          </w:p>
        </w:tc>
        <w:tc>
          <w:tcPr>
            <w:tcW w:w="677" w:type="dxa"/>
            <w:noWrap w:val="0"/>
            <w:vAlign w:val="top"/>
          </w:tcPr>
          <w:p w14:paraId="68841F88">
            <w:pPr>
              <w:spacing w:line="480" w:lineRule="auto"/>
              <w:rPr>
                <w:rFonts w:hint="eastAsia" w:ascii="宋体" w:hAnsi="宋体"/>
                <w:strike/>
                <w:snapToGrid w:val="0"/>
                <w:color w:val="auto"/>
                <w:kern w:val="0"/>
                <w:szCs w:val="21"/>
                <w:highlight w:val="none"/>
              </w:rPr>
            </w:pPr>
          </w:p>
        </w:tc>
        <w:tc>
          <w:tcPr>
            <w:tcW w:w="677" w:type="dxa"/>
            <w:noWrap w:val="0"/>
            <w:vAlign w:val="top"/>
          </w:tcPr>
          <w:p w14:paraId="2066B763">
            <w:pPr>
              <w:spacing w:line="480" w:lineRule="auto"/>
              <w:rPr>
                <w:rFonts w:hint="eastAsia" w:ascii="宋体" w:hAnsi="宋体"/>
                <w:strike/>
                <w:snapToGrid w:val="0"/>
                <w:color w:val="auto"/>
                <w:kern w:val="0"/>
                <w:szCs w:val="21"/>
                <w:highlight w:val="none"/>
              </w:rPr>
            </w:pPr>
          </w:p>
        </w:tc>
        <w:tc>
          <w:tcPr>
            <w:tcW w:w="677" w:type="dxa"/>
            <w:noWrap w:val="0"/>
            <w:vAlign w:val="top"/>
          </w:tcPr>
          <w:p w14:paraId="6788C0D5">
            <w:pPr>
              <w:spacing w:line="480" w:lineRule="auto"/>
              <w:rPr>
                <w:rFonts w:hint="eastAsia" w:ascii="宋体" w:hAnsi="宋体"/>
                <w:strike/>
                <w:snapToGrid w:val="0"/>
                <w:color w:val="auto"/>
                <w:kern w:val="0"/>
                <w:szCs w:val="21"/>
                <w:highlight w:val="none"/>
              </w:rPr>
            </w:pPr>
          </w:p>
        </w:tc>
        <w:tc>
          <w:tcPr>
            <w:tcW w:w="677" w:type="dxa"/>
            <w:noWrap w:val="0"/>
            <w:vAlign w:val="top"/>
          </w:tcPr>
          <w:p w14:paraId="4882FC8D">
            <w:pPr>
              <w:spacing w:line="480" w:lineRule="auto"/>
              <w:rPr>
                <w:rFonts w:hint="eastAsia" w:ascii="宋体" w:hAnsi="宋体"/>
                <w:strike/>
                <w:snapToGrid w:val="0"/>
                <w:color w:val="auto"/>
                <w:kern w:val="0"/>
                <w:szCs w:val="21"/>
                <w:highlight w:val="none"/>
              </w:rPr>
            </w:pPr>
          </w:p>
        </w:tc>
        <w:tc>
          <w:tcPr>
            <w:tcW w:w="1275" w:type="dxa"/>
            <w:noWrap w:val="0"/>
            <w:vAlign w:val="top"/>
          </w:tcPr>
          <w:p w14:paraId="41AA1D1A">
            <w:pPr>
              <w:spacing w:line="480" w:lineRule="auto"/>
              <w:rPr>
                <w:rFonts w:hint="eastAsia" w:ascii="宋体" w:hAnsi="宋体"/>
                <w:strike/>
                <w:snapToGrid w:val="0"/>
                <w:color w:val="auto"/>
                <w:kern w:val="0"/>
                <w:szCs w:val="21"/>
                <w:highlight w:val="none"/>
              </w:rPr>
            </w:pPr>
          </w:p>
        </w:tc>
        <w:tc>
          <w:tcPr>
            <w:tcW w:w="3045" w:type="dxa"/>
            <w:noWrap w:val="0"/>
            <w:vAlign w:val="top"/>
          </w:tcPr>
          <w:p w14:paraId="1B7AA678">
            <w:pPr>
              <w:spacing w:line="480" w:lineRule="auto"/>
              <w:rPr>
                <w:rFonts w:hint="eastAsia" w:ascii="宋体" w:hAnsi="宋体"/>
                <w:strike/>
                <w:snapToGrid w:val="0"/>
                <w:color w:val="auto"/>
                <w:kern w:val="0"/>
                <w:szCs w:val="21"/>
                <w:highlight w:val="none"/>
              </w:rPr>
            </w:pPr>
          </w:p>
        </w:tc>
      </w:tr>
      <w:tr w14:paraId="3D98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40267D34">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6</w:t>
            </w:r>
          </w:p>
        </w:tc>
        <w:tc>
          <w:tcPr>
            <w:tcW w:w="1420" w:type="dxa"/>
            <w:noWrap w:val="0"/>
            <w:vAlign w:val="top"/>
          </w:tcPr>
          <w:p w14:paraId="28C598BC">
            <w:pPr>
              <w:spacing w:line="480" w:lineRule="auto"/>
              <w:rPr>
                <w:rFonts w:hint="eastAsia" w:ascii="宋体" w:hAnsi="宋体"/>
                <w:strike/>
                <w:snapToGrid w:val="0"/>
                <w:color w:val="auto"/>
                <w:kern w:val="0"/>
                <w:szCs w:val="21"/>
                <w:highlight w:val="none"/>
              </w:rPr>
            </w:pPr>
          </w:p>
        </w:tc>
        <w:tc>
          <w:tcPr>
            <w:tcW w:w="1420" w:type="dxa"/>
            <w:noWrap w:val="0"/>
            <w:vAlign w:val="top"/>
          </w:tcPr>
          <w:p w14:paraId="0043178F">
            <w:pPr>
              <w:spacing w:line="480" w:lineRule="auto"/>
              <w:rPr>
                <w:rFonts w:hint="eastAsia" w:ascii="宋体" w:hAnsi="宋体"/>
                <w:strike/>
                <w:snapToGrid w:val="0"/>
                <w:color w:val="auto"/>
                <w:kern w:val="0"/>
                <w:szCs w:val="21"/>
                <w:highlight w:val="none"/>
              </w:rPr>
            </w:pPr>
          </w:p>
        </w:tc>
        <w:tc>
          <w:tcPr>
            <w:tcW w:w="1420" w:type="dxa"/>
            <w:noWrap w:val="0"/>
            <w:vAlign w:val="top"/>
          </w:tcPr>
          <w:p w14:paraId="6C30E73F">
            <w:pPr>
              <w:spacing w:line="480" w:lineRule="auto"/>
              <w:rPr>
                <w:rFonts w:hint="eastAsia" w:ascii="宋体" w:hAnsi="宋体"/>
                <w:strike/>
                <w:snapToGrid w:val="0"/>
                <w:color w:val="auto"/>
                <w:kern w:val="0"/>
                <w:szCs w:val="21"/>
                <w:highlight w:val="none"/>
              </w:rPr>
            </w:pPr>
          </w:p>
        </w:tc>
        <w:tc>
          <w:tcPr>
            <w:tcW w:w="1420" w:type="dxa"/>
            <w:noWrap w:val="0"/>
            <w:vAlign w:val="top"/>
          </w:tcPr>
          <w:p w14:paraId="36EA15C5">
            <w:pPr>
              <w:spacing w:line="480" w:lineRule="auto"/>
              <w:rPr>
                <w:rFonts w:hint="eastAsia" w:ascii="宋体" w:hAnsi="宋体"/>
                <w:strike/>
                <w:snapToGrid w:val="0"/>
                <w:color w:val="auto"/>
                <w:kern w:val="0"/>
                <w:szCs w:val="21"/>
                <w:highlight w:val="none"/>
              </w:rPr>
            </w:pPr>
          </w:p>
        </w:tc>
        <w:tc>
          <w:tcPr>
            <w:tcW w:w="677" w:type="dxa"/>
            <w:noWrap w:val="0"/>
            <w:vAlign w:val="top"/>
          </w:tcPr>
          <w:p w14:paraId="48782BB9">
            <w:pPr>
              <w:spacing w:line="480" w:lineRule="auto"/>
              <w:rPr>
                <w:rFonts w:hint="eastAsia" w:ascii="宋体" w:hAnsi="宋体"/>
                <w:strike/>
                <w:snapToGrid w:val="0"/>
                <w:color w:val="auto"/>
                <w:kern w:val="0"/>
                <w:szCs w:val="21"/>
                <w:highlight w:val="none"/>
              </w:rPr>
            </w:pPr>
          </w:p>
        </w:tc>
        <w:tc>
          <w:tcPr>
            <w:tcW w:w="677" w:type="dxa"/>
            <w:noWrap w:val="0"/>
            <w:vAlign w:val="top"/>
          </w:tcPr>
          <w:p w14:paraId="2306F9CB">
            <w:pPr>
              <w:spacing w:line="480" w:lineRule="auto"/>
              <w:rPr>
                <w:rFonts w:hint="eastAsia" w:ascii="宋体" w:hAnsi="宋体"/>
                <w:strike/>
                <w:snapToGrid w:val="0"/>
                <w:color w:val="auto"/>
                <w:kern w:val="0"/>
                <w:szCs w:val="21"/>
                <w:highlight w:val="none"/>
              </w:rPr>
            </w:pPr>
          </w:p>
        </w:tc>
        <w:tc>
          <w:tcPr>
            <w:tcW w:w="677" w:type="dxa"/>
            <w:noWrap w:val="0"/>
            <w:vAlign w:val="top"/>
          </w:tcPr>
          <w:p w14:paraId="0CE0CE02">
            <w:pPr>
              <w:spacing w:line="480" w:lineRule="auto"/>
              <w:rPr>
                <w:rFonts w:hint="eastAsia" w:ascii="宋体" w:hAnsi="宋体"/>
                <w:strike/>
                <w:snapToGrid w:val="0"/>
                <w:color w:val="auto"/>
                <w:kern w:val="0"/>
                <w:szCs w:val="21"/>
                <w:highlight w:val="none"/>
              </w:rPr>
            </w:pPr>
          </w:p>
        </w:tc>
        <w:tc>
          <w:tcPr>
            <w:tcW w:w="677" w:type="dxa"/>
            <w:noWrap w:val="0"/>
            <w:vAlign w:val="top"/>
          </w:tcPr>
          <w:p w14:paraId="71750914">
            <w:pPr>
              <w:spacing w:line="480" w:lineRule="auto"/>
              <w:rPr>
                <w:rFonts w:hint="eastAsia" w:ascii="宋体" w:hAnsi="宋体"/>
                <w:strike/>
                <w:snapToGrid w:val="0"/>
                <w:color w:val="auto"/>
                <w:kern w:val="0"/>
                <w:szCs w:val="21"/>
                <w:highlight w:val="none"/>
              </w:rPr>
            </w:pPr>
          </w:p>
        </w:tc>
        <w:tc>
          <w:tcPr>
            <w:tcW w:w="1275" w:type="dxa"/>
            <w:noWrap w:val="0"/>
            <w:vAlign w:val="top"/>
          </w:tcPr>
          <w:p w14:paraId="286087E2">
            <w:pPr>
              <w:spacing w:line="480" w:lineRule="auto"/>
              <w:rPr>
                <w:rFonts w:hint="eastAsia" w:ascii="宋体" w:hAnsi="宋体"/>
                <w:strike/>
                <w:snapToGrid w:val="0"/>
                <w:color w:val="auto"/>
                <w:kern w:val="0"/>
                <w:szCs w:val="21"/>
                <w:highlight w:val="none"/>
              </w:rPr>
            </w:pPr>
          </w:p>
        </w:tc>
        <w:tc>
          <w:tcPr>
            <w:tcW w:w="3045" w:type="dxa"/>
            <w:noWrap w:val="0"/>
            <w:vAlign w:val="top"/>
          </w:tcPr>
          <w:p w14:paraId="54A442C2">
            <w:pPr>
              <w:spacing w:line="480" w:lineRule="auto"/>
              <w:rPr>
                <w:rFonts w:hint="eastAsia" w:ascii="宋体" w:hAnsi="宋体"/>
                <w:strike/>
                <w:snapToGrid w:val="0"/>
                <w:color w:val="auto"/>
                <w:kern w:val="0"/>
                <w:szCs w:val="21"/>
                <w:highlight w:val="none"/>
              </w:rPr>
            </w:pPr>
          </w:p>
        </w:tc>
      </w:tr>
      <w:tr w14:paraId="426F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14:paraId="4AE669D6">
            <w:pPr>
              <w:spacing w:line="480" w:lineRule="auto"/>
              <w:jc w:val="center"/>
              <w:rPr>
                <w:rFonts w:hint="eastAsia" w:ascii="宋体" w:hAnsi="宋体"/>
                <w:strike/>
                <w:snapToGrid w:val="0"/>
                <w:color w:val="auto"/>
                <w:kern w:val="0"/>
                <w:szCs w:val="21"/>
                <w:highlight w:val="none"/>
              </w:rPr>
            </w:pPr>
            <w:r>
              <w:rPr>
                <w:rFonts w:hint="eastAsia" w:ascii="宋体" w:hAnsi="宋体"/>
                <w:strike/>
                <w:snapToGrid w:val="0"/>
                <w:color w:val="auto"/>
                <w:kern w:val="0"/>
                <w:szCs w:val="21"/>
                <w:highlight w:val="none"/>
              </w:rPr>
              <w:t>…</w:t>
            </w:r>
          </w:p>
        </w:tc>
        <w:tc>
          <w:tcPr>
            <w:tcW w:w="1420" w:type="dxa"/>
            <w:noWrap w:val="0"/>
            <w:vAlign w:val="top"/>
          </w:tcPr>
          <w:p w14:paraId="476E5D39">
            <w:pPr>
              <w:spacing w:line="480" w:lineRule="auto"/>
              <w:rPr>
                <w:rFonts w:hint="eastAsia" w:ascii="宋体" w:hAnsi="宋体"/>
                <w:strike/>
                <w:snapToGrid w:val="0"/>
                <w:color w:val="auto"/>
                <w:kern w:val="0"/>
                <w:szCs w:val="21"/>
                <w:highlight w:val="none"/>
              </w:rPr>
            </w:pPr>
          </w:p>
        </w:tc>
        <w:tc>
          <w:tcPr>
            <w:tcW w:w="1420" w:type="dxa"/>
            <w:noWrap w:val="0"/>
            <w:vAlign w:val="top"/>
          </w:tcPr>
          <w:p w14:paraId="2A0267B1">
            <w:pPr>
              <w:spacing w:line="480" w:lineRule="auto"/>
              <w:rPr>
                <w:rFonts w:hint="eastAsia" w:ascii="宋体" w:hAnsi="宋体"/>
                <w:strike/>
                <w:snapToGrid w:val="0"/>
                <w:color w:val="auto"/>
                <w:kern w:val="0"/>
                <w:szCs w:val="21"/>
                <w:highlight w:val="none"/>
              </w:rPr>
            </w:pPr>
          </w:p>
        </w:tc>
        <w:tc>
          <w:tcPr>
            <w:tcW w:w="1420" w:type="dxa"/>
            <w:noWrap w:val="0"/>
            <w:vAlign w:val="bottom"/>
          </w:tcPr>
          <w:p w14:paraId="6FEC5907">
            <w:pPr>
              <w:spacing w:line="480" w:lineRule="auto"/>
              <w:rPr>
                <w:rFonts w:hint="eastAsia" w:ascii="宋体" w:hAnsi="宋体"/>
                <w:strike/>
                <w:snapToGrid w:val="0"/>
                <w:color w:val="auto"/>
                <w:kern w:val="0"/>
                <w:szCs w:val="21"/>
                <w:highlight w:val="none"/>
              </w:rPr>
            </w:pPr>
          </w:p>
        </w:tc>
        <w:tc>
          <w:tcPr>
            <w:tcW w:w="1420" w:type="dxa"/>
            <w:noWrap w:val="0"/>
            <w:vAlign w:val="bottom"/>
          </w:tcPr>
          <w:p w14:paraId="5E76A10F">
            <w:pPr>
              <w:spacing w:line="480" w:lineRule="auto"/>
              <w:jc w:val="center"/>
              <w:rPr>
                <w:rFonts w:hint="eastAsia" w:ascii="宋体" w:hAnsi="宋体"/>
                <w:strike/>
                <w:snapToGrid w:val="0"/>
                <w:color w:val="auto"/>
                <w:kern w:val="0"/>
                <w:szCs w:val="21"/>
                <w:highlight w:val="none"/>
              </w:rPr>
            </w:pPr>
          </w:p>
        </w:tc>
        <w:tc>
          <w:tcPr>
            <w:tcW w:w="677" w:type="dxa"/>
            <w:noWrap w:val="0"/>
            <w:vAlign w:val="top"/>
          </w:tcPr>
          <w:p w14:paraId="3D4DE19C">
            <w:pPr>
              <w:spacing w:line="480" w:lineRule="auto"/>
              <w:rPr>
                <w:rFonts w:hint="eastAsia" w:ascii="宋体" w:hAnsi="宋体"/>
                <w:strike/>
                <w:snapToGrid w:val="0"/>
                <w:color w:val="auto"/>
                <w:kern w:val="0"/>
                <w:szCs w:val="21"/>
                <w:highlight w:val="none"/>
              </w:rPr>
            </w:pPr>
          </w:p>
        </w:tc>
        <w:tc>
          <w:tcPr>
            <w:tcW w:w="677" w:type="dxa"/>
            <w:noWrap w:val="0"/>
            <w:vAlign w:val="top"/>
          </w:tcPr>
          <w:p w14:paraId="1FD61D01">
            <w:pPr>
              <w:spacing w:line="480" w:lineRule="auto"/>
              <w:rPr>
                <w:rFonts w:hint="eastAsia" w:ascii="宋体" w:hAnsi="宋体"/>
                <w:strike/>
                <w:snapToGrid w:val="0"/>
                <w:color w:val="auto"/>
                <w:kern w:val="0"/>
                <w:szCs w:val="21"/>
                <w:highlight w:val="none"/>
              </w:rPr>
            </w:pPr>
          </w:p>
        </w:tc>
        <w:tc>
          <w:tcPr>
            <w:tcW w:w="677" w:type="dxa"/>
            <w:noWrap w:val="0"/>
            <w:vAlign w:val="bottom"/>
          </w:tcPr>
          <w:p w14:paraId="6D4F1733">
            <w:pPr>
              <w:spacing w:line="480" w:lineRule="auto"/>
              <w:rPr>
                <w:rFonts w:hint="eastAsia" w:ascii="宋体" w:hAnsi="宋体"/>
                <w:strike/>
                <w:snapToGrid w:val="0"/>
                <w:color w:val="auto"/>
                <w:kern w:val="0"/>
                <w:szCs w:val="21"/>
                <w:highlight w:val="none"/>
              </w:rPr>
            </w:pPr>
          </w:p>
        </w:tc>
        <w:tc>
          <w:tcPr>
            <w:tcW w:w="677" w:type="dxa"/>
            <w:noWrap w:val="0"/>
            <w:vAlign w:val="bottom"/>
          </w:tcPr>
          <w:p w14:paraId="2E18B1C9">
            <w:pPr>
              <w:spacing w:line="480" w:lineRule="auto"/>
              <w:rPr>
                <w:rFonts w:hint="eastAsia" w:ascii="宋体" w:hAnsi="宋体"/>
                <w:strike/>
                <w:snapToGrid w:val="0"/>
                <w:color w:val="auto"/>
                <w:kern w:val="0"/>
                <w:szCs w:val="21"/>
                <w:highlight w:val="none"/>
              </w:rPr>
            </w:pPr>
          </w:p>
        </w:tc>
        <w:tc>
          <w:tcPr>
            <w:tcW w:w="1275" w:type="dxa"/>
            <w:noWrap w:val="0"/>
            <w:vAlign w:val="bottom"/>
          </w:tcPr>
          <w:p w14:paraId="29735D1F">
            <w:pPr>
              <w:spacing w:line="480" w:lineRule="auto"/>
              <w:jc w:val="center"/>
              <w:rPr>
                <w:rFonts w:hint="eastAsia" w:ascii="宋体" w:hAnsi="宋体"/>
                <w:strike/>
                <w:snapToGrid w:val="0"/>
                <w:color w:val="auto"/>
                <w:kern w:val="0"/>
                <w:szCs w:val="21"/>
                <w:highlight w:val="none"/>
              </w:rPr>
            </w:pPr>
          </w:p>
        </w:tc>
        <w:tc>
          <w:tcPr>
            <w:tcW w:w="3045" w:type="dxa"/>
            <w:noWrap w:val="0"/>
            <w:vAlign w:val="bottom"/>
          </w:tcPr>
          <w:p w14:paraId="01D79555">
            <w:pPr>
              <w:spacing w:line="480" w:lineRule="auto"/>
              <w:jc w:val="center"/>
              <w:rPr>
                <w:rFonts w:hint="eastAsia" w:ascii="宋体" w:hAnsi="宋体"/>
                <w:strike/>
                <w:snapToGrid w:val="0"/>
                <w:color w:val="auto"/>
                <w:kern w:val="0"/>
                <w:szCs w:val="21"/>
                <w:highlight w:val="none"/>
              </w:rPr>
            </w:pPr>
          </w:p>
        </w:tc>
      </w:tr>
    </w:tbl>
    <w:p w14:paraId="5E3D2488">
      <w:pPr>
        <w:jc w:val="left"/>
        <w:rPr>
          <w:rFonts w:hint="eastAsia" w:ascii="宋体" w:hAnsi="宋体"/>
          <w:strike/>
          <w:color w:val="auto"/>
          <w:highlight w:val="none"/>
        </w:rPr>
      </w:pPr>
      <w:r>
        <w:rPr>
          <w:rFonts w:hint="eastAsia" w:ascii="宋体" w:hAnsi="宋体"/>
          <w:strike/>
          <w:color w:val="auto"/>
          <w:highlight w:val="none"/>
        </w:rPr>
        <w:t xml:space="preserve">          评标委员会全体成员签字：</w:t>
      </w:r>
    </w:p>
    <w:p w14:paraId="71D1454C">
      <w:pPr>
        <w:rPr>
          <w:rFonts w:hint="eastAsia" w:ascii="宋体" w:hAnsi="宋体"/>
          <w:color w:val="auto"/>
          <w:highlight w:val="none"/>
        </w:rPr>
      </w:pPr>
    </w:p>
    <w:p w14:paraId="3FEEA9FC">
      <w:pPr>
        <w:pStyle w:val="2"/>
        <w:widowControl/>
        <w:rPr>
          <w:rFonts w:ascii="宋体" w:hAnsi="宋体"/>
          <w:color w:val="auto"/>
          <w:sz w:val="21"/>
          <w:szCs w:val="21"/>
          <w:highlight w:val="none"/>
        </w:rPr>
      </w:pPr>
      <w:r>
        <w:rPr>
          <w:rFonts w:hint="eastAsia" w:ascii="宋体" w:hAnsi="宋体"/>
          <w:color w:val="auto"/>
          <w:sz w:val="21"/>
          <w:szCs w:val="21"/>
          <w:highlight w:val="none"/>
        </w:rPr>
        <w:br w:type="page"/>
      </w:r>
      <w:bookmarkStart w:id="39" w:name="_Toc21094"/>
      <w:r>
        <w:rPr>
          <w:rFonts w:hint="eastAsia" w:ascii="宋体" w:hAnsi="宋体" w:cs="宋体"/>
          <w:color w:val="auto"/>
          <w:sz w:val="21"/>
          <w:szCs w:val="21"/>
          <w:highlight w:val="none"/>
        </w:rPr>
        <w:t>附录</w:t>
      </w:r>
      <w:r>
        <w:rPr>
          <w:rFonts w:hint="eastAsia" w:ascii="宋体" w:hAnsi="宋体"/>
          <w:color w:val="auto"/>
          <w:sz w:val="21"/>
          <w:szCs w:val="21"/>
          <w:highlight w:val="none"/>
        </w:rPr>
        <w:t>12有效性审查表</w:t>
      </w:r>
      <w:bookmarkEnd w:id="39"/>
    </w:p>
    <w:p w14:paraId="65172388">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有效性审查表（</w:t>
      </w:r>
      <w:r>
        <w:rPr>
          <w:rFonts w:hint="eastAsia" w:ascii="宋体" w:hAnsi="宋体" w:cs="宋体"/>
          <w:b/>
          <w:color w:val="auto"/>
          <w:kern w:val="0"/>
          <w:sz w:val="32"/>
          <w:szCs w:val="32"/>
          <w:highlight w:val="none"/>
          <w:lang w:eastAsia="zh-CN"/>
        </w:rPr>
        <w:t>设计</w:t>
      </w:r>
      <w:r>
        <w:rPr>
          <w:rFonts w:hint="eastAsia" w:ascii="宋体" w:hAnsi="宋体" w:cs="宋体"/>
          <w:b/>
          <w:color w:val="auto"/>
          <w:kern w:val="0"/>
          <w:sz w:val="32"/>
          <w:szCs w:val="32"/>
          <w:highlight w:val="none"/>
        </w:rPr>
        <w:t>方案）</w:t>
      </w:r>
    </w:p>
    <w:p w14:paraId="1DDD19C3">
      <w:pPr>
        <w:pStyle w:val="22"/>
        <w:widowControl w:val="0"/>
        <w:spacing w:beforeAutospacing="0" w:afterAutospacing="0"/>
        <w:rPr>
          <w:b/>
          <w:color w:val="auto"/>
          <w:highlight w:val="none"/>
        </w:rPr>
      </w:pPr>
      <w:r>
        <w:rPr>
          <w:rFonts w:cs="宋体"/>
          <w:color w:val="auto"/>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r>
        <w:rPr>
          <w:rFonts w:hint="eastAsia" w:ascii="宋体" w:hAnsi="宋体" w:eastAsia="宋体" w:cs="Times New Roman"/>
          <w:color w:val="auto"/>
          <w:sz w:val="24"/>
          <w:szCs w:val="24"/>
          <w:highlight w:val="none"/>
          <w:u w:val="single"/>
          <w:lang w:val="en-US" w:eastAsia="zh-CN"/>
        </w:rPr>
        <w:t xml:space="preserve">  </w:t>
      </w:r>
      <w:r>
        <w:rPr>
          <w:rFonts w:cs="宋体"/>
          <w:color w:val="auto"/>
          <w:highlight w:val="none"/>
        </w:rPr>
        <w:t>方案编号</w:t>
      </w:r>
      <w:r>
        <w:rPr>
          <w:color w:val="auto"/>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6650"/>
        <w:gridCol w:w="1270"/>
        <w:gridCol w:w="964"/>
        <w:gridCol w:w="2205"/>
        <w:gridCol w:w="2032"/>
      </w:tblGrid>
      <w:tr w14:paraId="1B2B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865BB31">
            <w:pPr>
              <w:pStyle w:val="22"/>
              <w:widowControl w:val="0"/>
              <w:spacing w:beforeAutospacing="0" w:afterAutospacing="0"/>
              <w:jc w:val="center"/>
              <w:rPr>
                <w:color w:val="auto"/>
                <w:kern w:val="2"/>
                <w:highlight w:val="none"/>
              </w:rPr>
            </w:pPr>
            <w:r>
              <w:rPr>
                <w:rFonts w:cs="宋体"/>
                <w:color w:val="auto"/>
                <w:kern w:val="2"/>
                <w:highlight w:val="none"/>
              </w:rPr>
              <w:t>序号</w:t>
            </w:r>
          </w:p>
        </w:tc>
        <w:tc>
          <w:tcPr>
            <w:tcW w:w="665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7D9328F">
            <w:pPr>
              <w:pStyle w:val="22"/>
              <w:widowControl w:val="0"/>
              <w:spacing w:beforeAutospacing="0" w:afterAutospacing="0"/>
              <w:jc w:val="center"/>
              <w:rPr>
                <w:rFonts w:hAnsi="Courier New"/>
                <w:color w:val="auto"/>
                <w:kern w:val="2"/>
                <w:highlight w:val="none"/>
              </w:rPr>
            </w:pPr>
            <w:r>
              <w:rPr>
                <w:rFonts w:cs="宋体"/>
                <w:color w:val="auto"/>
                <w:kern w:val="2"/>
                <w:highlight w:val="none"/>
              </w:rPr>
              <w:t xml:space="preserve">                      投标人名称</w:t>
            </w:r>
          </w:p>
          <w:p w14:paraId="25873576">
            <w:pPr>
              <w:pStyle w:val="22"/>
              <w:widowControl w:val="0"/>
              <w:spacing w:beforeAutospacing="0" w:afterAutospacing="0"/>
              <w:jc w:val="both"/>
              <w:rPr>
                <w:b/>
                <w:color w:val="auto"/>
                <w:kern w:val="2"/>
                <w:highlight w:val="none"/>
              </w:rPr>
            </w:pPr>
            <w:r>
              <w:rPr>
                <w:rFonts w:cs="宋体"/>
                <w:color w:val="auto"/>
                <w:kern w:val="2"/>
                <w:highlight w:val="none"/>
              </w:rPr>
              <w:t>审查项目</w:t>
            </w:r>
          </w:p>
        </w:tc>
        <w:tc>
          <w:tcPr>
            <w:tcW w:w="1270" w:type="dxa"/>
            <w:tcBorders>
              <w:top w:val="single" w:color="auto" w:sz="4" w:space="0"/>
              <w:left w:val="nil"/>
              <w:bottom w:val="single" w:color="auto" w:sz="4" w:space="0"/>
              <w:right w:val="single" w:color="auto" w:sz="4" w:space="0"/>
            </w:tcBorders>
            <w:noWrap w:val="0"/>
            <w:vAlign w:val="top"/>
          </w:tcPr>
          <w:p w14:paraId="0F22CF54">
            <w:pPr>
              <w:pStyle w:val="22"/>
              <w:widowControl w:val="0"/>
              <w:spacing w:beforeAutospacing="0" w:afterAutospacing="0"/>
              <w:jc w:val="center"/>
              <w:rPr>
                <w:b/>
                <w:color w:val="auto"/>
                <w:kern w:val="2"/>
                <w:highlight w:val="none"/>
              </w:rPr>
            </w:pPr>
          </w:p>
        </w:tc>
        <w:tc>
          <w:tcPr>
            <w:tcW w:w="964" w:type="dxa"/>
            <w:tcBorders>
              <w:top w:val="single" w:color="auto" w:sz="4" w:space="0"/>
              <w:left w:val="nil"/>
              <w:bottom w:val="single" w:color="auto" w:sz="4" w:space="0"/>
              <w:right w:val="single" w:color="auto" w:sz="4" w:space="0"/>
            </w:tcBorders>
            <w:noWrap w:val="0"/>
            <w:vAlign w:val="top"/>
          </w:tcPr>
          <w:p w14:paraId="01930927">
            <w:pPr>
              <w:pStyle w:val="22"/>
              <w:widowControl w:val="0"/>
              <w:spacing w:beforeAutospacing="0" w:afterAutospacing="0"/>
              <w:jc w:val="center"/>
              <w:rPr>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D7459D8">
            <w:pPr>
              <w:pStyle w:val="22"/>
              <w:widowControl w:val="0"/>
              <w:spacing w:beforeAutospacing="0" w:afterAutospacing="0"/>
              <w:jc w:val="center"/>
              <w:rPr>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81D199C">
            <w:pPr>
              <w:pStyle w:val="22"/>
              <w:widowControl w:val="0"/>
              <w:spacing w:beforeAutospacing="0" w:afterAutospacing="0"/>
              <w:jc w:val="center"/>
              <w:rPr>
                <w:b/>
                <w:color w:val="auto"/>
                <w:kern w:val="2"/>
                <w:highlight w:val="none"/>
              </w:rPr>
            </w:pPr>
          </w:p>
        </w:tc>
      </w:tr>
      <w:tr w14:paraId="115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4F802BE">
            <w:pPr>
              <w:pStyle w:val="22"/>
              <w:widowControl w:val="0"/>
              <w:spacing w:beforeAutospacing="0" w:afterAutospacing="0"/>
              <w:jc w:val="center"/>
              <w:rPr>
                <w:color w:val="auto"/>
                <w:kern w:val="2"/>
                <w:highlight w:val="none"/>
              </w:rPr>
            </w:pPr>
            <w:r>
              <w:rPr>
                <w:color w:val="auto"/>
                <w:kern w:val="2"/>
                <w:highlight w:val="none"/>
              </w:rPr>
              <w:t>1</w:t>
            </w:r>
          </w:p>
        </w:tc>
        <w:tc>
          <w:tcPr>
            <w:tcW w:w="6650" w:type="dxa"/>
            <w:tcBorders>
              <w:top w:val="single" w:color="auto" w:sz="4" w:space="0"/>
              <w:left w:val="nil"/>
              <w:bottom w:val="single" w:color="auto" w:sz="4" w:space="0"/>
              <w:right w:val="single" w:color="auto" w:sz="4" w:space="0"/>
            </w:tcBorders>
            <w:noWrap w:val="0"/>
            <w:vAlign w:val="center"/>
          </w:tcPr>
          <w:p w14:paraId="096716B5">
            <w:pPr>
              <w:pStyle w:val="22"/>
              <w:widowControl w:val="0"/>
              <w:spacing w:beforeAutospacing="0" w:afterAutospacing="0"/>
              <w:jc w:val="both"/>
              <w:rPr>
                <w:color w:val="auto"/>
                <w:kern w:val="2"/>
                <w:highlight w:val="none"/>
              </w:rPr>
            </w:pPr>
            <w:r>
              <w:rPr>
                <w:rFonts w:cs="宋体"/>
                <w:color w:val="auto"/>
                <w:kern w:val="2"/>
                <w:highlight w:val="none"/>
              </w:rPr>
              <w:t>投标人没有在设计方案内标注名称、印章、商标、图形等记认符号，使人辨认出投标人或其专业技术人员的身份。</w:t>
            </w:r>
          </w:p>
        </w:tc>
        <w:tc>
          <w:tcPr>
            <w:tcW w:w="1270" w:type="dxa"/>
            <w:tcBorders>
              <w:top w:val="single" w:color="auto" w:sz="4" w:space="0"/>
              <w:left w:val="nil"/>
              <w:bottom w:val="single" w:color="auto" w:sz="4" w:space="0"/>
              <w:right w:val="single" w:color="auto" w:sz="4" w:space="0"/>
            </w:tcBorders>
            <w:noWrap w:val="0"/>
            <w:vAlign w:val="top"/>
          </w:tcPr>
          <w:p w14:paraId="2EEA683C">
            <w:pPr>
              <w:pStyle w:val="22"/>
              <w:widowControl w:val="0"/>
              <w:spacing w:beforeAutospacing="0" w:afterAutospacing="0"/>
              <w:jc w:val="center"/>
              <w:rPr>
                <w:b/>
                <w:color w:val="auto"/>
                <w:kern w:val="2"/>
                <w:highlight w:val="none"/>
              </w:rPr>
            </w:pPr>
          </w:p>
        </w:tc>
        <w:tc>
          <w:tcPr>
            <w:tcW w:w="964" w:type="dxa"/>
            <w:tcBorders>
              <w:top w:val="single" w:color="auto" w:sz="4" w:space="0"/>
              <w:left w:val="nil"/>
              <w:bottom w:val="single" w:color="auto" w:sz="4" w:space="0"/>
              <w:right w:val="single" w:color="auto" w:sz="4" w:space="0"/>
            </w:tcBorders>
            <w:noWrap w:val="0"/>
            <w:vAlign w:val="top"/>
          </w:tcPr>
          <w:p w14:paraId="3E6870E9">
            <w:pPr>
              <w:pStyle w:val="22"/>
              <w:widowControl w:val="0"/>
              <w:spacing w:beforeAutospacing="0" w:afterAutospacing="0"/>
              <w:jc w:val="center"/>
              <w:rPr>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A38721">
            <w:pPr>
              <w:pStyle w:val="22"/>
              <w:widowControl w:val="0"/>
              <w:spacing w:beforeAutospacing="0" w:afterAutospacing="0"/>
              <w:jc w:val="center"/>
              <w:rPr>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4A7A62C">
            <w:pPr>
              <w:pStyle w:val="22"/>
              <w:widowControl w:val="0"/>
              <w:spacing w:beforeAutospacing="0" w:afterAutospacing="0"/>
              <w:jc w:val="center"/>
              <w:rPr>
                <w:b/>
                <w:color w:val="auto"/>
                <w:kern w:val="2"/>
                <w:highlight w:val="none"/>
              </w:rPr>
            </w:pPr>
          </w:p>
        </w:tc>
      </w:tr>
      <w:tr w14:paraId="08C4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9865B90">
            <w:pPr>
              <w:pStyle w:val="22"/>
              <w:widowControl w:val="0"/>
              <w:spacing w:beforeAutospacing="0" w:afterAutospacing="0"/>
              <w:jc w:val="center"/>
              <w:rPr>
                <w:color w:val="auto"/>
                <w:kern w:val="2"/>
                <w:highlight w:val="none"/>
              </w:rPr>
            </w:pPr>
            <w:r>
              <w:rPr>
                <w:color w:val="auto"/>
                <w:kern w:val="2"/>
                <w:highlight w:val="none"/>
              </w:rPr>
              <w:t>2</w:t>
            </w:r>
          </w:p>
        </w:tc>
        <w:tc>
          <w:tcPr>
            <w:tcW w:w="6650" w:type="dxa"/>
            <w:tcBorders>
              <w:top w:val="single" w:color="auto" w:sz="4" w:space="0"/>
              <w:left w:val="nil"/>
              <w:bottom w:val="single" w:color="auto" w:sz="4" w:space="0"/>
              <w:right w:val="single" w:color="auto" w:sz="4" w:space="0"/>
            </w:tcBorders>
            <w:noWrap w:val="0"/>
            <w:vAlign w:val="center"/>
          </w:tcPr>
          <w:p w14:paraId="7566F772">
            <w:pPr>
              <w:pStyle w:val="22"/>
              <w:widowControl w:val="0"/>
              <w:spacing w:beforeAutospacing="0" w:afterAutospacing="0"/>
              <w:jc w:val="both"/>
              <w:rPr>
                <w:color w:val="auto"/>
                <w:kern w:val="2"/>
                <w:highlight w:val="none"/>
              </w:rPr>
            </w:pPr>
            <w:r>
              <w:rPr>
                <w:rFonts w:cs="宋体"/>
                <w:color w:val="auto"/>
                <w:kern w:val="2"/>
                <w:highlight w:val="none"/>
              </w:rPr>
              <w:t>投标人与招标人、评标委员会成员或者其他投标人无串通投标。</w:t>
            </w:r>
          </w:p>
        </w:tc>
        <w:tc>
          <w:tcPr>
            <w:tcW w:w="1270" w:type="dxa"/>
            <w:tcBorders>
              <w:top w:val="single" w:color="auto" w:sz="4" w:space="0"/>
              <w:left w:val="nil"/>
              <w:bottom w:val="single" w:color="auto" w:sz="4" w:space="0"/>
              <w:right w:val="single" w:color="auto" w:sz="4" w:space="0"/>
            </w:tcBorders>
            <w:noWrap w:val="0"/>
            <w:vAlign w:val="top"/>
          </w:tcPr>
          <w:p w14:paraId="31A3FA46">
            <w:pPr>
              <w:pStyle w:val="22"/>
              <w:widowControl w:val="0"/>
              <w:spacing w:beforeAutospacing="0" w:afterAutospacing="0"/>
              <w:jc w:val="center"/>
              <w:rPr>
                <w:b/>
                <w:color w:val="auto"/>
                <w:kern w:val="2"/>
                <w:highlight w:val="none"/>
              </w:rPr>
            </w:pPr>
          </w:p>
        </w:tc>
        <w:tc>
          <w:tcPr>
            <w:tcW w:w="964" w:type="dxa"/>
            <w:tcBorders>
              <w:top w:val="single" w:color="auto" w:sz="4" w:space="0"/>
              <w:left w:val="nil"/>
              <w:bottom w:val="single" w:color="auto" w:sz="4" w:space="0"/>
              <w:right w:val="single" w:color="auto" w:sz="4" w:space="0"/>
            </w:tcBorders>
            <w:noWrap w:val="0"/>
            <w:vAlign w:val="top"/>
          </w:tcPr>
          <w:p w14:paraId="29E0D28E">
            <w:pPr>
              <w:pStyle w:val="22"/>
              <w:widowControl w:val="0"/>
              <w:spacing w:beforeAutospacing="0" w:afterAutospacing="0"/>
              <w:jc w:val="center"/>
              <w:rPr>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CB45117">
            <w:pPr>
              <w:pStyle w:val="22"/>
              <w:widowControl w:val="0"/>
              <w:spacing w:beforeAutospacing="0" w:afterAutospacing="0"/>
              <w:jc w:val="center"/>
              <w:rPr>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D4B9A67">
            <w:pPr>
              <w:pStyle w:val="22"/>
              <w:widowControl w:val="0"/>
              <w:spacing w:beforeAutospacing="0" w:afterAutospacing="0"/>
              <w:jc w:val="center"/>
              <w:rPr>
                <w:b/>
                <w:color w:val="auto"/>
                <w:kern w:val="2"/>
                <w:highlight w:val="none"/>
              </w:rPr>
            </w:pPr>
          </w:p>
        </w:tc>
      </w:tr>
      <w:tr w14:paraId="07D0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36A7CBB">
            <w:pPr>
              <w:pStyle w:val="22"/>
              <w:widowControl w:val="0"/>
              <w:spacing w:beforeAutospacing="0" w:afterAutospacing="0"/>
              <w:jc w:val="center"/>
              <w:rPr>
                <w:color w:val="auto"/>
                <w:kern w:val="2"/>
                <w:highlight w:val="none"/>
              </w:rPr>
            </w:pPr>
            <w:r>
              <w:rPr>
                <w:color w:val="auto"/>
                <w:kern w:val="2"/>
                <w:highlight w:val="none"/>
              </w:rPr>
              <w:t>3</w:t>
            </w:r>
          </w:p>
        </w:tc>
        <w:tc>
          <w:tcPr>
            <w:tcW w:w="6650" w:type="dxa"/>
            <w:tcBorders>
              <w:top w:val="single" w:color="auto" w:sz="4" w:space="0"/>
              <w:left w:val="nil"/>
              <w:bottom w:val="single" w:color="auto" w:sz="4" w:space="0"/>
              <w:right w:val="single" w:color="auto" w:sz="4" w:space="0"/>
            </w:tcBorders>
            <w:noWrap w:val="0"/>
            <w:vAlign w:val="center"/>
          </w:tcPr>
          <w:p w14:paraId="15D77743">
            <w:pPr>
              <w:pStyle w:val="22"/>
              <w:widowControl w:val="0"/>
              <w:spacing w:beforeAutospacing="0" w:afterAutospacing="0"/>
              <w:jc w:val="both"/>
              <w:rPr>
                <w:color w:val="auto"/>
                <w:kern w:val="2"/>
                <w:highlight w:val="none"/>
              </w:rPr>
            </w:pPr>
            <w:r>
              <w:rPr>
                <w:rFonts w:cs="宋体"/>
                <w:color w:val="auto"/>
                <w:kern w:val="2"/>
                <w:highlight w:val="none"/>
              </w:rPr>
              <w:t>投标人之间不存在《广东省实施</w:t>
            </w:r>
            <w:r>
              <w:rPr>
                <w:color w:val="auto"/>
                <w:kern w:val="2"/>
                <w:highlight w:val="none"/>
              </w:rPr>
              <w:t>&lt;</w:t>
            </w:r>
            <w:r>
              <w:rPr>
                <w:rFonts w:cs="宋体"/>
                <w:color w:val="auto"/>
                <w:kern w:val="2"/>
                <w:highlight w:val="none"/>
              </w:rPr>
              <w:t>中华人民共和国招标投标法</w:t>
            </w:r>
            <w:r>
              <w:rPr>
                <w:color w:val="auto"/>
                <w:kern w:val="2"/>
                <w:highlight w:val="none"/>
              </w:rPr>
              <w:t>&gt;</w:t>
            </w:r>
            <w:r>
              <w:rPr>
                <w:rFonts w:hint="eastAsia"/>
                <w:color w:val="auto"/>
                <w:kern w:val="2"/>
                <w:highlight w:val="none"/>
                <w:lang w:val="en-US" w:eastAsia="zh-CN"/>
              </w:rPr>
              <w:t>办法</w:t>
            </w:r>
            <w:r>
              <w:rPr>
                <w:rFonts w:cs="宋体"/>
                <w:color w:val="auto"/>
                <w:kern w:val="2"/>
                <w:highlight w:val="none"/>
              </w:rPr>
              <w:t>》第十六条所禁止的情形的。</w:t>
            </w:r>
          </w:p>
        </w:tc>
        <w:tc>
          <w:tcPr>
            <w:tcW w:w="1270" w:type="dxa"/>
            <w:tcBorders>
              <w:top w:val="single" w:color="auto" w:sz="4" w:space="0"/>
              <w:left w:val="nil"/>
              <w:bottom w:val="single" w:color="auto" w:sz="4" w:space="0"/>
              <w:right w:val="single" w:color="auto" w:sz="4" w:space="0"/>
            </w:tcBorders>
            <w:noWrap w:val="0"/>
            <w:vAlign w:val="top"/>
          </w:tcPr>
          <w:p w14:paraId="42C43B50">
            <w:pPr>
              <w:pStyle w:val="22"/>
              <w:widowControl w:val="0"/>
              <w:spacing w:beforeAutospacing="0" w:afterAutospacing="0"/>
              <w:jc w:val="center"/>
              <w:rPr>
                <w:b/>
                <w:color w:val="auto"/>
                <w:kern w:val="2"/>
                <w:highlight w:val="none"/>
              </w:rPr>
            </w:pPr>
          </w:p>
        </w:tc>
        <w:tc>
          <w:tcPr>
            <w:tcW w:w="964" w:type="dxa"/>
            <w:tcBorders>
              <w:top w:val="single" w:color="auto" w:sz="4" w:space="0"/>
              <w:left w:val="nil"/>
              <w:bottom w:val="single" w:color="auto" w:sz="4" w:space="0"/>
              <w:right w:val="single" w:color="auto" w:sz="4" w:space="0"/>
            </w:tcBorders>
            <w:noWrap w:val="0"/>
            <w:vAlign w:val="top"/>
          </w:tcPr>
          <w:p w14:paraId="0AEC6C37">
            <w:pPr>
              <w:pStyle w:val="22"/>
              <w:widowControl w:val="0"/>
              <w:spacing w:beforeAutospacing="0" w:afterAutospacing="0"/>
              <w:jc w:val="center"/>
              <w:rPr>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24B904C">
            <w:pPr>
              <w:pStyle w:val="22"/>
              <w:widowControl w:val="0"/>
              <w:spacing w:beforeAutospacing="0" w:afterAutospacing="0"/>
              <w:jc w:val="center"/>
              <w:rPr>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32DF1CA">
            <w:pPr>
              <w:pStyle w:val="22"/>
              <w:widowControl w:val="0"/>
              <w:spacing w:beforeAutospacing="0" w:afterAutospacing="0"/>
              <w:jc w:val="center"/>
              <w:rPr>
                <w:b/>
                <w:color w:val="auto"/>
                <w:kern w:val="2"/>
                <w:highlight w:val="none"/>
              </w:rPr>
            </w:pPr>
          </w:p>
        </w:tc>
      </w:tr>
      <w:tr w14:paraId="27FC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7A5E696">
            <w:pPr>
              <w:pStyle w:val="22"/>
              <w:widowControl w:val="0"/>
              <w:spacing w:beforeAutospacing="0" w:afterAutospacing="0"/>
              <w:jc w:val="center"/>
              <w:rPr>
                <w:rFonts w:cs="宋体"/>
                <w:color w:val="auto"/>
                <w:kern w:val="2"/>
                <w:highlight w:val="none"/>
              </w:rPr>
            </w:pPr>
            <w:r>
              <w:rPr>
                <w:rFonts w:cs="宋体"/>
                <w:color w:val="auto"/>
                <w:kern w:val="2"/>
                <w:highlight w:val="none"/>
              </w:rPr>
              <w:t>结论</w:t>
            </w:r>
          </w:p>
        </w:tc>
        <w:tc>
          <w:tcPr>
            <w:tcW w:w="6650" w:type="dxa"/>
            <w:tcBorders>
              <w:top w:val="single" w:color="auto" w:sz="4" w:space="0"/>
              <w:left w:val="nil"/>
              <w:bottom w:val="single" w:color="auto" w:sz="4" w:space="0"/>
              <w:right w:val="single" w:color="auto" w:sz="4" w:space="0"/>
            </w:tcBorders>
            <w:noWrap w:val="0"/>
            <w:vAlign w:val="center"/>
          </w:tcPr>
          <w:p w14:paraId="6393014E">
            <w:pPr>
              <w:pStyle w:val="22"/>
              <w:widowControl w:val="0"/>
              <w:spacing w:beforeAutospacing="0" w:afterAutospacing="0"/>
              <w:jc w:val="both"/>
              <w:rPr>
                <w:rFonts w:cs="宋体"/>
                <w:color w:val="auto"/>
                <w:kern w:val="2"/>
                <w:highlight w:val="none"/>
              </w:rPr>
            </w:pPr>
            <w:r>
              <w:rPr>
                <w:rFonts w:cs="宋体"/>
                <w:color w:val="auto"/>
                <w:kern w:val="2"/>
                <w:highlight w:val="none"/>
              </w:rPr>
              <w:t>是否通过并进入下一阶段评审</w:t>
            </w:r>
          </w:p>
        </w:tc>
        <w:tc>
          <w:tcPr>
            <w:tcW w:w="1270" w:type="dxa"/>
            <w:tcBorders>
              <w:top w:val="single" w:color="auto" w:sz="4" w:space="0"/>
              <w:left w:val="nil"/>
              <w:bottom w:val="single" w:color="auto" w:sz="4" w:space="0"/>
              <w:right w:val="single" w:color="auto" w:sz="4" w:space="0"/>
            </w:tcBorders>
            <w:noWrap w:val="0"/>
            <w:vAlign w:val="top"/>
          </w:tcPr>
          <w:p w14:paraId="2213F8DF">
            <w:pPr>
              <w:pStyle w:val="22"/>
              <w:widowControl w:val="0"/>
              <w:spacing w:beforeAutospacing="0" w:afterAutospacing="0"/>
              <w:jc w:val="center"/>
              <w:rPr>
                <w:b/>
                <w:color w:val="auto"/>
                <w:kern w:val="2"/>
                <w:highlight w:val="none"/>
              </w:rPr>
            </w:pPr>
          </w:p>
        </w:tc>
        <w:tc>
          <w:tcPr>
            <w:tcW w:w="964" w:type="dxa"/>
            <w:tcBorders>
              <w:top w:val="single" w:color="auto" w:sz="4" w:space="0"/>
              <w:left w:val="nil"/>
              <w:bottom w:val="single" w:color="auto" w:sz="4" w:space="0"/>
              <w:right w:val="single" w:color="auto" w:sz="4" w:space="0"/>
            </w:tcBorders>
            <w:noWrap w:val="0"/>
            <w:vAlign w:val="top"/>
          </w:tcPr>
          <w:p w14:paraId="359BACBD">
            <w:pPr>
              <w:pStyle w:val="22"/>
              <w:widowControl w:val="0"/>
              <w:spacing w:beforeAutospacing="0" w:afterAutospacing="0"/>
              <w:jc w:val="center"/>
              <w:rPr>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6F8B64D">
            <w:pPr>
              <w:pStyle w:val="22"/>
              <w:widowControl w:val="0"/>
              <w:spacing w:beforeAutospacing="0" w:afterAutospacing="0"/>
              <w:jc w:val="center"/>
              <w:rPr>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2F6A593">
            <w:pPr>
              <w:pStyle w:val="22"/>
              <w:widowControl w:val="0"/>
              <w:spacing w:beforeAutospacing="0" w:afterAutospacing="0"/>
              <w:jc w:val="center"/>
              <w:rPr>
                <w:b/>
                <w:color w:val="auto"/>
                <w:kern w:val="2"/>
                <w:highlight w:val="none"/>
              </w:rPr>
            </w:pPr>
          </w:p>
        </w:tc>
      </w:tr>
    </w:tbl>
    <w:p w14:paraId="64283E5B">
      <w:pPr>
        <w:snapToGrid w:val="0"/>
        <w:spacing w:before="156" w:beforeLines="50" w:line="240" w:lineRule="exact"/>
        <w:rPr>
          <w:rFonts w:ascii="宋体" w:hAnsi="Courier New"/>
          <w:color w:val="auto"/>
          <w:sz w:val="24"/>
          <w:highlight w:val="none"/>
        </w:rPr>
      </w:pPr>
      <w:r>
        <w:rPr>
          <w:rFonts w:hint="eastAsia" w:ascii="宋体" w:hAnsi="宋体" w:cs="宋体"/>
          <w:color w:val="auto"/>
          <w:sz w:val="24"/>
          <w:highlight w:val="none"/>
        </w:rPr>
        <w:t>备注：1、根据本表的审查项目，填“</w:t>
      </w:r>
      <w:r>
        <w:rPr>
          <w:rFonts w:hint="eastAsia" w:ascii="宋体" w:hAnsi="宋体" w:cs="宋体"/>
          <w:color w:val="auto"/>
          <w:sz w:val="24"/>
          <w:highlight w:val="none"/>
          <w:lang w:eastAsia="zh-CN"/>
        </w:rPr>
        <w:t>通过</w:t>
      </w:r>
      <w:r>
        <w:rPr>
          <w:rFonts w:hint="eastAsia" w:ascii="宋体" w:hAnsi="宋体" w:cs="宋体"/>
          <w:color w:val="auto"/>
          <w:sz w:val="24"/>
          <w:highlight w:val="none"/>
        </w:rPr>
        <w:t>”或“</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w:t>
      </w:r>
    </w:p>
    <w:p w14:paraId="4A5430E0">
      <w:pPr>
        <w:snapToGrid w:val="0"/>
        <w:spacing w:before="156" w:beforeLines="50" w:line="240" w:lineRule="exact"/>
        <w:rPr>
          <w:rFonts w:hint="eastAsia" w:ascii="宋体" w:hAnsi="宋体" w:cs="宋体"/>
          <w:color w:val="auto"/>
          <w:sz w:val="24"/>
          <w:highlight w:val="none"/>
        </w:rPr>
      </w:pPr>
      <w:r>
        <w:rPr>
          <w:rFonts w:hint="eastAsia" w:ascii="宋体" w:hAnsi="宋体" w:cs="宋体"/>
          <w:color w:val="auto"/>
          <w:sz w:val="24"/>
          <w:highlight w:val="none"/>
        </w:rPr>
        <w:t>2、表中出现一个或以上“</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”，即该投标人的评审“结论”为“</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”，即该投标人不进入下一阶段评审。</w:t>
      </w:r>
    </w:p>
    <w:p w14:paraId="53C85487">
      <w:pPr>
        <w:snapToGrid w:val="0"/>
        <w:spacing w:before="156" w:beforeLines="50" w:line="240" w:lineRule="exact"/>
        <w:rPr>
          <w:rFonts w:hint="eastAsia" w:ascii="宋体" w:hAnsi="宋体" w:cs="宋体"/>
          <w:color w:val="auto"/>
          <w:sz w:val="24"/>
          <w:highlight w:val="none"/>
        </w:rPr>
      </w:pPr>
      <w:r>
        <w:rPr>
          <w:rFonts w:hint="eastAsia" w:ascii="宋体" w:hAnsi="宋体" w:cs="宋体"/>
          <w:color w:val="auto"/>
          <w:sz w:val="24"/>
          <w:highlight w:val="none"/>
        </w:rPr>
        <w:t>3、表中全部评审结果为“</w:t>
      </w:r>
      <w:r>
        <w:rPr>
          <w:rFonts w:hint="eastAsia" w:ascii="宋体" w:hAnsi="宋体" w:cs="宋体"/>
          <w:color w:val="auto"/>
          <w:sz w:val="24"/>
          <w:highlight w:val="none"/>
          <w:lang w:eastAsia="zh-CN"/>
        </w:rPr>
        <w:t>通过</w:t>
      </w:r>
      <w:r>
        <w:rPr>
          <w:rFonts w:hint="eastAsia" w:ascii="宋体" w:hAnsi="宋体" w:cs="宋体"/>
          <w:color w:val="auto"/>
          <w:sz w:val="24"/>
          <w:highlight w:val="none"/>
        </w:rPr>
        <w:t>”，视为同意进入下一阶段评审。</w:t>
      </w:r>
    </w:p>
    <w:p w14:paraId="28DA9848">
      <w:pPr>
        <w:snapToGrid w:val="0"/>
        <w:spacing w:before="156" w:beforeLines="50" w:line="240" w:lineRule="exact"/>
        <w:rPr>
          <w:rFonts w:hint="eastAsia" w:ascii="宋体" w:hAnsi="宋体" w:cs="宋体"/>
          <w:color w:val="auto"/>
          <w:sz w:val="24"/>
          <w:highlight w:val="none"/>
        </w:rPr>
      </w:pPr>
      <w:r>
        <w:rPr>
          <w:rFonts w:hint="eastAsia" w:ascii="宋体" w:hAnsi="宋体" w:cs="宋体"/>
          <w:color w:val="auto"/>
          <w:sz w:val="24"/>
          <w:highlight w:val="none"/>
        </w:rPr>
        <w:t>4、若评委意见不一致时，则按少数服从多数的原则，决定该投标人是否通过有效性审查，进入下一阶段评审。</w:t>
      </w:r>
    </w:p>
    <w:p w14:paraId="5ECD0CCD">
      <w:pPr>
        <w:snapToGrid w:val="0"/>
        <w:rPr>
          <w:rFonts w:cs="宋体"/>
          <w:color w:val="auto"/>
          <w:highlight w:val="none"/>
        </w:rPr>
      </w:pPr>
    </w:p>
    <w:p w14:paraId="576203A4">
      <w:pPr>
        <w:snapToGrid w:val="0"/>
        <w:rPr>
          <w:rFonts w:cs="宋体"/>
          <w:color w:val="auto"/>
          <w:sz w:val="24"/>
          <w:highlight w:val="none"/>
        </w:rPr>
      </w:pPr>
      <w:r>
        <w:rPr>
          <w:rFonts w:cs="宋体"/>
          <w:color w:val="auto"/>
          <w:sz w:val="24"/>
          <w:highlight w:val="none"/>
        </w:rPr>
        <w:t>评委签名：</w:t>
      </w:r>
      <w:r>
        <w:rPr>
          <w:rFonts w:hint="eastAsia" w:cs="宋体"/>
          <w:color w:val="auto"/>
          <w:sz w:val="24"/>
          <w:highlight w:val="none"/>
        </w:rPr>
        <w:t xml:space="preserve">                                                                           </w:t>
      </w:r>
      <w:r>
        <w:rPr>
          <w:rFonts w:cs="宋体"/>
          <w:color w:val="auto"/>
          <w:sz w:val="24"/>
          <w:highlight w:val="none"/>
        </w:rPr>
        <w:t>日期：</w:t>
      </w:r>
      <w:r>
        <w:rPr>
          <w:rFonts w:hint="eastAsia" w:cs="宋体"/>
          <w:color w:val="auto"/>
          <w:sz w:val="24"/>
          <w:highlight w:val="none"/>
        </w:rPr>
        <w:t xml:space="preserve">  </w:t>
      </w:r>
      <w:r>
        <w:rPr>
          <w:rFonts w:cs="宋体"/>
          <w:color w:val="auto"/>
          <w:sz w:val="24"/>
          <w:highlight w:val="none"/>
        </w:rPr>
        <w:t>年</w:t>
      </w:r>
      <w:r>
        <w:rPr>
          <w:rFonts w:hint="eastAsia" w:cs="宋体"/>
          <w:color w:val="auto"/>
          <w:sz w:val="24"/>
          <w:highlight w:val="none"/>
        </w:rPr>
        <w:t xml:space="preserve">  </w:t>
      </w:r>
      <w:r>
        <w:rPr>
          <w:rFonts w:cs="宋体"/>
          <w:color w:val="auto"/>
          <w:sz w:val="24"/>
          <w:highlight w:val="none"/>
        </w:rPr>
        <w:t>月</w:t>
      </w:r>
      <w:r>
        <w:rPr>
          <w:rFonts w:hint="eastAsia" w:cs="宋体"/>
          <w:color w:val="auto"/>
          <w:sz w:val="24"/>
          <w:highlight w:val="none"/>
        </w:rPr>
        <w:t xml:space="preserve">   </w:t>
      </w:r>
      <w:r>
        <w:rPr>
          <w:rFonts w:cs="宋体"/>
          <w:color w:val="auto"/>
          <w:sz w:val="24"/>
          <w:highlight w:val="none"/>
        </w:rPr>
        <w:t>日</w:t>
      </w:r>
    </w:p>
    <w:p w14:paraId="1B227FB9">
      <w:pPr>
        <w:widowControl/>
        <w:jc w:val="left"/>
        <w:rPr>
          <w:rFonts w:cs="宋体"/>
          <w:color w:val="auto"/>
          <w:szCs w:val="21"/>
          <w:highlight w:val="none"/>
        </w:rPr>
      </w:pPr>
      <w:r>
        <w:rPr>
          <w:rFonts w:cs="宋体"/>
          <w:color w:val="auto"/>
          <w:szCs w:val="21"/>
          <w:highlight w:val="none"/>
        </w:rPr>
        <w:br w:type="page"/>
      </w:r>
    </w:p>
    <w:p w14:paraId="79106371">
      <w:pPr>
        <w:snapToGrid w:val="0"/>
        <w:jc w:val="center"/>
        <w:rPr>
          <w:rFonts w:ascii="宋体" w:hAnsi="Courier New"/>
          <w:color w:val="auto"/>
          <w:sz w:val="24"/>
          <w:highlight w:val="none"/>
        </w:rPr>
      </w:pPr>
      <w:r>
        <w:rPr>
          <w:rFonts w:cs="宋体"/>
          <w:b/>
          <w:color w:val="auto"/>
          <w:sz w:val="32"/>
          <w:szCs w:val="32"/>
          <w:highlight w:val="none"/>
        </w:rPr>
        <w:t>有效性审查表（非</w:t>
      </w:r>
      <w:r>
        <w:rPr>
          <w:rFonts w:hint="eastAsia" w:cs="宋体"/>
          <w:b/>
          <w:color w:val="auto"/>
          <w:sz w:val="32"/>
          <w:szCs w:val="32"/>
          <w:highlight w:val="none"/>
          <w:lang w:eastAsia="zh-CN"/>
        </w:rPr>
        <w:t>设计</w:t>
      </w:r>
      <w:r>
        <w:rPr>
          <w:rFonts w:cs="宋体"/>
          <w:b/>
          <w:color w:val="auto"/>
          <w:sz w:val="32"/>
          <w:szCs w:val="32"/>
          <w:highlight w:val="none"/>
        </w:rPr>
        <w:t>方案）</w:t>
      </w:r>
    </w:p>
    <w:p w14:paraId="680A5C7D">
      <w:pPr>
        <w:pStyle w:val="22"/>
        <w:widowControl w:val="0"/>
        <w:spacing w:beforeAutospacing="0" w:afterAutospacing="0"/>
        <w:rPr>
          <w:b/>
          <w:color w:val="auto"/>
          <w:highlight w:val="none"/>
        </w:rPr>
      </w:pPr>
      <w:r>
        <w:rPr>
          <w:rFonts w:cs="宋体"/>
          <w:color w:val="auto"/>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r>
        <w:rPr>
          <w:rFonts w:hint="eastAsia" w:ascii="宋体" w:hAnsi="宋体" w:eastAsia="宋体" w:cs="Times New Roman"/>
          <w:color w:val="auto"/>
          <w:sz w:val="24"/>
          <w:szCs w:val="24"/>
          <w:highlight w:val="none"/>
          <w:u w:val="single"/>
          <w:lang w:val="en-US" w:eastAsia="zh-CN"/>
        </w:rPr>
        <w:t xml:space="preserve">  </w:t>
      </w:r>
      <w:r>
        <w:rPr>
          <w:rFonts w:cs="宋体"/>
          <w:color w:val="auto"/>
          <w:highlight w:val="none"/>
        </w:rPr>
        <w:t>方案编号:</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0122"/>
        <w:gridCol w:w="983"/>
        <w:gridCol w:w="992"/>
        <w:gridCol w:w="964"/>
      </w:tblGrid>
      <w:tr w14:paraId="697F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4E5AC5BF">
            <w:pPr>
              <w:pStyle w:val="22"/>
              <w:widowControl w:val="0"/>
              <w:spacing w:beforeAutospacing="0" w:afterAutospacing="0"/>
              <w:jc w:val="center"/>
              <w:rPr>
                <w:color w:val="auto"/>
                <w:kern w:val="2"/>
                <w:highlight w:val="none"/>
              </w:rPr>
            </w:pPr>
            <w:r>
              <w:rPr>
                <w:rFonts w:cs="宋体"/>
                <w:color w:val="auto"/>
                <w:kern w:val="2"/>
                <w:highlight w:val="none"/>
              </w:rPr>
              <w:t>序号</w:t>
            </w:r>
          </w:p>
        </w:tc>
        <w:tc>
          <w:tcPr>
            <w:tcW w:w="3572"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B7023B9">
            <w:pPr>
              <w:pStyle w:val="22"/>
              <w:widowControl w:val="0"/>
              <w:spacing w:beforeAutospacing="0" w:afterAutospacing="0"/>
              <w:jc w:val="center"/>
              <w:rPr>
                <w:rFonts w:hAnsi="Courier New"/>
                <w:color w:val="auto"/>
                <w:kern w:val="2"/>
                <w:highlight w:val="none"/>
              </w:rPr>
            </w:pPr>
            <w:r>
              <w:rPr>
                <w:rFonts w:cs="宋体"/>
                <w:color w:val="auto"/>
                <w:kern w:val="2"/>
                <w:highlight w:val="none"/>
              </w:rPr>
              <w:t xml:space="preserve">                      投标人名称</w:t>
            </w:r>
          </w:p>
          <w:p w14:paraId="14C0404E">
            <w:pPr>
              <w:pStyle w:val="22"/>
              <w:widowControl w:val="0"/>
              <w:spacing w:beforeAutospacing="0" w:afterAutospacing="0"/>
              <w:jc w:val="both"/>
              <w:rPr>
                <w:b/>
                <w:color w:val="auto"/>
                <w:kern w:val="2"/>
                <w:highlight w:val="none"/>
              </w:rPr>
            </w:pPr>
            <w:r>
              <w:rPr>
                <w:rFonts w:cs="宋体"/>
                <w:color w:val="auto"/>
                <w:kern w:val="2"/>
                <w:highlight w:val="none"/>
              </w:rPr>
              <w:t>审查项目</w:t>
            </w:r>
          </w:p>
        </w:tc>
        <w:tc>
          <w:tcPr>
            <w:tcW w:w="347" w:type="pct"/>
            <w:tcBorders>
              <w:top w:val="single" w:color="auto" w:sz="4" w:space="0"/>
              <w:left w:val="nil"/>
              <w:bottom w:val="single" w:color="auto" w:sz="4" w:space="0"/>
              <w:right w:val="single" w:color="auto" w:sz="4" w:space="0"/>
            </w:tcBorders>
            <w:noWrap w:val="0"/>
            <w:vAlign w:val="top"/>
          </w:tcPr>
          <w:p w14:paraId="5DF9A6CA">
            <w:pPr>
              <w:pStyle w:val="22"/>
              <w:widowControl w:val="0"/>
              <w:spacing w:beforeAutospacing="0" w:afterAutospacing="0"/>
              <w:jc w:val="center"/>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0795B499">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31CCA6F5">
            <w:pPr>
              <w:pStyle w:val="22"/>
              <w:widowControl w:val="0"/>
              <w:spacing w:beforeAutospacing="0" w:afterAutospacing="0"/>
              <w:jc w:val="center"/>
              <w:rPr>
                <w:b/>
                <w:color w:val="auto"/>
                <w:kern w:val="2"/>
                <w:highlight w:val="none"/>
              </w:rPr>
            </w:pPr>
          </w:p>
        </w:tc>
      </w:tr>
      <w:tr w14:paraId="5073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331679C2">
            <w:pPr>
              <w:pStyle w:val="22"/>
              <w:widowControl w:val="0"/>
              <w:spacing w:beforeAutospacing="0" w:afterAutospacing="0"/>
              <w:jc w:val="center"/>
              <w:rPr>
                <w:color w:val="auto"/>
                <w:kern w:val="2"/>
                <w:highlight w:val="none"/>
              </w:rPr>
            </w:pPr>
            <w:r>
              <w:rPr>
                <w:rFonts w:cs="宋体"/>
                <w:color w:val="auto"/>
                <w:kern w:val="2"/>
                <w:highlight w:val="none"/>
              </w:rPr>
              <w:t>1</w:t>
            </w:r>
          </w:p>
        </w:tc>
        <w:tc>
          <w:tcPr>
            <w:tcW w:w="3572" w:type="pct"/>
            <w:tcBorders>
              <w:top w:val="single" w:color="auto" w:sz="4" w:space="0"/>
              <w:left w:val="nil"/>
              <w:bottom w:val="single" w:color="auto" w:sz="4" w:space="0"/>
              <w:right w:val="single" w:color="auto" w:sz="4" w:space="0"/>
            </w:tcBorders>
            <w:noWrap w:val="0"/>
            <w:vAlign w:val="center"/>
          </w:tcPr>
          <w:p w14:paraId="79FB9BE7">
            <w:pPr>
              <w:pStyle w:val="22"/>
              <w:widowControl w:val="0"/>
              <w:spacing w:beforeAutospacing="0" w:afterAutospacing="0"/>
              <w:jc w:val="both"/>
              <w:rPr>
                <w:rFonts w:hint="eastAsia" w:eastAsia="宋体"/>
                <w:color w:val="auto"/>
                <w:kern w:val="2"/>
                <w:highlight w:val="none"/>
                <w:lang w:eastAsia="zh-CN"/>
              </w:rPr>
            </w:pPr>
            <w:r>
              <w:rPr>
                <w:rFonts w:cs="宋体"/>
                <w:color w:val="auto"/>
                <w:kern w:val="2"/>
                <w:highlight w:val="none"/>
              </w:rPr>
              <w:t>投标人之间不存在《广东省实施&lt;中华人民共和国招标投标法&gt;</w:t>
            </w:r>
            <w:r>
              <w:rPr>
                <w:rFonts w:hint="eastAsia" w:cs="宋体"/>
                <w:color w:val="auto"/>
                <w:kern w:val="2"/>
                <w:highlight w:val="none"/>
                <w:lang w:val="en-US" w:eastAsia="zh-CN"/>
              </w:rPr>
              <w:t>办法</w:t>
            </w:r>
            <w:r>
              <w:rPr>
                <w:rFonts w:cs="宋体"/>
                <w:color w:val="auto"/>
                <w:kern w:val="2"/>
                <w:highlight w:val="none"/>
              </w:rPr>
              <w:t>》第十六条所禁止的情形的</w:t>
            </w:r>
            <w:r>
              <w:rPr>
                <w:rFonts w:hint="eastAsia" w:cs="宋体"/>
                <w:color w:val="auto"/>
                <w:kern w:val="2"/>
                <w:highlight w:val="none"/>
                <w:lang w:eastAsia="zh-CN"/>
              </w:rPr>
              <w:t>。</w:t>
            </w:r>
          </w:p>
        </w:tc>
        <w:tc>
          <w:tcPr>
            <w:tcW w:w="347" w:type="pct"/>
            <w:tcBorders>
              <w:top w:val="single" w:color="auto" w:sz="4" w:space="0"/>
              <w:left w:val="nil"/>
              <w:bottom w:val="single" w:color="auto" w:sz="4" w:space="0"/>
              <w:right w:val="single" w:color="auto" w:sz="4" w:space="0"/>
            </w:tcBorders>
            <w:noWrap w:val="0"/>
            <w:vAlign w:val="top"/>
          </w:tcPr>
          <w:p w14:paraId="442CA4D1">
            <w:pPr>
              <w:pStyle w:val="22"/>
              <w:widowControl w:val="0"/>
              <w:spacing w:beforeAutospacing="0" w:afterAutospacing="0"/>
              <w:jc w:val="center"/>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091DCF8B">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221C5B42">
            <w:pPr>
              <w:pStyle w:val="22"/>
              <w:widowControl w:val="0"/>
              <w:spacing w:beforeAutospacing="0" w:afterAutospacing="0"/>
              <w:jc w:val="center"/>
              <w:rPr>
                <w:b/>
                <w:color w:val="auto"/>
                <w:kern w:val="2"/>
                <w:highlight w:val="none"/>
              </w:rPr>
            </w:pPr>
          </w:p>
        </w:tc>
      </w:tr>
      <w:tr w14:paraId="5642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7B6E8DEC">
            <w:pPr>
              <w:pStyle w:val="22"/>
              <w:widowControl w:val="0"/>
              <w:spacing w:beforeAutospacing="0" w:afterAutospacing="0"/>
              <w:jc w:val="center"/>
              <w:rPr>
                <w:color w:val="auto"/>
                <w:kern w:val="2"/>
                <w:highlight w:val="none"/>
              </w:rPr>
            </w:pPr>
            <w:r>
              <w:rPr>
                <w:rFonts w:cs="宋体"/>
                <w:color w:val="auto"/>
                <w:kern w:val="2"/>
                <w:highlight w:val="none"/>
              </w:rPr>
              <w:t>2</w:t>
            </w:r>
          </w:p>
        </w:tc>
        <w:tc>
          <w:tcPr>
            <w:tcW w:w="3572" w:type="pct"/>
            <w:tcBorders>
              <w:top w:val="single" w:color="auto" w:sz="4" w:space="0"/>
              <w:left w:val="nil"/>
              <w:bottom w:val="single" w:color="auto" w:sz="4" w:space="0"/>
              <w:right w:val="single" w:color="auto" w:sz="4" w:space="0"/>
            </w:tcBorders>
            <w:noWrap w:val="0"/>
            <w:vAlign w:val="center"/>
          </w:tcPr>
          <w:p w14:paraId="624D45FB">
            <w:pPr>
              <w:pStyle w:val="22"/>
              <w:widowControl w:val="0"/>
              <w:spacing w:beforeAutospacing="0" w:afterAutospacing="0"/>
              <w:jc w:val="both"/>
              <w:rPr>
                <w:color w:val="auto"/>
                <w:kern w:val="2"/>
                <w:highlight w:val="none"/>
              </w:rPr>
            </w:pPr>
            <w:r>
              <w:rPr>
                <w:rFonts w:cs="宋体"/>
                <w:color w:val="auto"/>
                <w:kern w:val="2"/>
                <w:highlight w:val="none"/>
              </w:rPr>
              <w:t>投标人与招标人、评标委员会成员或者其他投标人无串通投标。</w:t>
            </w:r>
          </w:p>
        </w:tc>
        <w:tc>
          <w:tcPr>
            <w:tcW w:w="347" w:type="pct"/>
            <w:tcBorders>
              <w:top w:val="single" w:color="auto" w:sz="4" w:space="0"/>
              <w:left w:val="nil"/>
              <w:bottom w:val="single" w:color="auto" w:sz="4" w:space="0"/>
              <w:right w:val="single" w:color="auto" w:sz="4" w:space="0"/>
            </w:tcBorders>
            <w:noWrap w:val="0"/>
            <w:vAlign w:val="top"/>
          </w:tcPr>
          <w:p w14:paraId="7BF109AB">
            <w:pPr>
              <w:pStyle w:val="22"/>
              <w:widowControl w:val="0"/>
              <w:spacing w:beforeAutospacing="0" w:afterAutospacing="0"/>
              <w:jc w:val="center"/>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450CDE8A">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5B4A7A5D">
            <w:pPr>
              <w:pStyle w:val="22"/>
              <w:widowControl w:val="0"/>
              <w:spacing w:beforeAutospacing="0" w:afterAutospacing="0"/>
              <w:jc w:val="center"/>
              <w:rPr>
                <w:b/>
                <w:color w:val="auto"/>
                <w:kern w:val="2"/>
                <w:highlight w:val="none"/>
              </w:rPr>
            </w:pPr>
          </w:p>
        </w:tc>
      </w:tr>
      <w:tr w14:paraId="660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4586BEAE">
            <w:pPr>
              <w:pStyle w:val="22"/>
              <w:widowControl w:val="0"/>
              <w:spacing w:beforeAutospacing="0" w:afterAutospacing="0"/>
              <w:jc w:val="center"/>
              <w:rPr>
                <w:color w:val="auto"/>
                <w:kern w:val="2"/>
                <w:highlight w:val="none"/>
              </w:rPr>
            </w:pPr>
            <w:r>
              <w:rPr>
                <w:rFonts w:cs="宋体"/>
                <w:color w:val="auto"/>
                <w:kern w:val="2"/>
                <w:highlight w:val="none"/>
              </w:rPr>
              <w:t>3</w:t>
            </w:r>
          </w:p>
        </w:tc>
        <w:tc>
          <w:tcPr>
            <w:tcW w:w="3572" w:type="pct"/>
            <w:tcBorders>
              <w:top w:val="single" w:color="auto" w:sz="4" w:space="0"/>
              <w:left w:val="nil"/>
              <w:bottom w:val="single" w:color="auto" w:sz="4" w:space="0"/>
              <w:right w:val="single" w:color="auto" w:sz="4" w:space="0"/>
            </w:tcBorders>
            <w:noWrap w:val="0"/>
            <w:vAlign w:val="center"/>
          </w:tcPr>
          <w:p w14:paraId="22115043">
            <w:pPr>
              <w:pStyle w:val="22"/>
              <w:widowControl w:val="0"/>
              <w:spacing w:beforeAutospacing="0" w:afterAutospacing="0"/>
              <w:jc w:val="both"/>
              <w:rPr>
                <w:rFonts w:hint="eastAsia" w:eastAsia="宋体"/>
                <w:color w:val="auto"/>
                <w:kern w:val="2"/>
                <w:highlight w:val="none"/>
                <w:lang w:eastAsia="zh-CN"/>
              </w:rPr>
            </w:pPr>
            <w:r>
              <w:rPr>
                <w:rFonts w:cs="宋体"/>
                <w:color w:val="auto"/>
                <w:kern w:val="2"/>
                <w:highlight w:val="none"/>
              </w:rPr>
              <w:t>《投标书》有加盖投标人电子印章，已经</w:t>
            </w:r>
            <w:r>
              <w:rPr>
                <w:rFonts w:hint="eastAsia" w:cs="宋体"/>
                <w:color w:val="auto"/>
                <w:kern w:val="2"/>
                <w:highlight w:val="none"/>
                <w:u w:val="single"/>
              </w:rPr>
              <w:t>法定代表人</w:t>
            </w:r>
            <w:r>
              <w:rPr>
                <w:rFonts w:hint="eastAsia" w:cs="宋体"/>
                <w:color w:val="auto"/>
                <w:kern w:val="2"/>
                <w:highlight w:val="none"/>
                <w:u w:val="single"/>
                <w:lang w:eastAsia="zh-CN"/>
              </w:rPr>
              <w:t>、</w:t>
            </w:r>
            <w:r>
              <w:rPr>
                <w:rFonts w:hint="eastAsia" w:cs="宋体"/>
                <w:color w:val="auto"/>
                <w:kern w:val="2"/>
                <w:highlight w:val="none"/>
                <w:u w:val="single"/>
              </w:rPr>
              <w:t>其授权代表</w:t>
            </w:r>
            <w:r>
              <w:rPr>
                <w:rFonts w:hint="eastAsia" w:cs="宋体"/>
                <w:color w:val="auto"/>
                <w:kern w:val="2"/>
                <w:highlight w:val="none"/>
                <w:u w:val="single"/>
                <w:lang w:val="en-US" w:eastAsia="zh-CN"/>
              </w:rPr>
              <w:t>和项目负责人</w:t>
            </w:r>
            <w:r>
              <w:rPr>
                <w:rFonts w:hint="eastAsia" w:cs="宋体"/>
                <w:color w:val="auto"/>
                <w:kern w:val="2"/>
                <w:highlight w:val="none"/>
                <w:u w:val="single"/>
              </w:rPr>
              <w:t>签名或盖章</w:t>
            </w:r>
            <w:r>
              <w:rPr>
                <w:rFonts w:hint="eastAsia" w:cs="宋体"/>
                <w:color w:val="auto"/>
                <w:kern w:val="2"/>
                <w:highlight w:val="none"/>
                <w:u w:val="single"/>
                <w:lang w:eastAsia="zh-CN"/>
              </w:rPr>
              <w:t>。</w:t>
            </w:r>
          </w:p>
        </w:tc>
        <w:tc>
          <w:tcPr>
            <w:tcW w:w="347" w:type="pct"/>
            <w:tcBorders>
              <w:top w:val="single" w:color="auto" w:sz="4" w:space="0"/>
              <w:left w:val="nil"/>
              <w:bottom w:val="single" w:color="auto" w:sz="4" w:space="0"/>
              <w:right w:val="single" w:color="auto" w:sz="4" w:space="0"/>
            </w:tcBorders>
            <w:noWrap w:val="0"/>
            <w:vAlign w:val="center"/>
          </w:tcPr>
          <w:p w14:paraId="2EA41314">
            <w:pPr>
              <w:pStyle w:val="22"/>
              <w:widowControl w:val="0"/>
              <w:spacing w:beforeAutospacing="0" w:afterAutospacing="0"/>
              <w:jc w:val="both"/>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643C8C78">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58217AA3">
            <w:pPr>
              <w:pStyle w:val="22"/>
              <w:widowControl w:val="0"/>
              <w:spacing w:beforeAutospacing="0" w:afterAutospacing="0"/>
              <w:jc w:val="center"/>
              <w:rPr>
                <w:b/>
                <w:color w:val="auto"/>
                <w:kern w:val="2"/>
                <w:highlight w:val="none"/>
              </w:rPr>
            </w:pPr>
          </w:p>
        </w:tc>
      </w:tr>
      <w:tr w14:paraId="5726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537541D1">
            <w:pPr>
              <w:pStyle w:val="22"/>
              <w:widowControl w:val="0"/>
              <w:spacing w:beforeAutospacing="0" w:afterAutospacing="0"/>
              <w:jc w:val="center"/>
              <w:rPr>
                <w:color w:val="auto"/>
                <w:kern w:val="2"/>
                <w:highlight w:val="none"/>
              </w:rPr>
            </w:pPr>
            <w:r>
              <w:rPr>
                <w:color w:val="auto"/>
                <w:kern w:val="2"/>
                <w:highlight w:val="none"/>
              </w:rPr>
              <w:t>4</w:t>
            </w:r>
          </w:p>
        </w:tc>
        <w:tc>
          <w:tcPr>
            <w:tcW w:w="3572" w:type="pct"/>
            <w:tcBorders>
              <w:top w:val="single" w:color="auto" w:sz="4" w:space="0"/>
              <w:left w:val="nil"/>
              <w:bottom w:val="single" w:color="auto" w:sz="4" w:space="0"/>
              <w:right w:val="single" w:color="auto" w:sz="4" w:space="0"/>
            </w:tcBorders>
            <w:noWrap w:val="0"/>
            <w:vAlign w:val="center"/>
          </w:tcPr>
          <w:p w14:paraId="35719EEA">
            <w:pPr>
              <w:pStyle w:val="22"/>
              <w:widowControl w:val="0"/>
              <w:spacing w:beforeAutospacing="0" w:afterAutospacing="0"/>
              <w:jc w:val="both"/>
              <w:rPr>
                <w:rFonts w:hint="eastAsia" w:hAnsi="Courier New" w:eastAsia="宋体"/>
                <w:color w:val="auto"/>
                <w:kern w:val="2"/>
                <w:highlight w:val="none"/>
                <w:lang w:eastAsia="zh-CN"/>
              </w:rPr>
            </w:pPr>
            <w:r>
              <w:rPr>
                <w:rFonts w:cs="宋体"/>
                <w:color w:val="auto"/>
                <w:kern w:val="2"/>
                <w:highlight w:val="none"/>
              </w:rPr>
              <w:t>《投标书》没有包含招标人不能接受的偏差，或投标人没有拒绝书面撤回偏差的情形</w:t>
            </w:r>
            <w:r>
              <w:rPr>
                <w:rFonts w:hint="eastAsia" w:cs="宋体"/>
                <w:color w:val="auto"/>
                <w:kern w:val="2"/>
                <w:highlight w:val="none"/>
                <w:lang w:eastAsia="zh-CN"/>
              </w:rPr>
              <w:t>。</w:t>
            </w:r>
          </w:p>
        </w:tc>
        <w:tc>
          <w:tcPr>
            <w:tcW w:w="347" w:type="pct"/>
            <w:tcBorders>
              <w:top w:val="single" w:color="auto" w:sz="4" w:space="0"/>
              <w:left w:val="nil"/>
              <w:bottom w:val="single" w:color="auto" w:sz="4" w:space="0"/>
              <w:right w:val="single" w:color="auto" w:sz="4" w:space="0"/>
            </w:tcBorders>
            <w:noWrap w:val="0"/>
            <w:vAlign w:val="center"/>
          </w:tcPr>
          <w:p w14:paraId="44606774">
            <w:pPr>
              <w:pStyle w:val="22"/>
              <w:widowControl w:val="0"/>
              <w:spacing w:beforeAutospacing="0" w:afterAutospacing="0"/>
              <w:jc w:val="both"/>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0666635C">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4BFA219B">
            <w:pPr>
              <w:pStyle w:val="22"/>
              <w:widowControl w:val="0"/>
              <w:spacing w:beforeAutospacing="0" w:afterAutospacing="0"/>
              <w:jc w:val="center"/>
              <w:rPr>
                <w:b/>
                <w:color w:val="auto"/>
                <w:kern w:val="2"/>
                <w:highlight w:val="none"/>
              </w:rPr>
            </w:pPr>
          </w:p>
        </w:tc>
      </w:tr>
      <w:tr w14:paraId="5A84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1A8865DB">
            <w:pPr>
              <w:pStyle w:val="22"/>
              <w:widowControl w:val="0"/>
              <w:spacing w:beforeAutospacing="0" w:afterAutospacing="0"/>
              <w:jc w:val="center"/>
              <w:rPr>
                <w:color w:val="auto"/>
                <w:kern w:val="2"/>
                <w:highlight w:val="none"/>
              </w:rPr>
            </w:pPr>
            <w:r>
              <w:rPr>
                <w:rFonts w:cs="宋体"/>
                <w:color w:val="auto"/>
                <w:kern w:val="2"/>
                <w:highlight w:val="none"/>
              </w:rPr>
              <w:t>5</w:t>
            </w:r>
          </w:p>
        </w:tc>
        <w:tc>
          <w:tcPr>
            <w:tcW w:w="3572" w:type="pct"/>
            <w:tcBorders>
              <w:top w:val="single" w:color="auto" w:sz="4" w:space="0"/>
              <w:left w:val="nil"/>
              <w:bottom w:val="single" w:color="auto" w:sz="4" w:space="0"/>
              <w:right w:val="single" w:color="auto" w:sz="4" w:space="0"/>
            </w:tcBorders>
            <w:noWrap w:val="0"/>
            <w:vAlign w:val="center"/>
          </w:tcPr>
          <w:p w14:paraId="50C3CFBA">
            <w:pPr>
              <w:pStyle w:val="22"/>
              <w:widowControl w:val="0"/>
              <w:spacing w:beforeAutospacing="0" w:afterAutospacing="0"/>
              <w:jc w:val="both"/>
              <w:rPr>
                <w:rFonts w:hint="eastAsia" w:eastAsia="宋体" w:cs="宋体"/>
                <w:color w:val="auto"/>
                <w:kern w:val="2"/>
                <w:highlight w:val="none"/>
                <w:lang w:eastAsia="zh-CN"/>
              </w:rPr>
            </w:pPr>
            <w:r>
              <w:rPr>
                <w:rFonts w:cs="宋体"/>
                <w:color w:val="auto"/>
                <w:kern w:val="2"/>
                <w:highlight w:val="none"/>
              </w:rPr>
              <w:t>《投标人声明》已按规定格式填写并已加盖投标人电子印章</w:t>
            </w:r>
            <w:r>
              <w:rPr>
                <w:rFonts w:hint="eastAsia" w:cs="宋体"/>
                <w:color w:val="auto"/>
                <w:kern w:val="2"/>
                <w:highlight w:val="none"/>
                <w:lang w:eastAsia="zh-CN"/>
              </w:rPr>
              <w:t>。</w:t>
            </w:r>
          </w:p>
        </w:tc>
        <w:tc>
          <w:tcPr>
            <w:tcW w:w="347" w:type="pct"/>
            <w:tcBorders>
              <w:top w:val="single" w:color="auto" w:sz="4" w:space="0"/>
              <w:left w:val="nil"/>
              <w:bottom w:val="single" w:color="auto" w:sz="4" w:space="0"/>
              <w:right w:val="single" w:color="auto" w:sz="4" w:space="0"/>
            </w:tcBorders>
            <w:noWrap w:val="0"/>
            <w:vAlign w:val="center"/>
          </w:tcPr>
          <w:p w14:paraId="392F06A3">
            <w:pPr>
              <w:pStyle w:val="22"/>
              <w:widowControl w:val="0"/>
              <w:spacing w:beforeAutospacing="0" w:afterAutospacing="0"/>
              <w:jc w:val="both"/>
              <w:rPr>
                <w:b/>
                <w:strike/>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5BF9152B">
            <w:pPr>
              <w:pStyle w:val="22"/>
              <w:widowControl w:val="0"/>
              <w:spacing w:beforeAutospacing="0" w:afterAutospacing="0"/>
              <w:jc w:val="center"/>
              <w:rPr>
                <w:b/>
                <w:strike/>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7C2F3E7F">
            <w:pPr>
              <w:pStyle w:val="22"/>
              <w:widowControl w:val="0"/>
              <w:spacing w:beforeAutospacing="0" w:afterAutospacing="0"/>
              <w:jc w:val="center"/>
              <w:rPr>
                <w:b/>
                <w:strike/>
                <w:color w:val="auto"/>
                <w:kern w:val="2"/>
                <w:highlight w:val="none"/>
              </w:rPr>
            </w:pPr>
          </w:p>
        </w:tc>
      </w:tr>
      <w:tr w14:paraId="4D7A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5F3B4B61">
            <w:pPr>
              <w:pStyle w:val="22"/>
              <w:widowControl w:val="0"/>
              <w:spacing w:beforeAutospacing="0" w:afterAutospacing="0"/>
              <w:jc w:val="center"/>
              <w:rPr>
                <w:color w:val="auto"/>
                <w:kern w:val="2"/>
                <w:highlight w:val="none"/>
              </w:rPr>
            </w:pPr>
            <w:r>
              <w:rPr>
                <w:color w:val="auto"/>
                <w:kern w:val="2"/>
                <w:highlight w:val="none"/>
              </w:rPr>
              <w:t>6</w:t>
            </w:r>
          </w:p>
        </w:tc>
        <w:tc>
          <w:tcPr>
            <w:tcW w:w="3572" w:type="pct"/>
            <w:tcBorders>
              <w:top w:val="single" w:color="auto" w:sz="4" w:space="0"/>
              <w:left w:val="nil"/>
              <w:bottom w:val="single" w:color="auto" w:sz="4" w:space="0"/>
              <w:right w:val="single" w:color="auto" w:sz="4" w:space="0"/>
            </w:tcBorders>
            <w:noWrap w:val="0"/>
            <w:vAlign w:val="center"/>
          </w:tcPr>
          <w:p w14:paraId="3415661A">
            <w:pPr>
              <w:pStyle w:val="22"/>
              <w:widowControl w:val="0"/>
              <w:spacing w:beforeAutospacing="0" w:afterAutospacing="0"/>
              <w:jc w:val="both"/>
              <w:rPr>
                <w:rFonts w:hint="eastAsia" w:eastAsia="宋体" w:cs="宋体"/>
                <w:color w:val="auto"/>
                <w:kern w:val="2"/>
                <w:highlight w:val="none"/>
                <w:lang w:eastAsia="zh-CN"/>
              </w:rPr>
            </w:pPr>
            <w:r>
              <w:rPr>
                <w:rFonts w:cs="宋体"/>
                <w:color w:val="auto"/>
                <w:kern w:val="2"/>
                <w:highlight w:val="none"/>
                <w:lang w:bidi="ar"/>
              </w:rPr>
              <w:t>投标人与本项目其他投标人加密打包投标文件电脑机器特征码未出现一致情况</w:t>
            </w:r>
            <w:r>
              <w:rPr>
                <w:rFonts w:hint="eastAsia" w:cs="宋体"/>
                <w:color w:val="auto"/>
                <w:kern w:val="2"/>
                <w:highlight w:val="none"/>
                <w:lang w:eastAsia="zh-CN" w:bidi="ar"/>
              </w:rPr>
              <w:t>。</w:t>
            </w:r>
          </w:p>
        </w:tc>
        <w:tc>
          <w:tcPr>
            <w:tcW w:w="347" w:type="pct"/>
            <w:tcBorders>
              <w:top w:val="single" w:color="auto" w:sz="4" w:space="0"/>
              <w:left w:val="nil"/>
              <w:bottom w:val="single" w:color="auto" w:sz="4" w:space="0"/>
              <w:right w:val="single" w:color="auto" w:sz="4" w:space="0"/>
            </w:tcBorders>
            <w:noWrap w:val="0"/>
            <w:vAlign w:val="center"/>
          </w:tcPr>
          <w:p w14:paraId="6D61C497">
            <w:pPr>
              <w:pStyle w:val="22"/>
              <w:widowControl w:val="0"/>
              <w:spacing w:beforeAutospacing="0" w:afterAutospacing="0"/>
              <w:jc w:val="both"/>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20107D36">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2F02016B">
            <w:pPr>
              <w:pStyle w:val="22"/>
              <w:widowControl w:val="0"/>
              <w:spacing w:beforeAutospacing="0" w:afterAutospacing="0"/>
              <w:jc w:val="center"/>
              <w:rPr>
                <w:b/>
                <w:color w:val="auto"/>
                <w:kern w:val="2"/>
                <w:highlight w:val="none"/>
              </w:rPr>
            </w:pPr>
          </w:p>
        </w:tc>
      </w:tr>
      <w:tr w14:paraId="2B47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0F0F410C">
            <w:pPr>
              <w:pStyle w:val="22"/>
              <w:widowControl w:val="0"/>
              <w:spacing w:beforeAutospacing="0" w:afterAutospacing="0"/>
              <w:jc w:val="center"/>
              <w:rPr>
                <w:color w:val="auto"/>
                <w:kern w:val="2"/>
                <w:highlight w:val="none"/>
              </w:rPr>
            </w:pPr>
            <w:r>
              <w:rPr>
                <w:color w:val="auto"/>
                <w:kern w:val="2"/>
                <w:highlight w:val="none"/>
              </w:rPr>
              <w:t>7</w:t>
            </w:r>
          </w:p>
        </w:tc>
        <w:tc>
          <w:tcPr>
            <w:tcW w:w="3572" w:type="pct"/>
            <w:tcBorders>
              <w:top w:val="single" w:color="auto" w:sz="4" w:space="0"/>
              <w:left w:val="nil"/>
              <w:bottom w:val="single" w:color="auto" w:sz="4" w:space="0"/>
              <w:right w:val="single" w:color="auto" w:sz="4" w:space="0"/>
            </w:tcBorders>
            <w:noWrap w:val="0"/>
            <w:vAlign w:val="center"/>
          </w:tcPr>
          <w:p w14:paraId="23934994">
            <w:pPr>
              <w:pStyle w:val="22"/>
              <w:widowControl w:val="0"/>
              <w:spacing w:beforeAutospacing="0" w:afterAutospacing="0"/>
              <w:jc w:val="both"/>
              <w:rPr>
                <w:rFonts w:hint="default" w:eastAsia="宋体" w:cs="宋体"/>
                <w:color w:val="auto"/>
                <w:kern w:val="2"/>
                <w:highlight w:val="none"/>
                <w:lang w:val="en-US" w:eastAsia="zh-CN"/>
              </w:rPr>
            </w:pPr>
            <w:r>
              <w:rPr>
                <w:rFonts w:hint="eastAsia" w:cs="宋体"/>
                <w:color w:val="auto"/>
                <w:kern w:val="2"/>
                <w:highlight w:val="none"/>
                <w:lang w:val="en-US" w:eastAsia="zh-CN"/>
              </w:rPr>
              <w:t>投标人的投标总报价及各分项报价均不超过招标人公布的最高投标限价总价或相应分项限价。</w:t>
            </w:r>
          </w:p>
        </w:tc>
        <w:tc>
          <w:tcPr>
            <w:tcW w:w="347" w:type="pct"/>
            <w:tcBorders>
              <w:top w:val="single" w:color="auto" w:sz="4" w:space="0"/>
              <w:left w:val="nil"/>
              <w:bottom w:val="single" w:color="auto" w:sz="4" w:space="0"/>
              <w:right w:val="single" w:color="auto" w:sz="4" w:space="0"/>
            </w:tcBorders>
            <w:noWrap w:val="0"/>
            <w:vAlign w:val="center"/>
          </w:tcPr>
          <w:p w14:paraId="736AEA44">
            <w:pPr>
              <w:pStyle w:val="22"/>
              <w:widowControl w:val="0"/>
              <w:spacing w:beforeAutospacing="0" w:afterAutospacing="0"/>
              <w:jc w:val="both"/>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6DAC1B50">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1C0730FA">
            <w:pPr>
              <w:pStyle w:val="22"/>
              <w:widowControl w:val="0"/>
              <w:spacing w:beforeAutospacing="0" w:afterAutospacing="0"/>
              <w:jc w:val="center"/>
              <w:rPr>
                <w:b/>
                <w:color w:val="auto"/>
                <w:kern w:val="2"/>
                <w:highlight w:val="none"/>
              </w:rPr>
            </w:pPr>
          </w:p>
        </w:tc>
      </w:tr>
      <w:tr w14:paraId="5E46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9" w:type="pct"/>
            <w:tcBorders>
              <w:top w:val="single" w:color="auto" w:sz="4" w:space="0"/>
              <w:left w:val="single" w:color="auto" w:sz="4" w:space="0"/>
              <w:bottom w:val="single" w:color="auto" w:sz="4" w:space="0"/>
              <w:right w:val="single" w:color="auto" w:sz="4" w:space="0"/>
            </w:tcBorders>
            <w:noWrap w:val="0"/>
            <w:vAlign w:val="center"/>
          </w:tcPr>
          <w:p w14:paraId="27934A80">
            <w:pPr>
              <w:pStyle w:val="22"/>
              <w:widowControl w:val="0"/>
              <w:spacing w:beforeAutospacing="0" w:afterAutospacing="0"/>
              <w:jc w:val="center"/>
              <w:rPr>
                <w:rFonts w:cs="宋体"/>
                <w:color w:val="auto"/>
                <w:kern w:val="2"/>
                <w:highlight w:val="none"/>
              </w:rPr>
            </w:pPr>
            <w:r>
              <w:rPr>
                <w:rFonts w:cs="宋体"/>
                <w:color w:val="auto"/>
                <w:kern w:val="2"/>
                <w:highlight w:val="none"/>
              </w:rPr>
              <w:t>结论</w:t>
            </w:r>
          </w:p>
        </w:tc>
        <w:tc>
          <w:tcPr>
            <w:tcW w:w="3572" w:type="pct"/>
            <w:tcBorders>
              <w:top w:val="single" w:color="auto" w:sz="4" w:space="0"/>
              <w:left w:val="nil"/>
              <w:bottom w:val="single" w:color="auto" w:sz="4" w:space="0"/>
              <w:right w:val="single" w:color="auto" w:sz="4" w:space="0"/>
            </w:tcBorders>
            <w:noWrap w:val="0"/>
            <w:vAlign w:val="center"/>
          </w:tcPr>
          <w:p w14:paraId="771CF134">
            <w:pPr>
              <w:pStyle w:val="22"/>
              <w:widowControl w:val="0"/>
              <w:spacing w:beforeAutospacing="0" w:afterAutospacing="0"/>
              <w:jc w:val="both"/>
              <w:rPr>
                <w:rFonts w:cs="宋体"/>
                <w:color w:val="auto"/>
                <w:kern w:val="2"/>
                <w:highlight w:val="none"/>
              </w:rPr>
            </w:pPr>
            <w:r>
              <w:rPr>
                <w:rFonts w:cs="宋体"/>
                <w:color w:val="auto"/>
                <w:kern w:val="2"/>
                <w:highlight w:val="none"/>
              </w:rPr>
              <w:t>是否通过并进入下一阶段评审</w:t>
            </w:r>
          </w:p>
        </w:tc>
        <w:tc>
          <w:tcPr>
            <w:tcW w:w="347" w:type="pct"/>
            <w:tcBorders>
              <w:top w:val="single" w:color="auto" w:sz="4" w:space="0"/>
              <w:left w:val="nil"/>
              <w:bottom w:val="single" w:color="auto" w:sz="4" w:space="0"/>
              <w:right w:val="single" w:color="auto" w:sz="4" w:space="0"/>
            </w:tcBorders>
            <w:noWrap w:val="0"/>
            <w:vAlign w:val="top"/>
          </w:tcPr>
          <w:p w14:paraId="2AAD808C">
            <w:pPr>
              <w:pStyle w:val="22"/>
              <w:widowControl w:val="0"/>
              <w:spacing w:beforeAutospacing="0" w:afterAutospacing="0"/>
              <w:jc w:val="center"/>
              <w:rPr>
                <w:b/>
                <w:color w:val="auto"/>
                <w:kern w:val="2"/>
                <w:highlight w:val="none"/>
              </w:rPr>
            </w:pPr>
          </w:p>
        </w:tc>
        <w:tc>
          <w:tcPr>
            <w:tcW w:w="350" w:type="pct"/>
            <w:tcBorders>
              <w:top w:val="single" w:color="auto" w:sz="4" w:space="0"/>
              <w:left w:val="nil"/>
              <w:bottom w:val="single" w:color="auto" w:sz="4" w:space="0"/>
              <w:right w:val="single" w:color="auto" w:sz="4" w:space="0"/>
            </w:tcBorders>
            <w:noWrap w:val="0"/>
            <w:vAlign w:val="top"/>
          </w:tcPr>
          <w:p w14:paraId="30A82C66">
            <w:pPr>
              <w:pStyle w:val="22"/>
              <w:widowControl w:val="0"/>
              <w:spacing w:beforeAutospacing="0" w:afterAutospacing="0"/>
              <w:jc w:val="center"/>
              <w:rPr>
                <w:b/>
                <w:color w:val="auto"/>
                <w:kern w:val="2"/>
                <w:highlight w:val="none"/>
              </w:rPr>
            </w:pPr>
          </w:p>
        </w:tc>
        <w:tc>
          <w:tcPr>
            <w:tcW w:w="340" w:type="pct"/>
            <w:tcBorders>
              <w:top w:val="single" w:color="auto" w:sz="4" w:space="0"/>
              <w:left w:val="nil"/>
              <w:bottom w:val="single" w:color="auto" w:sz="4" w:space="0"/>
              <w:right w:val="single" w:color="auto" w:sz="4" w:space="0"/>
            </w:tcBorders>
            <w:noWrap w:val="0"/>
            <w:vAlign w:val="top"/>
          </w:tcPr>
          <w:p w14:paraId="61ABA231">
            <w:pPr>
              <w:pStyle w:val="22"/>
              <w:widowControl w:val="0"/>
              <w:spacing w:beforeAutospacing="0" w:afterAutospacing="0"/>
              <w:jc w:val="center"/>
              <w:rPr>
                <w:b/>
                <w:color w:val="auto"/>
                <w:kern w:val="2"/>
                <w:highlight w:val="none"/>
              </w:rPr>
            </w:pPr>
          </w:p>
        </w:tc>
      </w:tr>
    </w:tbl>
    <w:p w14:paraId="62CBB8E6">
      <w:pPr>
        <w:snapToGrid w:val="0"/>
        <w:spacing w:before="156" w:beforeLines="50"/>
        <w:rPr>
          <w:rFonts w:ascii="宋体" w:hAnsi="Courier New"/>
          <w:color w:val="auto"/>
          <w:sz w:val="24"/>
          <w:highlight w:val="none"/>
        </w:rPr>
      </w:pPr>
      <w:r>
        <w:rPr>
          <w:rFonts w:hint="eastAsia" w:ascii="宋体" w:hAnsi="宋体" w:cs="宋体"/>
          <w:color w:val="auto"/>
          <w:sz w:val="24"/>
          <w:highlight w:val="none"/>
        </w:rPr>
        <w:t>备注：1、根据本表的审查项目，填“</w:t>
      </w:r>
      <w:r>
        <w:rPr>
          <w:rFonts w:hint="eastAsia" w:ascii="宋体" w:hAnsi="宋体" w:cs="宋体"/>
          <w:color w:val="auto"/>
          <w:sz w:val="24"/>
          <w:highlight w:val="none"/>
          <w:lang w:eastAsia="zh-CN"/>
        </w:rPr>
        <w:t>通过</w:t>
      </w:r>
      <w:r>
        <w:rPr>
          <w:rFonts w:hint="eastAsia" w:ascii="宋体" w:hAnsi="宋体" w:cs="宋体"/>
          <w:color w:val="auto"/>
          <w:sz w:val="24"/>
          <w:highlight w:val="none"/>
        </w:rPr>
        <w:t>”或“</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w:t>
      </w:r>
    </w:p>
    <w:p w14:paraId="689FF693">
      <w:pPr>
        <w:snapToGrid w:val="0"/>
        <w:spacing w:before="156" w:beforeLines="50"/>
        <w:ind w:left="870" w:leftChars="300" w:hanging="240" w:hangingChars="100"/>
        <w:rPr>
          <w:color w:val="auto"/>
          <w:sz w:val="24"/>
          <w:highlight w:val="none"/>
        </w:rPr>
      </w:pPr>
      <w:r>
        <w:rPr>
          <w:rFonts w:hint="eastAsia" w:ascii="宋体" w:hAnsi="宋体" w:cs="宋体"/>
          <w:color w:val="auto"/>
          <w:sz w:val="24"/>
          <w:highlight w:val="none"/>
        </w:rPr>
        <w:t>2、表中出现一个或以上“</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”，即该投标人的评审“结论”为“</w:t>
      </w:r>
      <w:r>
        <w:rPr>
          <w:rFonts w:hint="eastAsia" w:ascii="宋体" w:hAnsi="宋体" w:cs="宋体"/>
          <w:color w:val="auto"/>
          <w:sz w:val="24"/>
          <w:highlight w:val="none"/>
          <w:lang w:eastAsia="zh-CN"/>
        </w:rPr>
        <w:t>不通过</w:t>
      </w:r>
      <w:r>
        <w:rPr>
          <w:rFonts w:hint="eastAsia" w:ascii="宋体" w:hAnsi="宋体" w:cs="宋体"/>
          <w:color w:val="auto"/>
          <w:sz w:val="24"/>
          <w:highlight w:val="none"/>
        </w:rPr>
        <w:t>”，即该投标人不进入下一阶段评审。</w:t>
      </w:r>
    </w:p>
    <w:p w14:paraId="13614394">
      <w:pPr>
        <w:snapToGrid w:val="0"/>
        <w:spacing w:before="156" w:beforeLines="50"/>
        <w:ind w:left="870" w:leftChars="300" w:hanging="240" w:hangingChars="100"/>
        <w:rPr>
          <w:rFonts w:hint="eastAsia" w:ascii="宋体" w:hAnsi="宋体" w:cs="宋体"/>
          <w:color w:val="auto"/>
          <w:sz w:val="24"/>
          <w:highlight w:val="none"/>
        </w:rPr>
      </w:pPr>
      <w:r>
        <w:rPr>
          <w:rFonts w:hint="eastAsia" w:ascii="宋体" w:hAnsi="宋体" w:cs="宋体"/>
          <w:color w:val="auto"/>
          <w:sz w:val="24"/>
          <w:highlight w:val="none"/>
        </w:rPr>
        <w:t>3、表中全部评审结果为“</w:t>
      </w:r>
      <w:r>
        <w:rPr>
          <w:rFonts w:hint="eastAsia" w:ascii="宋体" w:hAnsi="宋体" w:cs="宋体"/>
          <w:color w:val="auto"/>
          <w:sz w:val="24"/>
          <w:highlight w:val="none"/>
          <w:lang w:eastAsia="zh-CN"/>
        </w:rPr>
        <w:t>通过</w:t>
      </w:r>
      <w:r>
        <w:rPr>
          <w:rFonts w:hint="eastAsia" w:ascii="宋体" w:hAnsi="宋体" w:cs="宋体"/>
          <w:color w:val="auto"/>
          <w:sz w:val="24"/>
          <w:highlight w:val="none"/>
        </w:rPr>
        <w:t>”，视为同意进入下一阶段评审。</w:t>
      </w:r>
    </w:p>
    <w:p w14:paraId="5BF7EB1A">
      <w:pPr>
        <w:snapToGrid w:val="0"/>
        <w:spacing w:before="156" w:beforeLines="50"/>
        <w:ind w:left="870" w:leftChars="300" w:hanging="240" w:hangingChars="100"/>
        <w:rPr>
          <w:color w:val="auto"/>
          <w:szCs w:val="21"/>
          <w:highlight w:val="none"/>
          <w:u w:val="single"/>
        </w:rPr>
      </w:pPr>
      <w:r>
        <w:rPr>
          <w:rFonts w:hint="eastAsia" w:ascii="宋体" w:hAnsi="宋体" w:cs="宋体"/>
          <w:color w:val="auto"/>
          <w:sz w:val="24"/>
          <w:highlight w:val="none"/>
        </w:rPr>
        <w:t>4、若评委意见不一致时，则按少数服从多数的原则，决定该投标人是否通过有效性审查，进入下一阶段评审。</w:t>
      </w:r>
    </w:p>
    <w:p w14:paraId="4573AB74">
      <w:pPr>
        <w:rPr>
          <w:rFonts w:hAnsi="宋体"/>
          <w:color w:val="auto"/>
          <w:szCs w:val="21"/>
          <w:highlight w:val="none"/>
        </w:rPr>
      </w:pPr>
    </w:p>
    <w:p w14:paraId="01E10260">
      <w:pPr>
        <w:rPr>
          <w:color w:val="auto"/>
          <w:kern w:val="0"/>
          <w:sz w:val="20"/>
          <w:szCs w:val="20"/>
          <w:highlight w:val="none"/>
        </w:rPr>
        <w:sectPr>
          <w:pgSz w:w="16838" w:h="11906" w:orient="landscape"/>
          <w:pgMar w:top="1440" w:right="1440" w:bottom="1469" w:left="1440" w:header="851" w:footer="992" w:gutter="0"/>
          <w:pgNumType w:fmt="decimal"/>
          <w:cols w:space="720" w:num="1"/>
          <w:docGrid w:type="lines" w:linePitch="312" w:charSpace="0"/>
        </w:sectPr>
      </w:pPr>
      <w:r>
        <w:rPr>
          <w:rFonts w:hint="eastAsia" w:ascii="宋体" w:hAnsi="宋体" w:cs="宋体"/>
          <w:color w:val="auto"/>
          <w:sz w:val="24"/>
          <w:highlight w:val="none"/>
        </w:rPr>
        <w:t>评委签名：</w:t>
      </w:r>
      <w:r>
        <w:rPr>
          <w:rFonts w:hint="eastAsia" w:ascii="宋体" w:hAnsi="宋体" w:cs="宋体"/>
          <w:color w:val="auto"/>
          <w:sz w:val="24"/>
          <w:highlight w:val="none"/>
          <w:lang w:val="en-US" w:eastAsia="zh-CN"/>
        </w:rPr>
        <w:t xml:space="preserve">                                                                                </w:t>
      </w:r>
      <w:r>
        <w:rPr>
          <w:rFonts w:cs="宋体"/>
          <w:color w:val="auto"/>
          <w:sz w:val="24"/>
          <w:highlight w:val="none"/>
        </w:rPr>
        <w:t>日期：</w:t>
      </w:r>
      <w:r>
        <w:rPr>
          <w:rFonts w:hint="eastAsia" w:cs="宋体"/>
          <w:color w:val="auto"/>
          <w:sz w:val="24"/>
          <w:highlight w:val="none"/>
        </w:rPr>
        <w:t xml:space="preserve">  </w:t>
      </w:r>
      <w:r>
        <w:rPr>
          <w:rFonts w:cs="宋体"/>
          <w:color w:val="auto"/>
          <w:sz w:val="24"/>
          <w:highlight w:val="none"/>
        </w:rPr>
        <w:t>年</w:t>
      </w:r>
      <w:r>
        <w:rPr>
          <w:rFonts w:hint="eastAsia" w:cs="宋体"/>
          <w:color w:val="auto"/>
          <w:sz w:val="24"/>
          <w:highlight w:val="none"/>
        </w:rPr>
        <w:t xml:space="preserve">  </w:t>
      </w:r>
      <w:r>
        <w:rPr>
          <w:rFonts w:cs="宋体"/>
          <w:color w:val="auto"/>
          <w:sz w:val="24"/>
          <w:highlight w:val="none"/>
        </w:rPr>
        <w:t>月</w:t>
      </w:r>
      <w:r>
        <w:rPr>
          <w:rFonts w:hint="eastAsia" w:cs="宋体"/>
          <w:color w:val="auto"/>
          <w:sz w:val="24"/>
          <w:highlight w:val="none"/>
        </w:rPr>
        <w:t xml:space="preserve">   </w:t>
      </w:r>
      <w:r>
        <w:rPr>
          <w:rFonts w:cs="宋体"/>
          <w:color w:val="auto"/>
          <w:sz w:val="24"/>
          <w:highlight w:val="none"/>
        </w:rPr>
        <w:t>日</w:t>
      </w:r>
    </w:p>
    <w:p w14:paraId="4D88F137">
      <w:pPr>
        <w:pStyle w:val="2"/>
        <w:keepNext/>
        <w:keepLines/>
        <w:pageBreakBefore w:val="0"/>
        <w:widowControl/>
        <w:kinsoku/>
        <w:wordWrap/>
        <w:overflowPunct/>
        <w:topLinePunct w:val="0"/>
        <w:autoSpaceDE/>
        <w:autoSpaceDN/>
        <w:bidi w:val="0"/>
        <w:adjustRightInd/>
        <w:snapToGrid/>
        <w:spacing w:before="0" w:line="579" w:lineRule="auto"/>
        <w:textAlignment w:val="auto"/>
        <w:rPr>
          <w:rFonts w:ascii="宋体" w:hAnsi="宋体"/>
          <w:color w:val="auto"/>
          <w:sz w:val="21"/>
          <w:szCs w:val="21"/>
          <w:highlight w:val="none"/>
        </w:rPr>
      </w:pPr>
      <w:bookmarkStart w:id="40" w:name="_Toc13878"/>
      <w:bookmarkEnd w:id="40"/>
      <w:bookmarkStart w:id="41" w:name="_Toc30357"/>
      <w:r>
        <w:rPr>
          <w:rFonts w:hint="eastAsia" w:ascii="宋体" w:hAnsi="宋体" w:cs="宋体"/>
          <w:color w:val="auto"/>
          <w:sz w:val="21"/>
          <w:szCs w:val="21"/>
          <w:highlight w:val="none"/>
        </w:rPr>
        <w:t>附录</w:t>
      </w:r>
      <w:r>
        <w:rPr>
          <w:rFonts w:hint="eastAsia" w:ascii="宋体" w:hAnsi="宋体"/>
          <w:color w:val="auto"/>
          <w:sz w:val="21"/>
          <w:szCs w:val="21"/>
          <w:highlight w:val="none"/>
        </w:rPr>
        <w:t xml:space="preserve">12-1 </w:t>
      </w:r>
      <w:r>
        <w:rPr>
          <w:rFonts w:hint="eastAsia" w:ascii="宋体" w:hAnsi="宋体" w:cs="宋体"/>
          <w:color w:val="auto"/>
          <w:sz w:val="21"/>
          <w:szCs w:val="21"/>
          <w:highlight w:val="none"/>
        </w:rPr>
        <w:t>投标报价算术复核表</w:t>
      </w:r>
      <w:bookmarkEnd w:id="41"/>
    </w:p>
    <w:p w14:paraId="67E545E4">
      <w:pPr>
        <w:jc w:val="center"/>
        <w:rPr>
          <w:b/>
          <w:color w:val="auto"/>
          <w:sz w:val="32"/>
          <w:szCs w:val="32"/>
          <w:highlight w:val="none"/>
        </w:rPr>
      </w:pPr>
      <w:bookmarkStart w:id="42" w:name="_Toc114493774"/>
      <w:bookmarkEnd w:id="42"/>
      <w:r>
        <w:rPr>
          <w:rFonts w:hint="eastAsia" w:ascii="宋体" w:hAnsi="宋体" w:cs="宋体"/>
          <w:b/>
          <w:color w:val="auto"/>
          <w:sz w:val="32"/>
          <w:szCs w:val="32"/>
          <w:highlight w:val="none"/>
        </w:rPr>
        <w:t>投标报价算术复核表</w:t>
      </w:r>
    </w:p>
    <w:p w14:paraId="73C00429">
      <w:pPr>
        <w:spacing w:line="360" w:lineRule="auto"/>
        <w:rPr>
          <w:rFonts w:ascii="宋体" w:hAnsi="宋体"/>
          <w:color w:val="auto"/>
          <w:szCs w:val="21"/>
          <w:highlight w:val="none"/>
        </w:rPr>
      </w:pPr>
      <w:r>
        <w:rPr>
          <w:rFonts w:hint="eastAsia" w:ascii="宋体" w:hAnsi="宋体" w:cs="宋体"/>
          <w:color w:val="auto"/>
          <w:szCs w:val="21"/>
          <w:highlight w:val="none"/>
        </w:rPr>
        <w:t>项目名称：</w:t>
      </w:r>
      <w:r>
        <w:rPr>
          <w:rFonts w:hint="eastAsia" w:ascii="宋体" w:hAnsi="宋体" w:eastAsia="宋体" w:cs="Times New Roman"/>
          <w:color w:val="auto"/>
          <w:sz w:val="21"/>
          <w:szCs w:val="21"/>
          <w:highlight w:val="none"/>
          <w:u w:val="single"/>
          <w:lang w:eastAsia="zh-CN"/>
        </w:rPr>
        <w:t>天河区柯木塱村城中村改造项目-首开区凤凰汇西侧地块复建安置房及配套设施工程勘察及初步设计服务</w:t>
      </w:r>
    </w:p>
    <w:tbl>
      <w:tblPr>
        <w:tblStyle w:val="26"/>
        <w:tblW w:w="10172" w:type="dxa"/>
        <w:jc w:val="center"/>
        <w:tblLayout w:type="fixed"/>
        <w:tblCellMar>
          <w:top w:w="0" w:type="dxa"/>
          <w:left w:w="108" w:type="dxa"/>
          <w:bottom w:w="0" w:type="dxa"/>
          <w:right w:w="108" w:type="dxa"/>
        </w:tblCellMar>
      </w:tblPr>
      <w:tblGrid>
        <w:gridCol w:w="406"/>
        <w:gridCol w:w="674"/>
        <w:gridCol w:w="864"/>
        <w:gridCol w:w="864"/>
        <w:gridCol w:w="864"/>
        <w:gridCol w:w="864"/>
        <w:gridCol w:w="864"/>
        <w:gridCol w:w="864"/>
        <w:gridCol w:w="864"/>
        <w:gridCol w:w="864"/>
        <w:gridCol w:w="864"/>
        <w:gridCol w:w="865"/>
        <w:gridCol w:w="451"/>
      </w:tblGrid>
      <w:tr w14:paraId="78B2176A">
        <w:tblPrEx>
          <w:tblCellMar>
            <w:top w:w="0" w:type="dxa"/>
            <w:left w:w="108" w:type="dxa"/>
            <w:bottom w:w="0" w:type="dxa"/>
            <w:right w:w="108" w:type="dxa"/>
          </w:tblCellMar>
        </w:tblPrEx>
        <w:trPr>
          <w:trHeight w:val="830" w:hRule="atLeast"/>
          <w:jc w:val="center"/>
        </w:trPr>
        <w:tc>
          <w:tcPr>
            <w:tcW w:w="406" w:type="dxa"/>
            <w:vMerge w:val="restart"/>
            <w:tcBorders>
              <w:top w:val="single" w:color="auto" w:sz="4" w:space="0"/>
              <w:left w:val="single" w:color="auto" w:sz="4" w:space="0"/>
              <w:bottom w:val="nil"/>
              <w:right w:val="single" w:color="auto" w:sz="4" w:space="0"/>
            </w:tcBorders>
            <w:noWrap w:val="0"/>
            <w:vAlign w:val="center"/>
          </w:tcPr>
          <w:p w14:paraId="6EFC2E54">
            <w:pPr>
              <w:spacing w:line="360" w:lineRule="auto"/>
              <w:jc w:val="left"/>
              <w:rPr>
                <w:rFonts w:ascii="宋体" w:hAnsi="宋体"/>
                <w:color w:val="auto"/>
                <w:szCs w:val="21"/>
                <w:highlight w:val="none"/>
              </w:rPr>
            </w:pPr>
            <w:r>
              <w:rPr>
                <w:rFonts w:hint="eastAsia" w:ascii="宋体" w:hAnsi="宋体" w:cs="宋体"/>
                <w:color w:val="auto"/>
                <w:szCs w:val="21"/>
                <w:highlight w:val="none"/>
              </w:rPr>
              <w:t>序号</w:t>
            </w:r>
          </w:p>
        </w:tc>
        <w:tc>
          <w:tcPr>
            <w:tcW w:w="674" w:type="dxa"/>
            <w:vMerge w:val="restart"/>
            <w:tcBorders>
              <w:top w:val="single" w:color="auto" w:sz="4" w:space="0"/>
              <w:left w:val="nil"/>
              <w:bottom w:val="nil"/>
              <w:right w:val="single" w:color="auto" w:sz="4" w:space="0"/>
            </w:tcBorders>
            <w:noWrap w:val="0"/>
            <w:vAlign w:val="center"/>
          </w:tcPr>
          <w:p w14:paraId="355587D0">
            <w:pPr>
              <w:spacing w:line="360" w:lineRule="auto"/>
              <w:jc w:val="left"/>
              <w:rPr>
                <w:rFonts w:ascii="宋体" w:hAnsi="宋体"/>
                <w:color w:val="auto"/>
                <w:szCs w:val="21"/>
                <w:highlight w:val="none"/>
              </w:rPr>
            </w:pPr>
            <w:r>
              <w:rPr>
                <w:rFonts w:cs="宋体"/>
                <w:color w:val="auto"/>
                <w:kern w:val="2"/>
                <w:highlight w:val="none"/>
              </w:rPr>
              <w:t>投标人名称</w:t>
            </w:r>
          </w:p>
        </w:tc>
        <w:tc>
          <w:tcPr>
            <w:tcW w:w="4320" w:type="dxa"/>
            <w:gridSpan w:val="5"/>
            <w:tcBorders>
              <w:top w:val="single" w:color="auto" w:sz="4" w:space="0"/>
              <w:left w:val="nil"/>
              <w:bottom w:val="single" w:color="auto" w:sz="4" w:space="0"/>
              <w:right w:val="single" w:color="auto" w:sz="4" w:space="0"/>
            </w:tcBorders>
            <w:noWrap w:val="0"/>
            <w:vAlign w:val="center"/>
          </w:tcPr>
          <w:p w14:paraId="35E06520">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投标人报价（元）</w:t>
            </w:r>
          </w:p>
        </w:tc>
        <w:tc>
          <w:tcPr>
            <w:tcW w:w="4321" w:type="dxa"/>
            <w:gridSpan w:val="5"/>
            <w:tcBorders>
              <w:top w:val="single" w:color="auto" w:sz="4" w:space="0"/>
              <w:left w:val="nil"/>
              <w:bottom w:val="single" w:color="auto" w:sz="4" w:space="0"/>
              <w:right w:val="single" w:color="auto" w:sz="4" w:space="0"/>
            </w:tcBorders>
            <w:noWrap w:val="0"/>
            <w:vAlign w:val="center"/>
          </w:tcPr>
          <w:p w14:paraId="44D539A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算术复核后报价（元）</w:t>
            </w:r>
          </w:p>
        </w:tc>
        <w:tc>
          <w:tcPr>
            <w:tcW w:w="451" w:type="dxa"/>
            <w:tcBorders>
              <w:top w:val="single" w:color="auto" w:sz="4" w:space="0"/>
              <w:left w:val="nil"/>
              <w:bottom w:val="single" w:color="auto" w:sz="4" w:space="0"/>
              <w:right w:val="single" w:color="auto" w:sz="4" w:space="0"/>
            </w:tcBorders>
            <w:noWrap w:val="0"/>
            <w:vAlign w:val="center"/>
          </w:tcPr>
          <w:p w14:paraId="79C01BD0">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14:paraId="13860AB0">
        <w:tblPrEx>
          <w:tblCellMar>
            <w:top w:w="0" w:type="dxa"/>
            <w:left w:w="108" w:type="dxa"/>
            <w:bottom w:w="0" w:type="dxa"/>
            <w:right w:w="108" w:type="dxa"/>
          </w:tblCellMar>
        </w:tblPrEx>
        <w:trPr>
          <w:trHeight w:val="1651" w:hRule="atLeast"/>
          <w:jc w:val="center"/>
        </w:trPr>
        <w:tc>
          <w:tcPr>
            <w:tcW w:w="406" w:type="dxa"/>
            <w:vMerge w:val="continue"/>
            <w:tcBorders>
              <w:top w:val="single" w:color="auto" w:sz="4" w:space="0"/>
              <w:left w:val="single" w:color="auto" w:sz="4" w:space="0"/>
              <w:bottom w:val="nil"/>
              <w:right w:val="single" w:color="auto" w:sz="4" w:space="0"/>
            </w:tcBorders>
            <w:noWrap w:val="0"/>
            <w:vAlign w:val="center"/>
          </w:tcPr>
          <w:p w14:paraId="7957C932">
            <w:pPr>
              <w:rPr>
                <w:color w:val="auto"/>
                <w:sz w:val="20"/>
                <w:szCs w:val="20"/>
                <w:highlight w:val="none"/>
              </w:rPr>
            </w:pPr>
          </w:p>
        </w:tc>
        <w:tc>
          <w:tcPr>
            <w:tcW w:w="674" w:type="dxa"/>
            <w:vMerge w:val="continue"/>
            <w:tcBorders>
              <w:top w:val="single" w:color="auto" w:sz="4" w:space="0"/>
              <w:left w:val="nil"/>
              <w:bottom w:val="nil"/>
              <w:right w:val="single" w:color="auto" w:sz="4" w:space="0"/>
            </w:tcBorders>
            <w:noWrap w:val="0"/>
            <w:vAlign w:val="center"/>
          </w:tcPr>
          <w:p w14:paraId="2430B8F2">
            <w:pPr>
              <w:rPr>
                <w:color w:val="auto"/>
                <w:sz w:val="20"/>
                <w:szCs w:val="20"/>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57CB6642">
            <w:pPr>
              <w:jc w:val="center"/>
              <w:rPr>
                <w:color w:val="auto"/>
                <w:sz w:val="20"/>
                <w:szCs w:val="20"/>
                <w:highlight w:val="none"/>
              </w:rPr>
            </w:pPr>
            <w:r>
              <w:rPr>
                <w:rFonts w:hint="eastAsia" w:ascii="宋体" w:hAnsi="宋体"/>
                <w:color w:val="auto"/>
                <w:szCs w:val="21"/>
                <w:highlight w:val="none"/>
                <w:lang w:val="en-US" w:eastAsia="zh-CN"/>
              </w:rPr>
              <w:t>工程勘察费投标报价</w:t>
            </w:r>
          </w:p>
        </w:tc>
        <w:tc>
          <w:tcPr>
            <w:tcW w:w="864" w:type="dxa"/>
            <w:tcBorders>
              <w:top w:val="single" w:color="auto" w:sz="4" w:space="0"/>
              <w:left w:val="nil"/>
              <w:bottom w:val="single" w:color="auto" w:sz="4" w:space="0"/>
              <w:right w:val="single" w:color="auto" w:sz="4" w:space="0"/>
            </w:tcBorders>
            <w:noWrap w:val="0"/>
            <w:vAlign w:val="center"/>
          </w:tcPr>
          <w:p w14:paraId="779D6892">
            <w:pPr>
              <w:spacing w:line="360" w:lineRule="auto"/>
              <w:jc w:val="center"/>
              <w:rPr>
                <w:rFonts w:hAnsi="宋体"/>
                <w:color w:val="auto"/>
                <w:szCs w:val="21"/>
                <w:highlight w:val="none"/>
              </w:rPr>
            </w:pPr>
            <w:r>
              <w:rPr>
                <w:rFonts w:hint="eastAsia" w:ascii="宋体" w:hAnsi="宋体"/>
                <w:color w:val="auto"/>
                <w:szCs w:val="21"/>
                <w:highlight w:val="none"/>
                <w:lang w:val="en-US" w:eastAsia="zh-CN"/>
              </w:rPr>
              <w:t>地下管线探测费投标报价</w:t>
            </w:r>
          </w:p>
        </w:tc>
        <w:tc>
          <w:tcPr>
            <w:tcW w:w="864" w:type="dxa"/>
            <w:tcBorders>
              <w:top w:val="single" w:color="auto" w:sz="4" w:space="0"/>
              <w:left w:val="nil"/>
              <w:bottom w:val="single" w:color="auto" w:sz="4" w:space="0"/>
              <w:right w:val="single" w:color="auto" w:sz="4" w:space="0"/>
            </w:tcBorders>
            <w:noWrap w:val="0"/>
            <w:vAlign w:val="center"/>
          </w:tcPr>
          <w:p w14:paraId="514F28AF">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工程设计费投标报价</w:t>
            </w:r>
          </w:p>
        </w:tc>
        <w:tc>
          <w:tcPr>
            <w:tcW w:w="864" w:type="dxa"/>
            <w:tcBorders>
              <w:top w:val="single" w:color="auto" w:sz="4" w:space="0"/>
              <w:left w:val="nil"/>
              <w:bottom w:val="single" w:color="auto" w:sz="4" w:space="0"/>
              <w:right w:val="single" w:color="auto" w:sz="4" w:space="0"/>
            </w:tcBorders>
            <w:noWrap w:val="0"/>
            <w:vAlign w:val="center"/>
          </w:tcPr>
          <w:p w14:paraId="67084971">
            <w:pPr>
              <w:widowControl/>
              <w:spacing w:line="360" w:lineRule="auto"/>
              <w:jc w:val="center"/>
              <w:rPr>
                <w:rFonts w:hint="eastAsia" w:hAnsi="宋体"/>
                <w:color w:val="auto"/>
                <w:szCs w:val="21"/>
                <w:highlight w:val="none"/>
              </w:rPr>
            </w:pPr>
            <w:r>
              <w:rPr>
                <w:rFonts w:hint="eastAsia" w:ascii="宋体" w:hAnsi="宋体" w:eastAsia="宋体" w:cs="Times New Roman"/>
                <w:color w:val="auto"/>
                <w:sz w:val="21"/>
                <w:szCs w:val="21"/>
                <w:highlight w:val="none"/>
                <w:u w:val="none"/>
                <w:lang w:val="en-US" w:eastAsia="zh-CN"/>
              </w:rPr>
              <w:t>BIM技术应用费</w:t>
            </w:r>
            <w:r>
              <w:rPr>
                <w:rFonts w:hint="eastAsia" w:ascii="宋体" w:hAnsi="宋体" w:eastAsia="宋体" w:cs="Times New Roman"/>
                <w:b w:val="0"/>
                <w:bCs w:val="0"/>
                <w:color w:val="auto"/>
                <w:kern w:val="2"/>
                <w:sz w:val="21"/>
                <w:szCs w:val="21"/>
                <w:highlight w:val="none"/>
                <w:u w:val="none"/>
                <w:lang w:val="en-US" w:eastAsia="zh-CN"/>
              </w:rPr>
              <w:t>（方案及初步设计阶段）</w:t>
            </w:r>
            <w:r>
              <w:rPr>
                <w:rFonts w:hint="eastAsia" w:ascii="宋体" w:hAnsi="宋体"/>
                <w:color w:val="auto"/>
                <w:szCs w:val="21"/>
                <w:highlight w:val="none"/>
                <w:lang w:val="en-US" w:eastAsia="zh-CN"/>
              </w:rPr>
              <w:t>投标报价</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BA57BDE">
            <w:pPr>
              <w:widowControl/>
              <w:spacing w:line="360" w:lineRule="auto"/>
              <w:jc w:val="center"/>
              <w:rPr>
                <w:rFonts w:hint="eastAsia" w:hAnsi="宋体"/>
                <w:color w:val="auto"/>
                <w:kern w:val="2"/>
                <w:sz w:val="21"/>
                <w:szCs w:val="21"/>
                <w:highlight w:val="none"/>
                <w:lang w:val="en-US" w:eastAsia="zh-CN" w:bidi="ar-SA"/>
              </w:rPr>
            </w:pPr>
            <w:r>
              <w:rPr>
                <w:rFonts w:hint="eastAsia" w:ascii="宋体" w:hAnsi="宋体"/>
                <w:color w:val="auto"/>
                <w:szCs w:val="21"/>
                <w:highlight w:val="none"/>
                <w:lang w:val="en-US" w:eastAsia="zh-CN"/>
              </w:rPr>
              <w:t>投标总报价</w:t>
            </w:r>
          </w:p>
        </w:tc>
        <w:tc>
          <w:tcPr>
            <w:tcW w:w="864" w:type="dxa"/>
            <w:tcBorders>
              <w:top w:val="single" w:color="auto" w:sz="4" w:space="0"/>
              <w:left w:val="nil"/>
              <w:bottom w:val="single" w:color="auto" w:sz="4" w:space="0"/>
              <w:right w:val="single" w:color="auto" w:sz="4" w:space="0"/>
            </w:tcBorders>
            <w:noWrap w:val="0"/>
            <w:vAlign w:val="center"/>
          </w:tcPr>
          <w:p w14:paraId="208438E9">
            <w:pPr>
              <w:jc w:val="center"/>
              <w:rPr>
                <w:rFonts w:hAnsi="宋体"/>
                <w:color w:val="auto"/>
                <w:szCs w:val="21"/>
                <w:highlight w:val="none"/>
              </w:rPr>
            </w:pPr>
            <w:r>
              <w:rPr>
                <w:rFonts w:hint="eastAsia" w:ascii="宋体" w:hAnsi="宋体"/>
                <w:color w:val="auto"/>
                <w:szCs w:val="21"/>
                <w:highlight w:val="none"/>
                <w:lang w:val="en-US" w:eastAsia="zh-CN"/>
              </w:rPr>
              <w:t>工程勘察费投标报价</w:t>
            </w:r>
          </w:p>
        </w:tc>
        <w:tc>
          <w:tcPr>
            <w:tcW w:w="864" w:type="dxa"/>
            <w:tcBorders>
              <w:top w:val="single" w:color="auto" w:sz="4" w:space="0"/>
              <w:left w:val="nil"/>
              <w:bottom w:val="single" w:color="auto" w:sz="4" w:space="0"/>
              <w:right w:val="single" w:color="auto" w:sz="4" w:space="0"/>
            </w:tcBorders>
            <w:noWrap w:val="0"/>
            <w:vAlign w:val="center"/>
          </w:tcPr>
          <w:p w14:paraId="59E811A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地下管线探测费投标报价</w:t>
            </w:r>
          </w:p>
        </w:tc>
        <w:tc>
          <w:tcPr>
            <w:tcW w:w="864" w:type="dxa"/>
            <w:tcBorders>
              <w:top w:val="single" w:color="auto" w:sz="4" w:space="0"/>
              <w:left w:val="nil"/>
              <w:bottom w:val="single" w:color="auto" w:sz="4" w:space="0"/>
              <w:right w:val="single" w:color="auto" w:sz="4" w:space="0"/>
            </w:tcBorders>
            <w:noWrap w:val="0"/>
            <w:vAlign w:val="center"/>
          </w:tcPr>
          <w:p w14:paraId="3420F2A6">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lang w:val="en-US" w:eastAsia="zh-CN"/>
              </w:rPr>
              <w:t>工程设计费投标报价</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AB0D3C4">
            <w:pPr>
              <w:spacing w:line="360" w:lineRule="auto"/>
              <w:jc w:val="center"/>
              <w:rPr>
                <w:rFonts w:hint="eastAsia" w:ascii="宋体" w:hAnsi="宋体"/>
                <w:color w:val="auto"/>
                <w:szCs w:val="21"/>
                <w:highlight w:val="none"/>
                <w:lang w:val="en-US" w:eastAsia="zh-CN"/>
              </w:rPr>
            </w:pPr>
            <w:r>
              <w:rPr>
                <w:rFonts w:hint="eastAsia" w:ascii="宋体" w:hAnsi="宋体" w:eastAsia="宋体" w:cs="Times New Roman"/>
                <w:color w:val="auto"/>
                <w:sz w:val="21"/>
                <w:szCs w:val="21"/>
                <w:highlight w:val="none"/>
                <w:u w:val="none"/>
                <w:lang w:val="en-US" w:eastAsia="zh-CN"/>
              </w:rPr>
              <w:t>BIM技术应用费</w:t>
            </w:r>
            <w:r>
              <w:rPr>
                <w:rFonts w:hint="eastAsia" w:ascii="宋体" w:hAnsi="宋体" w:eastAsia="宋体" w:cs="Times New Roman"/>
                <w:b w:val="0"/>
                <w:bCs w:val="0"/>
                <w:color w:val="auto"/>
                <w:kern w:val="2"/>
                <w:sz w:val="21"/>
                <w:szCs w:val="21"/>
                <w:highlight w:val="none"/>
                <w:u w:val="none"/>
                <w:lang w:val="en-US" w:eastAsia="zh-CN"/>
              </w:rPr>
              <w:t>（方案及初步设计阶段）</w:t>
            </w:r>
            <w:r>
              <w:rPr>
                <w:rFonts w:hint="eastAsia" w:ascii="宋体" w:hAnsi="宋体"/>
                <w:color w:val="auto"/>
                <w:szCs w:val="21"/>
                <w:highlight w:val="none"/>
                <w:lang w:val="en-US" w:eastAsia="zh-CN"/>
              </w:rPr>
              <w:t>投标报价</w:t>
            </w:r>
          </w:p>
        </w:tc>
        <w:tc>
          <w:tcPr>
            <w:tcW w:w="865" w:type="dxa"/>
            <w:tcBorders>
              <w:top w:val="single" w:color="auto" w:sz="4" w:space="0"/>
              <w:left w:val="nil"/>
              <w:bottom w:val="single" w:color="auto" w:sz="4" w:space="0"/>
              <w:right w:val="single" w:color="auto" w:sz="4" w:space="0"/>
            </w:tcBorders>
            <w:noWrap w:val="0"/>
            <w:vAlign w:val="center"/>
          </w:tcPr>
          <w:p w14:paraId="35EF70A6">
            <w:pPr>
              <w:widowControl/>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投标总报价</w:t>
            </w:r>
          </w:p>
        </w:tc>
        <w:tc>
          <w:tcPr>
            <w:tcW w:w="451" w:type="dxa"/>
            <w:tcBorders>
              <w:top w:val="single" w:color="auto" w:sz="4" w:space="0"/>
              <w:left w:val="nil"/>
              <w:bottom w:val="single" w:color="auto" w:sz="4" w:space="0"/>
              <w:right w:val="single" w:color="auto" w:sz="4" w:space="0"/>
            </w:tcBorders>
            <w:noWrap w:val="0"/>
            <w:vAlign w:val="top"/>
          </w:tcPr>
          <w:p w14:paraId="14699F46">
            <w:pPr>
              <w:spacing w:line="360" w:lineRule="auto"/>
              <w:jc w:val="center"/>
              <w:rPr>
                <w:rFonts w:ascii="宋体" w:hAnsi="宋体"/>
                <w:color w:val="auto"/>
                <w:szCs w:val="21"/>
                <w:highlight w:val="none"/>
              </w:rPr>
            </w:pPr>
          </w:p>
        </w:tc>
      </w:tr>
      <w:tr w14:paraId="657C2D6B">
        <w:tblPrEx>
          <w:tblCellMar>
            <w:top w:w="0" w:type="dxa"/>
            <w:left w:w="108" w:type="dxa"/>
            <w:bottom w:w="0" w:type="dxa"/>
            <w:right w:w="108" w:type="dxa"/>
          </w:tblCellMar>
        </w:tblPrEx>
        <w:trPr>
          <w:trHeight w:val="852" w:hRule="atLeast"/>
          <w:jc w:val="center"/>
        </w:trPr>
        <w:tc>
          <w:tcPr>
            <w:tcW w:w="406" w:type="dxa"/>
            <w:tcBorders>
              <w:top w:val="single" w:color="auto" w:sz="4" w:space="0"/>
              <w:left w:val="single" w:color="auto" w:sz="4" w:space="0"/>
              <w:bottom w:val="single" w:color="auto" w:sz="4" w:space="0"/>
              <w:right w:val="single" w:color="auto" w:sz="4" w:space="0"/>
            </w:tcBorders>
            <w:noWrap w:val="0"/>
            <w:vAlign w:val="center"/>
          </w:tcPr>
          <w:p w14:paraId="79927FF4">
            <w:pPr>
              <w:spacing w:line="360" w:lineRule="auto"/>
              <w:rPr>
                <w:rFonts w:ascii="宋体" w:hAnsi="宋体"/>
                <w:color w:val="auto"/>
                <w:szCs w:val="21"/>
                <w:highlight w:val="none"/>
              </w:rPr>
            </w:pPr>
          </w:p>
        </w:tc>
        <w:tc>
          <w:tcPr>
            <w:tcW w:w="674" w:type="dxa"/>
            <w:tcBorders>
              <w:top w:val="single" w:color="auto" w:sz="4" w:space="0"/>
              <w:left w:val="nil"/>
              <w:bottom w:val="single" w:color="auto" w:sz="4" w:space="0"/>
              <w:right w:val="single" w:color="auto" w:sz="4" w:space="0"/>
            </w:tcBorders>
            <w:noWrap w:val="0"/>
            <w:vAlign w:val="top"/>
          </w:tcPr>
          <w:p w14:paraId="4BF712C9">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25D6901E">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66340218">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91E91BE">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7EAC272">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52B2DE42">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7C0AF59">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33A38754">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6A3FB3DB">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111A192F">
            <w:pPr>
              <w:spacing w:line="360" w:lineRule="auto"/>
              <w:rPr>
                <w:rFonts w:ascii="宋体" w:hAnsi="宋体"/>
                <w:color w:val="auto"/>
                <w:szCs w:val="21"/>
                <w:highlight w:val="none"/>
              </w:rPr>
            </w:pPr>
          </w:p>
        </w:tc>
        <w:tc>
          <w:tcPr>
            <w:tcW w:w="865" w:type="dxa"/>
            <w:tcBorders>
              <w:top w:val="single" w:color="auto" w:sz="4" w:space="0"/>
              <w:left w:val="nil"/>
              <w:bottom w:val="single" w:color="auto" w:sz="4" w:space="0"/>
              <w:right w:val="single" w:color="auto" w:sz="4" w:space="0"/>
            </w:tcBorders>
            <w:noWrap w:val="0"/>
            <w:vAlign w:val="top"/>
          </w:tcPr>
          <w:p w14:paraId="4E900B66">
            <w:pPr>
              <w:spacing w:line="360" w:lineRule="auto"/>
              <w:rPr>
                <w:rFonts w:ascii="宋体" w:hAnsi="宋体"/>
                <w:color w:val="auto"/>
                <w:szCs w:val="21"/>
                <w:highlight w:val="none"/>
              </w:rPr>
            </w:pPr>
          </w:p>
        </w:tc>
        <w:tc>
          <w:tcPr>
            <w:tcW w:w="451" w:type="dxa"/>
            <w:tcBorders>
              <w:top w:val="single" w:color="auto" w:sz="4" w:space="0"/>
              <w:left w:val="nil"/>
              <w:bottom w:val="single" w:color="auto" w:sz="4" w:space="0"/>
              <w:right w:val="single" w:color="auto" w:sz="4" w:space="0"/>
            </w:tcBorders>
            <w:noWrap w:val="0"/>
            <w:vAlign w:val="top"/>
          </w:tcPr>
          <w:p w14:paraId="30053EED">
            <w:pPr>
              <w:spacing w:line="360" w:lineRule="auto"/>
              <w:rPr>
                <w:rFonts w:ascii="宋体" w:hAnsi="宋体"/>
                <w:color w:val="auto"/>
                <w:szCs w:val="21"/>
                <w:highlight w:val="none"/>
              </w:rPr>
            </w:pPr>
          </w:p>
        </w:tc>
      </w:tr>
      <w:tr w14:paraId="48F1C9B1">
        <w:tblPrEx>
          <w:tblCellMar>
            <w:top w:w="0" w:type="dxa"/>
            <w:left w:w="108" w:type="dxa"/>
            <w:bottom w:w="0" w:type="dxa"/>
            <w:right w:w="108" w:type="dxa"/>
          </w:tblCellMar>
        </w:tblPrEx>
        <w:trPr>
          <w:trHeight w:val="852" w:hRule="atLeast"/>
          <w:jc w:val="center"/>
        </w:trPr>
        <w:tc>
          <w:tcPr>
            <w:tcW w:w="406" w:type="dxa"/>
            <w:tcBorders>
              <w:top w:val="single" w:color="auto" w:sz="4" w:space="0"/>
              <w:left w:val="single" w:color="auto" w:sz="4" w:space="0"/>
              <w:bottom w:val="single" w:color="auto" w:sz="4" w:space="0"/>
              <w:right w:val="single" w:color="auto" w:sz="4" w:space="0"/>
            </w:tcBorders>
            <w:noWrap w:val="0"/>
            <w:vAlign w:val="center"/>
          </w:tcPr>
          <w:p w14:paraId="5AACC61E">
            <w:pPr>
              <w:spacing w:line="360" w:lineRule="auto"/>
              <w:rPr>
                <w:rFonts w:ascii="宋体" w:hAnsi="宋体"/>
                <w:color w:val="auto"/>
                <w:szCs w:val="21"/>
                <w:highlight w:val="none"/>
              </w:rPr>
            </w:pPr>
          </w:p>
        </w:tc>
        <w:tc>
          <w:tcPr>
            <w:tcW w:w="674" w:type="dxa"/>
            <w:tcBorders>
              <w:top w:val="single" w:color="auto" w:sz="4" w:space="0"/>
              <w:left w:val="nil"/>
              <w:bottom w:val="single" w:color="auto" w:sz="4" w:space="0"/>
              <w:right w:val="single" w:color="auto" w:sz="4" w:space="0"/>
            </w:tcBorders>
            <w:noWrap w:val="0"/>
            <w:vAlign w:val="top"/>
          </w:tcPr>
          <w:p w14:paraId="5FF683BD">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73DAB253">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13A50D1D">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06600F2A">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69D2B112">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2E77BC62">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67FF61C3">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152A175">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47CC80DE">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79BADC78">
            <w:pPr>
              <w:spacing w:line="360" w:lineRule="auto"/>
              <w:rPr>
                <w:rFonts w:ascii="宋体" w:hAnsi="宋体"/>
                <w:color w:val="auto"/>
                <w:szCs w:val="21"/>
                <w:highlight w:val="none"/>
              </w:rPr>
            </w:pPr>
          </w:p>
        </w:tc>
        <w:tc>
          <w:tcPr>
            <w:tcW w:w="865" w:type="dxa"/>
            <w:tcBorders>
              <w:top w:val="single" w:color="auto" w:sz="4" w:space="0"/>
              <w:left w:val="nil"/>
              <w:bottom w:val="single" w:color="auto" w:sz="4" w:space="0"/>
              <w:right w:val="single" w:color="auto" w:sz="4" w:space="0"/>
            </w:tcBorders>
            <w:noWrap w:val="0"/>
            <w:vAlign w:val="top"/>
          </w:tcPr>
          <w:p w14:paraId="2C793ACD">
            <w:pPr>
              <w:spacing w:line="360" w:lineRule="auto"/>
              <w:rPr>
                <w:rFonts w:ascii="宋体" w:hAnsi="宋体"/>
                <w:color w:val="auto"/>
                <w:szCs w:val="21"/>
                <w:highlight w:val="none"/>
              </w:rPr>
            </w:pPr>
          </w:p>
        </w:tc>
        <w:tc>
          <w:tcPr>
            <w:tcW w:w="451" w:type="dxa"/>
            <w:tcBorders>
              <w:top w:val="single" w:color="auto" w:sz="4" w:space="0"/>
              <w:left w:val="nil"/>
              <w:bottom w:val="single" w:color="auto" w:sz="4" w:space="0"/>
              <w:right w:val="single" w:color="auto" w:sz="4" w:space="0"/>
            </w:tcBorders>
            <w:noWrap w:val="0"/>
            <w:vAlign w:val="top"/>
          </w:tcPr>
          <w:p w14:paraId="6B0D17E1">
            <w:pPr>
              <w:spacing w:line="360" w:lineRule="auto"/>
              <w:rPr>
                <w:rFonts w:ascii="宋体" w:hAnsi="宋体"/>
                <w:color w:val="auto"/>
                <w:szCs w:val="21"/>
                <w:highlight w:val="none"/>
              </w:rPr>
            </w:pPr>
          </w:p>
        </w:tc>
      </w:tr>
      <w:tr w14:paraId="33BE7094">
        <w:tblPrEx>
          <w:tblCellMar>
            <w:top w:w="0" w:type="dxa"/>
            <w:left w:w="108" w:type="dxa"/>
            <w:bottom w:w="0" w:type="dxa"/>
            <w:right w:w="108" w:type="dxa"/>
          </w:tblCellMar>
        </w:tblPrEx>
        <w:trPr>
          <w:trHeight w:val="852" w:hRule="atLeast"/>
          <w:jc w:val="center"/>
        </w:trPr>
        <w:tc>
          <w:tcPr>
            <w:tcW w:w="406" w:type="dxa"/>
            <w:tcBorders>
              <w:top w:val="single" w:color="auto" w:sz="4" w:space="0"/>
              <w:left w:val="single" w:color="auto" w:sz="4" w:space="0"/>
              <w:bottom w:val="single" w:color="auto" w:sz="4" w:space="0"/>
              <w:right w:val="single" w:color="auto" w:sz="4" w:space="0"/>
            </w:tcBorders>
            <w:noWrap w:val="0"/>
            <w:vAlign w:val="center"/>
          </w:tcPr>
          <w:p w14:paraId="0BE65DA1">
            <w:pPr>
              <w:spacing w:line="360" w:lineRule="auto"/>
              <w:rPr>
                <w:rFonts w:ascii="宋体" w:hAnsi="宋体"/>
                <w:color w:val="auto"/>
                <w:szCs w:val="21"/>
                <w:highlight w:val="none"/>
              </w:rPr>
            </w:pPr>
          </w:p>
        </w:tc>
        <w:tc>
          <w:tcPr>
            <w:tcW w:w="674" w:type="dxa"/>
            <w:tcBorders>
              <w:top w:val="single" w:color="auto" w:sz="4" w:space="0"/>
              <w:left w:val="nil"/>
              <w:bottom w:val="single" w:color="auto" w:sz="4" w:space="0"/>
              <w:right w:val="single" w:color="auto" w:sz="4" w:space="0"/>
            </w:tcBorders>
            <w:noWrap w:val="0"/>
            <w:vAlign w:val="top"/>
          </w:tcPr>
          <w:p w14:paraId="061BDBD3">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4435E6E0">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02FE56F3">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1AF21C98">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085889E3">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562AD0E4">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5D57EA7A">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48F8C24A">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8374994">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3DE63068">
            <w:pPr>
              <w:spacing w:line="360" w:lineRule="auto"/>
              <w:rPr>
                <w:rFonts w:ascii="宋体" w:hAnsi="宋体"/>
                <w:color w:val="auto"/>
                <w:szCs w:val="21"/>
                <w:highlight w:val="none"/>
              </w:rPr>
            </w:pPr>
          </w:p>
        </w:tc>
        <w:tc>
          <w:tcPr>
            <w:tcW w:w="865" w:type="dxa"/>
            <w:tcBorders>
              <w:top w:val="single" w:color="auto" w:sz="4" w:space="0"/>
              <w:left w:val="nil"/>
              <w:bottom w:val="single" w:color="auto" w:sz="4" w:space="0"/>
              <w:right w:val="single" w:color="auto" w:sz="4" w:space="0"/>
            </w:tcBorders>
            <w:noWrap w:val="0"/>
            <w:vAlign w:val="top"/>
          </w:tcPr>
          <w:p w14:paraId="398CE260">
            <w:pPr>
              <w:spacing w:line="360" w:lineRule="auto"/>
              <w:rPr>
                <w:rFonts w:ascii="宋体" w:hAnsi="宋体"/>
                <w:color w:val="auto"/>
                <w:szCs w:val="21"/>
                <w:highlight w:val="none"/>
              </w:rPr>
            </w:pPr>
          </w:p>
        </w:tc>
        <w:tc>
          <w:tcPr>
            <w:tcW w:w="451" w:type="dxa"/>
            <w:tcBorders>
              <w:top w:val="single" w:color="auto" w:sz="4" w:space="0"/>
              <w:left w:val="nil"/>
              <w:bottom w:val="single" w:color="auto" w:sz="4" w:space="0"/>
              <w:right w:val="single" w:color="auto" w:sz="4" w:space="0"/>
            </w:tcBorders>
            <w:noWrap w:val="0"/>
            <w:vAlign w:val="top"/>
          </w:tcPr>
          <w:p w14:paraId="097C8321">
            <w:pPr>
              <w:spacing w:line="360" w:lineRule="auto"/>
              <w:rPr>
                <w:rFonts w:ascii="宋体" w:hAnsi="宋体"/>
                <w:color w:val="auto"/>
                <w:szCs w:val="21"/>
                <w:highlight w:val="none"/>
              </w:rPr>
            </w:pPr>
          </w:p>
        </w:tc>
      </w:tr>
      <w:tr w14:paraId="423D0396">
        <w:tblPrEx>
          <w:tblCellMar>
            <w:top w:w="0" w:type="dxa"/>
            <w:left w:w="108" w:type="dxa"/>
            <w:bottom w:w="0" w:type="dxa"/>
            <w:right w:w="108" w:type="dxa"/>
          </w:tblCellMar>
        </w:tblPrEx>
        <w:trPr>
          <w:trHeight w:val="852" w:hRule="atLeast"/>
          <w:jc w:val="center"/>
        </w:trPr>
        <w:tc>
          <w:tcPr>
            <w:tcW w:w="406" w:type="dxa"/>
            <w:tcBorders>
              <w:top w:val="single" w:color="auto" w:sz="4" w:space="0"/>
              <w:left w:val="single" w:color="auto" w:sz="4" w:space="0"/>
              <w:bottom w:val="single" w:color="auto" w:sz="4" w:space="0"/>
              <w:right w:val="single" w:color="auto" w:sz="4" w:space="0"/>
            </w:tcBorders>
            <w:noWrap w:val="0"/>
            <w:vAlign w:val="center"/>
          </w:tcPr>
          <w:p w14:paraId="707DEDEB">
            <w:pPr>
              <w:spacing w:line="360" w:lineRule="auto"/>
              <w:rPr>
                <w:rFonts w:ascii="宋体" w:hAnsi="宋体"/>
                <w:color w:val="auto"/>
                <w:szCs w:val="21"/>
                <w:highlight w:val="none"/>
              </w:rPr>
            </w:pPr>
          </w:p>
        </w:tc>
        <w:tc>
          <w:tcPr>
            <w:tcW w:w="674" w:type="dxa"/>
            <w:tcBorders>
              <w:top w:val="single" w:color="auto" w:sz="4" w:space="0"/>
              <w:left w:val="nil"/>
              <w:bottom w:val="single" w:color="auto" w:sz="4" w:space="0"/>
              <w:right w:val="single" w:color="auto" w:sz="4" w:space="0"/>
            </w:tcBorders>
            <w:noWrap w:val="0"/>
            <w:vAlign w:val="top"/>
          </w:tcPr>
          <w:p w14:paraId="1449CB84">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2357D451">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2DF4EC7A">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1CFD203A">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717CD81E">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206E5382">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1131A51F">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4A6D2E13">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57542625">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62A8D5D6">
            <w:pPr>
              <w:spacing w:line="360" w:lineRule="auto"/>
              <w:rPr>
                <w:rFonts w:ascii="宋体" w:hAnsi="宋体"/>
                <w:color w:val="auto"/>
                <w:szCs w:val="21"/>
                <w:highlight w:val="none"/>
              </w:rPr>
            </w:pPr>
          </w:p>
        </w:tc>
        <w:tc>
          <w:tcPr>
            <w:tcW w:w="865" w:type="dxa"/>
            <w:tcBorders>
              <w:top w:val="single" w:color="auto" w:sz="4" w:space="0"/>
              <w:left w:val="nil"/>
              <w:bottom w:val="single" w:color="auto" w:sz="4" w:space="0"/>
              <w:right w:val="single" w:color="auto" w:sz="4" w:space="0"/>
            </w:tcBorders>
            <w:noWrap w:val="0"/>
            <w:vAlign w:val="top"/>
          </w:tcPr>
          <w:p w14:paraId="3E53B615">
            <w:pPr>
              <w:spacing w:line="360" w:lineRule="auto"/>
              <w:rPr>
                <w:rFonts w:ascii="宋体" w:hAnsi="宋体"/>
                <w:color w:val="auto"/>
                <w:szCs w:val="21"/>
                <w:highlight w:val="none"/>
              </w:rPr>
            </w:pPr>
          </w:p>
        </w:tc>
        <w:tc>
          <w:tcPr>
            <w:tcW w:w="451" w:type="dxa"/>
            <w:tcBorders>
              <w:top w:val="single" w:color="auto" w:sz="4" w:space="0"/>
              <w:left w:val="nil"/>
              <w:bottom w:val="single" w:color="auto" w:sz="4" w:space="0"/>
              <w:right w:val="single" w:color="auto" w:sz="4" w:space="0"/>
            </w:tcBorders>
            <w:noWrap w:val="0"/>
            <w:vAlign w:val="top"/>
          </w:tcPr>
          <w:p w14:paraId="255D5C7E">
            <w:pPr>
              <w:spacing w:line="360" w:lineRule="auto"/>
              <w:rPr>
                <w:rFonts w:ascii="宋体" w:hAnsi="宋体"/>
                <w:color w:val="auto"/>
                <w:szCs w:val="21"/>
                <w:highlight w:val="none"/>
              </w:rPr>
            </w:pPr>
          </w:p>
        </w:tc>
      </w:tr>
      <w:tr w14:paraId="2F11FD54">
        <w:tblPrEx>
          <w:tblCellMar>
            <w:top w:w="0" w:type="dxa"/>
            <w:left w:w="108" w:type="dxa"/>
            <w:bottom w:w="0" w:type="dxa"/>
            <w:right w:w="108" w:type="dxa"/>
          </w:tblCellMar>
        </w:tblPrEx>
        <w:trPr>
          <w:trHeight w:val="880" w:hRule="atLeast"/>
          <w:jc w:val="center"/>
        </w:trPr>
        <w:tc>
          <w:tcPr>
            <w:tcW w:w="406" w:type="dxa"/>
            <w:tcBorders>
              <w:top w:val="single" w:color="auto" w:sz="4" w:space="0"/>
              <w:left w:val="single" w:color="auto" w:sz="4" w:space="0"/>
              <w:bottom w:val="single" w:color="auto" w:sz="4" w:space="0"/>
              <w:right w:val="single" w:color="auto" w:sz="4" w:space="0"/>
            </w:tcBorders>
            <w:noWrap w:val="0"/>
            <w:vAlign w:val="center"/>
          </w:tcPr>
          <w:p w14:paraId="348BCCA0">
            <w:pPr>
              <w:spacing w:line="360" w:lineRule="auto"/>
              <w:rPr>
                <w:rFonts w:ascii="宋体" w:hAnsi="宋体"/>
                <w:color w:val="auto"/>
                <w:szCs w:val="21"/>
                <w:highlight w:val="none"/>
              </w:rPr>
            </w:pPr>
          </w:p>
        </w:tc>
        <w:tc>
          <w:tcPr>
            <w:tcW w:w="674" w:type="dxa"/>
            <w:tcBorders>
              <w:top w:val="single" w:color="auto" w:sz="4" w:space="0"/>
              <w:left w:val="nil"/>
              <w:bottom w:val="single" w:color="auto" w:sz="4" w:space="0"/>
              <w:right w:val="single" w:color="auto" w:sz="4" w:space="0"/>
            </w:tcBorders>
            <w:noWrap w:val="0"/>
            <w:vAlign w:val="top"/>
          </w:tcPr>
          <w:p w14:paraId="764C9E46">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1DE84692">
            <w:pPr>
              <w:spacing w:line="360" w:lineRule="auto"/>
              <w:rPr>
                <w:rFonts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1AB479E0">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0181586E">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2E49CEDE">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191EAEC9">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30083AA6">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6E1EBF22">
            <w:pPr>
              <w:spacing w:line="360" w:lineRule="auto"/>
              <w:rPr>
                <w:rFonts w:ascii="宋体" w:hAnsi="宋体"/>
                <w:color w:val="auto"/>
                <w:szCs w:val="21"/>
                <w:highlight w:val="none"/>
              </w:rPr>
            </w:pPr>
          </w:p>
        </w:tc>
        <w:tc>
          <w:tcPr>
            <w:tcW w:w="864" w:type="dxa"/>
            <w:tcBorders>
              <w:top w:val="single" w:color="auto" w:sz="4" w:space="0"/>
              <w:left w:val="nil"/>
              <w:bottom w:val="single" w:color="auto" w:sz="4" w:space="0"/>
              <w:right w:val="single" w:color="auto" w:sz="4" w:space="0"/>
            </w:tcBorders>
            <w:noWrap w:val="0"/>
            <w:vAlign w:val="top"/>
          </w:tcPr>
          <w:p w14:paraId="1F32A0FF">
            <w:pPr>
              <w:spacing w:line="360" w:lineRule="auto"/>
              <w:rPr>
                <w:rFonts w:ascii="宋体" w:hAns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top"/>
          </w:tcPr>
          <w:p w14:paraId="16085313">
            <w:pPr>
              <w:spacing w:line="360" w:lineRule="auto"/>
              <w:rPr>
                <w:rFonts w:ascii="宋体" w:hAnsi="宋体"/>
                <w:color w:val="auto"/>
                <w:szCs w:val="21"/>
                <w:highlight w:val="none"/>
              </w:rPr>
            </w:pPr>
          </w:p>
        </w:tc>
        <w:tc>
          <w:tcPr>
            <w:tcW w:w="865" w:type="dxa"/>
            <w:tcBorders>
              <w:top w:val="single" w:color="auto" w:sz="4" w:space="0"/>
              <w:left w:val="nil"/>
              <w:bottom w:val="single" w:color="auto" w:sz="4" w:space="0"/>
              <w:right w:val="single" w:color="auto" w:sz="4" w:space="0"/>
            </w:tcBorders>
            <w:noWrap w:val="0"/>
            <w:vAlign w:val="top"/>
          </w:tcPr>
          <w:p w14:paraId="61DB26B1">
            <w:pPr>
              <w:spacing w:line="360" w:lineRule="auto"/>
              <w:rPr>
                <w:rFonts w:ascii="宋体" w:hAnsi="宋体"/>
                <w:color w:val="auto"/>
                <w:szCs w:val="21"/>
                <w:highlight w:val="none"/>
              </w:rPr>
            </w:pPr>
          </w:p>
        </w:tc>
        <w:tc>
          <w:tcPr>
            <w:tcW w:w="451" w:type="dxa"/>
            <w:tcBorders>
              <w:top w:val="single" w:color="auto" w:sz="4" w:space="0"/>
              <w:left w:val="nil"/>
              <w:bottom w:val="single" w:color="auto" w:sz="4" w:space="0"/>
              <w:right w:val="single" w:color="auto" w:sz="4" w:space="0"/>
            </w:tcBorders>
            <w:noWrap w:val="0"/>
            <w:vAlign w:val="top"/>
          </w:tcPr>
          <w:p w14:paraId="529F0C7F">
            <w:pPr>
              <w:spacing w:line="360" w:lineRule="auto"/>
              <w:rPr>
                <w:rFonts w:ascii="宋体" w:hAnsi="宋体"/>
                <w:color w:val="auto"/>
                <w:szCs w:val="21"/>
                <w:highlight w:val="none"/>
              </w:rPr>
            </w:pPr>
          </w:p>
        </w:tc>
      </w:tr>
    </w:tbl>
    <w:p w14:paraId="6FDA1DE4">
      <w:pPr>
        <w:adjustRightInd w:val="0"/>
        <w:snapToGrid w:val="0"/>
        <w:spacing w:line="360" w:lineRule="auto"/>
        <w:ind w:firstLine="436" w:firstLineChars="200"/>
        <w:rPr>
          <w:rFonts w:hint="eastAsia" w:ascii="宋体" w:hAnsi="宋体" w:cs="宋体"/>
          <w:color w:val="auto"/>
          <w:spacing w:val="4"/>
          <w:kern w:val="0"/>
          <w:szCs w:val="21"/>
          <w:highlight w:val="none"/>
        </w:rPr>
      </w:pPr>
    </w:p>
    <w:p w14:paraId="2287930B">
      <w:pPr>
        <w:adjustRightInd w:val="0"/>
        <w:snapToGrid w:val="0"/>
        <w:spacing w:line="360" w:lineRule="auto"/>
        <w:ind w:firstLine="436" w:firstLineChars="200"/>
        <w:rPr>
          <w:rFonts w:ascii="宋体" w:hAnsi="宋体"/>
          <w:color w:val="auto"/>
          <w:szCs w:val="21"/>
          <w:highlight w:val="none"/>
        </w:rPr>
      </w:pPr>
      <w:r>
        <w:rPr>
          <w:rFonts w:hint="eastAsia" w:ascii="宋体" w:hAnsi="宋体" w:cs="宋体"/>
          <w:color w:val="auto"/>
          <w:spacing w:val="4"/>
          <w:kern w:val="0"/>
          <w:szCs w:val="21"/>
          <w:highlight w:val="none"/>
        </w:rPr>
        <w:t>注：</w:t>
      </w:r>
      <w:r>
        <w:rPr>
          <w:rFonts w:hint="eastAsia" w:ascii="宋体" w:hAnsi="宋体"/>
          <w:color w:val="auto"/>
          <w:szCs w:val="21"/>
          <w:highlight w:val="none"/>
        </w:rPr>
        <w:t>1</w:t>
      </w:r>
      <w:r>
        <w:rPr>
          <w:rFonts w:hint="eastAsia" w:ascii="宋体" w:hAnsi="宋体"/>
          <w:color w:val="auto"/>
          <w:szCs w:val="21"/>
          <w:highlight w:val="none"/>
          <w:lang w:val="en-US" w:eastAsia="zh-CN"/>
        </w:rPr>
        <w:t>.评标委员会进行算术复核，具体标准详见</w:t>
      </w:r>
      <w:r>
        <w:rPr>
          <w:rFonts w:hint="eastAsia" w:ascii="宋体" w:hAnsi="宋体"/>
          <w:color w:val="auto"/>
          <w:sz w:val="21"/>
          <w:szCs w:val="21"/>
          <w:highlight w:val="none"/>
          <w:u w:val="single"/>
        </w:rPr>
        <w:t>附件3《工程勘察设计费投标报价汇总表》</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附件3-1《工程勘察费投标报价表》、附件3-2《地下管线探测费投标报价表》、附件3-3《工程设计费投标报价表》、附件3-4《BIM技术应用费（方案及初步设计阶段）投标报价表》备注。</w:t>
      </w:r>
    </w:p>
    <w:p w14:paraId="7C15A85C">
      <w:pPr>
        <w:topLinePunct/>
        <w:adjustRightInd w:val="0"/>
        <w:snapToGrid w:val="0"/>
        <w:spacing w:line="360" w:lineRule="auto"/>
        <w:ind w:firstLine="872" w:firstLineChars="400"/>
        <w:rPr>
          <w:rFonts w:ascii="宋体" w:hAnsi="宋体"/>
          <w:color w:val="auto"/>
          <w:spacing w:val="4"/>
          <w:kern w:val="0"/>
          <w:szCs w:val="21"/>
          <w:highlight w:val="none"/>
        </w:rPr>
      </w:pPr>
      <w:r>
        <w:rPr>
          <w:rFonts w:hint="eastAsia" w:ascii="宋体" w:hAnsi="宋体"/>
          <w:color w:val="auto"/>
          <w:spacing w:val="4"/>
          <w:kern w:val="0"/>
          <w:szCs w:val="21"/>
          <w:highlight w:val="none"/>
        </w:rPr>
        <w:t>2</w:t>
      </w:r>
      <w:r>
        <w:rPr>
          <w:rFonts w:hint="eastAsia" w:ascii="宋体" w:hAnsi="宋体"/>
          <w:color w:val="auto"/>
          <w:spacing w:val="4"/>
          <w:kern w:val="0"/>
          <w:szCs w:val="21"/>
          <w:highlight w:val="none"/>
          <w:lang w:val="en-US" w:eastAsia="zh-CN"/>
        </w:rPr>
        <w:t>.</w:t>
      </w:r>
      <w:r>
        <w:rPr>
          <w:rFonts w:hint="eastAsia" w:ascii="宋体" w:hAnsi="宋体"/>
          <w:color w:val="auto"/>
          <w:spacing w:val="4"/>
          <w:kern w:val="0"/>
          <w:szCs w:val="21"/>
          <w:highlight w:val="none"/>
        </w:rPr>
        <w:t>该表由评标委员会填写，投标人不需提交。</w:t>
      </w:r>
    </w:p>
    <w:p w14:paraId="2D41BE81">
      <w:pPr>
        <w:spacing w:line="360" w:lineRule="auto"/>
        <w:rPr>
          <w:rFonts w:ascii="宋体" w:hAnsi="宋体"/>
          <w:color w:val="auto"/>
          <w:sz w:val="24"/>
          <w:highlight w:val="none"/>
        </w:rPr>
      </w:pPr>
      <w:r>
        <w:rPr>
          <w:rFonts w:hint="eastAsia" w:ascii="宋体" w:hAnsi="宋体" w:cs="宋体"/>
          <w:color w:val="auto"/>
          <w:szCs w:val="21"/>
          <w:highlight w:val="none"/>
        </w:rPr>
        <w:t>评委签名：                                                          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  月   日</w:t>
      </w:r>
    </w:p>
    <w:p w14:paraId="209E122C">
      <w:pPr>
        <w:rPr>
          <w:color w:val="auto"/>
          <w:kern w:val="0"/>
          <w:sz w:val="20"/>
          <w:szCs w:val="20"/>
          <w:highlight w:val="none"/>
        </w:rPr>
        <w:sectPr>
          <w:pgSz w:w="11906" w:h="16838"/>
          <w:pgMar w:top="1440" w:right="1469" w:bottom="1440" w:left="1440" w:header="851" w:footer="992" w:gutter="0"/>
          <w:pgNumType w:fmt="decimal"/>
          <w:cols w:space="720" w:num="1"/>
          <w:docGrid w:type="lines" w:linePitch="312" w:charSpace="0"/>
        </w:sectPr>
      </w:pPr>
    </w:p>
    <w:p w14:paraId="4B54B4E7">
      <w:pPr>
        <w:pStyle w:val="2"/>
        <w:spacing w:before="0" w:after="0" w:line="579" w:lineRule="auto"/>
        <w:rPr>
          <w:rFonts w:hint="eastAsia" w:ascii="宋体" w:hAnsi="宋体"/>
          <w:color w:val="auto"/>
          <w:sz w:val="21"/>
          <w:szCs w:val="21"/>
          <w:highlight w:val="none"/>
        </w:rPr>
      </w:pPr>
      <w:bookmarkStart w:id="43" w:name="_Toc13844"/>
      <w:r>
        <w:rPr>
          <w:rFonts w:hint="eastAsia" w:ascii="宋体" w:hAnsi="宋体"/>
          <w:color w:val="auto"/>
          <w:sz w:val="21"/>
          <w:szCs w:val="21"/>
          <w:highlight w:val="none"/>
        </w:rPr>
        <w:t>附录13 建筑工程设计方案评审记录表</w:t>
      </w:r>
      <w:bookmarkEnd w:id="43"/>
    </w:p>
    <w:p w14:paraId="66E65D73">
      <w:pPr>
        <w:jc w:val="center"/>
        <w:rPr>
          <w:rFonts w:hint="eastAsia" w:ascii="宋体" w:hAnsi="宋体"/>
          <w:color w:val="auto"/>
          <w:sz w:val="24"/>
          <w:highlight w:val="none"/>
        </w:rPr>
      </w:pPr>
      <w:r>
        <w:rPr>
          <w:rFonts w:hint="eastAsia" w:ascii="宋体" w:hAnsi="宋体"/>
          <w:b/>
          <w:bCs/>
          <w:color w:val="auto"/>
          <w:sz w:val="32"/>
          <w:highlight w:val="none"/>
        </w:rPr>
        <w:t>建筑工程设计方案评审记录表</w:t>
      </w:r>
    </w:p>
    <w:p w14:paraId="7A4E9B6C">
      <w:pPr>
        <w:spacing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9613"/>
        <w:gridCol w:w="1062"/>
        <w:gridCol w:w="1088"/>
        <w:gridCol w:w="1104"/>
      </w:tblGrid>
      <w:tr w14:paraId="728D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81" w:type="dxa"/>
            <w:noWrap w:val="0"/>
            <w:vAlign w:val="top"/>
          </w:tcPr>
          <w:p w14:paraId="72B7431D">
            <w:pPr>
              <w:jc w:val="center"/>
              <w:rPr>
                <w:rFonts w:ascii="宋体" w:hAnsi="宋体"/>
                <w:color w:val="auto"/>
                <w:highlight w:val="none"/>
              </w:rPr>
            </w:pPr>
            <w:r>
              <w:rPr>
                <w:rFonts w:hint="eastAsia" w:ascii="宋体" w:hAnsi="宋体"/>
                <w:color w:val="auto"/>
                <w:highlight w:val="none"/>
              </w:rPr>
              <w:t>序号</w:t>
            </w:r>
          </w:p>
        </w:tc>
        <w:tc>
          <w:tcPr>
            <w:tcW w:w="9613" w:type="dxa"/>
            <w:noWrap w:val="0"/>
            <w:vAlign w:val="top"/>
          </w:tcPr>
          <w:p w14:paraId="2277CC12">
            <w:pPr>
              <w:jc w:val="center"/>
              <w:rPr>
                <w:rFonts w:ascii="宋体" w:hAnsi="宋体"/>
                <w:color w:val="auto"/>
                <w:highlight w:val="none"/>
              </w:rPr>
            </w:pPr>
            <w:r>
              <w:rPr>
                <w:rFonts w:hint="eastAsia" w:ascii="宋体" w:hAnsi="宋体"/>
                <w:color w:val="auto"/>
                <w:highlight w:val="none"/>
              </w:rPr>
              <w:t>主要评判因素</w:t>
            </w:r>
          </w:p>
        </w:tc>
        <w:tc>
          <w:tcPr>
            <w:tcW w:w="1062" w:type="dxa"/>
            <w:noWrap w:val="0"/>
            <w:vAlign w:val="top"/>
          </w:tcPr>
          <w:p w14:paraId="40EC965E">
            <w:pPr>
              <w:jc w:val="center"/>
              <w:rPr>
                <w:rFonts w:ascii="宋体" w:hAnsi="宋体"/>
                <w:color w:val="auto"/>
                <w:highlight w:val="none"/>
              </w:rPr>
            </w:pPr>
            <w:r>
              <w:rPr>
                <w:rFonts w:hint="eastAsia" w:ascii="宋体" w:hAnsi="宋体"/>
                <w:color w:val="auto"/>
                <w:highlight w:val="none"/>
              </w:rPr>
              <w:t>较好方案</w:t>
            </w:r>
          </w:p>
        </w:tc>
        <w:tc>
          <w:tcPr>
            <w:tcW w:w="1088" w:type="dxa"/>
            <w:noWrap w:val="0"/>
            <w:vAlign w:val="top"/>
          </w:tcPr>
          <w:p w14:paraId="1A07041D">
            <w:pPr>
              <w:jc w:val="center"/>
              <w:rPr>
                <w:rFonts w:ascii="宋体" w:hAnsi="宋体"/>
                <w:color w:val="auto"/>
                <w:highlight w:val="none"/>
              </w:rPr>
            </w:pPr>
            <w:r>
              <w:rPr>
                <w:rFonts w:hint="eastAsia" w:ascii="宋体" w:hAnsi="宋体"/>
                <w:color w:val="auto"/>
                <w:highlight w:val="none"/>
              </w:rPr>
              <w:t>一般方案</w:t>
            </w:r>
          </w:p>
        </w:tc>
        <w:tc>
          <w:tcPr>
            <w:tcW w:w="1104" w:type="dxa"/>
            <w:noWrap w:val="0"/>
            <w:vAlign w:val="top"/>
          </w:tcPr>
          <w:p w14:paraId="46D37F7C">
            <w:pPr>
              <w:jc w:val="center"/>
              <w:rPr>
                <w:rFonts w:ascii="宋体" w:hAnsi="宋体"/>
                <w:color w:val="auto"/>
                <w:highlight w:val="none"/>
              </w:rPr>
            </w:pPr>
            <w:r>
              <w:rPr>
                <w:rFonts w:hint="eastAsia" w:ascii="宋体" w:hAnsi="宋体"/>
                <w:color w:val="auto"/>
                <w:highlight w:val="none"/>
              </w:rPr>
              <w:t>较差方案</w:t>
            </w:r>
          </w:p>
        </w:tc>
      </w:tr>
      <w:tr w14:paraId="6FC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5B5F1923">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1概念</w:t>
            </w:r>
          </w:p>
        </w:tc>
        <w:tc>
          <w:tcPr>
            <w:tcW w:w="9613" w:type="dxa"/>
            <w:noWrap w:val="0"/>
            <w:vAlign w:val="center"/>
          </w:tcPr>
          <w:p w14:paraId="1D923E6A">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符合适用、经济、绿色和美观原则，结合地理、气候、风俗、文化和个性特点，反映时代精神、</w:t>
            </w:r>
            <w:r>
              <w:rPr>
                <w:rFonts w:ascii="宋体" w:hAnsi="宋体"/>
                <w:color w:val="auto"/>
                <w:sz w:val="21"/>
                <w:szCs w:val="21"/>
                <w:highlight w:val="none"/>
              </w:rPr>
              <w:t>具有</w:t>
            </w:r>
            <w:r>
              <w:rPr>
                <w:rFonts w:hint="eastAsia" w:ascii="宋体" w:hAnsi="宋体"/>
                <w:color w:val="auto"/>
                <w:sz w:val="21"/>
                <w:szCs w:val="21"/>
                <w:highlight w:val="none"/>
              </w:rPr>
              <w:t>创新的风格和意识，富有特色和吸引力，</w:t>
            </w:r>
            <w:r>
              <w:rPr>
                <w:rFonts w:ascii="ˎ̥" w:hAnsi="ˎ̥" w:cs="宋体"/>
                <w:color w:val="auto"/>
                <w:kern w:val="0"/>
                <w:sz w:val="21"/>
                <w:szCs w:val="21"/>
                <w:highlight w:val="none"/>
              </w:rPr>
              <w:t>体现城市的历史文化、风貌特色</w:t>
            </w:r>
            <w:r>
              <w:rPr>
                <w:rFonts w:hint="eastAsia" w:ascii="ˎ̥" w:hAnsi="ˎ̥" w:cs="宋体"/>
                <w:color w:val="auto"/>
                <w:kern w:val="0"/>
                <w:sz w:val="21"/>
                <w:szCs w:val="21"/>
                <w:highlight w:val="none"/>
                <w:lang w:eastAsia="zh-CN"/>
              </w:rPr>
              <w:t>。</w:t>
            </w:r>
          </w:p>
        </w:tc>
        <w:tc>
          <w:tcPr>
            <w:tcW w:w="1062" w:type="dxa"/>
            <w:noWrap w:val="0"/>
            <w:vAlign w:val="center"/>
          </w:tcPr>
          <w:p w14:paraId="57D0F581">
            <w:pPr>
              <w:jc w:val="both"/>
              <w:rPr>
                <w:rFonts w:ascii="宋体" w:hAnsi="宋体"/>
                <w:color w:val="auto"/>
                <w:highlight w:val="none"/>
              </w:rPr>
            </w:pPr>
          </w:p>
        </w:tc>
        <w:tc>
          <w:tcPr>
            <w:tcW w:w="1088" w:type="dxa"/>
            <w:noWrap w:val="0"/>
            <w:vAlign w:val="center"/>
          </w:tcPr>
          <w:p w14:paraId="43B15F38">
            <w:pPr>
              <w:jc w:val="both"/>
              <w:rPr>
                <w:rFonts w:ascii="宋体" w:hAnsi="宋体"/>
                <w:color w:val="auto"/>
                <w:highlight w:val="none"/>
              </w:rPr>
            </w:pPr>
          </w:p>
        </w:tc>
        <w:tc>
          <w:tcPr>
            <w:tcW w:w="1104" w:type="dxa"/>
            <w:noWrap w:val="0"/>
            <w:vAlign w:val="center"/>
          </w:tcPr>
          <w:p w14:paraId="0F92521D">
            <w:pPr>
              <w:jc w:val="both"/>
              <w:rPr>
                <w:rFonts w:ascii="宋体" w:hAnsi="宋体"/>
                <w:color w:val="auto"/>
                <w:highlight w:val="none"/>
              </w:rPr>
            </w:pPr>
          </w:p>
        </w:tc>
      </w:tr>
      <w:tr w14:paraId="4CAE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192C7FA9">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2规划</w:t>
            </w:r>
          </w:p>
        </w:tc>
        <w:tc>
          <w:tcPr>
            <w:tcW w:w="9613" w:type="dxa"/>
            <w:noWrap w:val="0"/>
            <w:vAlign w:val="center"/>
          </w:tcPr>
          <w:p w14:paraId="2CB0CB5E">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符合规划设计条件，主要轴线布置合理，因地制宜、充分考虑地域环境条件，减少对周围环境的损害，建筑环境与空间造型和谐统一，充分协调好周边建筑景观的关系</w:t>
            </w:r>
            <w:r>
              <w:rPr>
                <w:rFonts w:hint="eastAsia" w:ascii="宋体" w:hAnsi="宋体"/>
                <w:color w:val="auto"/>
                <w:sz w:val="21"/>
                <w:szCs w:val="21"/>
                <w:highlight w:val="none"/>
                <w:lang w:eastAsia="zh-CN"/>
              </w:rPr>
              <w:t>。</w:t>
            </w:r>
          </w:p>
        </w:tc>
        <w:tc>
          <w:tcPr>
            <w:tcW w:w="1062" w:type="dxa"/>
            <w:noWrap w:val="0"/>
            <w:vAlign w:val="center"/>
          </w:tcPr>
          <w:p w14:paraId="29665BE9">
            <w:pPr>
              <w:jc w:val="both"/>
              <w:rPr>
                <w:rFonts w:ascii="宋体" w:hAnsi="宋体"/>
                <w:color w:val="auto"/>
                <w:highlight w:val="none"/>
              </w:rPr>
            </w:pPr>
          </w:p>
        </w:tc>
        <w:tc>
          <w:tcPr>
            <w:tcW w:w="1088" w:type="dxa"/>
            <w:noWrap w:val="0"/>
            <w:vAlign w:val="center"/>
          </w:tcPr>
          <w:p w14:paraId="197ADF32">
            <w:pPr>
              <w:jc w:val="both"/>
              <w:rPr>
                <w:rFonts w:ascii="宋体" w:hAnsi="宋体"/>
                <w:color w:val="auto"/>
                <w:highlight w:val="none"/>
              </w:rPr>
            </w:pPr>
          </w:p>
        </w:tc>
        <w:tc>
          <w:tcPr>
            <w:tcW w:w="1104" w:type="dxa"/>
            <w:noWrap w:val="0"/>
            <w:vAlign w:val="center"/>
          </w:tcPr>
          <w:p w14:paraId="62B743F0">
            <w:pPr>
              <w:jc w:val="both"/>
              <w:rPr>
                <w:rFonts w:ascii="宋体" w:hAnsi="宋体"/>
                <w:color w:val="auto"/>
                <w:highlight w:val="none"/>
              </w:rPr>
            </w:pPr>
          </w:p>
        </w:tc>
      </w:tr>
      <w:tr w14:paraId="183D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81" w:type="dxa"/>
            <w:noWrap w:val="0"/>
            <w:vAlign w:val="center"/>
          </w:tcPr>
          <w:p w14:paraId="32B905D0">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3景观</w:t>
            </w:r>
          </w:p>
        </w:tc>
        <w:tc>
          <w:tcPr>
            <w:tcW w:w="9613" w:type="dxa"/>
            <w:noWrap w:val="0"/>
            <w:vAlign w:val="center"/>
          </w:tcPr>
          <w:p w14:paraId="6CFFD5F0">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视野开阔、利用自然风光，合理布置绿化、水体，方便户外交流休息，保护历史遗迹，保留利用原有树木</w:t>
            </w:r>
            <w:r>
              <w:rPr>
                <w:rFonts w:hint="eastAsia" w:ascii="宋体" w:hAnsi="宋体"/>
                <w:color w:val="auto"/>
                <w:sz w:val="21"/>
                <w:szCs w:val="21"/>
                <w:highlight w:val="none"/>
                <w:lang w:eastAsia="zh-CN"/>
              </w:rPr>
              <w:t>。</w:t>
            </w:r>
          </w:p>
        </w:tc>
        <w:tc>
          <w:tcPr>
            <w:tcW w:w="1062" w:type="dxa"/>
            <w:noWrap w:val="0"/>
            <w:vAlign w:val="center"/>
          </w:tcPr>
          <w:p w14:paraId="63696DD9">
            <w:pPr>
              <w:jc w:val="both"/>
              <w:rPr>
                <w:rFonts w:ascii="宋体" w:hAnsi="宋体"/>
                <w:color w:val="auto"/>
                <w:highlight w:val="none"/>
              </w:rPr>
            </w:pPr>
          </w:p>
        </w:tc>
        <w:tc>
          <w:tcPr>
            <w:tcW w:w="1088" w:type="dxa"/>
            <w:noWrap w:val="0"/>
            <w:vAlign w:val="center"/>
          </w:tcPr>
          <w:p w14:paraId="25289764">
            <w:pPr>
              <w:jc w:val="both"/>
              <w:rPr>
                <w:rFonts w:ascii="宋体" w:hAnsi="宋体"/>
                <w:color w:val="auto"/>
                <w:highlight w:val="none"/>
              </w:rPr>
            </w:pPr>
          </w:p>
        </w:tc>
        <w:tc>
          <w:tcPr>
            <w:tcW w:w="1104" w:type="dxa"/>
            <w:noWrap w:val="0"/>
            <w:vAlign w:val="center"/>
          </w:tcPr>
          <w:p w14:paraId="0E13F3A7">
            <w:pPr>
              <w:jc w:val="both"/>
              <w:rPr>
                <w:rFonts w:ascii="宋体" w:hAnsi="宋体"/>
                <w:color w:val="auto"/>
                <w:highlight w:val="none"/>
              </w:rPr>
            </w:pPr>
          </w:p>
        </w:tc>
      </w:tr>
      <w:tr w14:paraId="1C7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81" w:type="dxa"/>
            <w:noWrap w:val="0"/>
            <w:vAlign w:val="center"/>
          </w:tcPr>
          <w:p w14:paraId="78C39474">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4建筑外观</w:t>
            </w:r>
          </w:p>
        </w:tc>
        <w:tc>
          <w:tcPr>
            <w:tcW w:w="9613" w:type="dxa"/>
            <w:noWrap w:val="0"/>
            <w:vAlign w:val="center"/>
          </w:tcPr>
          <w:p w14:paraId="34517CB2">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建筑形式清晰、细腻、精致、简洁，视觉效果良好，</w:t>
            </w:r>
            <w:r>
              <w:rPr>
                <w:rFonts w:ascii="ˎ̥" w:hAnsi="ˎ̥" w:cs="宋体"/>
                <w:color w:val="auto"/>
                <w:kern w:val="0"/>
                <w:sz w:val="21"/>
                <w:szCs w:val="21"/>
                <w:highlight w:val="none"/>
              </w:rPr>
              <w:t>建筑外观与传统文化及周边环境整体和谐</w:t>
            </w:r>
            <w:r>
              <w:rPr>
                <w:rFonts w:hint="eastAsia" w:ascii="ˎ̥" w:hAnsi="ˎ̥" w:cs="宋体"/>
                <w:color w:val="auto"/>
                <w:kern w:val="0"/>
                <w:sz w:val="21"/>
                <w:szCs w:val="21"/>
                <w:highlight w:val="none"/>
              </w:rPr>
              <w:t>。</w:t>
            </w:r>
          </w:p>
        </w:tc>
        <w:tc>
          <w:tcPr>
            <w:tcW w:w="1062" w:type="dxa"/>
            <w:noWrap w:val="0"/>
            <w:vAlign w:val="center"/>
          </w:tcPr>
          <w:p w14:paraId="71EC0F04">
            <w:pPr>
              <w:jc w:val="both"/>
              <w:rPr>
                <w:rFonts w:ascii="宋体" w:hAnsi="宋体"/>
                <w:color w:val="auto"/>
                <w:highlight w:val="none"/>
              </w:rPr>
            </w:pPr>
          </w:p>
        </w:tc>
        <w:tc>
          <w:tcPr>
            <w:tcW w:w="1088" w:type="dxa"/>
            <w:noWrap w:val="0"/>
            <w:vAlign w:val="center"/>
          </w:tcPr>
          <w:p w14:paraId="607C1C13">
            <w:pPr>
              <w:jc w:val="both"/>
              <w:rPr>
                <w:rFonts w:ascii="宋体" w:hAnsi="宋体"/>
                <w:color w:val="auto"/>
                <w:highlight w:val="none"/>
              </w:rPr>
            </w:pPr>
          </w:p>
        </w:tc>
        <w:tc>
          <w:tcPr>
            <w:tcW w:w="1104" w:type="dxa"/>
            <w:noWrap w:val="0"/>
            <w:vAlign w:val="center"/>
          </w:tcPr>
          <w:p w14:paraId="40C34872">
            <w:pPr>
              <w:jc w:val="both"/>
              <w:rPr>
                <w:rFonts w:ascii="宋体" w:hAnsi="宋体"/>
                <w:color w:val="auto"/>
                <w:highlight w:val="none"/>
              </w:rPr>
            </w:pPr>
          </w:p>
        </w:tc>
      </w:tr>
      <w:tr w14:paraId="5DB0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4C518811">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5使用功能</w:t>
            </w:r>
          </w:p>
        </w:tc>
        <w:tc>
          <w:tcPr>
            <w:tcW w:w="9613" w:type="dxa"/>
            <w:noWrap w:val="0"/>
            <w:vAlign w:val="center"/>
          </w:tcPr>
          <w:p w14:paraId="32A1D090">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空间布局合理，噪声隔绝，避免视线干扰，房屋散热，空气流通，朝向和开窗合理。从使用者的角度考虑单元设计，具有预见性和适应性，舒适实用，功能齐全、满足使用要求，有充分的可实施性，多功能使用的灵活性，可再调整分隔，迅速、廉价地改变布局。</w:t>
            </w:r>
          </w:p>
        </w:tc>
        <w:tc>
          <w:tcPr>
            <w:tcW w:w="1062" w:type="dxa"/>
            <w:noWrap w:val="0"/>
            <w:vAlign w:val="center"/>
          </w:tcPr>
          <w:p w14:paraId="668D7AED">
            <w:pPr>
              <w:jc w:val="both"/>
              <w:rPr>
                <w:rFonts w:ascii="宋体" w:hAnsi="宋体"/>
                <w:color w:val="auto"/>
                <w:highlight w:val="none"/>
              </w:rPr>
            </w:pPr>
          </w:p>
        </w:tc>
        <w:tc>
          <w:tcPr>
            <w:tcW w:w="1088" w:type="dxa"/>
            <w:noWrap w:val="0"/>
            <w:vAlign w:val="center"/>
          </w:tcPr>
          <w:p w14:paraId="638C947D">
            <w:pPr>
              <w:jc w:val="both"/>
              <w:rPr>
                <w:rFonts w:ascii="宋体" w:hAnsi="宋体"/>
                <w:color w:val="auto"/>
                <w:highlight w:val="none"/>
              </w:rPr>
            </w:pPr>
          </w:p>
        </w:tc>
        <w:tc>
          <w:tcPr>
            <w:tcW w:w="1104" w:type="dxa"/>
            <w:noWrap w:val="0"/>
            <w:vAlign w:val="center"/>
          </w:tcPr>
          <w:p w14:paraId="2C6AD703">
            <w:pPr>
              <w:jc w:val="both"/>
              <w:rPr>
                <w:rFonts w:ascii="宋体" w:hAnsi="宋体"/>
                <w:color w:val="auto"/>
                <w:highlight w:val="none"/>
              </w:rPr>
            </w:pPr>
          </w:p>
        </w:tc>
      </w:tr>
      <w:tr w14:paraId="5F3C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3FA85B45">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6交通</w:t>
            </w:r>
          </w:p>
        </w:tc>
        <w:tc>
          <w:tcPr>
            <w:tcW w:w="9613" w:type="dxa"/>
            <w:noWrap w:val="0"/>
            <w:vAlign w:val="center"/>
          </w:tcPr>
          <w:p w14:paraId="12C78E6C">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交通流线清晰，电梯的位置和数量合理，停车体系完善，连接方便，避免交通阻隔和绕行，减少无效路程，可快速疏通人流，提高交通效率</w:t>
            </w:r>
            <w:r>
              <w:rPr>
                <w:rFonts w:hint="eastAsia" w:ascii="宋体" w:hAnsi="宋体"/>
                <w:color w:val="auto"/>
                <w:sz w:val="21"/>
                <w:szCs w:val="21"/>
                <w:highlight w:val="none"/>
                <w:lang w:eastAsia="zh-CN"/>
              </w:rPr>
              <w:t>。</w:t>
            </w:r>
          </w:p>
        </w:tc>
        <w:tc>
          <w:tcPr>
            <w:tcW w:w="1062" w:type="dxa"/>
            <w:noWrap w:val="0"/>
            <w:vAlign w:val="center"/>
          </w:tcPr>
          <w:p w14:paraId="0012D9F2">
            <w:pPr>
              <w:jc w:val="both"/>
              <w:rPr>
                <w:rFonts w:ascii="宋体" w:hAnsi="宋体"/>
                <w:color w:val="auto"/>
                <w:highlight w:val="none"/>
              </w:rPr>
            </w:pPr>
          </w:p>
        </w:tc>
        <w:tc>
          <w:tcPr>
            <w:tcW w:w="1088" w:type="dxa"/>
            <w:noWrap w:val="0"/>
            <w:vAlign w:val="center"/>
          </w:tcPr>
          <w:p w14:paraId="23BA25E7">
            <w:pPr>
              <w:jc w:val="both"/>
              <w:rPr>
                <w:rFonts w:ascii="宋体" w:hAnsi="宋体"/>
                <w:color w:val="auto"/>
                <w:highlight w:val="none"/>
              </w:rPr>
            </w:pPr>
          </w:p>
        </w:tc>
        <w:tc>
          <w:tcPr>
            <w:tcW w:w="1104" w:type="dxa"/>
            <w:noWrap w:val="0"/>
            <w:vAlign w:val="center"/>
          </w:tcPr>
          <w:p w14:paraId="02478E76">
            <w:pPr>
              <w:jc w:val="both"/>
              <w:rPr>
                <w:rFonts w:ascii="宋体" w:hAnsi="宋体"/>
                <w:color w:val="auto"/>
                <w:highlight w:val="none"/>
              </w:rPr>
            </w:pPr>
          </w:p>
        </w:tc>
      </w:tr>
      <w:tr w14:paraId="0F64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81" w:type="dxa"/>
            <w:noWrap w:val="0"/>
            <w:vAlign w:val="center"/>
          </w:tcPr>
          <w:p w14:paraId="1CD4FFB6">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7无障碍</w:t>
            </w:r>
          </w:p>
        </w:tc>
        <w:tc>
          <w:tcPr>
            <w:tcW w:w="9613" w:type="dxa"/>
            <w:noWrap w:val="0"/>
            <w:vAlign w:val="center"/>
          </w:tcPr>
          <w:p w14:paraId="633E1BB9">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有残疾人专用通道、扶手、卫生间，轮椅从行人道上应能无障碍地到达公共建筑的任何房间，无障碍地到达首层电梯间或楼梯间，建筑物入口或地下停车库电梯间附近设置残疾人停车位。</w:t>
            </w:r>
          </w:p>
        </w:tc>
        <w:tc>
          <w:tcPr>
            <w:tcW w:w="1062" w:type="dxa"/>
            <w:noWrap w:val="0"/>
            <w:vAlign w:val="center"/>
          </w:tcPr>
          <w:p w14:paraId="690B5A74">
            <w:pPr>
              <w:jc w:val="both"/>
              <w:rPr>
                <w:rFonts w:ascii="宋体" w:hAnsi="宋体"/>
                <w:color w:val="auto"/>
                <w:highlight w:val="none"/>
              </w:rPr>
            </w:pPr>
          </w:p>
        </w:tc>
        <w:tc>
          <w:tcPr>
            <w:tcW w:w="1088" w:type="dxa"/>
            <w:noWrap w:val="0"/>
            <w:vAlign w:val="center"/>
          </w:tcPr>
          <w:p w14:paraId="73A1790B">
            <w:pPr>
              <w:jc w:val="both"/>
              <w:rPr>
                <w:rFonts w:ascii="宋体" w:hAnsi="宋体"/>
                <w:color w:val="auto"/>
                <w:highlight w:val="none"/>
              </w:rPr>
            </w:pPr>
          </w:p>
        </w:tc>
        <w:tc>
          <w:tcPr>
            <w:tcW w:w="1104" w:type="dxa"/>
            <w:noWrap w:val="0"/>
            <w:vAlign w:val="center"/>
          </w:tcPr>
          <w:p w14:paraId="16AC749A">
            <w:pPr>
              <w:jc w:val="both"/>
              <w:rPr>
                <w:rFonts w:ascii="宋体" w:hAnsi="宋体"/>
                <w:color w:val="auto"/>
                <w:highlight w:val="none"/>
              </w:rPr>
            </w:pPr>
          </w:p>
        </w:tc>
      </w:tr>
      <w:tr w14:paraId="0A46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79357350">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8配套设施</w:t>
            </w:r>
          </w:p>
        </w:tc>
        <w:tc>
          <w:tcPr>
            <w:tcW w:w="9613" w:type="dxa"/>
            <w:noWrap w:val="0"/>
            <w:vAlign w:val="center"/>
          </w:tcPr>
          <w:p w14:paraId="5597AA8D">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设置地下管道共同沟（综合走廊），照明、空气循环与控制、消防、防盗安全、电梯、节电节水自动控制、网络、雨水收集与利用、太阳能和风力利用等系统</w:t>
            </w:r>
            <w:r>
              <w:rPr>
                <w:rFonts w:hint="eastAsia" w:ascii="宋体" w:hAnsi="宋体"/>
                <w:color w:val="auto"/>
                <w:sz w:val="21"/>
                <w:szCs w:val="21"/>
                <w:highlight w:val="none"/>
                <w:lang w:eastAsia="zh-CN"/>
              </w:rPr>
              <w:t>。</w:t>
            </w:r>
          </w:p>
        </w:tc>
        <w:tc>
          <w:tcPr>
            <w:tcW w:w="1062" w:type="dxa"/>
            <w:noWrap w:val="0"/>
            <w:vAlign w:val="center"/>
          </w:tcPr>
          <w:p w14:paraId="01FD4B9A">
            <w:pPr>
              <w:jc w:val="both"/>
              <w:rPr>
                <w:rFonts w:ascii="宋体" w:hAnsi="宋体"/>
                <w:color w:val="auto"/>
                <w:highlight w:val="none"/>
              </w:rPr>
            </w:pPr>
          </w:p>
        </w:tc>
        <w:tc>
          <w:tcPr>
            <w:tcW w:w="1088" w:type="dxa"/>
            <w:noWrap w:val="0"/>
            <w:vAlign w:val="center"/>
          </w:tcPr>
          <w:p w14:paraId="747F6AA0">
            <w:pPr>
              <w:jc w:val="both"/>
              <w:rPr>
                <w:rFonts w:ascii="宋体" w:hAnsi="宋体"/>
                <w:color w:val="auto"/>
                <w:highlight w:val="none"/>
              </w:rPr>
            </w:pPr>
          </w:p>
        </w:tc>
        <w:tc>
          <w:tcPr>
            <w:tcW w:w="1104" w:type="dxa"/>
            <w:noWrap w:val="0"/>
            <w:vAlign w:val="center"/>
          </w:tcPr>
          <w:p w14:paraId="3D4484FE">
            <w:pPr>
              <w:jc w:val="both"/>
              <w:rPr>
                <w:rFonts w:ascii="宋体" w:hAnsi="宋体"/>
                <w:color w:val="auto"/>
                <w:highlight w:val="none"/>
              </w:rPr>
            </w:pPr>
          </w:p>
        </w:tc>
      </w:tr>
      <w:tr w14:paraId="5111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81" w:type="dxa"/>
            <w:noWrap w:val="0"/>
            <w:vAlign w:val="center"/>
          </w:tcPr>
          <w:p w14:paraId="3F4189E5">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9经济</w:t>
            </w:r>
          </w:p>
        </w:tc>
        <w:tc>
          <w:tcPr>
            <w:tcW w:w="9613" w:type="dxa"/>
            <w:noWrap w:val="0"/>
            <w:vAlign w:val="center"/>
          </w:tcPr>
          <w:p w14:paraId="1402F303">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设计模数协调，符合设计标准、规范，造价合理、指标准确，工程造价估算不突破规定的控制要求，材料与构造符合国情并适用于华南地区，建成后节省管理和维护费用</w:t>
            </w:r>
            <w:r>
              <w:rPr>
                <w:rFonts w:hint="eastAsia" w:ascii="宋体" w:hAnsi="宋体"/>
                <w:color w:val="auto"/>
                <w:sz w:val="21"/>
                <w:szCs w:val="21"/>
                <w:highlight w:val="none"/>
                <w:lang w:eastAsia="zh-CN"/>
              </w:rPr>
              <w:t>。</w:t>
            </w:r>
          </w:p>
        </w:tc>
        <w:tc>
          <w:tcPr>
            <w:tcW w:w="1062" w:type="dxa"/>
            <w:noWrap w:val="0"/>
            <w:vAlign w:val="center"/>
          </w:tcPr>
          <w:p w14:paraId="25A0898F">
            <w:pPr>
              <w:jc w:val="both"/>
              <w:rPr>
                <w:rFonts w:ascii="宋体" w:hAnsi="宋体"/>
                <w:color w:val="auto"/>
                <w:highlight w:val="none"/>
              </w:rPr>
            </w:pPr>
          </w:p>
        </w:tc>
        <w:tc>
          <w:tcPr>
            <w:tcW w:w="1088" w:type="dxa"/>
            <w:noWrap w:val="0"/>
            <w:vAlign w:val="center"/>
          </w:tcPr>
          <w:p w14:paraId="0C6CF2C7">
            <w:pPr>
              <w:jc w:val="both"/>
              <w:rPr>
                <w:rFonts w:ascii="宋体" w:hAnsi="宋体"/>
                <w:color w:val="auto"/>
                <w:highlight w:val="none"/>
              </w:rPr>
            </w:pPr>
          </w:p>
        </w:tc>
        <w:tc>
          <w:tcPr>
            <w:tcW w:w="1104" w:type="dxa"/>
            <w:noWrap w:val="0"/>
            <w:vAlign w:val="center"/>
          </w:tcPr>
          <w:p w14:paraId="56E560C6">
            <w:pPr>
              <w:jc w:val="both"/>
              <w:rPr>
                <w:rFonts w:ascii="宋体" w:hAnsi="宋体"/>
                <w:color w:val="auto"/>
                <w:highlight w:val="none"/>
              </w:rPr>
            </w:pPr>
          </w:p>
        </w:tc>
      </w:tr>
      <w:tr w14:paraId="6771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81" w:type="dxa"/>
            <w:noWrap w:val="0"/>
            <w:vAlign w:val="center"/>
          </w:tcPr>
          <w:p w14:paraId="220CCEAE">
            <w:pPr>
              <w:spacing w:line="360" w:lineRule="auto"/>
              <w:jc w:val="both"/>
              <w:rPr>
                <w:rFonts w:ascii="宋体" w:hAnsi="宋体"/>
                <w:color w:val="auto"/>
                <w:highlight w:val="none"/>
                <w:u w:val="none"/>
              </w:rPr>
            </w:pPr>
            <w:r>
              <w:rPr>
                <w:rFonts w:hint="eastAsia" w:ascii="宋体" w:hAnsi="宋体"/>
                <w:color w:val="auto"/>
                <w:highlight w:val="none"/>
                <w:u w:val="none"/>
              </w:rPr>
              <w:t>10建筑节能设计</w:t>
            </w:r>
          </w:p>
        </w:tc>
        <w:tc>
          <w:tcPr>
            <w:tcW w:w="9613" w:type="dxa"/>
            <w:noWrap w:val="0"/>
            <w:vAlign w:val="center"/>
          </w:tcPr>
          <w:p w14:paraId="52E29D8C">
            <w:pPr>
              <w:spacing w:line="360" w:lineRule="auto"/>
              <w:jc w:val="both"/>
              <w:rPr>
                <w:rFonts w:ascii="宋体" w:hAnsi="宋体"/>
                <w:color w:val="auto"/>
                <w:highlight w:val="none"/>
                <w:u w:val="none"/>
              </w:rPr>
            </w:pPr>
            <w:r>
              <w:rPr>
                <w:rFonts w:hint="eastAsia" w:ascii="宋体" w:hAnsi="宋体"/>
                <w:color w:val="auto"/>
                <w:highlight w:val="none"/>
                <w:u w:val="none"/>
              </w:rPr>
              <w:t xml:space="preserve"> 充分考虑环保与节能的要求，最大限度地节约资源、保护环境和减少污染，根据《绿色建筑评价标准》，达到规划条件要求。</w:t>
            </w:r>
          </w:p>
        </w:tc>
        <w:tc>
          <w:tcPr>
            <w:tcW w:w="1062" w:type="dxa"/>
            <w:noWrap w:val="0"/>
            <w:vAlign w:val="center"/>
          </w:tcPr>
          <w:p w14:paraId="37DD4712">
            <w:pPr>
              <w:jc w:val="both"/>
              <w:rPr>
                <w:rFonts w:ascii="宋体" w:hAnsi="宋体"/>
                <w:color w:val="auto"/>
                <w:highlight w:val="none"/>
              </w:rPr>
            </w:pPr>
          </w:p>
        </w:tc>
        <w:tc>
          <w:tcPr>
            <w:tcW w:w="1088" w:type="dxa"/>
            <w:noWrap w:val="0"/>
            <w:vAlign w:val="center"/>
          </w:tcPr>
          <w:p w14:paraId="4C515798">
            <w:pPr>
              <w:jc w:val="both"/>
              <w:rPr>
                <w:rFonts w:ascii="宋体" w:hAnsi="宋体"/>
                <w:color w:val="auto"/>
                <w:highlight w:val="none"/>
              </w:rPr>
            </w:pPr>
          </w:p>
        </w:tc>
        <w:tc>
          <w:tcPr>
            <w:tcW w:w="1104" w:type="dxa"/>
            <w:noWrap w:val="0"/>
            <w:vAlign w:val="center"/>
          </w:tcPr>
          <w:p w14:paraId="5324867E">
            <w:pPr>
              <w:jc w:val="both"/>
              <w:rPr>
                <w:rFonts w:ascii="宋体" w:hAnsi="宋体"/>
                <w:color w:val="auto"/>
                <w:highlight w:val="none"/>
              </w:rPr>
            </w:pPr>
          </w:p>
        </w:tc>
      </w:tr>
      <w:tr w14:paraId="7022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81" w:type="dxa"/>
            <w:noWrap w:val="0"/>
            <w:vAlign w:val="center"/>
          </w:tcPr>
          <w:p w14:paraId="54E7A487">
            <w:pPr>
              <w:jc w:val="both"/>
              <w:rPr>
                <w:rFonts w:ascii="宋体" w:hAnsi="宋体"/>
                <w:color w:val="auto"/>
                <w:highlight w:val="none"/>
              </w:rPr>
            </w:pPr>
            <w:r>
              <w:rPr>
                <w:rFonts w:hint="eastAsia" w:ascii="宋体" w:hAnsi="宋体"/>
                <w:color w:val="auto"/>
                <w:highlight w:val="none"/>
              </w:rPr>
              <w:t>综合评价</w:t>
            </w:r>
          </w:p>
        </w:tc>
        <w:tc>
          <w:tcPr>
            <w:tcW w:w="9613" w:type="dxa"/>
            <w:noWrap w:val="0"/>
            <w:vAlign w:val="center"/>
          </w:tcPr>
          <w:p w14:paraId="33D5AB34">
            <w:pPr>
              <w:jc w:val="both"/>
              <w:rPr>
                <w:rFonts w:ascii="宋体" w:hAnsi="宋体"/>
                <w:color w:val="auto"/>
                <w:highlight w:val="none"/>
              </w:rPr>
            </w:pPr>
          </w:p>
        </w:tc>
        <w:tc>
          <w:tcPr>
            <w:tcW w:w="1062" w:type="dxa"/>
            <w:noWrap w:val="0"/>
            <w:vAlign w:val="center"/>
          </w:tcPr>
          <w:p w14:paraId="6F4DC823">
            <w:pPr>
              <w:jc w:val="both"/>
              <w:rPr>
                <w:rFonts w:ascii="宋体" w:hAnsi="宋体"/>
                <w:color w:val="auto"/>
                <w:highlight w:val="none"/>
              </w:rPr>
            </w:pPr>
          </w:p>
        </w:tc>
        <w:tc>
          <w:tcPr>
            <w:tcW w:w="1088" w:type="dxa"/>
            <w:noWrap w:val="0"/>
            <w:vAlign w:val="center"/>
          </w:tcPr>
          <w:p w14:paraId="62334B32">
            <w:pPr>
              <w:jc w:val="both"/>
              <w:rPr>
                <w:rFonts w:ascii="宋体" w:hAnsi="宋体"/>
                <w:color w:val="auto"/>
                <w:highlight w:val="none"/>
              </w:rPr>
            </w:pPr>
          </w:p>
        </w:tc>
        <w:tc>
          <w:tcPr>
            <w:tcW w:w="1104" w:type="dxa"/>
            <w:noWrap w:val="0"/>
            <w:vAlign w:val="center"/>
          </w:tcPr>
          <w:p w14:paraId="1602B28E">
            <w:pPr>
              <w:jc w:val="both"/>
              <w:rPr>
                <w:rFonts w:ascii="宋体" w:hAnsi="宋体"/>
                <w:color w:val="auto"/>
                <w:highlight w:val="none"/>
              </w:rPr>
            </w:pPr>
          </w:p>
        </w:tc>
      </w:tr>
    </w:tbl>
    <w:p w14:paraId="62415F0A">
      <w:pPr>
        <w:spacing w:line="360" w:lineRule="auto"/>
        <w:rPr>
          <w:rFonts w:hint="eastAsia" w:ascii="宋体" w:hAnsi="宋体"/>
          <w:color w:val="auto"/>
          <w:highlight w:val="none"/>
        </w:rPr>
        <w:sectPr>
          <w:footerReference r:id="rId9" w:type="default"/>
          <w:footerReference r:id="rId10" w:type="even"/>
          <w:pgSz w:w="16838" w:h="11906" w:orient="landscape"/>
          <w:pgMar w:top="1440" w:right="1440" w:bottom="1469" w:left="1440" w:header="851" w:footer="992" w:gutter="0"/>
          <w:pgNumType w:fmt="decimal"/>
          <w:cols w:space="720" w:num="1"/>
          <w:docGrid w:type="linesAndChars" w:linePitch="312" w:charSpace="0"/>
        </w:sectPr>
      </w:pPr>
      <w:r>
        <w:rPr>
          <w:rFonts w:hint="eastAsia" w:ascii="宋体" w:hAnsi="宋体"/>
          <w:color w:val="auto"/>
          <w:sz w:val="24"/>
          <w:highlight w:val="none"/>
        </w:rPr>
        <w:t xml:space="preserve">评委签名：                                                                               </w:t>
      </w:r>
      <w:r>
        <w:rPr>
          <w:rFonts w:hint="eastAsia" w:ascii="宋体" w:hAnsi="宋体"/>
          <w:color w:val="auto"/>
          <w:highlight w:val="none"/>
        </w:rPr>
        <w:t xml:space="preserve">    日期：       年    月    日</w:t>
      </w:r>
    </w:p>
    <w:p w14:paraId="2897B453">
      <w:pPr>
        <w:pStyle w:val="2"/>
        <w:spacing w:before="0" w:after="0" w:line="579" w:lineRule="auto"/>
        <w:rPr>
          <w:rFonts w:hint="eastAsia" w:ascii="宋体" w:hAnsi="宋体"/>
          <w:color w:val="auto"/>
          <w:sz w:val="21"/>
          <w:szCs w:val="21"/>
          <w:highlight w:val="none"/>
        </w:rPr>
      </w:pPr>
      <w:bookmarkStart w:id="44" w:name="_Toc19749"/>
      <w:r>
        <w:rPr>
          <w:rFonts w:hint="eastAsia" w:ascii="宋体" w:hAnsi="宋体"/>
          <w:color w:val="auto"/>
          <w:sz w:val="21"/>
          <w:szCs w:val="21"/>
          <w:highlight w:val="none"/>
        </w:rPr>
        <w:t>附录14 投标方案评语</w:t>
      </w:r>
      <w:bookmarkEnd w:id="44"/>
    </w:p>
    <w:p w14:paraId="7E686D8E">
      <w:pPr>
        <w:jc w:val="center"/>
        <w:rPr>
          <w:rFonts w:hint="eastAsia" w:ascii="宋体" w:hAnsi="宋体"/>
          <w:color w:val="auto"/>
          <w:sz w:val="24"/>
          <w:highlight w:val="none"/>
        </w:rPr>
      </w:pPr>
      <w:r>
        <w:rPr>
          <w:rFonts w:hint="eastAsia" w:ascii="宋体" w:hAnsi="宋体"/>
          <w:b/>
          <w:bCs/>
          <w:color w:val="auto"/>
          <w:sz w:val="32"/>
          <w:highlight w:val="none"/>
        </w:rPr>
        <w:t>投标方案评语</w:t>
      </w:r>
    </w:p>
    <w:p w14:paraId="0117990D">
      <w:pPr>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057"/>
      </w:tblGrid>
      <w:tr w14:paraId="781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9" w:type="dxa"/>
            <w:noWrap w:val="0"/>
            <w:vAlign w:val="top"/>
          </w:tcPr>
          <w:p w14:paraId="03250213">
            <w:pPr>
              <w:rPr>
                <w:rFonts w:hint="eastAsia" w:ascii="宋体" w:hAnsi="宋体"/>
                <w:color w:val="auto"/>
                <w:sz w:val="24"/>
                <w:highlight w:val="none"/>
              </w:rPr>
            </w:pPr>
            <w:r>
              <w:rPr>
                <w:rFonts w:hint="eastAsia" w:ascii="宋体" w:hAnsi="宋体"/>
                <w:color w:val="auto"/>
                <w:sz w:val="24"/>
                <w:highlight w:val="none"/>
              </w:rPr>
              <w:t>方案编号</w:t>
            </w:r>
          </w:p>
        </w:tc>
        <w:tc>
          <w:tcPr>
            <w:tcW w:w="8057" w:type="dxa"/>
            <w:noWrap w:val="0"/>
            <w:vAlign w:val="top"/>
          </w:tcPr>
          <w:p w14:paraId="7B3770B9">
            <w:pPr>
              <w:jc w:val="center"/>
              <w:rPr>
                <w:rFonts w:hint="eastAsia" w:ascii="宋体" w:hAnsi="宋体"/>
                <w:color w:val="auto"/>
                <w:sz w:val="24"/>
                <w:highlight w:val="none"/>
              </w:rPr>
            </w:pPr>
            <w:r>
              <w:rPr>
                <w:rFonts w:hint="eastAsia" w:ascii="宋体" w:hAnsi="宋体"/>
                <w:color w:val="auto"/>
                <w:sz w:val="24"/>
                <w:highlight w:val="none"/>
              </w:rPr>
              <w:t>评    语</w:t>
            </w:r>
          </w:p>
        </w:tc>
      </w:tr>
      <w:tr w14:paraId="575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00A521CB">
            <w:pPr>
              <w:rPr>
                <w:rFonts w:hint="eastAsia" w:ascii="宋体" w:hAnsi="宋体"/>
                <w:color w:val="auto"/>
                <w:highlight w:val="none"/>
              </w:rPr>
            </w:pPr>
          </w:p>
        </w:tc>
        <w:tc>
          <w:tcPr>
            <w:tcW w:w="8057" w:type="dxa"/>
            <w:noWrap w:val="0"/>
            <w:vAlign w:val="top"/>
          </w:tcPr>
          <w:p w14:paraId="178F36E9">
            <w:pPr>
              <w:jc w:val="center"/>
              <w:rPr>
                <w:rFonts w:hint="eastAsia" w:ascii="宋体" w:hAnsi="宋体"/>
                <w:color w:val="auto"/>
                <w:highlight w:val="none"/>
              </w:rPr>
            </w:pPr>
          </w:p>
        </w:tc>
      </w:tr>
      <w:tr w14:paraId="352C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04D51B8C">
            <w:pPr>
              <w:rPr>
                <w:rFonts w:hint="eastAsia" w:ascii="宋体" w:hAnsi="宋体"/>
                <w:color w:val="auto"/>
                <w:highlight w:val="none"/>
              </w:rPr>
            </w:pPr>
          </w:p>
        </w:tc>
        <w:tc>
          <w:tcPr>
            <w:tcW w:w="8057" w:type="dxa"/>
            <w:noWrap w:val="0"/>
            <w:vAlign w:val="top"/>
          </w:tcPr>
          <w:p w14:paraId="59E683E8">
            <w:pPr>
              <w:jc w:val="center"/>
              <w:rPr>
                <w:rFonts w:hint="eastAsia" w:ascii="宋体" w:hAnsi="宋体"/>
                <w:color w:val="auto"/>
                <w:highlight w:val="none"/>
              </w:rPr>
            </w:pPr>
          </w:p>
        </w:tc>
      </w:tr>
      <w:tr w14:paraId="2273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2772902C">
            <w:pPr>
              <w:rPr>
                <w:rFonts w:hint="eastAsia" w:ascii="宋体" w:hAnsi="宋体"/>
                <w:color w:val="auto"/>
                <w:highlight w:val="none"/>
              </w:rPr>
            </w:pPr>
          </w:p>
        </w:tc>
        <w:tc>
          <w:tcPr>
            <w:tcW w:w="8057" w:type="dxa"/>
            <w:noWrap w:val="0"/>
            <w:vAlign w:val="top"/>
          </w:tcPr>
          <w:p w14:paraId="2A60F2A8">
            <w:pPr>
              <w:jc w:val="center"/>
              <w:rPr>
                <w:rFonts w:hint="eastAsia" w:ascii="宋体" w:hAnsi="宋体"/>
                <w:color w:val="auto"/>
                <w:highlight w:val="none"/>
              </w:rPr>
            </w:pPr>
          </w:p>
        </w:tc>
      </w:tr>
      <w:tr w14:paraId="203E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05B3B789">
            <w:pPr>
              <w:rPr>
                <w:rFonts w:hint="eastAsia" w:ascii="宋体" w:hAnsi="宋体"/>
                <w:color w:val="auto"/>
                <w:highlight w:val="none"/>
              </w:rPr>
            </w:pPr>
          </w:p>
        </w:tc>
        <w:tc>
          <w:tcPr>
            <w:tcW w:w="8057" w:type="dxa"/>
            <w:noWrap w:val="0"/>
            <w:vAlign w:val="top"/>
          </w:tcPr>
          <w:p w14:paraId="4504456F">
            <w:pPr>
              <w:jc w:val="center"/>
              <w:rPr>
                <w:rFonts w:hint="eastAsia" w:ascii="宋体" w:hAnsi="宋体"/>
                <w:color w:val="auto"/>
                <w:highlight w:val="none"/>
              </w:rPr>
            </w:pPr>
          </w:p>
        </w:tc>
      </w:tr>
      <w:tr w14:paraId="09E9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1A0371CB">
            <w:pPr>
              <w:rPr>
                <w:rFonts w:hint="eastAsia" w:ascii="宋体" w:hAnsi="宋体"/>
                <w:color w:val="auto"/>
                <w:highlight w:val="none"/>
              </w:rPr>
            </w:pPr>
          </w:p>
        </w:tc>
        <w:tc>
          <w:tcPr>
            <w:tcW w:w="8057" w:type="dxa"/>
            <w:noWrap w:val="0"/>
            <w:vAlign w:val="top"/>
          </w:tcPr>
          <w:p w14:paraId="01416DE4">
            <w:pPr>
              <w:jc w:val="center"/>
              <w:rPr>
                <w:rFonts w:hint="eastAsia" w:ascii="宋体" w:hAnsi="宋体"/>
                <w:color w:val="auto"/>
                <w:highlight w:val="none"/>
              </w:rPr>
            </w:pPr>
          </w:p>
        </w:tc>
      </w:tr>
      <w:tr w14:paraId="555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216E226F">
            <w:pPr>
              <w:rPr>
                <w:rFonts w:hint="eastAsia" w:ascii="宋体" w:hAnsi="宋体"/>
                <w:color w:val="auto"/>
                <w:highlight w:val="none"/>
              </w:rPr>
            </w:pPr>
          </w:p>
        </w:tc>
        <w:tc>
          <w:tcPr>
            <w:tcW w:w="8057" w:type="dxa"/>
            <w:noWrap w:val="0"/>
            <w:vAlign w:val="top"/>
          </w:tcPr>
          <w:p w14:paraId="455A76AF">
            <w:pPr>
              <w:jc w:val="center"/>
              <w:rPr>
                <w:rFonts w:hint="eastAsia" w:ascii="宋体" w:hAnsi="宋体"/>
                <w:color w:val="auto"/>
                <w:highlight w:val="none"/>
              </w:rPr>
            </w:pPr>
          </w:p>
        </w:tc>
      </w:tr>
      <w:tr w14:paraId="6E6B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50979A56">
            <w:pPr>
              <w:rPr>
                <w:rFonts w:hint="eastAsia" w:ascii="宋体" w:hAnsi="宋体"/>
                <w:color w:val="auto"/>
                <w:highlight w:val="none"/>
              </w:rPr>
            </w:pPr>
          </w:p>
        </w:tc>
        <w:tc>
          <w:tcPr>
            <w:tcW w:w="8057" w:type="dxa"/>
            <w:noWrap w:val="0"/>
            <w:vAlign w:val="top"/>
          </w:tcPr>
          <w:p w14:paraId="13D24F51">
            <w:pPr>
              <w:jc w:val="center"/>
              <w:rPr>
                <w:rFonts w:hint="eastAsia" w:ascii="宋体" w:hAnsi="宋体"/>
                <w:color w:val="auto"/>
                <w:highlight w:val="none"/>
              </w:rPr>
            </w:pPr>
          </w:p>
        </w:tc>
      </w:tr>
      <w:tr w14:paraId="4F04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14:paraId="250046B5">
            <w:pPr>
              <w:rPr>
                <w:rFonts w:hint="eastAsia" w:ascii="宋体" w:hAnsi="宋体"/>
                <w:color w:val="auto"/>
                <w:highlight w:val="none"/>
              </w:rPr>
            </w:pPr>
          </w:p>
        </w:tc>
        <w:tc>
          <w:tcPr>
            <w:tcW w:w="8057" w:type="dxa"/>
            <w:noWrap w:val="0"/>
            <w:vAlign w:val="top"/>
          </w:tcPr>
          <w:p w14:paraId="01935943">
            <w:pPr>
              <w:jc w:val="center"/>
              <w:rPr>
                <w:rFonts w:hint="eastAsia" w:ascii="宋体" w:hAnsi="宋体"/>
                <w:color w:val="auto"/>
                <w:highlight w:val="none"/>
              </w:rPr>
            </w:pPr>
          </w:p>
        </w:tc>
      </w:tr>
    </w:tbl>
    <w:p w14:paraId="0E314D37">
      <w:pPr>
        <w:spacing w:line="360" w:lineRule="auto"/>
        <w:jc w:val="left"/>
        <w:rPr>
          <w:rFonts w:ascii="宋体" w:hAnsi="宋体"/>
          <w:color w:val="auto"/>
          <w:highlight w:val="none"/>
        </w:rPr>
        <w:sectPr>
          <w:footerReference r:id="rId11" w:type="default"/>
          <w:footerReference r:id="rId12" w:type="even"/>
          <w:pgSz w:w="11906" w:h="16838"/>
          <w:pgMar w:top="1440" w:right="1469" w:bottom="1440" w:left="1440" w:header="851" w:footer="992" w:gutter="0"/>
          <w:pgNumType w:fmt="decimal"/>
          <w:cols w:space="720" w:num="1"/>
          <w:docGrid w:type="linesAndChars" w:linePitch="312" w:charSpace="0"/>
        </w:sectPr>
      </w:pPr>
      <w:r>
        <w:rPr>
          <w:rFonts w:hint="eastAsia" w:ascii="宋体" w:hAnsi="宋体"/>
          <w:color w:val="auto"/>
          <w:sz w:val="24"/>
          <w:highlight w:val="none"/>
        </w:rPr>
        <w:t xml:space="preserve">评委签名：                                  </w:t>
      </w:r>
      <w:r>
        <w:rPr>
          <w:rFonts w:hint="eastAsia" w:ascii="宋体" w:hAnsi="宋体"/>
          <w:color w:val="auto"/>
          <w:sz w:val="24"/>
          <w:szCs w:val="32"/>
          <w:highlight w:val="none"/>
        </w:rPr>
        <w:t>日期：       年    月    日</w:t>
      </w:r>
      <w:r>
        <w:rPr>
          <w:rFonts w:hint="eastAsia" w:ascii="宋体" w:hAnsi="宋体"/>
          <w:color w:val="auto"/>
          <w:sz w:val="24"/>
          <w:highlight w:val="none"/>
        </w:rPr>
        <w:t xml:space="preserve">                                                           </w:t>
      </w:r>
      <w:r>
        <w:rPr>
          <w:rFonts w:hint="eastAsia" w:ascii="宋体" w:hAnsi="宋体"/>
          <w:color w:val="auto"/>
          <w:highlight w:val="none"/>
        </w:rPr>
        <w:t xml:space="preserve">    </w:t>
      </w:r>
    </w:p>
    <w:p w14:paraId="2C2D6491">
      <w:pPr>
        <w:pStyle w:val="2"/>
        <w:rPr>
          <w:rFonts w:hint="eastAsia" w:ascii="宋体" w:hAnsi="宋体"/>
          <w:color w:val="auto"/>
          <w:sz w:val="21"/>
          <w:szCs w:val="21"/>
          <w:highlight w:val="none"/>
        </w:rPr>
      </w:pPr>
      <w:bookmarkStart w:id="45" w:name="_Toc14899"/>
      <w:r>
        <w:rPr>
          <w:rStyle w:val="33"/>
          <w:rFonts w:hint="eastAsia"/>
          <w:b/>
          <w:bCs/>
          <w:color w:val="auto"/>
          <w:sz w:val="24"/>
          <w:szCs w:val="24"/>
          <w:highlight w:val="none"/>
        </w:rPr>
        <w:t>附录15</w:t>
      </w:r>
      <w:r>
        <w:rPr>
          <w:rStyle w:val="33"/>
          <w:b/>
          <w:bCs/>
          <w:color w:val="auto"/>
          <w:sz w:val="24"/>
          <w:szCs w:val="24"/>
          <w:highlight w:val="none"/>
        </w:rPr>
        <w:t xml:space="preserve"> </w:t>
      </w:r>
      <w:r>
        <w:rPr>
          <w:rStyle w:val="33"/>
          <w:rFonts w:hint="eastAsia"/>
          <w:b/>
          <w:bCs/>
          <w:color w:val="auto"/>
          <w:sz w:val="24"/>
          <w:szCs w:val="24"/>
          <w:highlight w:val="none"/>
        </w:rPr>
        <w:t>定标委员会的组成</w:t>
      </w:r>
      <w:bookmarkEnd w:id="45"/>
    </w:p>
    <w:p w14:paraId="3C5A5195">
      <w:pPr>
        <w:jc w:val="center"/>
        <w:rPr>
          <w:rFonts w:hint="eastAsia" w:ascii="宋体" w:hAnsi="宋体"/>
          <w:b/>
          <w:color w:val="auto"/>
          <w:sz w:val="32"/>
          <w:highlight w:val="none"/>
        </w:rPr>
      </w:pPr>
      <w:r>
        <w:rPr>
          <w:rFonts w:hint="eastAsia" w:ascii="宋体" w:hAnsi="宋体"/>
          <w:b/>
          <w:color w:val="auto"/>
          <w:sz w:val="32"/>
          <w:highlight w:val="none"/>
        </w:rPr>
        <w:t>定标委员会的组成</w:t>
      </w:r>
    </w:p>
    <w:p w14:paraId="57BA203E">
      <w:pPr>
        <w:pStyle w:val="22"/>
        <w:snapToGrid w:val="0"/>
        <w:spacing w:before="0" w:beforeAutospacing="0" w:after="0" w:afterAutospacing="0" w:line="360" w:lineRule="auto"/>
        <w:ind w:firstLine="424" w:firstLineChars="202"/>
        <w:rPr>
          <w:rFonts w:hint="eastAsia"/>
          <w:color w:val="auto"/>
          <w:sz w:val="21"/>
          <w:szCs w:val="21"/>
          <w:highlight w:val="none"/>
          <w:shd w:val="clear" w:color="auto" w:fill="FFFFFF"/>
        </w:rPr>
      </w:pPr>
    </w:p>
    <w:p w14:paraId="7DBEE324">
      <w:pPr>
        <w:pStyle w:val="22"/>
        <w:snapToGrid w:val="0"/>
        <w:spacing w:beforeAutospacing="0" w:afterAutospacing="0" w:line="360" w:lineRule="auto"/>
        <w:ind w:firstLine="424" w:firstLineChars="202"/>
        <w:rPr>
          <w:color w:val="auto"/>
          <w:sz w:val="21"/>
          <w:szCs w:val="21"/>
          <w:highlight w:val="none"/>
          <w:shd w:val="clear" w:color="auto" w:fill="FFFFFF"/>
        </w:rPr>
      </w:pPr>
    </w:p>
    <w:p w14:paraId="43D35ED3">
      <w:pPr>
        <w:pStyle w:val="22"/>
        <w:snapToGrid w:val="0"/>
        <w:spacing w:beforeAutospacing="0" w:afterAutospacing="0" w:line="360" w:lineRule="auto"/>
        <w:ind w:firstLine="420" w:firstLineChars="200"/>
        <w:rPr>
          <w:rFonts w:cs="宋体"/>
          <w:color w:val="auto"/>
          <w:sz w:val="21"/>
          <w:szCs w:val="21"/>
          <w:highlight w:val="none"/>
          <w:u w:val="single"/>
          <w:shd w:val="clear" w:color="auto" w:fill="FFFFFF"/>
        </w:rPr>
      </w:pPr>
      <w:r>
        <w:rPr>
          <w:rFonts w:cs="宋体"/>
          <w:color w:val="auto"/>
          <w:sz w:val="21"/>
          <w:szCs w:val="21"/>
          <w:highlight w:val="none"/>
          <w:u w:val="single"/>
          <w:shd w:val="clear" w:color="auto" w:fill="FFFFFF"/>
        </w:rPr>
        <w:t>1、定标委员会</w:t>
      </w:r>
    </w:p>
    <w:p w14:paraId="5965B069">
      <w:pPr>
        <w:pStyle w:val="22"/>
        <w:snapToGrid w:val="0"/>
        <w:spacing w:beforeAutospacing="0" w:afterAutospacing="0" w:line="360" w:lineRule="auto"/>
        <w:ind w:firstLine="420" w:firstLineChars="200"/>
        <w:rPr>
          <w:rFonts w:cs="宋体"/>
          <w:color w:val="auto"/>
          <w:sz w:val="21"/>
          <w:szCs w:val="21"/>
          <w:highlight w:val="none"/>
          <w:u w:val="single"/>
          <w:shd w:val="clear" w:color="auto" w:fill="FFFFFF"/>
        </w:rPr>
      </w:pPr>
      <w:r>
        <w:rPr>
          <w:rFonts w:cs="宋体"/>
          <w:color w:val="auto"/>
          <w:sz w:val="21"/>
          <w:szCs w:val="21"/>
          <w:highlight w:val="none"/>
          <w:u w:val="single"/>
          <w:shd w:val="clear" w:color="auto" w:fill="FFFFFF"/>
        </w:rPr>
        <w:t>定标委员会由招标人依法组建。</w:t>
      </w:r>
    </w:p>
    <w:p w14:paraId="00D7A9D1">
      <w:pPr>
        <w:pStyle w:val="22"/>
        <w:snapToGrid w:val="0"/>
        <w:spacing w:beforeAutospacing="0" w:afterAutospacing="0" w:line="360" w:lineRule="auto"/>
        <w:ind w:firstLine="424" w:firstLineChars="202"/>
        <w:rPr>
          <w:rFonts w:cs="宋体"/>
          <w:color w:val="auto"/>
          <w:sz w:val="21"/>
          <w:szCs w:val="21"/>
          <w:highlight w:val="none"/>
          <w:u w:val="single"/>
          <w:shd w:val="clear" w:color="auto" w:fill="FFFFFF"/>
        </w:rPr>
      </w:pPr>
      <w:r>
        <w:rPr>
          <w:rFonts w:cs="宋体"/>
          <w:color w:val="auto"/>
          <w:sz w:val="21"/>
          <w:szCs w:val="21"/>
          <w:highlight w:val="none"/>
          <w:u w:val="single"/>
          <w:shd w:val="clear" w:color="auto" w:fill="FFFFFF"/>
        </w:rPr>
        <w:t>2、定标会召开的时间地点：</w:t>
      </w:r>
    </w:p>
    <w:p w14:paraId="03438C71">
      <w:pPr>
        <w:pStyle w:val="22"/>
        <w:snapToGrid w:val="0"/>
        <w:spacing w:before="0" w:beforeAutospacing="0" w:after="0" w:afterAutospacing="0" w:line="360" w:lineRule="auto"/>
        <w:ind w:firstLine="424" w:firstLineChars="202"/>
        <w:rPr>
          <w:rFonts w:hint="eastAsia"/>
          <w:b/>
          <w:color w:val="auto"/>
          <w:sz w:val="21"/>
          <w:szCs w:val="21"/>
          <w:highlight w:val="none"/>
          <w:shd w:val="clear" w:color="auto" w:fill="FFFFFF"/>
        </w:rPr>
      </w:pPr>
      <w:r>
        <w:rPr>
          <w:rFonts w:cs="宋体"/>
          <w:color w:val="auto"/>
          <w:sz w:val="21"/>
          <w:szCs w:val="21"/>
          <w:highlight w:val="none"/>
          <w:u w:val="single"/>
          <w:shd w:val="clear" w:color="auto" w:fill="FFFFFF"/>
        </w:rPr>
        <w:t>定标会召开时间在合格的中标候选人公示完成后10个工作日内在</w:t>
      </w:r>
      <w:r>
        <w:rPr>
          <w:rFonts w:hint="eastAsia" w:cs="宋体"/>
          <w:color w:val="auto"/>
          <w:sz w:val="21"/>
          <w:szCs w:val="21"/>
          <w:highlight w:val="none"/>
          <w:u w:val="single"/>
          <w:shd w:val="clear" w:color="auto" w:fill="FFFFFF"/>
        </w:rPr>
        <w:t>广州交易集团有限公司（广州公共资源交易中心）</w:t>
      </w:r>
      <w:r>
        <w:rPr>
          <w:rFonts w:cs="宋体"/>
          <w:color w:val="auto"/>
          <w:sz w:val="21"/>
          <w:szCs w:val="21"/>
          <w:highlight w:val="none"/>
          <w:u w:val="single"/>
          <w:shd w:val="clear" w:color="auto" w:fill="FFFFFF"/>
        </w:rPr>
        <w:t>举行，定标会全程在</w:t>
      </w:r>
      <w:r>
        <w:rPr>
          <w:rFonts w:hint="eastAsia" w:cs="宋体"/>
          <w:color w:val="auto"/>
          <w:sz w:val="21"/>
          <w:szCs w:val="21"/>
          <w:highlight w:val="none"/>
          <w:u w:val="single"/>
          <w:shd w:val="clear" w:color="auto" w:fill="FFFFFF"/>
        </w:rPr>
        <w:t>广州交易集团有限公司（广州公共资源交易中心）</w:t>
      </w:r>
      <w:r>
        <w:rPr>
          <w:rFonts w:cs="宋体"/>
          <w:color w:val="auto"/>
          <w:sz w:val="21"/>
          <w:szCs w:val="21"/>
          <w:highlight w:val="none"/>
          <w:u w:val="single"/>
          <w:shd w:val="clear" w:color="auto" w:fill="FFFFFF"/>
        </w:rPr>
        <w:t>见证人员见证下进行。</w:t>
      </w:r>
    </w:p>
    <w:p w14:paraId="7FE64933">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2D5562E5">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4EEA718B">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5B12FD1A">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2BC1F165">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65D10AAD">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6AAA5BD3">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50A2191E">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25868FCC">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5E93F6C6">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54D826F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56ED60FA">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38D686F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7ACA50A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621E7E02">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1FB0259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6648A668">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37FEBF32">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47EF85B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40372E8E">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0C61D49D">
      <w:pPr>
        <w:pStyle w:val="22"/>
        <w:snapToGrid w:val="0"/>
        <w:spacing w:before="0" w:beforeAutospacing="0" w:after="0" w:afterAutospacing="0" w:line="360" w:lineRule="auto"/>
        <w:ind w:firstLine="424" w:firstLineChars="202"/>
        <w:rPr>
          <w:rFonts w:hint="eastAsia"/>
          <w:b/>
          <w:color w:val="auto"/>
          <w:sz w:val="21"/>
          <w:szCs w:val="21"/>
          <w:highlight w:val="none"/>
          <w:shd w:val="clear" w:color="auto" w:fill="FFFFFF"/>
        </w:rPr>
      </w:pPr>
    </w:p>
    <w:p w14:paraId="597E8138">
      <w:pPr>
        <w:pStyle w:val="2"/>
        <w:keepNext/>
        <w:keepLines/>
        <w:pageBreakBefore w:val="0"/>
        <w:widowControl w:val="0"/>
        <w:kinsoku/>
        <w:wordWrap/>
        <w:overflowPunct/>
        <w:topLinePunct w:val="0"/>
        <w:autoSpaceDE/>
        <w:autoSpaceDN/>
        <w:bidi w:val="0"/>
        <w:adjustRightInd/>
        <w:snapToGrid/>
        <w:spacing w:before="0" w:line="579" w:lineRule="auto"/>
        <w:textAlignment w:val="auto"/>
        <w:rPr>
          <w:rFonts w:hint="eastAsia"/>
          <w:b w:val="0"/>
          <w:color w:val="auto"/>
          <w:sz w:val="21"/>
          <w:szCs w:val="21"/>
          <w:highlight w:val="none"/>
          <w:shd w:val="clear" w:color="auto" w:fill="FFFFFF"/>
        </w:rPr>
      </w:pPr>
      <w:bookmarkStart w:id="46" w:name="_Toc888"/>
      <w:r>
        <w:rPr>
          <w:rFonts w:hint="eastAsia" w:ascii="宋体" w:hAnsi="宋体"/>
          <w:color w:val="auto"/>
          <w:sz w:val="21"/>
          <w:szCs w:val="21"/>
          <w:highlight w:val="none"/>
        </w:rPr>
        <w:t>附录1</w:t>
      </w:r>
      <w:r>
        <w:rPr>
          <w:rFonts w:ascii="宋体" w:hAnsi="宋体"/>
          <w:color w:val="auto"/>
          <w:sz w:val="21"/>
          <w:szCs w:val="21"/>
          <w:highlight w:val="none"/>
        </w:rPr>
        <w:t xml:space="preserve">6 </w:t>
      </w:r>
      <w:r>
        <w:rPr>
          <w:rFonts w:hint="eastAsia" w:ascii="宋体" w:hAnsi="宋体"/>
          <w:color w:val="auto"/>
          <w:sz w:val="21"/>
          <w:szCs w:val="21"/>
          <w:highlight w:val="none"/>
        </w:rPr>
        <w:t>定标原则</w:t>
      </w:r>
      <w:bookmarkEnd w:id="46"/>
    </w:p>
    <w:p w14:paraId="29254ADB">
      <w:pPr>
        <w:jc w:val="center"/>
        <w:rPr>
          <w:rFonts w:hint="eastAsia" w:ascii="宋体" w:hAnsi="宋体"/>
          <w:b/>
          <w:color w:val="auto"/>
          <w:sz w:val="32"/>
          <w:highlight w:val="none"/>
        </w:rPr>
      </w:pPr>
      <w:r>
        <w:rPr>
          <w:rFonts w:hint="eastAsia" w:ascii="宋体" w:hAnsi="宋体"/>
          <w:b/>
          <w:color w:val="auto"/>
          <w:sz w:val="32"/>
          <w:highlight w:val="none"/>
        </w:rPr>
        <w:t>定标原则</w:t>
      </w:r>
    </w:p>
    <w:p w14:paraId="2DA6B2C5">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1.定标规则</w:t>
      </w:r>
    </w:p>
    <w:p w14:paraId="34BB355A">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本项目采用</w:t>
      </w:r>
      <w:r>
        <w:rPr>
          <w:rFonts w:hint="eastAsia" w:ascii="宋体" w:hAnsi="宋体"/>
          <w:b/>
          <w:bCs/>
          <w:color w:val="auto"/>
          <w:kern w:val="0"/>
          <w:sz w:val="24"/>
          <w:highlight w:val="none"/>
          <w:shd w:val="clear" w:color="auto" w:fill="FFFFFF"/>
        </w:rPr>
        <w:t>票决定标法</w:t>
      </w:r>
      <w:r>
        <w:rPr>
          <w:rFonts w:hint="eastAsia" w:ascii="宋体" w:hAnsi="宋体"/>
          <w:color w:val="auto"/>
          <w:kern w:val="0"/>
          <w:sz w:val="24"/>
          <w:highlight w:val="none"/>
          <w:shd w:val="clear" w:color="auto" w:fill="FFFFFF"/>
        </w:rPr>
        <w:t>,定标方法如下：</w:t>
      </w:r>
    </w:p>
    <w:p w14:paraId="6B804F40">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1.1定标委员会对各合格的</w:t>
      </w:r>
      <w:r>
        <w:rPr>
          <w:rFonts w:hint="eastAsia"/>
          <w:color w:val="auto"/>
          <w:sz w:val="24"/>
          <w:highlight w:val="none"/>
          <w:shd w:val="clear" w:color="auto" w:fill="FFFFFF"/>
        </w:rPr>
        <w:t>入围</w:t>
      </w:r>
      <w:r>
        <w:rPr>
          <w:rFonts w:hint="eastAsia" w:ascii="宋体" w:hAnsi="宋体"/>
          <w:color w:val="auto"/>
          <w:kern w:val="0"/>
          <w:sz w:val="24"/>
          <w:highlight w:val="none"/>
          <w:shd w:val="clear" w:color="auto" w:fill="FFFFFF"/>
        </w:rPr>
        <w:t>候选人进行审查。</w:t>
      </w:r>
    </w:p>
    <w:p w14:paraId="4229C711">
      <w:pPr>
        <w:spacing w:line="360" w:lineRule="auto"/>
        <w:ind w:firstLine="448" w:firstLineChars="200"/>
        <w:rPr>
          <w:rFonts w:ascii="宋体" w:hAnsi="宋体"/>
          <w:color w:val="auto"/>
          <w:spacing w:val="-8"/>
          <w:kern w:val="0"/>
          <w:sz w:val="24"/>
          <w:highlight w:val="none"/>
          <w:shd w:val="clear" w:color="auto" w:fill="FFFFFF"/>
        </w:rPr>
      </w:pPr>
      <w:r>
        <w:rPr>
          <w:rFonts w:hint="eastAsia" w:ascii="宋体" w:hAnsi="宋体"/>
          <w:color w:val="auto"/>
          <w:spacing w:val="-8"/>
          <w:kern w:val="0"/>
          <w:sz w:val="24"/>
          <w:highlight w:val="none"/>
          <w:shd w:val="clear" w:color="auto" w:fill="FFFFFF"/>
        </w:rPr>
        <w:t>1.2定标投票开始后，发放选票，由定标委员会参考定标因素及定标辅助资料进行投票排名，定标委员会应推荐一人为定标委员会组长，主持当次定标会议。</w:t>
      </w:r>
    </w:p>
    <w:p w14:paraId="672AB8A0">
      <w:pPr>
        <w:spacing w:line="360" w:lineRule="auto"/>
        <w:ind w:firstLine="480" w:firstLineChars="200"/>
        <w:rPr>
          <w:rFonts w:hint="eastAsia"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1.3定标辅助资料为投标人提交的投标文件、评标过程资料及定标文件。</w:t>
      </w:r>
    </w:p>
    <w:p w14:paraId="5634F761">
      <w:pPr>
        <w:pStyle w:val="22"/>
        <w:snapToGrid w:val="0"/>
        <w:spacing w:before="0" w:beforeAutospacing="0" w:after="0" w:afterAutospacing="0" w:line="360" w:lineRule="auto"/>
        <w:ind w:firstLine="484" w:firstLineChars="202"/>
        <w:rPr>
          <w:rFonts w:hint="eastAsia"/>
          <w:color w:val="auto"/>
          <w:highlight w:val="none"/>
          <w:shd w:val="clear" w:color="auto" w:fill="FFFFFF"/>
        </w:rPr>
      </w:pPr>
      <w:r>
        <w:rPr>
          <w:rFonts w:hint="eastAsia"/>
          <w:color w:val="auto"/>
          <w:highlight w:val="none"/>
          <w:shd w:val="clear" w:color="auto" w:fill="FFFFFF"/>
        </w:rPr>
        <w:t>1.4定标委员会根据定标因素及定标辅助资料进行</w:t>
      </w:r>
      <w:r>
        <w:rPr>
          <w:rFonts w:hint="eastAsia"/>
          <w:b/>
          <w:bCs/>
          <w:color w:val="auto"/>
          <w:highlight w:val="none"/>
          <w:shd w:val="clear" w:color="auto" w:fill="FFFFFF"/>
        </w:rPr>
        <w:t>记名投票+撰写评语</w:t>
      </w:r>
      <w:r>
        <w:rPr>
          <w:rFonts w:hint="eastAsia"/>
          <w:color w:val="auto"/>
          <w:highlight w:val="none"/>
          <w:shd w:val="clear" w:color="auto" w:fill="FFFFFF"/>
        </w:rPr>
        <w:t>，确定中标人，定标因素如下:</w:t>
      </w:r>
    </w:p>
    <w:p w14:paraId="17939365">
      <w:pPr>
        <w:widowControl/>
        <w:numPr>
          <w:ilvl w:val="0"/>
          <w:numId w:val="3"/>
        </w:numPr>
        <w:snapToGrid w:val="0"/>
        <w:spacing w:line="360" w:lineRule="auto"/>
        <w:ind w:left="0" w:firstLine="480" w:firstLineChars="200"/>
        <w:jc w:val="left"/>
        <w:rPr>
          <w:rFonts w:hint="eastAsia"/>
          <w:color w:val="auto"/>
          <w:highlight w:val="none"/>
          <w:shd w:val="clear" w:color="auto" w:fill="FFFFFF"/>
        </w:rPr>
      </w:pPr>
      <w:r>
        <w:rPr>
          <w:rFonts w:hint="eastAsia" w:ascii="宋体" w:hAnsi="宋体"/>
          <w:color w:val="auto"/>
          <w:kern w:val="0"/>
          <w:sz w:val="24"/>
          <w:highlight w:val="none"/>
          <w:shd w:val="clear" w:color="auto" w:fill="FFFFFF"/>
        </w:rPr>
        <w:t>方案因素：包括但不限于对</w:t>
      </w:r>
      <w:r>
        <w:rPr>
          <w:rFonts w:hint="eastAsia" w:ascii="宋体" w:hAnsi="宋体"/>
          <w:color w:val="auto"/>
          <w:kern w:val="0"/>
          <w:sz w:val="24"/>
          <w:highlight w:val="none"/>
          <w:shd w:val="clear" w:color="auto" w:fill="FFFFFF"/>
          <w:lang w:val="en-US" w:eastAsia="zh-CN"/>
        </w:rPr>
        <w:t>设计</w:t>
      </w:r>
      <w:r>
        <w:rPr>
          <w:rFonts w:hint="eastAsia" w:ascii="宋体" w:hAnsi="宋体"/>
          <w:color w:val="auto"/>
          <w:kern w:val="0"/>
          <w:sz w:val="24"/>
          <w:highlight w:val="none"/>
          <w:shd w:val="clear" w:color="auto" w:fill="FFFFFF"/>
        </w:rPr>
        <w:t>方案、</w:t>
      </w:r>
      <w:r>
        <w:rPr>
          <w:rFonts w:hint="eastAsia" w:ascii="宋体" w:hAnsi="宋体"/>
          <w:color w:val="auto"/>
          <w:kern w:val="0"/>
          <w:sz w:val="24"/>
          <w:highlight w:val="none"/>
          <w:shd w:val="clear" w:color="auto" w:fill="FFFFFF"/>
          <w:lang w:val="en-US" w:eastAsia="zh-CN"/>
        </w:rPr>
        <w:t>设计</w:t>
      </w:r>
      <w:r>
        <w:rPr>
          <w:rFonts w:hint="eastAsia" w:ascii="宋体" w:hAnsi="宋体"/>
          <w:color w:val="auto"/>
          <w:kern w:val="0"/>
          <w:sz w:val="24"/>
          <w:highlight w:val="none"/>
          <w:shd w:val="clear" w:color="auto" w:fill="FFFFFF"/>
        </w:rPr>
        <w:t>的难点及建议等进行评审，及在满足限额设计以及安全、绿色、节能、环保要求的前提下重点对功能、技术、经济和美观等进行评审。</w:t>
      </w:r>
    </w:p>
    <w:p w14:paraId="3057507E">
      <w:pPr>
        <w:widowControl/>
        <w:numPr>
          <w:ilvl w:val="0"/>
          <w:numId w:val="3"/>
        </w:numPr>
        <w:snapToGrid w:val="0"/>
        <w:spacing w:line="360" w:lineRule="auto"/>
        <w:ind w:left="0" w:firstLine="480" w:firstLineChars="200"/>
        <w:jc w:val="left"/>
        <w:rPr>
          <w:rFonts w:hint="eastAsia"/>
          <w:color w:val="auto"/>
          <w:highlight w:val="none"/>
          <w:shd w:val="clear" w:color="auto" w:fill="FFFFFF"/>
        </w:rPr>
      </w:pPr>
      <w:r>
        <w:rPr>
          <w:rFonts w:hint="eastAsia" w:ascii="宋体" w:hAnsi="宋体"/>
          <w:color w:val="auto"/>
          <w:kern w:val="0"/>
          <w:sz w:val="24"/>
          <w:highlight w:val="none"/>
          <w:shd w:val="clear" w:color="auto" w:fill="FFFFFF"/>
        </w:rPr>
        <w:t>价格因素：包括但不限于投标报价优惠程度，报价下浮合理性，项目成本控制风险等进行评审。</w:t>
      </w:r>
    </w:p>
    <w:p w14:paraId="1BBC77B1">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1.5投票规则：定标委员会在评标委员会评审的基础上，根据定标因素及定标辅助资料，对各投标人进行综合比较后，对进入定标阶段的合格中标候选人以逐轮票决定标法投票方式确定中标人。选票格式及票决方式详见附录16-2。</w:t>
      </w:r>
    </w:p>
    <w:p w14:paraId="5CAB0AB4">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1.6定标委员会中的各定标委员应独立投票，可以弃权，当弃权票数达到定标委员会人数50%或以上时，本次定标会无效，招标人应重新招标。</w:t>
      </w:r>
    </w:p>
    <w:p w14:paraId="6145DE7D">
      <w:pPr>
        <w:spacing w:line="360" w:lineRule="auto"/>
        <w:ind w:firstLine="480" w:firstLineChars="200"/>
        <w:rPr>
          <w:rFonts w:hint="eastAsia"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1.7定标委员会编写定标报告，并由全体成员确认签署，对定标结论持有异议的成员应以书面方式阐述其不同意见和理由。</w:t>
      </w:r>
    </w:p>
    <w:p w14:paraId="4930F80C">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2.定标后出现中标人不符合法定情形的，招标人可从其他合格的中标候选人中采用原定标办法，由原定标委员会确定中标人，也可以重新招标。</w:t>
      </w:r>
    </w:p>
    <w:p w14:paraId="06803258">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3.因质疑或投诉生效，需要重新评标或定标的，评标、定标信息（含</w:t>
      </w:r>
      <w:r>
        <w:rPr>
          <w:rFonts w:hint="eastAsia" w:ascii="宋体" w:hAnsi="宋体"/>
          <w:color w:val="auto"/>
          <w:kern w:val="0"/>
          <w:sz w:val="24"/>
          <w:highlight w:val="none"/>
          <w:shd w:val="clear" w:color="auto" w:fill="FFFFFF"/>
          <w:lang w:eastAsia="zh-CN"/>
        </w:rPr>
        <w:t>价格</w:t>
      </w:r>
      <w:r>
        <w:rPr>
          <w:rFonts w:hint="eastAsia" w:ascii="宋体" w:hAnsi="宋体"/>
          <w:color w:val="auto"/>
          <w:kern w:val="0"/>
          <w:sz w:val="24"/>
          <w:highlight w:val="none"/>
          <w:shd w:val="clear" w:color="auto" w:fill="FFFFFF"/>
        </w:rPr>
        <w:t>、</w:t>
      </w:r>
      <w:r>
        <w:rPr>
          <w:rFonts w:hint="eastAsia" w:ascii="宋体" w:hAnsi="宋体"/>
          <w:color w:val="auto"/>
          <w:kern w:val="0"/>
          <w:sz w:val="24"/>
          <w:highlight w:val="none"/>
          <w:shd w:val="clear" w:color="auto" w:fill="FFFFFF"/>
          <w:lang w:eastAsia="zh-CN"/>
        </w:rPr>
        <w:t>方案</w:t>
      </w:r>
      <w:r>
        <w:rPr>
          <w:rFonts w:hint="eastAsia" w:ascii="宋体" w:hAnsi="宋体"/>
          <w:color w:val="auto"/>
          <w:kern w:val="0"/>
          <w:sz w:val="24"/>
          <w:highlight w:val="none"/>
          <w:shd w:val="clear" w:color="auto" w:fill="FFFFFF"/>
        </w:rPr>
        <w:t>等）仍以投标截止时投标人的信息为准。因特殊原因需要延长投标有效期，投标人拒绝延长投标有效期的，仍参与评标、定标，但不被推荐为中标候选人。</w:t>
      </w:r>
    </w:p>
    <w:p w14:paraId="28D72740">
      <w:pPr>
        <w:spacing w:line="360" w:lineRule="auto"/>
        <w:ind w:firstLine="480" w:firstLineChars="200"/>
        <w:rPr>
          <w:rFonts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rPr>
        <w:t>4.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5F40BB2F">
      <w:pPr>
        <w:pStyle w:val="22"/>
        <w:spacing w:before="0" w:beforeAutospacing="0" w:after="0" w:afterAutospacing="0" w:line="360" w:lineRule="auto"/>
        <w:rPr>
          <w:color w:val="auto"/>
          <w:highlight w:val="none"/>
          <w:shd w:val="clear" w:color="auto" w:fill="FFFFFF"/>
        </w:rPr>
        <w:sectPr>
          <w:footerReference r:id="rId13" w:type="default"/>
          <w:pgSz w:w="11906" w:h="16838"/>
          <w:pgMar w:top="1440" w:right="1466" w:bottom="1440" w:left="1440" w:header="851" w:footer="992" w:gutter="0"/>
          <w:pgNumType w:fmt="decimal"/>
          <w:cols w:space="720" w:num="1"/>
          <w:docGrid w:type="linesAndChars" w:linePitch="312" w:charSpace="0"/>
        </w:sectPr>
      </w:pPr>
    </w:p>
    <w:p w14:paraId="0226DFE3">
      <w:pPr>
        <w:pStyle w:val="2"/>
        <w:widowControl/>
        <w:rPr>
          <w:rFonts w:ascii="宋体" w:hAnsi="宋体"/>
          <w:color w:val="auto"/>
          <w:sz w:val="21"/>
          <w:szCs w:val="21"/>
          <w:highlight w:val="none"/>
        </w:rPr>
      </w:pPr>
      <w:bookmarkStart w:id="47" w:name="_Toc16585"/>
      <w:r>
        <w:rPr>
          <w:rFonts w:hint="eastAsia" w:ascii="宋体" w:hAnsi="宋体" w:cs="宋体"/>
          <w:color w:val="auto"/>
          <w:sz w:val="21"/>
          <w:szCs w:val="21"/>
          <w:highlight w:val="none"/>
        </w:rPr>
        <w:t>附录</w:t>
      </w:r>
      <w:r>
        <w:rPr>
          <w:rFonts w:hint="eastAsia" w:ascii="宋体" w:hAnsi="宋体"/>
          <w:color w:val="auto"/>
          <w:sz w:val="21"/>
          <w:szCs w:val="21"/>
          <w:highlight w:val="none"/>
        </w:rPr>
        <w:t xml:space="preserve">16-1 </w:t>
      </w:r>
      <w:r>
        <w:rPr>
          <w:rFonts w:hint="eastAsia" w:ascii="宋体" w:hAnsi="宋体" w:cs="宋体"/>
          <w:color w:val="auto"/>
          <w:sz w:val="21"/>
          <w:szCs w:val="21"/>
          <w:highlight w:val="none"/>
        </w:rPr>
        <w:t>定标评语</w:t>
      </w:r>
      <w:bookmarkEnd w:id="47"/>
    </w:p>
    <w:p w14:paraId="1A04F642">
      <w:pPr>
        <w:spacing w:before="400"/>
        <w:jc w:val="center"/>
        <w:rPr>
          <w:rFonts w:ascii="宋体" w:hAnsi="宋体"/>
          <w:b/>
          <w:color w:val="auto"/>
          <w:sz w:val="32"/>
          <w:szCs w:val="32"/>
          <w:highlight w:val="none"/>
        </w:rPr>
      </w:pPr>
      <w:r>
        <w:rPr>
          <w:rFonts w:hint="eastAsia" w:ascii="宋体" w:hAnsi="宋体" w:cs="宋体"/>
          <w:b/>
          <w:color w:val="auto"/>
          <w:sz w:val="32"/>
          <w:szCs w:val="32"/>
          <w:highlight w:val="none"/>
        </w:rPr>
        <w:t>定标评语</w:t>
      </w:r>
    </w:p>
    <w:p w14:paraId="3E381AE2">
      <w:pPr>
        <w:spacing w:before="240" w:line="360" w:lineRule="auto"/>
        <w:rPr>
          <w:rFonts w:ascii="宋体" w:hAnsi="宋体"/>
          <w:color w:val="auto"/>
          <w:sz w:val="21"/>
          <w:szCs w:val="21"/>
          <w:highlight w:val="none"/>
        </w:rPr>
      </w:pPr>
      <w:r>
        <w:rPr>
          <w:rFonts w:hint="eastAsia" w:ascii="宋体" w:hAnsi="宋体" w:cs="宋体"/>
          <w:color w:val="auto"/>
          <w:szCs w:val="21"/>
          <w:highlight w:val="none"/>
        </w:rPr>
        <w:t>项目名称：</w:t>
      </w:r>
      <w:r>
        <w:rPr>
          <w:rFonts w:hint="eastAsia" w:ascii="宋体" w:hAnsi="宋体" w:eastAsia="宋体" w:cs="Times New Roman"/>
          <w:color w:val="auto"/>
          <w:sz w:val="21"/>
          <w:szCs w:val="21"/>
          <w:highlight w:val="none"/>
          <w:u w:val="single"/>
          <w:lang w:eastAsia="zh-CN"/>
        </w:rPr>
        <w:t>天河区柯木塱村城中村改造项目-首开区凤凰汇西侧地块复建安置房及配套设施工程勘察及初步设计服务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04"/>
        <w:gridCol w:w="1523"/>
        <w:gridCol w:w="3443"/>
      </w:tblGrid>
      <w:tr w14:paraId="5970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646" w:type="dxa"/>
            <w:tcBorders>
              <w:top w:val="single" w:color="auto" w:sz="4" w:space="0"/>
              <w:left w:val="single" w:color="auto" w:sz="4" w:space="0"/>
              <w:bottom w:val="single" w:color="auto" w:sz="4" w:space="0"/>
              <w:right w:val="single" w:color="auto" w:sz="4" w:space="0"/>
            </w:tcBorders>
            <w:noWrap w:val="0"/>
            <w:vAlign w:val="center"/>
          </w:tcPr>
          <w:p w14:paraId="4AAA15AA">
            <w:pPr>
              <w:jc w:val="center"/>
              <w:rPr>
                <w:rFonts w:ascii="宋体" w:hAnsi="宋体"/>
                <w:color w:val="auto"/>
                <w:szCs w:val="21"/>
                <w:highlight w:val="none"/>
              </w:rPr>
            </w:pPr>
            <w:r>
              <w:rPr>
                <w:rFonts w:hint="eastAsia" w:ascii="宋体" w:hAnsi="宋体" w:cs="宋体"/>
                <w:color w:val="auto"/>
                <w:szCs w:val="21"/>
                <w:highlight w:val="none"/>
              </w:rPr>
              <w:t>项目方案编号</w:t>
            </w:r>
          </w:p>
        </w:tc>
        <w:tc>
          <w:tcPr>
            <w:tcW w:w="2304" w:type="dxa"/>
            <w:tcBorders>
              <w:top w:val="single" w:color="auto" w:sz="4" w:space="0"/>
              <w:left w:val="nil"/>
              <w:bottom w:val="single" w:color="auto" w:sz="4" w:space="0"/>
              <w:right w:val="single" w:color="auto" w:sz="4" w:space="0"/>
            </w:tcBorders>
            <w:noWrap w:val="0"/>
            <w:vAlign w:val="center"/>
          </w:tcPr>
          <w:p w14:paraId="53C7907A">
            <w:pPr>
              <w:jc w:val="center"/>
              <w:rPr>
                <w:rFonts w:ascii="宋体" w:hAnsi="宋体"/>
                <w:color w:val="auto"/>
                <w:szCs w:val="21"/>
                <w:highlight w:val="none"/>
              </w:rPr>
            </w:pPr>
            <w:r>
              <w:rPr>
                <w:rFonts w:hint="eastAsia" w:ascii="宋体" w:hAnsi="宋体" w:cs="宋体"/>
                <w:color w:val="auto"/>
                <w:szCs w:val="21"/>
                <w:highlight w:val="none"/>
              </w:rPr>
              <w:t>合格中标候选人名称</w:t>
            </w:r>
          </w:p>
        </w:tc>
        <w:tc>
          <w:tcPr>
            <w:tcW w:w="4966" w:type="dxa"/>
            <w:gridSpan w:val="2"/>
            <w:tcBorders>
              <w:top w:val="single" w:color="auto" w:sz="4" w:space="0"/>
              <w:left w:val="nil"/>
              <w:bottom w:val="single" w:color="auto" w:sz="4" w:space="0"/>
              <w:right w:val="single" w:color="auto" w:sz="4" w:space="0"/>
            </w:tcBorders>
            <w:noWrap w:val="0"/>
            <w:vAlign w:val="center"/>
          </w:tcPr>
          <w:p w14:paraId="0B060341">
            <w:pPr>
              <w:rPr>
                <w:rFonts w:ascii="宋体" w:hAnsi="宋体"/>
                <w:color w:val="auto"/>
                <w:szCs w:val="21"/>
                <w:highlight w:val="none"/>
              </w:rPr>
            </w:pPr>
            <w:r>
              <w:rPr>
                <w:rFonts w:hint="eastAsia" w:ascii="宋体" w:hAnsi="宋体" w:cs="宋体"/>
                <w:color w:val="auto"/>
                <w:szCs w:val="21"/>
                <w:highlight w:val="none"/>
              </w:rPr>
              <w:t>评语（针对价格因素、方案因素撰写评语）</w:t>
            </w:r>
          </w:p>
        </w:tc>
      </w:tr>
      <w:tr w14:paraId="62BD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restart"/>
            <w:tcBorders>
              <w:top w:val="nil"/>
              <w:left w:val="single" w:color="auto" w:sz="4" w:space="0"/>
              <w:bottom w:val="single" w:color="auto" w:sz="4" w:space="0"/>
              <w:right w:val="single" w:color="auto" w:sz="4" w:space="0"/>
            </w:tcBorders>
            <w:noWrap w:val="0"/>
            <w:vAlign w:val="center"/>
          </w:tcPr>
          <w:p w14:paraId="0F109631">
            <w:pPr>
              <w:jc w:val="center"/>
              <w:rPr>
                <w:rFonts w:ascii="宋体" w:hAnsi="宋体"/>
                <w:color w:val="auto"/>
                <w:szCs w:val="21"/>
                <w:highlight w:val="none"/>
              </w:rPr>
            </w:pPr>
          </w:p>
        </w:tc>
        <w:tc>
          <w:tcPr>
            <w:tcW w:w="2304" w:type="dxa"/>
            <w:vMerge w:val="restart"/>
            <w:tcBorders>
              <w:top w:val="nil"/>
              <w:left w:val="nil"/>
              <w:bottom w:val="single" w:color="auto" w:sz="4" w:space="0"/>
              <w:right w:val="single" w:color="auto" w:sz="4" w:space="0"/>
            </w:tcBorders>
            <w:noWrap w:val="0"/>
            <w:vAlign w:val="center"/>
          </w:tcPr>
          <w:p w14:paraId="12C02AE0">
            <w:pPr>
              <w:jc w:val="center"/>
              <w:rPr>
                <w:rFonts w:ascii="宋体" w:hAnsi="宋体"/>
                <w:color w:val="auto"/>
                <w:szCs w:val="21"/>
                <w:highlight w:val="none"/>
              </w:rPr>
            </w:pPr>
          </w:p>
        </w:tc>
        <w:tc>
          <w:tcPr>
            <w:tcW w:w="1523" w:type="dxa"/>
            <w:tcBorders>
              <w:top w:val="single" w:color="auto" w:sz="4" w:space="0"/>
              <w:left w:val="nil"/>
              <w:bottom w:val="single" w:color="auto" w:sz="4" w:space="0"/>
              <w:right w:val="single" w:color="auto" w:sz="4" w:space="0"/>
            </w:tcBorders>
            <w:noWrap w:val="0"/>
            <w:vAlign w:val="center"/>
          </w:tcPr>
          <w:p w14:paraId="1E65794C">
            <w:pPr>
              <w:rPr>
                <w:color w:val="auto"/>
                <w:szCs w:val="21"/>
                <w:highlight w:val="none"/>
              </w:rPr>
            </w:pPr>
            <w:r>
              <w:rPr>
                <w:rFonts w:hint="eastAsia" w:ascii="宋体" w:hAnsi="宋体" w:cs="宋体"/>
                <w:color w:val="auto"/>
                <w:szCs w:val="21"/>
                <w:highlight w:val="none"/>
              </w:rPr>
              <w:t>价格因素</w:t>
            </w:r>
          </w:p>
        </w:tc>
        <w:tc>
          <w:tcPr>
            <w:tcW w:w="3443" w:type="dxa"/>
            <w:tcBorders>
              <w:top w:val="single" w:color="auto" w:sz="4" w:space="0"/>
              <w:left w:val="nil"/>
              <w:bottom w:val="single" w:color="auto" w:sz="4" w:space="0"/>
              <w:right w:val="single" w:color="auto" w:sz="4" w:space="0"/>
            </w:tcBorders>
            <w:noWrap w:val="0"/>
            <w:vAlign w:val="center"/>
          </w:tcPr>
          <w:p w14:paraId="535BDE66">
            <w:pPr>
              <w:rPr>
                <w:color w:val="auto"/>
                <w:szCs w:val="21"/>
                <w:highlight w:val="none"/>
              </w:rPr>
            </w:pPr>
          </w:p>
        </w:tc>
      </w:tr>
      <w:tr w14:paraId="0C0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continue"/>
            <w:tcBorders>
              <w:top w:val="nil"/>
              <w:left w:val="single" w:color="auto" w:sz="4" w:space="0"/>
              <w:bottom w:val="single" w:color="auto" w:sz="4" w:space="0"/>
              <w:right w:val="single" w:color="auto" w:sz="4" w:space="0"/>
            </w:tcBorders>
            <w:noWrap w:val="0"/>
            <w:vAlign w:val="center"/>
          </w:tcPr>
          <w:p w14:paraId="7F5E7261">
            <w:pPr>
              <w:rPr>
                <w:color w:val="auto"/>
                <w:sz w:val="20"/>
                <w:szCs w:val="20"/>
                <w:highlight w:val="none"/>
              </w:rPr>
            </w:pPr>
          </w:p>
        </w:tc>
        <w:tc>
          <w:tcPr>
            <w:tcW w:w="2304" w:type="dxa"/>
            <w:vMerge w:val="continue"/>
            <w:tcBorders>
              <w:top w:val="nil"/>
              <w:left w:val="nil"/>
              <w:bottom w:val="single" w:color="auto" w:sz="4" w:space="0"/>
              <w:right w:val="single" w:color="auto" w:sz="4" w:space="0"/>
            </w:tcBorders>
            <w:noWrap w:val="0"/>
            <w:vAlign w:val="center"/>
          </w:tcPr>
          <w:p w14:paraId="385E1B5C">
            <w:pPr>
              <w:rPr>
                <w:color w:val="auto"/>
                <w:sz w:val="20"/>
                <w:szCs w:val="20"/>
                <w:highlight w:val="none"/>
              </w:rPr>
            </w:pPr>
          </w:p>
        </w:tc>
        <w:tc>
          <w:tcPr>
            <w:tcW w:w="1523" w:type="dxa"/>
            <w:tcBorders>
              <w:top w:val="single" w:color="auto" w:sz="4" w:space="0"/>
              <w:left w:val="nil"/>
              <w:bottom w:val="single" w:color="auto" w:sz="4" w:space="0"/>
              <w:right w:val="single" w:color="auto" w:sz="4" w:space="0"/>
            </w:tcBorders>
            <w:noWrap w:val="0"/>
            <w:vAlign w:val="center"/>
          </w:tcPr>
          <w:p w14:paraId="7F4D11EA">
            <w:pPr>
              <w:rPr>
                <w:color w:val="auto"/>
                <w:szCs w:val="21"/>
                <w:highlight w:val="none"/>
              </w:rPr>
            </w:pPr>
            <w:r>
              <w:rPr>
                <w:rFonts w:hint="eastAsia" w:ascii="宋体" w:hAnsi="宋体" w:cs="宋体"/>
                <w:color w:val="auto"/>
                <w:szCs w:val="21"/>
                <w:highlight w:val="none"/>
              </w:rPr>
              <w:t>方案因素</w:t>
            </w:r>
          </w:p>
        </w:tc>
        <w:tc>
          <w:tcPr>
            <w:tcW w:w="3443" w:type="dxa"/>
            <w:tcBorders>
              <w:top w:val="single" w:color="auto" w:sz="4" w:space="0"/>
              <w:left w:val="nil"/>
              <w:bottom w:val="single" w:color="auto" w:sz="4" w:space="0"/>
              <w:right w:val="single" w:color="auto" w:sz="4" w:space="0"/>
            </w:tcBorders>
            <w:noWrap w:val="0"/>
            <w:vAlign w:val="center"/>
          </w:tcPr>
          <w:p w14:paraId="2B73F5BA">
            <w:pPr>
              <w:rPr>
                <w:color w:val="auto"/>
                <w:szCs w:val="21"/>
                <w:highlight w:val="none"/>
              </w:rPr>
            </w:pPr>
          </w:p>
        </w:tc>
      </w:tr>
      <w:tr w14:paraId="3230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nil"/>
              <w:left w:val="single" w:color="auto" w:sz="4" w:space="0"/>
              <w:bottom w:val="single" w:color="auto" w:sz="4" w:space="0"/>
              <w:right w:val="single" w:color="auto" w:sz="4" w:space="0"/>
            </w:tcBorders>
            <w:noWrap w:val="0"/>
            <w:vAlign w:val="center"/>
          </w:tcPr>
          <w:p w14:paraId="21AE5E46">
            <w:pPr>
              <w:widowControl/>
              <w:jc w:val="center"/>
              <w:rPr>
                <w:rFonts w:ascii="宋体" w:hAnsi="宋体"/>
                <w:color w:val="auto"/>
                <w:szCs w:val="21"/>
                <w:highlight w:val="none"/>
              </w:rPr>
            </w:pPr>
          </w:p>
        </w:tc>
        <w:tc>
          <w:tcPr>
            <w:tcW w:w="2304" w:type="dxa"/>
            <w:vMerge w:val="restart"/>
            <w:tcBorders>
              <w:top w:val="nil"/>
              <w:left w:val="nil"/>
              <w:bottom w:val="single" w:color="auto" w:sz="4" w:space="0"/>
              <w:right w:val="single" w:color="auto" w:sz="4" w:space="0"/>
            </w:tcBorders>
            <w:noWrap w:val="0"/>
            <w:vAlign w:val="center"/>
          </w:tcPr>
          <w:p w14:paraId="067A0EB7">
            <w:pPr>
              <w:widowControl/>
              <w:jc w:val="left"/>
              <w:rPr>
                <w:rFonts w:ascii="宋体" w:hAnsi="宋体"/>
                <w:color w:val="auto"/>
                <w:szCs w:val="21"/>
                <w:highlight w:val="none"/>
              </w:rPr>
            </w:pPr>
          </w:p>
        </w:tc>
        <w:tc>
          <w:tcPr>
            <w:tcW w:w="1523" w:type="dxa"/>
            <w:tcBorders>
              <w:top w:val="single" w:color="auto" w:sz="4" w:space="0"/>
              <w:left w:val="nil"/>
              <w:bottom w:val="single" w:color="auto" w:sz="4" w:space="0"/>
              <w:right w:val="single" w:color="auto" w:sz="4" w:space="0"/>
            </w:tcBorders>
            <w:noWrap w:val="0"/>
            <w:vAlign w:val="center"/>
          </w:tcPr>
          <w:p w14:paraId="28EB79F0">
            <w:pPr>
              <w:rPr>
                <w:color w:val="auto"/>
                <w:szCs w:val="21"/>
                <w:highlight w:val="none"/>
              </w:rPr>
            </w:pPr>
            <w:r>
              <w:rPr>
                <w:rFonts w:hint="eastAsia" w:ascii="宋体" w:hAnsi="宋体" w:cs="宋体"/>
                <w:color w:val="auto"/>
                <w:szCs w:val="21"/>
                <w:highlight w:val="none"/>
              </w:rPr>
              <w:t>价格因素</w:t>
            </w:r>
          </w:p>
        </w:tc>
        <w:tc>
          <w:tcPr>
            <w:tcW w:w="3443" w:type="dxa"/>
            <w:tcBorders>
              <w:top w:val="single" w:color="auto" w:sz="4" w:space="0"/>
              <w:left w:val="nil"/>
              <w:bottom w:val="single" w:color="auto" w:sz="4" w:space="0"/>
              <w:right w:val="single" w:color="auto" w:sz="4" w:space="0"/>
            </w:tcBorders>
            <w:noWrap w:val="0"/>
            <w:vAlign w:val="center"/>
          </w:tcPr>
          <w:p w14:paraId="2F1A16FA">
            <w:pPr>
              <w:rPr>
                <w:color w:val="auto"/>
                <w:szCs w:val="21"/>
                <w:highlight w:val="none"/>
              </w:rPr>
            </w:pPr>
          </w:p>
        </w:tc>
      </w:tr>
      <w:tr w14:paraId="5AC6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top w:val="nil"/>
              <w:left w:val="single" w:color="auto" w:sz="4" w:space="0"/>
              <w:bottom w:val="single" w:color="auto" w:sz="4" w:space="0"/>
              <w:right w:val="single" w:color="auto" w:sz="4" w:space="0"/>
            </w:tcBorders>
            <w:noWrap w:val="0"/>
            <w:vAlign w:val="center"/>
          </w:tcPr>
          <w:p w14:paraId="52E212AA">
            <w:pPr>
              <w:rPr>
                <w:color w:val="auto"/>
                <w:sz w:val="20"/>
                <w:szCs w:val="20"/>
                <w:highlight w:val="none"/>
              </w:rPr>
            </w:pPr>
          </w:p>
        </w:tc>
        <w:tc>
          <w:tcPr>
            <w:tcW w:w="2304" w:type="dxa"/>
            <w:vMerge w:val="continue"/>
            <w:tcBorders>
              <w:top w:val="nil"/>
              <w:left w:val="nil"/>
              <w:bottom w:val="single" w:color="auto" w:sz="4" w:space="0"/>
              <w:right w:val="single" w:color="auto" w:sz="4" w:space="0"/>
            </w:tcBorders>
            <w:noWrap w:val="0"/>
            <w:vAlign w:val="center"/>
          </w:tcPr>
          <w:p w14:paraId="4D6DEF7F">
            <w:pPr>
              <w:rPr>
                <w:color w:val="auto"/>
                <w:sz w:val="20"/>
                <w:szCs w:val="20"/>
                <w:highlight w:val="none"/>
              </w:rPr>
            </w:pPr>
          </w:p>
        </w:tc>
        <w:tc>
          <w:tcPr>
            <w:tcW w:w="1523" w:type="dxa"/>
            <w:tcBorders>
              <w:top w:val="single" w:color="auto" w:sz="4" w:space="0"/>
              <w:left w:val="nil"/>
              <w:bottom w:val="single" w:color="auto" w:sz="4" w:space="0"/>
              <w:right w:val="single" w:color="auto" w:sz="4" w:space="0"/>
            </w:tcBorders>
            <w:noWrap w:val="0"/>
            <w:vAlign w:val="center"/>
          </w:tcPr>
          <w:p w14:paraId="0E5BA183">
            <w:pPr>
              <w:rPr>
                <w:color w:val="auto"/>
                <w:szCs w:val="21"/>
                <w:highlight w:val="none"/>
              </w:rPr>
            </w:pPr>
            <w:r>
              <w:rPr>
                <w:rFonts w:hint="eastAsia" w:ascii="宋体" w:hAnsi="宋体" w:cs="宋体"/>
                <w:color w:val="auto"/>
                <w:szCs w:val="21"/>
                <w:highlight w:val="none"/>
              </w:rPr>
              <w:t>方案因素</w:t>
            </w:r>
          </w:p>
        </w:tc>
        <w:tc>
          <w:tcPr>
            <w:tcW w:w="3443" w:type="dxa"/>
            <w:tcBorders>
              <w:top w:val="single" w:color="auto" w:sz="4" w:space="0"/>
              <w:left w:val="nil"/>
              <w:bottom w:val="single" w:color="auto" w:sz="4" w:space="0"/>
              <w:right w:val="single" w:color="auto" w:sz="4" w:space="0"/>
            </w:tcBorders>
            <w:noWrap w:val="0"/>
            <w:vAlign w:val="center"/>
          </w:tcPr>
          <w:p w14:paraId="615912B0">
            <w:pPr>
              <w:rPr>
                <w:color w:val="auto"/>
                <w:szCs w:val="21"/>
                <w:highlight w:val="none"/>
              </w:rPr>
            </w:pPr>
          </w:p>
        </w:tc>
      </w:tr>
      <w:tr w14:paraId="6A1E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tcBorders>
              <w:top w:val="single" w:color="auto" w:sz="4" w:space="0"/>
              <w:left w:val="single" w:color="auto" w:sz="4" w:space="0"/>
              <w:bottom w:val="single" w:color="auto" w:sz="4" w:space="0"/>
              <w:right w:val="single" w:color="auto" w:sz="4" w:space="0"/>
            </w:tcBorders>
            <w:noWrap w:val="0"/>
            <w:vAlign w:val="center"/>
          </w:tcPr>
          <w:p w14:paraId="6478E96D">
            <w:pPr>
              <w:widowControl/>
              <w:jc w:val="left"/>
              <w:rPr>
                <w:rFonts w:ascii="宋体" w:hAnsi="宋体"/>
                <w:color w:val="auto"/>
                <w:szCs w:val="21"/>
                <w:highlight w:val="none"/>
              </w:rPr>
            </w:pPr>
            <w:r>
              <w:rPr>
                <w:rFonts w:hint="eastAsia" w:ascii="宋体" w:hAnsi="宋体" w:cs="宋体"/>
                <w:color w:val="auto"/>
                <w:szCs w:val="21"/>
                <w:highlight w:val="none"/>
              </w:rPr>
              <w:t>……</w:t>
            </w:r>
          </w:p>
        </w:tc>
        <w:tc>
          <w:tcPr>
            <w:tcW w:w="2304" w:type="dxa"/>
            <w:tcBorders>
              <w:top w:val="single" w:color="auto" w:sz="4" w:space="0"/>
              <w:left w:val="nil"/>
              <w:bottom w:val="single" w:color="auto" w:sz="4" w:space="0"/>
              <w:right w:val="single" w:color="auto" w:sz="4" w:space="0"/>
            </w:tcBorders>
            <w:noWrap w:val="0"/>
            <w:vAlign w:val="center"/>
          </w:tcPr>
          <w:p w14:paraId="7F5A9BD6">
            <w:pPr>
              <w:widowControl/>
              <w:jc w:val="left"/>
              <w:rPr>
                <w:rFonts w:ascii="宋体" w:hAnsi="宋体"/>
                <w:color w:val="auto"/>
                <w:szCs w:val="21"/>
                <w:highlight w:val="none"/>
              </w:rPr>
            </w:pPr>
          </w:p>
        </w:tc>
        <w:tc>
          <w:tcPr>
            <w:tcW w:w="1523" w:type="dxa"/>
            <w:tcBorders>
              <w:top w:val="single" w:color="auto" w:sz="4" w:space="0"/>
              <w:left w:val="nil"/>
              <w:bottom w:val="single" w:color="auto" w:sz="4" w:space="0"/>
              <w:right w:val="single" w:color="auto" w:sz="4" w:space="0"/>
            </w:tcBorders>
            <w:noWrap w:val="0"/>
            <w:vAlign w:val="center"/>
          </w:tcPr>
          <w:p w14:paraId="1245F1D5">
            <w:pPr>
              <w:rPr>
                <w:color w:val="auto"/>
                <w:szCs w:val="21"/>
                <w:highlight w:val="none"/>
              </w:rPr>
            </w:pPr>
            <w:r>
              <w:rPr>
                <w:rFonts w:hint="eastAsia" w:ascii="宋体" w:hAnsi="宋体" w:cs="宋体"/>
                <w:color w:val="auto"/>
                <w:szCs w:val="21"/>
                <w:highlight w:val="none"/>
              </w:rPr>
              <w:t>……</w:t>
            </w:r>
          </w:p>
        </w:tc>
        <w:tc>
          <w:tcPr>
            <w:tcW w:w="3443" w:type="dxa"/>
            <w:tcBorders>
              <w:top w:val="single" w:color="auto" w:sz="4" w:space="0"/>
              <w:left w:val="nil"/>
              <w:bottom w:val="single" w:color="auto" w:sz="4" w:space="0"/>
              <w:right w:val="single" w:color="auto" w:sz="4" w:space="0"/>
            </w:tcBorders>
            <w:noWrap w:val="0"/>
            <w:vAlign w:val="center"/>
          </w:tcPr>
          <w:p w14:paraId="32580C94">
            <w:pPr>
              <w:rPr>
                <w:color w:val="auto"/>
                <w:szCs w:val="21"/>
                <w:highlight w:val="none"/>
              </w:rPr>
            </w:pPr>
          </w:p>
        </w:tc>
      </w:tr>
    </w:tbl>
    <w:p w14:paraId="21E234EB">
      <w:pPr>
        <w:spacing w:line="360" w:lineRule="auto"/>
        <w:ind w:firstLine="420" w:firstLineChars="200"/>
        <w:rPr>
          <w:rFonts w:ascii="宋体" w:hAnsi="宋体"/>
          <w:color w:val="auto"/>
          <w:szCs w:val="21"/>
          <w:highlight w:val="none"/>
        </w:rPr>
      </w:pPr>
    </w:p>
    <w:p w14:paraId="0DA7E582">
      <w:pPr>
        <w:spacing w:line="360" w:lineRule="auto"/>
        <w:rPr>
          <w:rFonts w:ascii="宋体" w:hAnsi="宋体"/>
          <w:color w:val="auto"/>
          <w:szCs w:val="21"/>
          <w:highlight w:val="none"/>
        </w:rPr>
      </w:pPr>
    </w:p>
    <w:p w14:paraId="604FED99">
      <w:pPr>
        <w:pStyle w:val="22"/>
        <w:snapToGrid w:val="0"/>
        <w:spacing w:beforeAutospacing="0" w:afterAutospacing="0" w:line="360" w:lineRule="auto"/>
        <w:rPr>
          <w:color w:val="auto"/>
          <w:highlight w:val="none"/>
        </w:rPr>
      </w:pPr>
      <w:r>
        <w:rPr>
          <w:rFonts w:cs="宋体"/>
          <w:color w:val="auto"/>
          <w:highlight w:val="none"/>
        </w:rPr>
        <w:t>签名：                                        日期：  年  月  日</w:t>
      </w:r>
    </w:p>
    <w:p w14:paraId="217E74E7">
      <w:pPr>
        <w:widowControl/>
        <w:jc w:val="left"/>
        <w:rPr>
          <w:rFonts w:ascii="宋体" w:hAnsi="宋体"/>
          <w:b/>
          <w:color w:val="auto"/>
          <w:kern w:val="0"/>
          <w:szCs w:val="21"/>
          <w:highlight w:val="none"/>
          <w:shd w:val="clear" w:color="auto" w:fill="FFFFFF"/>
        </w:rPr>
      </w:pPr>
    </w:p>
    <w:p w14:paraId="0458EF5C">
      <w:pPr>
        <w:pStyle w:val="2"/>
        <w:widowControl/>
        <w:rPr>
          <w:b w:val="0"/>
          <w:color w:val="auto"/>
          <w:sz w:val="32"/>
          <w:szCs w:val="32"/>
          <w:highlight w:val="none"/>
        </w:rPr>
      </w:pPr>
      <w:bookmarkStart w:id="48" w:name="_Toc7717"/>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附录</w:t>
      </w:r>
      <w:r>
        <w:rPr>
          <w:rFonts w:hint="eastAsia" w:ascii="宋体" w:hAnsi="宋体"/>
          <w:color w:val="auto"/>
          <w:sz w:val="21"/>
          <w:szCs w:val="21"/>
          <w:highlight w:val="none"/>
        </w:rPr>
        <w:t xml:space="preserve">16-2 </w:t>
      </w:r>
      <w:r>
        <w:rPr>
          <w:rFonts w:hint="eastAsia" w:ascii="宋体" w:hAnsi="宋体" w:cs="宋体"/>
          <w:color w:val="auto"/>
          <w:sz w:val="21"/>
          <w:szCs w:val="21"/>
          <w:highlight w:val="none"/>
        </w:rPr>
        <w:t>投票表格</w:t>
      </w:r>
      <w:bookmarkEnd w:id="48"/>
    </w:p>
    <w:p w14:paraId="0FAC7136">
      <w:pPr>
        <w:pStyle w:val="22"/>
        <w:snapToGrid w:val="0"/>
        <w:spacing w:before="0" w:beforeAutospacing="0" w:after="0" w:afterAutospacing="0" w:line="360" w:lineRule="auto"/>
        <w:jc w:val="center"/>
        <w:rPr>
          <w:rFonts w:hint="eastAsia" w:cs="宋体"/>
          <w:b/>
          <w:color w:val="auto"/>
          <w:sz w:val="32"/>
          <w:highlight w:val="none"/>
        </w:rPr>
      </w:pPr>
      <w:bookmarkStart w:id="49" w:name="_Toc25623"/>
      <w:r>
        <w:rPr>
          <w:rFonts w:hint="eastAsia" w:cs="宋体"/>
          <w:b/>
          <w:color w:val="auto"/>
          <w:sz w:val="32"/>
          <w:highlight w:val="none"/>
        </w:rPr>
        <w:t>投票表格（</w:t>
      </w:r>
      <w:r>
        <w:rPr>
          <w:rFonts w:hint="eastAsia" w:cs="宋体"/>
          <w:b/>
          <w:bCs/>
          <w:color w:val="auto"/>
          <w:kern w:val="2"/>
          <w:sz w:val="32"/>
          <w:szCs w:val="32"/>
          <w:highlight w:val="none"/>
        </w:rPr>
        <w:t>定标阶段</w:t>
      </w:r>
      <w:r>
        <w:rPr>
          <w:rFonts w:hint="eastAsia" w:cs="宋体"/>
          <w:b/>
          <w:color w:val="auto"/>
          <w:sz w:val="32"/>
          <w:highlight w:val="none"/>
        </w:rPr>
        <w:t>）</w:t>
      </w:r>
    </w:p>
    <w:p w14:paraId="04EC06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46"/>
        <w:gridCol w:w="1224"/>
        <w:gridCol w:w="1222"/>
        <w:gridCol w:w="2448"/>
      </w:tblGrid>
      <w:tr w14:paraId="2340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14:paraId="010B933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第    轮</w:t>
            </w:r>
          </w:p>
        </w:tc>
        <w:tc>
          <w:tcPr>
            <w:tcW w:w="2446" w:type="dxa"/>
            <w:tcBorders>
              <w:top w:val="double" w:color="auto" w:sz="4" w:space="0"/>
              <w:left w:val="single" w:color="auto" w:sz="4" w:space="0"/>
              <w:bottom w:val="double" w:color="auto" w:sz="4" w:space="0"/>
            </w:tcBorders>
            <w:noWrap w:val="0"/>
            <w:vAlign w:val="top"/>
          </w:tcPr>
          <w:p w14:paraId="2A756CEC">
            <w:pPr>
              <w:spacing w:line="360" w:lineRule="auto"/>
              <w:rPr>
                <w:rFonts w:hint="eastAsia" w:ascii="宋体" w:hAnsi="宋体" w:cs="宋体"/>
                <w:color w:val="auto"/>
                <w:sz w:val="24"/>
                <w:highlight w:val="none"/>
              </w:rPr>
            </w:pPr>
          </w:p>
        </w:tc>
        <w:tc>
          <w:tcPr>
            <w:tcW w:w="2446" w:type="dxa"/>
            <w:gridSpan w:val="2"/>
            <w:tcBorders>
              <w:top w:val="double" w:color="auto" w:sz="4" w:space="0"/>
              <w:left w:val="single" w:color="auto" w:sz="4" w:space="0"/>
              <w:bottom w:val="double" w:color="auto" w:sz="4" w:space="0"/>
            </w:tcBorders>
            <w:noWrap w:val="0"/>
            <w:vAlign w:val="top"/>
          </w:tcPr>
          <w:p w14:paraId="0C023D6A">
            <w:pPr>
              <w:spacing w:line="360" w:lineRule="auto"/>
              <w:rPr>
                <w:rFonts w:hint="eastAsia" w:ascii="宋体" w:hAnsi="宋体" w:cs="宋体"/>
                <w:color w:val="auto"/>
                <w:sz w:val="24"/>
                <w:highlight w:val="none"/>
              </w:rPr>
            </w:pPr>
          </w:p>
        </w:tc>
        <w:tc>
          <w:tcPr>
            <w:tcW w:w="2448" w:type="dxa"/>
            <w:tcBorders>
              <w:top w:val="double" w:color="auto" w:sz="4" w:space="0"/>
              <w:left w:val="single" w:color="auto" w:sz="4" w:space="0"/>
              <w:bottom w:val="double" w:color="auto" w:sz="4" w:space="0"/>
            </w:tcBorders>
            <w:noWrap w:val="0"/>
            <w:vAlign w:val="top"/>
          </w:tcPr>
          <w:p w14:paraId="3E7CE0FC">
            <w:pPr>
              <w:spacing w:line="360" w:lineRule="auto"/>
              <w:rPr>
                <w:rFonts w:hint="eastAsia" w:ascii="宋体" w:hAnsi="宋体" w:cs="宋体"/>
                <w:color w:val="auto"/>
                <w:sz w:val="24"/>
                <w:highlight w:val="none"/>
              </w:rPr>
            </w:pPr>
          </w:p>
        </w:tc>
      </w:tr>
      <w:tr w14:paraId="68BB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14:paraId="533284C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第    轮</w:t>
            </w:r>
          </w:p>
        </w:tc>
        <w:tc>
          <w:tcPr>
            <w:tcW w:w="3670" w:type="dxa"/>
            <w:gridSpan w:val="2"/>
            <w:tcBorders>
              <w:top w:val="double" w:color="auto" w:sz="4" w:space="0"/>
              <w:left w:val="single" w:color="auto" w:sz="4" w:space="0"/>
              <w:bottom w:val="double" w:color="auto" w:sz="4" w:space="0"/>
            </w:tcBorders>
            <w:noWrap w:val="0"/>
            <w:vAlign w:val="top"/>
          </w:tcPr>
          <w:p w14:paraId="74D76A17">
            <w:pPr>
              <w:spacing w:line="360" w:lineRule="auto"/>
              <w:rPr>
                <w:rFonts w:hint="eastAsia" w:ascii="宋体" w:hAnsi="宋体" w:cs="宋体"/>
                <w:color w:val="auto"/>
                <w:sz w:val="24"/>
                <w:highlight w:val="none"/>
              </w:rPr>
            </w:pPr>
          </w:p>
        </w:tc>
        <w:tc>
          <w:tcPr>
            <w:tcW w:w="3670" w:type="dxa"/>
            <w:gridSpan w:val="2"/>
            <w:tcBorders>
              <w:top w:val="double" w:color="auto" w:sz="4" w:space="0"/>
              <w:bottom w:val="double" w:color="auto" w:sz="4" w:space="0"/>
              <w:right w:val="double" w:color="auto" w:sz="4" w:space="0"/>
            </w:tcBorders>
            <w:noWrap w:val="0"/>
            <w:vAlign w:val="top"/>
          </w:tcPr>
          <w:p w14:paraId="544A17C2">
            <w:pPr>
              <w:spacing w:line="360" w:lineRule="auto"/>
              <w:rPr>
                <w:rFonts w:hint="eastAsia" w:ascii="宋体" w:hAnsi="宋体" w:cs="宋体"/>
                <w:color w:val="auto"/>
                <w:sz w:val="24"/>
                <w:highlight w:val="none"/>
              </w:rPr>
            </w:pPr>
          </w:p>
        </w:tc>
      </w:tr>
      <w:tr w14:paraId="471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14:paraId="48E6BA1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第    轮</w:t>
            </w:r>
          </w:p>
        </w:tc>
        <w:tc>
          <w:tcPr>
            <w:tcW w:w="7340" w:type="dxa"/>
            <w:gridSpan w:val="4"/>
            <w:tcBorders>
              <w:top w:val="double" w:color="auto" w:sz="4" w:space="0"/>
              <w:left w:val="single" w:color="auto" w:sz="4" w:space="0"/>
              <w:bottom w:val="double" w:color="auto" w:sz="4" w:space="0"/>
              <w:right w:val="double" w:color="auto" w:sz="4" w:space="0"/>
            </w:tcBorders>
            <w:noWrap w:val="0"/>
            <w:vAlign w:val="top"/>
          </w:tcPr>
          <w:p w14:paraId="62B1BA8C">
            <w:pPr>
              <w:spacing w:line="360" w:lineRule="auto"/>
              <w:rPr>
                <w:rFonts w:hint="eastAsia" w:ascii="宋体" w:hAnsi="宋体" w:cs="宋体"/>
                <w:color w:val="auto"/>
                <w:sz w:val="24"/>
                <w:highlight w:val="none"/>
              </w:rPr>
            </w:pPr>
          </w:p>
        </w:tc>
      </w:tr>
    </w:tbl>
    <w:p w14:paraId="63D452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每轮正式投票允许选择投标方案总数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060"/>
        <w:gridCol w:w="3060"/>
      </w:tblGrid>
      <w:tr w14:paraId="56B2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20ADA301">
            <w:pPr>
              <w:jc w:val="center"/>
              <w:rPr>
                <w:rFonts w:hint="eastAsia" w:ascii="宋体" w:hAnsi="宋体" w:cs="宋体"/>
                <w:color w:val="auto"/>
                <w:sz w:val="24"/>
                <w:highlight w:val="none"/>
              </w:rPr>
            </w:pPr>
          </w:p>
        </w:tc>
        <w:tc>
          <w:tcPr>
            <w:tcW w:w="6120" w:type="dxa"/>
            <w:gridSpan w:val="2"/>
            <w:noWrap w:val="0"/>
            <w:vAlign w:val="top"/>
          </w:tcPr>
          <w:p w14:paraId="252F42F5">
            <w:pPr>
              <w:jc w:val="center"/>
              <w:rPr>
                <w:rFonts w:hint="eastAsia" w:ascii="宋体" w:hAnsi="宋体" w:cs="宋体"/>
                <w:color w:val="auto"/>
                <w:sz w:val="24"/>
                <w:highlight w:val="none"/>
              </w:rPr>
            </w:pPr>
            <w:r>
              <w:rPr>
                <w:rFonts w:hint="eastAsia" w:ascii="宋体" w:hAnsi="宋体" w:cs="宋体"/>
                <w:color w:val="auto"/>
                <w:sz w:val="24"/>
                <w:highlight w:val="none"/>
              </w:rPr>
              <w:t>每轮正式投票允许选择总数</w:t>
            </w:r>
          </w:p>
        </w:tc>
      </w:tr>
      <w:tr w14:paraId="2326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7B9E1ECB">
            <w:pPr>
              <w:jc w:val="center"/>
              <w:rPr>
                <w:rFonts w:hint="eastAsia" w:ascii="宋体" w:hAnsi="宋体" w:cs="宋体"/>
                <w:color w:val="auto"/>
                <w:sz w:val="24"/>
                <w:highlight w:val="none"/>
              </w:rPr>
            </w:pPr>
            <w:r>
              <w:rPr>
                <w:rFonts w:hint="eastAsia" w:ascii="宋体" w:hAnsi="宋体" w:cs="宋体"/>
                <w:color w:val="auto"/>
                <w:sz w:val="24"/>
                <w:highlight w:val="none"/>
              </w:rPr>
              <w:t>投标人数</w:t>
            </w:r>
          </w:p>
        </w:tc>
        <w:tc>
          <w:tcPr>
            <w:tcW w:w="3060" w:type="dxa"/>
            <w:noWrap w:val="0"/>
            <w:vAlign w:val="top"/>
          </w:tcPr>
          <w:p w14:paraId="4EA8DBB7">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060" w:type="dxa"/>
            <w:noWrap w:val="0"/>
            <w:vAlign w:val="top"/>
          </w:tcPr>
          <w:p w14:paraId="639AF1ED">
            <w:pPr>
              <w:jc w:val="center"/>
              <w:rPr>
                <w:rFonts w:hint="eastAsia" w:ascii="宋体" w:hAnsi="宋体" w:cs="宋体"/>
                <w:color w:val="auto"/>
                <w:sz w:val="24"/>
                <w:highlight w:val="none"/>
              </w:rPr>
            </w:pPr>
            <w:r>
              <w:rPr>
                <w:rFonts w:hint="eastAsia" w:ascii="宋体" w:hAnsi="宋体"/>
                <w:color w:val="auto"/>
                <w:sz w:val="24"/>
                <w:highlight w:val="none"/>
              </w:rPr>
              <w:t>4名及以上</w:t>
            </w:r>
          </w:p>
        </w:tc>
      </w:tr>
      <w:tr w14:paraId="451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7D292B70">
            <w:pPr>
              <w:jc w:val="center"/>
              <w:rPr>
                <w:rFonts w:hint="eastAsia" w:ascii="宋体" w:hAnsi="宋体" w:cs="宋体"/>
                <w:color w:val="auto"/>
                <w:sz w:val="24"/>
                <w:highlight w:val="none"/>
              </w:rPr>
            </w:pPr>
            <w:r>
              <w:rPr>
                <w:rFonts w:hint="eastAsia" w:ascii="宋体" w:hAnsi="宋体" w:cs="宋体"/>
                <w:color w:val="auto"/>
                <w:sz w:val="24"/>
                <w:highlight w:val="none"/>
              </w:rPr>
              <w:t>第1轮</w:t>
            </w:r>
          </w:p>
        </w:tc>
        <w:tc>
          <w:tcPr>
            <w:tcW w:w="3060" w:type="dxa"/>
            <w:noWrap w:val="0"/>
            <w:vAlign w:val="top"/>
          </w:tcPr>
          <w:p w14:paraId="4D86CF05">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060" w:type="dxa"/>
            <w:noWrap w:val="0"/>
            <w:vAlign w:val="top"/>
          </w:tcPr>
          <w:p w14:paraId="0A36E4E8">
            <w:pPr>
              <w:jc w:val="center"/>
              <w:rPr>
                <w:rFonts w:hint="eastAsia" w:ascii="宋体" w:hAnsi="宋体" w:cs="宋体"/>
                <w:color w:val="auto"/>
                <w:sz w:val="24"/>
                <w:highlight w:val="none"/>
              </w:rPr>
            </w:pPr>
            <w:r>
              <w:rPr>
                <w:rFonts w:hint="eastAsia" w:ascii="宋体" w:hAnsi="宋体" w:cs="宋体"/>
                <w:color w:val="auto"/>
                <w:sz w:val="24"/>
                <w:highlight w:val="none"/>
              </w:rPr>
              <w:t>3</w:t>
            </w:r>
          </w:p>
        </w:tc>
      </w:tr>
      <w:tr w14:paraId="2022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36F67D0A">
            <w:pPr>
              <w:jc w:val="center"/>
              <w:rPr>
                <w:rFonts w:hint="eastAsia" w:ascii="宋体" w:hAnsi="宋体" w:cs="宋体"/>
                <w:color w:val="auto"/>
                <w:sz w:val="24"/>
                <w:highlight w:val="none"/>
              </w:rPr>
            </w:pPr>
            <w:r>
              <w:rPr>
                <w:rFonts w:hint="eastAsia" w:ascii="宋体" w:hAnsi="宋体" w:cs="宋体"/>
                <w:color w:val="auto"/>
                <w:sz w:val="24"/>
                <w:highlight w:val="none"/>
              </w:rPr>
              <w:t>第2轮</w:t>
            </w:r>
          </w:p>
        </w:tc>
        <w:tc>
          <w:tcPr>
            <w:tcW w:w="3060" w:type="dxa"/>
            <w:noWrap w:val="0"/>
            <w:vAlign w:val="top"/>
          </w:tcPr>
          <w:p w14:paraId="1A2C9FDD">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060" w:type="dxa"/>
            <w:noWrap w:val="0"/>
            <w:vAlign w:val="top"/>
          </w:tcPr>
          <w:p w14:paraId="7CD71578">
            <w:pPr>
              <w:jc w:val="center"/>
              <w:rPr>
                <w:rFonts w:hint="eastAsia" w:ascii="宋体" w:hAnsi="宋体" w:cs="宋体"/>
                <w:color w:val="auto"/>
                <w:sz w:val="24"/>
                <w:highlight w:val="none"/>
              </w:rPr>
            </w:pPr>
            <w:r>
              <w:rPr>
                <w:rFonts w:hint="eastAsia" w:ascii="宋体" w:hAnsi="宋体" w:cs="宋体"/>
                <w:color w:val="auto"/>
                <w:sz w:val="24"/>
                <w:highlight w:val="none"/>
              </w:rPr>
              <w:t>2</w:t>
            </w:r>
          </w:p>
        </w:tc>
      </w:tr>
      <w:tr w14:paraId="5FF8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14:paraId="1C2D3A5A">
            <w:pPr>
              <w:jc w:val="center"/>
              <w:rPr>
                <w:rFonts w:hint="eastAsia" w:ascii="宋体" w:hAnsi="宋体" w:cs="宋体"/>
                <w:color w:val="auto"/>
                <w:sz w:val="24"/>
                <w:highlight w:val="none"/>
              </w:rPr>
            </w:pPr>
            <w:r>
              <w:rPr>
                <w:rFonts w:hint="eastAsia" w:ascii="宋体" w:hAnsi="宋体" w:cs="宋体"/>
                <w:color w:val="auto"/>
                <w:sz w:val="24"/>
                <w:highlight w:val="none"/>
              </w:rPr>
              <w:t>第3轮</w:t>
            </w:r>
          </w:p>
        </w:tc>
        <w:tc>
          <w:tcPr>
            <w:tcW w:w="3060" w:type="dxa"/>
            <w:noWrap w:val="0"/>
            <w:vAlign w:val="top"/>
          </w:tcPr>
          <w:p w14:paraId="5D7EEC19">
            <w:pPr>
              <w:jc w:val="center"/>
              <w:rPr>
                <w:rFonts w:hint="eastAsia" w:ascii="宋体" w:hAnsi="宋体" w:cs="宋体"/>
                <w:color w:val="auto"/>
                <w:sz w:val="24"/>
                <w:highlight w:val="none"/>
              </w:rPr>
            </w:pPr>
          </w:p>
        </w:tc>
        <w:tc>
          <w:tcPr>
            <w:tcW w:w="3060" w:type="dxa"/>
            <w:noWrap w:val="0"/>
            <w:vAlign w:val="top"/>
          </w:tcPr>
          <w:p w14:paraId="01D2AE74">
            <w:pPr>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14:paraId="5E35BE0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(1)投票结束后，点票人员对投票人数、票数和每票应选方案总数加以核对和统计，作废的选票不得统计，并向定标委员会报告。</w:t>
      </w:r>
    </w:p>
    <w:p w14:paraId="405C193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(2)定标委员会成员应当独立投票，自投票开始至最终排名统计结果公布期间，任何人不得非法干预、影响投票过程，不得透露、协商、改变投票结果，不得使用通信联络工具。</w:t>
      </w:r>
    </w:p>
    <w:p w14:paraId="4FD2ABBC">
      <w:pPr>
        <w:spacing w:line="360" w:lineRule="auto"/>
        <w:rPr>
          <w:rFonts w:hint="eastAsia" w:ascii="宋体" w:hAnsi="宋体" w:cs="宋体"/>
          <w:color w:val="auto"/>
          <w:sz w:val="24"/>
          <w:highlight w:val="none"/>
        </w:rPr>
        <w:sectPr>
          <w:pgSz w:w="11906" w:h="16838"/>
          <w:pgMar w:top="1440" w:right="1466" w:bottom="1440" w:left="1440" w:header="851" w:footer="992" w:gutter="0"/>
          <w:pgNumType w:fmt="decimal"/>
          <w:cols w:space="720" w:num="1"/>
          <w:docGrid w:type="linesAndChars" w:linePitch="312" w:charSpace="0"/>
        </w:sectPr>
      </w:pPr>
      <w:r>
        <w:rPr>
          <w:rFonts w:hint="eastAsia" w:ascii="宋体" w:hAnsi="宋体" w:cs="宋体"/>
          <w:color w:val="auto"/>
          <w:sz w:val="24"/>
          <w:highlight w:val="none"/>
        </w:rPr>
        <w:t>签名：                              日期：     年    月    日</w:t>
      </w:r>
    </w:p>
    <w:p w14:paraId="6922D47F">
      <w:pPr>
        <w:jc w:val="center"/>
        <w:rPr>
          <w:rFonts w:hint="eastAsia" w:ascii="宋体" w:hAnsi="宋体" w:cs="宋体"/>
          <w:b/>
          <w:color w:val="auto"/>
          <w:sz w:val="32"/>
          <w:highlight w:val="none"/>
        </w:rPr>
      </w:pPr>
      <w:r>
        <w:rPr>
          <w:rFonts w:hint="eastAsia" w:ascii="宋体" w:hAnsi="宋体" w:cs="宋体"/>
          <w:b/>
          <w:color w:val="auto"/>
          <w:sz w:val="32"/>
          <w:highlight w:val="none"/>
        </w:rPr>
        <w:t>投票汇总表格</w:t>
      </w:r>
      <w:r>
        <w:rPr>
          <w:rFonts w:hint="eastAsia" w:cs="宋体"/>
          <w:b/>
          <w:color w:val="auto"/>
          <w:sz w:val="32"/>
          <w:highlight w:val="none"/>
        </w:rPr>
        <w:t>（</w:t>
      </w:r>
      <w:r>
        <w:rPr>
          <w:rFonts w:hint="eastAsia" w:ascii="宋体" w:hAnsi="宋体" w:cs="宋体"/>
          <w:b/>
          <w:bCs/>
          <w:color w:val="auto"/>
          <w:sz w:val="32"/>
          <w:szCs w:val="32"/>
          <w:highlight w:val="none"/>
        </w:rPr>
        <w:t>定标阶段</w:t>
      </w:r>
      <w:r>
        <w:rPr>
          <w:rFonts w:hint="eastAsia" w:cs="宋体"/>
          <w:b/>
          <w:color w:val="auto"/>
          <w:sz w:val="32"/>
          <w:highlight w:val="none"/>
        </w:rPr>
        <w:t>）</w:t>
      </w:r>
    </w:p>
    <w:p w14:paraId="5A45937F">
      <w:pPr>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cs="宋体"/>
          <w:color w:val="auto"/>
          <w:sz w:val="24"/>
          <w:highlight w:val="none"/>
        </w:rPr>
        <w:t>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2394"/>
        <w:gridCol w:w="2394"/>
        <w:gridCol w:w="2394"/>
        <w:gridCol w:w="872"/>
        <w:gridCol w:w="872"/>
        <w:gridCol w:w="872"/>
        <w:gridCol w:w="884"/>
        <w:gridCol w:w="1646"/>
      </w:tblGrid>
      <w:tr w14:paraId="0FBD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35" w:type="dxa"/>
            <w:vMerge w:val="restart"/>
            <w:noWrap w:val="0"/>
            <w:vAlign w:val="center"/>
          </w:tcPr>
          <w:p w14:paraId="1AECA3C5">
            <w:pPr>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2394" w:type="dxa"/>
            <w:vMerge w:val="restart"/>
            <w:noWrap w:val="0"/>
            <w:vAlign w:val="center"/>
          </w:tcPr>
          <w:p w14:paraId="08BEFE11">
            <w:pPr>
              <w:jc w:val="center"/>
              <w:rPr>
                <w:rFonts w:hint="eastAsia" w:ascii="宋体" w:hAnsi="宋体" w:cs="宋体"/>
                <w:color w:val="auto"/>
                <w:sz w:val="24"/>
                <w:highlight w:val="none"/>
              </w:rPr>
            </w:pPr>
            <w:r>
              <w:rPr>
                <w:rFonts w:hint="eastAsia" w:ascii="宋体" w:hAnsi="宋体" w:cs="宋体"/>
                <w:color w:val="auto"/>
                <w:sz w:val="24"/>
                <w:highlight w:val="none"/>
              </w:rPr>
              <w:t>第一轮得票</w:t>
            </w:r>
          </w:p>
        </w:tc>
        <w:tc>
          <w:tcPr>
            <w:tcW w:w="2394" w:type="dxa"/>
            <w:vMerge w:val="restart"/>
            <w:noWrap w:val="0"/>
            <w:vAlign w:val="center"/>
          </w:tcPr>
          <w:p w14:paraId="0F91BEE5">
            <w:pPr>
              <w:jc w:val="center"/>
              <w:rPr>
                <w:rFonts w:hint="eastAsia" w:ascii="宋体" w:hAnsi="宋体" w:cs="宋体"/>
                <w:color w:val="auto"/>
                <w:sz w:val="24"/>
                <w:highlight w:val="none"/>
              </w:rPr>
            </w:pPr>
            <w:r>
              <w:rPr>
                <w:rFonts w:hint="eastAsia" w:ascii="宋体" w:hAnsi="宋体" w:cs="宋体"/>
                <w:color w:val="auto"/>
                <w:sz w:val="24"/>
                <w:highlight w:val="none"/>
              </w:rPr>
              <w:t>第二轮得票</w:t>
            </w:r>
          </w:p>
        </w:tc>
        <w:tc>
          <w:tcPr>
            <w:tcW w:w="2394" w:type="dxa"/>
            <w:vMerge w:val="restart"/>
            <w:noWrap w:val="0"/>
            <w:vAlign w:val="center"/>
          </w:tcPr>
          <w:p w14:paraId="720D940C">
            <w:pPr>
              <w:jc w:val="center"/>
              <w:rPr>
                <w:rFonts w:hint="eastAsia" w:ascii="宋体" w:hAnsi="宋体" w:cs="宋体"/>
                <w:color w:val="auto"/>
                <w:sz w:val="24"/>
                <w:highlight w:val="none"/>
              </w:rPr>
            </w:pPr>
            <w:r>
              <w:rPr>
                <w:rFonts w:hint="eastAsia" w:ascii="宋体" w:hAnsi="宋体" w:cs="宋体"/>
                <w:color w:val="auto"/>
                <w:sz w:val="24"/>
                <w:highlight w:val="none"/>
              </w:rPr>
              <w:t>第三轮得票</w:t>
            </w:r>
          </w:p>
        </w:tc>
        <w:tc>
          <w:tcPr>
            <w:tcW w:w="3500" w:type="dxa"/>
            <w:gridSpan w:val="4"/>
            <w:noWrap w:val="0"/>
            <w:vAlign w:val="center"/>
          </w:tcPr>
          <w:p w14:paraId="477369F1">
            <w:pPr>
              <w:jc w:val="center"/>
              <w:rPr>
                <w:rFonts w:hint="eastAsia" w:ascii="宋体" w:hAnsi="宋体" w:cs="宋体"/>
                <w:color w:val="auto"/>
                <w:sz w:val="24"/>
                <w:highlight w:val="none"/>
              </w:rPr>
            </w:pPr>
            <w:r>
              <w:rPr>
                <w:rFonts w:hint="eastAsia" w:ascii="宋体" w:hAnsi="宋体" w:cs="宋体"/>
                <w:color w:val="auto"/>
                <w:sz w:val="24"/>
                <w:highlight w:val="none"/>
              </w:rPr>
              <w:t>每轮得票相同的排序</w:t>
            </w:r>
          </w:p>
        </w:tc>
        <w:tc>
          <w:tcPr>
            <w:tcW w:w="1646" w:type="dxa"/>
            <w:vMerge w:val="restart"/>
            <w:noWrap w:val="0"/>
            <w:vAlign w:val="center"/>
          </w:tcPr>
          <w:p w14:paraId="0FEAFAEB">
            <w:pPr>
              <w:jc w:val="center"/>
              <w:rPr>
                <w:rFonts w:hint="eastAsia" w:ascii="宋体" w:hAnsi="宋体" w:cs="宋体"/>
                <w:color w:val="auto"/>
                <w:sz w:val="24"/>
                <w:highlight w:val="none"/>
              </w:rPr>
            </w:pPr>
            <w:r>
              <w:rPr>
                <w:rFonts w:hint="eastAsia" w:ascii="宋体" w:hAnsi="宋体" w:cs="宋体"/>
                <w:color w:val="auto"/>
                <w:sz w:val="24"/>
                <w:highlight w:val="none"/>
              </w:rPr>
              <w:t>排列名次</w:t>
            </w:r>
          </w:p>
        </w:tc>
      </w:tr>
      <w:tr w14:paraId="37F5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5" w:type="dxa"/>
            <w:vMerge w:val="continue"/>
            <w:noWrap w:val="0"/>
            <w:vAlign w:val="center"/>
          </w:tcPr>
          <w:p w14:paraId="632B2D5C">
            <w:pPr>
              <w:jc w:val="center"/>
              <w:rPr>
                <w:rFonts w:hint="eastAsia" w:ascii="宋体" w:hAnsi="宋体" w:cs="宋体"/>
                <w:color w:val="auto"/>
                <w:highlight w:val="none"/>
              </w:rPr>
            </w:pPr>
          </w:p>
        </w:tc>
        <w:tc>
          <w:tcPr>
            <w:tcW w:w="2394" w:type="dxa"/>
            <w:vMerge w:val="continue"/>
            <w:noWrap w:val="0"/>
            <w:vAlign w:val="center"/>
          </w:tcPr>
          <w:p w14:paraId="6FCD9213">
            <w:pPr>
              <w:jc w:val="center"/>
              <w:rPr>
                <w:rFonts w:hint="eastAsia" w:ascii="宋体" w:hAnsi="宋体" w:cs="宋体"/>
                <w:color w:val="auto"/>
                <w:highlight w:val="none"/>
              </w:rPr>
            </w:pPr>
          </w:p>
        </w:tc>
        <w:tc>
          <w:tcPr>
            <w:tcW w:w="2394" w:type="dxa"/>
            <w:vMerge w:val="continue"/>
            <w:noWrap w:val="0"/>
            <w:vAlign w:val="center"/>
          </w:tcPr>
          <w:p w14:paraId="2B3E5944">
            <w:pPr>
              <w:jc w:val="center"/>
              <w:rPr>
                <w:rFonts w:hint="eastAsia" w:ascii="宋体" w:hAnsi="宋体" w:cs="宋体"/>
                <w:color w:val="auto"/>
                <w:highlight w:val="none"/>
              </w:rPr>
            </w:pPr>
          </w:p>
        </w:tc>
        <w:tc>
          <w:tcPr>
            <w:tcW w:w="2394" w:type="dxa"/>
            <w:vMerge w:val="continue"/>
            <w:noWrap w:val="0"/>
            <w:vAlign w:val="center"/>
          </w:tcPr>
          <w:p w14:paraId="41332C8C">
            <w:pPr>
              <w:jc w:val="center"/>
              <w:rPr>
                <w:rFonts w:hint="eastAsia" w:ascii="宋体" w:hAnsi="宋体" w:cs="宋体"/>
                <w:color w:val="auto"/>
                <w:highlight w:val="none"/>
              </w:rPr>
            </w:pPr>
          </w:p>
        </w:tc>
        <w:tc>
          <w:tcPr>
            <w:tcW w:w="872" w:type="dxa"/>
            <w:noWrap w:val="0"/>
            <w:vAlign w:val="center"/>
          </w:tcPr>
          <w:p w14:paraId="215B268D">
            <w:pPr>
              <w:jc w:val="center"/>
              <w:rPr>
                <w:rFonts w:hint="eastAsia" w:ascii="宋体" w:hAnsi="宋体" w:cs="宋体"/>
                <w:color w:val="auto"/>
                <w:highlight w:val="none"/>
              </w:rPr>
            </w:pPr>
            <w:r>
              <w:rPr>
                <w:rFonts w:hint="eastAsia" w:ascii="宋体" w:hAnsi="宋体" w:cs="宋体"/>
                <w:color w:val="auto"/>
                <w:highlight w:val="none"/>
              </w:rPr>
              <w:t>1</w:t>
            </w:r>
          </w:p>
        </w:tc>
        <w:tc>
          <w:tcPr>
            <w:tcW w:w="872" w:type="dxa"/>
            <w:noWrap w:val="0"/>
            <w:vAlign w:val="center"/>
          </w:tcPr>
          <w:p w14:paraId="36F55C66">
            <w:pPr>
              <w:jc w:val="center"/>
              <w:rPr>
                <w:rFonts w:hint="eastAsia" w:ascii="宋体" w:hAnsi="宋体" w:cs="宋体"/>
                <w:color w:val="auto"/>
                <w:highlight w:val="none"/>
              </w:rPr>
            </w:pPr>
            <w:r>
              <w:rPr>
                <w:rFonts w:hint="eastAsia" w:ascii="宋体" w:hAnsi="宋体" w:cs="宋体"/>
                <w:color w:val="auto"/>
                <w:highlight w:val="none"/>
              </w:rPr>
              <w:t>2</w:t>
            </w:r>
          </w:p>
        </w:tc>
        <w:tc>
          <w:tcPr>
            <w:tcW w:w="872" w:type="dxa"/>
            <w:noWrap w:val="0"/>
            <w:vAlign w:val="center"/>
          </w:tcPr>
          <w:p w14:paraId="7591D4E6">
            <w:pPr>
              <w:jc w:val="center"/>
              <w:rPr>
                <w:rFonts w:hint="eastAsia" w:ascii="宋体" w:hAnsi="宋体" w:cs="宋体"/>
                <w:color w:val="auto"/>
                <w:highlight w:val="none"/>
              </w:rPr>
            </w:pPr>
            <w:r>
              <w:rPr>
                <w:rFonts w:hint="eastAsia" w:ascii="宋体" w:hAnsi="宋体" w:cs="宋体"/>
                <w:color w:val="auto"/>
                <w:highlight w:val="none"/>
              </w:rPr>
              <w:t>3</w:t>
            </w:r>
          </w:p>
        </w:tc>
        <w:tc>
          <w:tcPr>
            <w:tcW w:w="884" w:type="dxa"/>
            <w:noWrap w:val="0"/>
            <w:vAlign w:val="center"/>
          </w:tcPr>
          <w:p w14:paraId="569825DD">
            <w:pPr>
              <w:jc w:val="center"/>
              <w:rPr>
                <w:rFonts w:hint="eastAsia" w:ascii="宋体" w:hAnsi="宋体" w:cs="宋体"/>
                <w:color w:val="auto"/>
                <w:highlight w:val="none"/>
              </w:rPr>
            </w:pPr>
            <w:r>
              <w:rPr>
                <w:rFonts w:hint="eastAsia" w:ascii="宋体" w:hAnsi="宋体" w:cs="宋体"/>
                <w:color w:val="auto"/>
                <w:highlight w:val="none"/>
              </w:rPr>
              <w:t>4</w:t>
            </w:r>
          </w:p>
        </w:tc>
        <w:tc>
          <w:tcPr>
            <w:tcW w:w="1646" w:type="dxa"/>
            <w:vMerge w:val="continue"/>
            <w:noWrap w:val="0"/>
            <w:vAlign w:val="center"/>
          </w:tcPr>
          <w:p w14:paraId="46CCE6BE">
            <w:pPr>
              <w:jc w:val="center"/>
              <w:rPr>
                <w:rFonts w:hint="eastAsia" w:ascii="宋体" w:hAnsi="宋体" w:cs="宋体"/>
                <w:color w:val="auto"/>
                <w:highlight w:val="none"/>
              </w:rPr>
            </w:pPr>
          </w:p>
        </w:tc>
      </w:tr>
      <w:tr w14:paraId="3C01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835" w:type="dxa"/>
            <w:noWrap w:val="0"/>
            <w:vAlign w:val="center"/>
          </w:tcPr>
          <w:p w14:paraId="58182BC8">
            <w:pPr>
              <w:jc w:val="center"/>
              <w:rPr>
                <w:rFonts w:hint="eastAsia" w:ascii="宋体" w:hAnsi="宋体" w:cs="宋体"/>
                <w:snapToGrid w:val="0"/>
                <w:color w:val="auto"/>
                <w:kern w:val="0"/>
                <w:szCs w:val="21"/>
                <w:highlight w:val="none"/>
              </w:rPr>
            </w:pPr>
          </w:p>
        </w:tc>
        <w:tc>
          <w:tcPr>
            <w:tcW w:w="2394" w:type="dxa"/>
            <w:noWrap w:val="0"/>
            <w:vAlign w:val="center"/>
          </w:tcPr>
          <w:p w14:paraId="675FC409">
            <w:pPr>
              <w:jc w:val="center"/>
              <w:rPr>
                <w:rFonts w:hint="eastAsia" w:ascii="宋体" w:hAnsi="宋体" w:cs="宋体"/>
                <w:snapToGrid w:val="0"/>
                <w:color w:val="auto"/>
                <w:kern w:val="0"/>
                <w:szCs w:val="21"/>
                <w:highlight w:val="none"/>
              </w:rPr>
            </w:pPr>
          </w:p>
        </w:tc>
        <w:tc>
          <w:tcPr>
            <w:tcW w:w="2394" w:type="dxa"/>
            <w:noWrap w:val="0"/>
            <w:vAlign w:val="center"/>
          </w:tcPr>
          <w:p w14:paraId="573C66C8">
            <w:pPr>
              <w:jc w:val="center"/>
              <w:rPr>
                <w:rFonts w:hint="eastAsia" w:ascii="宋体" w:hAnsi="宋体" w:cs="宋体"/>
                <w:snapToGrid w:val="0"/>
                <w:color w:val="auto"/>
                <w:kern w:val="0"/>
                <w:szCs w:val="21"/>
                <w:highlight w:val="none"/>
              </w:rPr>
            </w:pPr>
          </w:p>
        </w:tc>
        <w:tc>
          <w:tcPr>
            <w:tcW w:w="2394" w:type="dxa"/>
            <w:noWrap w:val="0"/>
            <w:vAlign w:val="center"/>
          </w:tcPr>
          <w:p w14:paraId="03911DB8">
            <w:pPr>
              <w:jc w:val="center"/>
              <w:rPr>
                <w:rFonts w:hint="eastAsia" w:ascii="宋体" w:hAnsi="宋体" w:cs="宋体"/>
                <w:snapToGrid w:val="0"/>
                <w:color w:val="auto"/>
                <w:kern w:val="0"/>
                <w:szCs w:val="21"/>
                <w:highlight w:val="none"/>
              </w:rPr>
            </w:pPr>
          </w:p>
        </w:tc>
        <w:tc>
          <w:tcPr>
            <w:tcW w:w="872" w:type="dxa"/>
            <w:noWrap w:val="0"/>
            <w:vAlign w:val="center"/>
          </w:tcPr>
          <w:p w14:paraId="78B87381">
            <w:pPr>
              <w:jc w:val="center"/>
              <w:rPr>
                <w:rFonts w:hint="eastAsia" w:ascii="宋体" w:hAnsi="宋体" w:cs="宋体"/>
                <w:snapToGrid w:val="0"/>
                <w:color w:val="auto"/>
                <w:kern w:val="0"/>
                <w:szCs w:val="21"/>
                <w:highlight w:val="none"/>
              </w:rPr>
            </w:pPr>
          </w:p>
        </w:tc>
        <w:tc>
          <w:tcPr>
            <w:tcW w:w="872" w:type="dxa"/>
            <w:noWrap w:val="0"/>
            <w:vAlign w:val="center"/>
          </w:tcPr>
          <w:p w14:paraId="1DEFE2CD">
            <w:pPr>
              <w:jc w:val="center"/>
              <w:rPr>
                <w:rFonts w:hint="eastAsia" w:ascii="宋体" w:hAnsi="宋体" w:cs="宋体"/>
                <w:snapToGrid w:val="0"/>
                <w:color w:val="auto"/>
                <w:kern w:val="0"/>
                <w:szCs w:val="21"/>
                <w:highlight w:val="none"/>
              </w:rPr>
            </w:pPr>
          </w:p>
        </w:tc>
        <w:tc>
          <w:tcPr>
            <w:tcW w:w="872" w:type="dxa"/>
            <w:noWrap w:val="0"/>
            <w:vAlign w:val="center"/>
          </w:tcPr>
          <w:p w14:paraId="17698368">
            <w:pPr>
              <w:jc w:val="center"/>
              <w:rPr>
                <w:rFonts w:hint="eastAsia" w:ascii="宋体" w:hAnsi="宋体" w:cs="宋体"/>
                <w:snapToGrid w:val="0"/>
                <w:color w:val="auto"/>
                <w:kern w:val="0"/>
                <w:szCs w:val="21"/>
                <w:highlight w:val="none"/>
              </w:rPr>
            </w:pPr>
          </w:p>
        </w:tc>
        <w:tc>
          <w:tcPr>
            <w:tcW w:w="884" w:type="dxa"/>
            <w:noWrap w:val="0"/>
            <w:vAlign w:val="center"/>
          </w:tcPr>
          <w:p w14:paraId="30D8A29B">
            <w:pPr>
              <w:jc w:val="center"/>
              <w:rPr>
                <w:rFonts w:hint="eastAsia" w:ascii="宋体" w:hAnsi="宋体" w:cs="宋体"/>
                <w:snapToGrid w:val="0"/>
                <w:color w:val="auto"/>
                <w:kern w:val="0"/>
                <w:szCs w:val="21"/>
                <w:highlight w:val="none"/>
              </w:rPr>
            </w:pPr>
          </w:p>
        </w:tc>
        <w:tc>
          <w:tcPr>
            <w:tcW w:w="1646" w:type="dxa"/>
            <w:noWrap w:val="0"/>
            <w:vAlign w:val="center"/>
          </w:tcPr>
          <w:p w14:paraId="3E0692F1">
            <w:pPr>
              <w:jc w:val="center"/>
              <w:rPr>
                <w:rFonts w:hint="eastAsia" w:ascii="宋体" w:hAnsi="宋体" w:cs="宋体"/>
                <w:snapToGrid w:val="0"/>
                <w:color w:val="auto"/>
                <w:kern w:val="0"/>
                <w:szCs w:val="21"/>
                <w:highlight w:val="none"/>
              </w:rPr>
            </w:pPr>
          </w:p>
        </w:tc>
      </w:tr>
      <w:tr w14:paraId="13B3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35" w:type="dxa"/>
            <w:noWrap w:val="0"/>
            <w:vAlign w:val="center"/>
          </w:tcPr>
          <w:p w14:paraId="5C529AAE">
            <w:pPr>
              <w:jc w:val="center"/>
              <w:rPr>
                <w:rFonts w:hint="eastAsia" w:ascii="宋体" w:hAnsi="宋体" w:cs="宋体"/>
                <w:snapToGrid w:val="0"/>
                <w:color w:val="auto"/>
                <w:kern w:val="0"/>
                <w:szCs w:val="21"/>
                <w:highlight w:val="none"/>
              </w:rPr>
            </w:pPr>
          </w:p>
        </w:tc>
        <w:tc>
          <w:tcPr>
            <w:tcW w:w="2394" w:type="dxa"/>
            <w:noWrap w:val="0"/>
            <w:vAlign w:val="center"/>
          </w:tcPr>
          <w:p w14:paraId="266F15D5">
            <w:pPr>
              <w:jc w:val="center"/>
              <w:rPr>
                <w:rFonts w:hint="eastAsia" w:ascii="宋体" w:hAnsi="宋体" w:cs="宋体"/>
                <w:snapToGrid w:val="0"/>
                <w:color w:val="auto"/>
                <w:kern w:val="0"/>
                <w:szCs w:val="21"/>
                <w:highlight w:val="none"/>
              </w:rPr>
            </w:pPr>
          </w:p>
        </w:tc>
        <w:tc>
          <w:tcPr>
            <w:tcW w:w="2394" w:type="dxa"/>
            <w:noWrap w:val="0"/>
            <w:vAlign w:val="center"/>
          </w:tcPr>
          <w:p w14:paraId="4E02F0D4">
            <w:pPr>
              <w:jc w:val="center"/>
              <w:rPr>
                <w:rFonts w:hint="eastAsia" w:ascii="宋体" w:hAnsi="宋体" w:cs="宋体"/>
                <w:snapToGrid w:val="0"/>
                <w:color w:val="auto"/>
                <w:kern w:val="0"/>
                <w:szCs w:val="21"/>
                <w:highlight w:val="none"/>
              </w:rPr>
            </w:pPr>
          </w:p>
        </w:tc>
        <w:tc>
          <w:tcPr>
            <w:tcW w:w="2394" w:type="dxa"/>
            <w:noWrap w:val="0"/>
            <w:vAlign w:val="center"/>
          </w:tcPr>
          <w:p w14:paraId="53022B46">
            <w:pPr>
              <w:jc w:val="center"/>
              <w:rPr>
                <w:rFonts w:hint="eastAsia" w:ascii="宋体" w:hAnsi="宋体" w:cs="宋体"/>
                <w:snapToGrid w:val="0"/>
                <w:color w:val="auto"/>
                <w:kern w:val="0"/>
                <w:szCs w:val="21"/>
                <w:highlight w:val="none"/>
              </w:rPr>
            </w:pPr>
          </w:p>
        </w:tc>
        <w:tc>
          <w:tcPr>
            <w:tcW w:w="872" w:type="dxa"/>
            <w:noWrap w:val="0"/>
            <w:vAlign w:val="center"/>
          </w:tcPr>
          <w:p w14:paraId="4C41BEDC">
            <w:pPr>
              <w:jc w:val="center"/>
              <w:rPr>
                <w:rFonts w:hint="eastAsia" w:ascii="宋体" w:hAnsi="宋体" w:cs="宋体"/>
                <w:snapToGrid w:val="0"/>
                <w:color w:val="auto"/>
                <w:kern w:val="0"/>
                <w:szCs w:val="21"/>
                <w:highlight w:val="none"/>
              </w:rPr>
            </w:pPr>
          </w:p>
        </w:tc>
        <w:tc>
          <w:tcPr>
            <w:tcW w:w="872" w:type="dxa"/>
            <w:noWrap w:val="0"/>
            <w:vAlign w:val="center"/>
          </w:tcPr>
          <w:p w14:paraId="398D0708">
            <w:pPr>
              <w:jc w:val="center"/>
              <w:rPr>
                <w:rFonts w:hint="eastAsia" w:ascii="宋体" w:hAnsi="宋体" w:cs="宋体"/>
                <w:snapToGrid w:val="0"/>
                <w:color w:val="auto"/>
                <w:kern w:val="0"/>
                <w:szCs w:val="21"/>
                <w:highlight w:val="none"/>
              </w:rPr>
            </w:pPr>
          </w:p>
        </w:tc>
        <w:tc>
          <w:tcPr>
            <w:tcW w:w="872" w:type="dxa"/>
            <w:noWrap w:val="0"/>
            <w:vAlign w:val="center"/>
          </w:tcPr>
          <w:p w14:paraId="697619B2">
            <w:pPr>
              <w:jc w:val="center"/>
              <w:rPr>
                <w:rFonts w:hint="eastAsia" w:ascii="宋体" w:hAnsi="宋体" w:cs="宋体"/>
                <w:snapToGrid w:val="0"/>
                <w:color w:val="auto"/>
                <w:kern w:val="0"/>
                <w:szCs w:val="21"/>
                <w:highlight w:val="none"/>
              </w:rPr>
            </w:pPr>
          </w:p>
        </w:tc>
        <w:tc>
          <w:tcPr>
            <w:tcW w:w="884" w:type="dxa"/>
            <w:noWrap w:val="0"/>
            <w:vAlign w:val="center"/>
          </w:tcPr>
          <w:p w14:paraId="672C3845">
            <w:pPr>
              <w:jc w:val="center"/>
              <w:rPr>
                <w:rFonts w:hint="eastAsia" w:ascii="宋体" w:hAnsi="宋体" w:cs="宋体"/>
                <w:snapToGrid w:val="0"/>
                <w:color w:val="auto"/>
                <w:kern w:val="0"/>
                <w:szCs w:val="21"/>
                <w:highlight w:val="none"/>
              </w:rPr>
            </w:pPr>
          </w:p>
        </w:tc>
        <w:tc>
          <w:tcPr>
            <w:tcW w:w="1646" w:type="dxa"/>
            <w:noWrap w:val="0"/>
            <w:vAlign w:val="center"/>
          </w:tcPr>
          <w:p w14:paraId="3410F6E3">
            <w:pPr>
              <w:jc w:val="center"/>
              <w:rPr>
                <w:rFonts w:hint="eastAsia" w:ascii="宋体" w:hAnsi="宋体" w:cs="宋体"/>
                <w:snapToGrid w:val="0"/>
                <w:color w:val="auto"/>
                <w:kern w:val="0"/>
                <w:szCs w:val="21"/>
                <w:highlight w:val="none"/>
              </w:rPr>
            </w:pPr>
          </w:p>
        </w:tc>
      </w:tr>
      <w:tr w14:paraId="24FB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835" w:type="dxa"/>
            <w:noWrap w:val="0"/>
            <w:vAlign w:val="center"/>
          </w:tcPr>
          <w:p w14:paraId="009B935C">
            <w:pPr>
              <w:jc w:val="center"/>
              <w:rPr>
                <w:rFonts w:hint="eastAsia" w:ascii="宋体" w:hAnsi="宋体" w:cs="宋体"/>
                <w:snapToGrid w:val="0"/>
                <w:color w:val="auto"/>
                <w:kern w:val="0"/>
                <w:szCs w:val="21"/>
                <w:highlight w:val="none"/>
              </w:rPr>
            </w:pPr>
          </w:p>
        </w:tc>
        <w:tc>
          <w:tcPr>
            <w:tcW w:w="2394" w:type="dxa"/>
            <w:noWrap w:val="0"/>
            <w:vAlign w:val="center"/>
          </w:tcPr>
          <w:p w14:paraId="1D19DEC7">
            <w:pPr>
              <w:jc w:val="center"/>
              <w:rPr>
                <w:rFonts w:hint="eastAsia" w:ascii="宋体" w:hAnsi="宋体" w:cs="宋体"/>
                <w:snapToGrid w:val="0"/>
                <w:color w:val="auto"/>
                <w:kern w:val="0"/>
                <w:szCs w:val="21"/>
                <w:highlight w:val="none"/>
              </w:rPr>
            </w:pPr>
          </w:p>
        </w:tc>
        <w:tc>
          <w:tcPr>
            <w:tcW w:w="2394" w:type="dxa"/>
            <w:noWrap w:val="0"/>
            <w:vAlign w:val="center"/>
          </w:tcPr>
          <w:p w14:paraId="41E06EBE">
            <w:pPr>
              <w:jc w:val="center"/>
              <w:rPr>
                <w:rFonts w:hint="eastAsia" w:ascii="宋体" w:hAnsi="宋体" w:cs="宋体"/>
                <w:snapToGrid w:val="0"/>
                <w:color w:val="auto"/>
                <w:kern w:val="0"/>
                <w:szCs w:val="21"/>
                <w:highlight w:val="none"/>
              </w:rPr>
            </w:pPr>
          </w:p>
        </w:tc>
        <w:tc>
          <w:tcPr>
            <w:tcW w:w="2394" w:type="dxa"/>
            <w:noWrap w:val="0"/>
            <w:vAlign w:val="center"/>
          </w:tcPr>
          <w:p w14:paraId="3983E70E">
            <w:pPr>
              <w:jc w:val="center"/>
              <w:rPr>
                <w:rFonts w:hint="eastAsia" w:ascii="宋体" w:hAnsi="宋体" w:cs="宋体"/>
                <w:snapToGrid w:val="0"/>
                <w:color w:val="auto"/>
                <w:kern w:val="0"/>
                <w:szCs w:val="21"/>
                <w:highlight w:val="none"/>
              </w:rPr>
            </w:pPr>
          </w:p>
        </w:tc>
        <w:tc>
          <w:tcPr>
            <w:tcW w:w="872" w:type="dxa"/>
            <w:noWrap w:val="0"/>
            <w:vAlign w:val="center"/>
          </w:tcPr>
          <w:p w14:paraId="25BD5D0D">
            <w:pPr>
              <w:jc w:val="center"/>
              <w:rPr>
                <w:rFonts w:hint="eastAsia" w:ascii="宋体" w:hAnsi="宋体" w:cs="宋体"/>
                <w:snapToGrid w:val="0"/>
                <w:color w:val="auto"/>
                <w:kern w:val="0"/>
                <w:szCs w:val="21"/>
                <w:highlight w:val="none"/>
              </w:rPr>
            </w:pPr>
          </w:p>
        </w:tc>
        <w:tc>
          <w:tcPr>
            <w:tcW w:w="872" w:type="dxa"/>
            <w:noWrap w:val="0"/>
            <w:vAlign w:val="center"/>
          </w:tcPr>
          <w:p w14:paraId="2561E6EB">
            <w:pPr>
              <w:jc w:val="center"/>
              <w:rPr>
                <w:rFonts w:hint="eastAsia" w:ascii="宋体" w:hAnsi="宋体" w:cs="宋体"/>
                <w:snapToGrid w:val="0"/>
                <w:color w:val="auto"/>
                <w:kern w:val="0"/>
                <w:szCs w:val="21"/>
                <w:highlight w:val="none"/>
              </w:rPr>
            </w:pPr>
          </w:p>
        </w:tc>
        <w:tc>
          <w:tcPr>
            <w:tcW w:w="872" w:type="dxa"/>
            <w:noWrap w:val="0"/>
            <w:vAlign w:val="center"/>
          </w:tcPr>
          <w:p w14:paraId="1FA17E6E">
            <w:pPr>
              <w:jc w:val="center"/>
              <w:rPr>
                <w:rFonts w:hint="eastAsia" w:ascii="宋体" w:hAnsi="宋体" w:cs="宋体"/>
                <w:snapToGrid w:val="0"/>
                <w:color w:val="auto"/>
                <w:kern w:val="0"/>
                <w:szCs w:val="21"/>
                <w:highlight w:val="none"/>
              </w:rPr>
            </w:pPr>
          </w:p>
        </w:tc>
        <w:tc>
          <w:tcPr>
            <w:tcW w:w="884" w:type="dxa"/>
            <w:noWrap w:val="0"/>
            <w:vAlign w:val="center"/>
          </w:tcPr>
          <w:p w14:paraId="4294F694">
            <w:pPr>
              <w:jc w:val="center"/>
              <w:rPr>
                <w:rFonts w:hint="eastAsia" w:ascii="宋体" w:hAnsi="宋体" w:cs="宋体"/>
                <w:snapToGrid w:val="0"/>
                <w:color w:val="auto"/>
                <w:kern w:val="0"/>
                <w:szCs w:val="21"/>
                <w:highlight w:val="none"/>
              </w:rPr>
            </w:pPr>
          </w:p>
        </w:tc>
        <w:tc>
          <w:tcPr>
            <w:tcW w:w="1646" w:type="dxa"/>
            <w:noWrap w:val="0"/>
            <w:vAlign w:val="center"/>
          </w:tcPr>
          <w:p w14:paraId="574F8B18">
            <w:pPr>
              <w:jc w:val="center"/>
              <w:rPr>
                <w:rFonts w:hint="eastAsia" w:ascii="宋体" w:hAnsi="宋体" w:cs="宋体"/>
                <w:snapToGrid w:val="0"/>
                <w:color w:val="auto"/>
                <w:kern w:val="0"/>
                <w:szCs w:val="21"/>
                <w:highlight w:val="none"/>
              </w:rPr>
            </w:pPr>
          </w:p>
        </w:tc>
      </w:tr>
      <w:tr w14:paraId="2FF2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35" w:type="dxa"/>
            <w:noWrap w:val="0"/>
            <w:vAlign w:val="center"/>
          </w:tcPr>
          <w:p w14:paraId="63542CAF">
            <w:pPr>
              <w:jc w:val="center"/>
              <w:rPr>
                <w:rFonts w:hint="eastAsia" w:ascii="宋体" w:hAnsi="宋体" w:cs="宋体"/>
                <w:snapToGrid w:val="0"/>
                <w:color w:val="auto"/>
                <w:kern w:val="0"/>
                <w:szCs w:val="21"/>
                <w:highlight w:val="none"/>
              </w:rPr>
            </w:pPr>
          </w:p>
        </w:tc>
        <w:tc>
          <w:tcPr>
            <w:tcW w:w="2394" w:type="dxa"/>
            <w:noWrap w:val="0"/>
            <w:vAlign w:val="center"/>
          </w:tcPr>
          <w:p w14:paraId="537CC24B">
            <w:pPr>
              <w:jc w:val="center"/>
              <w:rPr>
                <w:rFonts w:hint="eastAsia" w:ascii="宋体" w:hAnsi="宋体" w:cs="宋体"/>
                <w:snapToGrid w:val="0"/>
                <w:color w:val="auto"/>
                <w:kern w:val="0"/>
                <w:szCs w:val="21"/>
                <w:highlight w:val="none"/>
              </w:rPr>
            </w:pPr>
          </w:p>
        </w:tc>
        <w:tc>
          <w:tcPr>
            <w:tcW w:w="2394" w:type="dxa"/>
            <w:noWrap w:val="0"/>
            <w:vAlign w:val="center"/>
          </w:tcPr>
          <w:p w14:paraId="0EC0AB28">
            <w:pPr>
              <w:jc w:val="center"/>
              <w:rPr>
                <w:rFonts w:hint="eastAsia" w:ascii="宋体" w:hAnsi="宋体" w:cs="宋体"/>
                <w:snapToGrid w:val="0"/>
                <w:color w:val="auto"/>
                <w:kern w:val="0"/>
                <w:szCs w:val="21"/>
                <w:highlight w:val="none"/>
              </w:rPr>
            </w:pPr>
          </w:p>
        </w:tc>
        <w:tc>
          <w:tcPr>
            <w:tcW w:w="2394" w:type="dxa"/>
            <w:noWrap w:val="0"/>
            <w:vAlign w:val="center"/>
          </w:tcPr>
          <w:p w14:paraId="050635E1">
            <w:pPr>
              <w:jc w:val="center"/>
              <w:rPr>
                <w:rFonts w:hint="eastAsia" w:ascii="宋体" w:hAnsi="宋体" w:cs="宋体"/>
                <w:snapToGrid w:val="0"/>
                <w:color w:val="auto"/>
                <w:kern w:val="0"/>
                <w:szCs w:val="21"/>
                <w:highlight w:val="none"/>
              </w:rPr>
            </w:pPr>
          </w:p>
        </w:tc>
        <w:tc>
          <w:tcPr>
            <w:tcW w:w="872" w:type="dxa"/>
            <w:noWrap w:val="0"/>
            <w:vAlign w:val="center"/>
          </w:tcPr>
          <w:p w14:paraId="4B8AA70C">
            <w:pPr>
              <w:jc w:val="center"/>
              <w:rPr>
                <w:rFonts w:hint="eastAsia" w:ascii="宋体" w:hAnsi="宋体" w:cs="宋体"/>
                <w:snapToGrid w:val="0"/>
                <w:color w:val="auto"/>
                <w:kern w:val="0"/>
                <w:szCs w:val="21"/>
                <w:highlight w:val="none"/>
              </w:rPr>
            </w:pPr>
          </w:p>
        </w:tc>
        <w:tc>
          <w:tcPr>
            <w:tcW w:w="872" w:type="dxa"/>
            <w:noWrap w:val="0"/>
            <w:vAlign w:val="center"/>
          </w:tcPr>
          <w:p w14:paraId="5EB34D27">
            <w:pPr>
              <w:jc w:val="center"/>
              <w:rPr>
                <w:rFonts w:hint="eastAsia" w:ascii="宋体" w:hAnsi="宋体" w:cs="宋体"/>
                <w:snapToGrid w:val="0"/>
                <w:color w:val="auto"/>
                <w:kern w:val="0"/>
                <w:szCs w:val="21"/>
                <w:highlight w:val="none"/>
              </w:rPr>
            </w:pPr>
          </w:p>
        </w:tc>
        <w:tc>
          <w:tcPr>
            <w:tcW w:w="872" w:type="dxa"/>
            <w:noWrap w:val="0"/>
            <w:vAlign w:val="center"/>
          </w:tcPr>
          <w:p w14:paraId="47D11C94">
            <w:pPr>
              <w:jc w:val="center"/>
              <w:rPr>
                <w:rFonts w:hint="eastAsia" w:ascii="宋体" w:hAnsi="宋体" w:cs="宋体"/>
                <w:snapToGrid w:val="0"/>
                <w:color w:val="auto"/>
                <w:kern w:val="0"/>
                <w:szCs w:val="21"/>
                <w:highlight w:val="none"/>
              </w:rPr>
            </w:pPr>
          </w:p>
        </w:tc>
        <w:tc>
          <w:tcPr>
            <w:tcW w:w="884" w:type="dxa"/>
            <w:noWrap w:val="0"/>
            <w:vAlign w:val="center"/>
          </w:tcPr>
          <w:p w14:paraId="1F3C1900">
            <w:pPr>
              <w:jc w:val="center"/>
              <w:rPr>
                <w:rFonts w:hint="eastAsia" w:ascii="宋体" w:hAnsi="宋体" w:cs="宋体"/>
                <w:snapToGrid w:val="0"/>
                <w:color w:val="auto"/>
                <w:kern w:val="0"/>
                <w:szCs w:val="21"/>
                <w:highlight w:val="none"/>
              </w:rPr>
            </w:pPr>
          </w:p>
        </w:tc>
        <w:tc>
          <w:tcPr>
            <w:tcW w:w="1646" w:type="dxa"/>
            <w:noWrap w:val="0"/>
            <w:vAlign w:val="center"/>
          </w:tcPr>
          <w:p w14:paraId="401A9E2D">
            <w:pPr>
              <w:jc w:val="center"/>
              <w:rPr>
                <w:rFonts w:hint="eastAsia" w:ascii="宋体" w:hAnsi="宋体" w:cs="宋体"/>
                <w:snapToGrid w:val="0"/>
                <w:color w:val="auto"/>
                <w:kern w:val="0"/>
                <w:szCs w:val="21"/>
                <w:highlight w:val="none"/>
              </w:rPr>
            </w:pPr>
          </w:p>
        </w:tc>
      </w:tr>
      <w:tr w14:paraId="1451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35" w:type="dxa"/>
            <w:noWrap w:val="0"/>
            <w:vAlign w:val="center"/>
          </w:tcPr>
          <w:p w14:paraId="25D9D325">
            <w:pPr>
              <w:jc w:val="center"/>
              <w:rPr>
                <w:rFonts w:hint="eastAsia" w:ascii="宋体" w:hAnsi="宋体" w:cs="宋体"/>
                <w:snapToGrid w:val="0"/>
                <w:color w:val="auto"/>
                <w:kern w:val="0"/>
                <w:szCs w:val="21"/>
                <w:highlight w:val="none"/>
              </w:rPr>
            </w:pPr>
          </w:p>
        </w:tc>
        <w:tc>
          <w:tcPr>
            <w:tcW w:w="2394" w:type="dxa"/>
            <w:noWrap w:val="0"/>
            <w:vAlign w:val="center"/>
          </w:tcPr>
          <w:p w14:paraId="5EBBB2D3">
            <w:pPr>
              <w:jc w:val="center"/>
              <w:rPr>
                <w:rFonts w:hint="eastAsia" w:ascii="宋体" w:hAnsi="宋体" w:cs="宋体"/>
                <w:snapToGrid w:val="0"/>
                <w:color w:val="auto"/>
                <w:kern w:val="0"/>
                <w:szCs w:val="21"/>
                <w:highlight w:val="none"/>
              </w:rPr>
            </w:pPr>
          </w:p>
        </w:tc>
        <w:tc>
          <w:tcPr>
            <w:tcW w:w="2394" w:type="dxa"/>
            <w:noWrap w:val="0"/>
            <w:vAlign w:val="center"/>
          </w:tcPr>
          <w:p w14:paraId="4ED373F8">
            <w:pPr>
              <w:jc w:val="center"/>
              <w:rPr>
                <w:rFonts w:hint="eastAsia" w:ascii="宋体" w:hAnsi="宋体" w:cs="宋体"/>
                <w:snapToGrid w:val="0"/>
                <w:color w:val="auto"/>
                <w:kern w:val="0"/>
                <w:szCs w:val="21"/>
                <w:highlight w:val="none"/>
              </w:rPr>
            </w:pPr>
          </w:p>
        </w:tc>
        <w:tc>
          <w:tcPr>
            <w:tcW w:w="2394" w:type="dxa"/>
            <w:noWrap w:val="0"/>
            <w:vAlign w:val="center"/>
          </w:tcPr>
          <w:p w14:paraId="612929AE">
            <w:pPr>
              <w:jc w:val="center"/>
              <w:rPr>
                <w:rFonts w:hint="eastAsia" w:ascii="宋体" w:hAnsi="宋体" w:cs="宋体"/>
                <w:snapToGrid w:val="0"/>
                <w:color w:val="auto"/>
                <w:kern w:val="0"/>
                <w:szCs w:val="21"/>
                <w:highlight w:val="none"/>
              </w:rPr>
            </w:pPr>
          </w:p>
        </w:tc>
        <w:tc>
          <w:tcPr>
            <w:tcW w:w="872" w:type="dxa"/>
            <w:noWrap w:val="0"/>
            <w:vAlign w:val="center"/>
          </w:tcPr>
          <w:p w14:paraId="0DAC49F8">
            <w:pPr>
              <w:jc w:val="center"/>
              <w:rPr>
                <w:rFonts w:hint="eastAsia" w:ascii="宋体" w:hAnsi="宋体" w:cs="宋体"/>
                <w:snapToGrid w:val="0"/>
                <w:color w:val="auto"/>
                <w:kern w:val="0"/>
                <w:szCs w:val="21"/>
                <w:highlight w:val="none"/>
              </w:rPr>
            </w:pPr>
          </w:p>
        </w:tc>
        <w:tc>
          <w:tcPr>
            <w:tcW w:w="872" w:type="dxa"/>
            <w:noWrap w:val="0"/>
            <w:vAlign w:val="center"/>
          </w:tcPr>
          <w:p w14:paraId="66EE0260">
            <w:pPr>
              <w:jc w:val="center"/>
              <w:rPr>
                <w:rFonts w:hint="eastAsia" w:ascii="宋体" w:hAnsi="宋体" w:cs="宋体"/>
                <w:snapToGrid w:val="0"/>
                <w:color w:val="auto"/>
                <w:kern w:val="0"/>
                <w:szCs w:val="21"/>
                <w:highlight w:val="none"/>
              </w:rPr>
            </w:pPr>
          </w:p>
        </w:tc>
        <w:tc>
          <w:tcPr>
            <w:tcW w:w="872" w:type="dxa"/>
            <w:noWrap w:val="0"/>
            <w:vAlign w:val="center"/>
          </w:tcPr>
          <w:p w14:paraId="36D76188">
            <w:pPr>
              <w:jc w:val="center"/>
              <w:rPr>
                <w:rFonts w:hint="eastAsia" w:ascii="宋体" w:hAnsi="宋体" w:cs="宋体"/>
                <w:snapToGrid w:val="0"/>
                <w:color w:val="auto"/>
                <w:kern w:val="0"/>
                <w:szCs w:val="21"/>
                <w:highlight w:val="none"/>
              </w:rPr>
            </w:pPr>
          </w:p>
        </w:tc>
        <w:tc>
          <w:tcPr>
            <w:tcW w:w="884" w:type="dxa"/>
            <w:noWrap w:val="0"/>
            <w:vAlign w:val="center"/>
          </w:tcPr>
          <w:p w14:paraId="5ED13CF7">
            <w:pPr>
              <w:jc w:val="center"/>
              <w:rPr>
                <w:rFonts w:hint="eastAsia" w:ascii="宋体" w:hAnsi="宋体" w:cs="宋体"/>
                <w:snapToGrid w:val="0"/>
                <w:color w:val="auto"/>
                <w:kern w:val="0"/>
                <w:szCs w:val="21"/>
                <w:highlight w:val="none"/>
              </w:rPr>
            </w:pPr>
          </w:p>
        </w:tc>
        <w:tc>
          <w:tcPr>
            <w:tcW w:w="1646" w:type="dxa"/>
            <w:noWrap w:val="0"/>
            <w:vAlign w:val="center"/>
          </w:tcPr>
          <w:p w14:paraId="0539CA2A">
            <w:pPr>
              <w:jc w:val="center"/>
              <w:rPr>
                <w:rFonts w:hint="eastAsia" w:ascii="宋体" w:hAnsi="宋体" w:cs="宋体"/>
                <w:snapToGrid w:val="0"/>
                <w:color w:val="auto"/>
                <w:kern w:val="0"/>
                <w:szCs w:val="21"/>
                <w:highlight w:val="none"/>
              </w:rPr>
            </w:pPr>
          </w:p>
        </w:tc>
      </w:tr>
      <w:tr w14:paraId="1CE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35" w:type="dxa"/>
            <w:noWrap w:val="0"/>
            <w:vAlign w:val="center"/>
          </w:tcPr>
          <w:p w14:paraId="544966D2">
            <w:pPr>
              <w:jc w:val="center"/>
              <w:rPr>
                <w:rFonts w:hint="eastAsia" w:ascii="宋体" w:hAnsi="宋体" w:cs="宋体"/>
                <w:snapToGrid w:val="0"/>
                <w:color w:val="auto"/>
                <w:kern w:val="0"/>
                <w:szCs w:val="21"/>
                <w:highlight w:val="none"/>
              </w:rPr>
            </w:pPr>
          </w:p>
        </w:tc>
        <w:tc>
          <w:tcPr>
            <w:tcW w:w="2394" w:type="dxa"/>
            <w:noWrap w:val="0"/>
            <w:vAlign w:val="center"/>
          </w:tcPr>
          <w:p w14:paraId="58549660">
            <w:pPr>
              <w:jc w:val="center"/>
              <w:rPr>
                <w:rFonts w:hint="eastAsia" w:ascii="宋体" w:hAnsi="宋体" w:cs="宋体"/>
                <w:snapToGrid w:val="0"/>
                <w:color w:val="auto"/>
                <w:kern w:val="0"/>
                <w:szCs w:val="21"/>
                <w:highlight w:val="none"/>
              </w:rPr>
            </w:pPr>
          </w:p>
        </w:tc>
        <w:tc>
          <w:tcPr>
            <w:tcW w:w="2394" w:type="dxa"/>
            <w:noWrap w:val="0"/>
            <w:vAlign w:val="center"/>
          </w:tcPr>
          <w:p w14:paraId="14BB8F88">
            <w:pPr>
              <w:jc w:val="center"/>
              <w:rPr>
                <w:rFonts w:hint="eastAsia" w:ascii="宋体" w:hAnsi="宋体" w:cs="宋体"/>
                <w:snapToGrid w:val="0"/>
                <w:color w:val="auto"/>
                <w:kern w:val="0"/>
                <w:szCs w:val="21"/>
                <w:highlight w:val="none"/>
              </w:rPr>
            </w:pPr>
          </w:p>
        </w:tc>
        <w:tc>
          <w:tcPr>
            <w:tcW w:w="2394" w:type="dxa"/>
            <w:noWrap w:val="0"/>
            <w:vAlign w:val="center"/>
          </w:tcPr>
          <w:p w14:paraId="4C7161E4">
            <w:pPr>
              <w:jc w:val="center"/>
              <w:rPr>
                <w:rFonts w:hint="eastAsia" w:ascii="宋体" w:hAnsi="宋体" w:cs="宋体"/>
                <w:snapToGrid w:val="0"/>
                <w:color w:val="auto"/>
                <w:kern w:val="0"/>
                <w:szCs w:val="21"/>
                <w:highlight w:val="none"/>
              </w:rPr>
            </w:pPr>
          </w:p>
        </w:tc>
        <w:tc>
          <w:tcPr>
            <w:tcW w:w="872" w:type="dxa"/>
            <w:noWrap w:val="0"/>
            <w:vAlign w:val="center"/>
          </w:tcPr>
          <w:p w14:paraId="36E58231">
            <w:pPr>
              <w:jc w:val="center"/>
              <w:rPr>
                <w:rFonts w:hint="eastAsia" w:ascii="宋体" w:hAnsi="宋体" w:cs="宋体"/>
                <w:snapToGrid w:val="0"/>
                <w:color w:val="auto"/>
                <w:kern w:val="0"/>
                <w:szCs w:val="21"/>
                <w:highlight w:val="none"/>
              </w:rPr>
            </w:pPr>
          </w:p>
        </w:tc>
        <w:tc>
          <w:tcPr>
            <w:tcW w:w="872" w:type="dxa"/>
            <w:noWrap w:val="0"/>
            <w:vAlign w:val="center"/>
          </w:tcPr>
          <w:p w14:paraId="7A27349C">
            <w:pPr>
              <w:jc w:val="center"/>
              <w:rPr>
                <w:rFonts w:hint="eastAsia" w:ascii="宋体" w:hAnsi="宋体" w:cs="宋体"/>
                <w:snapToGrid w:val="0"/>
                <w:color w:val="auto"/>
                <w:kern w:val="0"/>
                <w:szCs w:val="21"/>
                <w:highlight w:val="none"/>
              </w:rPr>
            </w:pPr>
          </w:p>
        </w:tc>
        <w:tc>
          <w:tcPr>
            <w:tcW w:w="872" w:type="dxa"/>
            <w:noWrap w:val="0"/>
            <w:vAlign w:val="center"/>
          </w:tcPr>
          <w:p w14:paraId="5B81197F">
            <w:pPr>
              <w:jc w:val="center"/>
              <w:rPr>
                <w:rFonts w:hint="eastAsia" w:ascii="宋体" w:hAnsi="宋体" w:cs="宋体"/>
                <w:snapToGrid w:val="0"/>
                <w:color w:val="auto"/>
                <w:kern w:val="0"/>
                <w:szCs w:val="21"/>
                <w:highlight w:val="none"/>
              </w:rPr>
            </w:pPr>
          </w:p>
        </w:tc>
        <w:tc>
          <w:tcPr>
            <w:tcW w:w="884" w:type="dxa"/>
            <w:noWrap w:val="0"/>
            <w:vAlign w:val="center"/>
          </w:tcPr>
          <w:p w14:paraId="3E58677B">
            <w:pPr>
              <w:jc w:val="center"/>
              <w:rPr>
                <w:rFonts w:hint="eastAsia" w:ascii="宋体" w:hAnsi="宋体" w:cs="宋体"/>
                <w:snapToGrid w:val="0"/>
                <w:color w:val="auto"/>
                <w:kern w:val="0"/>
                <w:szCs w:val="21"/>
                <w:highlight w:val="none"/>
              </w:rPr>
            </w:pPr>
          </w:p>
        </w:tc>
        <w:tc>
          <w:tcPr>
            <w:tcW w:w="1646" w:type="dxa"/>
            <w:noWrap w:val="0"/>
            <w:vAlign w:val="center"/>
          </w:tcPr>
          <w:p w14:paraId="24C69A84">
            <w:pPr>
              <w:jc w:val="center"/>
              <w:rPr>
                <w:rFonts w:hint="eastAsia" w:ascii="宋体" w:hAnsi="宋体" w:cs="宋体"/>
                <w:snapToGrid w:val="0"/>
                <w:color w:val="auto"/>
                <w:kern w:val="0"/>
                <w:szCs w:val="21"/>
                <w:highlight w:val="none"/>
              </w:rPr>
            </w:pPr>
          </w:p>
        </w:tc>
      </w:tr>
      <w:tr w14:paraId="0E5B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835" w:type="dxa"/>
            <w:noWrap w:val="0"/>
            <w:vAlign w:val="center"/>
          </w:tcPr>
          <w:p w14:paraId="71E62BB6">
            <w:pPr>
              <w:jc w:val="center"/>
              <w:rPr>
                <w:rFonts w:hint="eastAsia" w:ascii="宋体" w:hAnsi="宋体" w:cs="宋体"/>
                <w:snapToGrid w:val="0"/>
                <w:color w:val="auto"/>
                <w:kern w:val="0"/>
                <w:szCs w:val="21"/>
                <w:highlight w:val="none"/>
              </w:rPr>
            </w:pPr>
          </w:p>
        </w:tc>
        <w:tc>
          <w:tcPr>
            <w:tcW w:w="2394" w:type="dxa"/>
            <w:noWrap w:val="0"/>
            <w:vAlign w:val="center"/>
          </w:tcPr>
          <w:p w14:paraId="15F4CC93">
            <w:pPr>
              <w:jc w:val="center"/>
              <w:rPr>
                <w:rFonts w:hint="eastAsia" w:ascii="宋体" w:hAnsi="宋体" w:cs="宋体"/>
                <w:snapToGrid w:val="0"/>
                <w:color w:val="auto"/>
                <w:kern w:val="0"/>
                <w:szCs w:val="21"/>
                <w:highlight w:val="none"/>
              </w:rPr>
            </w:pPr>
          </w:p>
        </w:tc>
        <w:tc>
          <w:tcPr>
            <w:tcW w:w="2394" w:type="dxa"/>
            <w:noWrap w:val="0"/>
            <w:vAlign w:val="center"/>
          </w:tcPr>
          <w:p w14:paraId="514DE15B">
            <w:pPr>
              <w:jc w:val="center"/>
              <w:rPr>
                <w:rFonts w:hint="eastAsia" w:ascii="宋体" w:hAnsi="宋体" w:cs="宋体"/>
                <w:snapToGrid w:val="0"/>
                <w:color w:val="auto"/>
                <w:kern w:val="0"/>
                <w:szCs w:val="21"/>
                <w:highlight w:val="none"/>
              </w:rPr>
            </w:pPr>
          </w:p>
        </w:tc>
        <w:tc>
          <w:tcPr>
            <w:tcW w:w="2394" w:type="dxa"/>
            <w:noWrap w:val="0"/>
            <w:vAlign w:val="center"/>
          </w:tcPr>
          <w:p w14:paraId="07C8F6DF">
            <w:pPr>
              <w:jc w:val="center"/>
              <w:rPr>
                <w:rFonts w:hint="eastAsia" w:ascii="宋体" w:hAnsi="宋体" w:cs="宋体"/>
                <w:snapToGrid w:val="0"/>
                <w:color w:val="auto"/>
                <w:kern w:val="0"/>
                <w:szCs w:val="21"/>
                <w:highlight w:val="none"/>
              </w:rPr>
            </w:pPr>
          </w:p>
        </w:tc>
        <w:tc>
          <w:tcPr>
            <w:tcW w:w="872" w:type="dxa"/>
            <w:noWrap w:val="0"/>
            <w:vAlign w:val="center"/>
          </w:tcPr>
          <w:p w14:paraId="02E1BC53">
            <w:pPr>
              <w:jc w:val="center"/>
              <w:rPr>
                <w:rFonts w:hint="eastAsia" w:ascii="宋体" w:hAnsi="宋体" w:cs="宋体"/>
                <w:snapToGrid w:val="0"/>
                <w:color w:val="auto"/>
                <w:kern w:val="0"/>
                <w:szCs w:val="21"/>
                <w:highlight w:val="none"/>
              </w:rPr>
            </w:pPr>
          </w:p>
        </w:tc>
        <w:tc>
          <w:tcPr>
            <w:tcW w:w="872" w:type="dxa"/>
            <w:noWrap w:val="0"/>
            <w:vAlign w:val="center"/>
          </w:tcPr>
          <w:p w14:paraId="2250E8DA">
            <w:pPr>
              <w:jc w:val="center"/>
              <w:rPr>
                <w:rFonts w:hint="eastAsia" w:ascii="宋体" w:hAnsi="宋体" w:cs="宋体"/>
                <w:snapToGrid w:val="0"/>
                <w:color w:val="auto"/>
                <w:kern w:val="0"/>
                <w:szCs w:val="21"/>
                <w:highlight w:val="none"/>
              </w:rPr>
            </w:pPr>
          </w:p>
        </w:tc>
        <w:tc>
          <w:tcPr>
            <w:tcW w:w="872" w:type="dxa"/>
            <w:noWrap w:val="0"/>
            <w:vAlign w:val="center"/>
          </w:tcPr>
          <w:p w14:paraId="234CD6FC">
            <w:pPr>
              <w:jc w:val="center"/>
              <w:rPr>
                <w:rFonts w:hint="eastAsia" w:ascii="宋体" w:hAnsi="宋体" w:cs="宋体"/>
                <w:snapToGrid w:val="0"/>
                <w:color w:val="auto"/>
                <w:kern w:val="0"/>
                <w:szCs w:val="21"/>
                <w:highlight w:val="none"/>
              </w:rPr>
            </w:pPr>
          </w:p>
        </w:tc>
        <w:tc>
          <w:tcPr>
            <w:tcW w:w="884" w:type="dxa"/>
            <w:noWrap w:val="0"/>
            <w:vAlign w:val="center"/>
          </w:tcPr>
          <w:p w14:paraId="5008DEC3">
            <w:pPr>
              <w:jc w:val="center"/>
              <w:rPr>
                <w:rFonts w:hint="eastAsia" w:ascii="宋体" w:hAnsi="宋体" w:cs="宋体"/>
                <w:snapToGrid w:val="0"/>
                <w:color w:val="auto"/>
                <w:kern w:val="0"/>
                <w:szCs w:val="21"/>
                <w:highlight w:val="none"/>
              </w:rPr>
            </w:pPr>
          </w:p>
        </w:tc>
        <w:tc>
          <w:tcPr>
            <w:tcW w:w="1646" w:type="dxa"/>
            <w:noWrap w:val="0"/>
            <w:vAlign w:val="center"/>
          </w:tcPr>
          <w:p w14:paraId="75E1079F">
            <w:pPr>
              <w:jc w:val="center"/>
              <w:rPr>
                <w:rFonts w:hint="eastAsia" w:ascii="宋体" w:hAnsi="宋体" w:cs="宋体"/>
                <w:snapToGrid w:val="0"/>
                <w:color w:val="auto"/>
                <w:kern w:val="0"/>
                <w:szCs w:val="21"/>
                <w:highlight w:val="none"/>
              </w:rPr>
            </w:pPr>
          </w:p>
        </w:tc>
      </w:tr>
    </w:tbl>
    <w:p w14:paraId="581A5FDC">
      <w:pPr>
        <w:rPr>
          <w:rFonts w:hint="eastAsia" w:ascii="宋体" w:hAnsi="宋体" w:cs="宋体"/>
          <w:color w:val="auto"/>
          <w:highlight w:val="none"/>
        </w:rPr>
      </w:pPr>
      <w:r>
        <w:rPr>
          <w:rFonts w:hint="eastAsia" w:ascii="宋体" w:hAnsi="宋体" w:cs="宋体"/>
          <w:color w:val="auto"/>
          <w:highlight w:val="none"/>
        </w:rPr>
        <w:t xml:space="preserve"> 定标委员会全体成员签字：</w:t>
      </w:r>
    </w:p>
    <w:p w14:paraId="1CBC9B36">
      <w:pPr>
        <w:pStyle w:val="22"/>
        <w:snapToGrid w:val="0"/>
        <w:spacing w:before="0" w:beforeAutospacing="0" w:after="0" w:afterAutospacing="0" w:line="360" w:lineRule="auto"/>
        <w:ind w:firstLine="424" w:firstLineChars="202"/>
        <w:rPr>
          <w:rFonts w:hint="eastAsia" w:cs="宋体"/>
          <w:b/>
          <w:color w:val="auto"/>
          <w:sz w:val="21"/>
          <w:szCs w:val="21"/>
          <w:highlight w:val="none"/>
          <w:shd w:val="clear" w:color="auto" w:fill="FFFFFF"/>
        </w:rPr>
      </w:pPr>
    </w:p>
    <w:p w14:paraId="045A9379">
      <w:pPr>
        <w:pStyle w:val="22"/>
        <w:snapToGrid w:val="0"/>
        <w:spacing w:before="0" w:beforeAutospacing="0" w:after="0" w:afterAutospacing="0" w:line="360" w:lineRule="auto"/>
        <w:rPr>
          <w:rFonts w:hint="eastAsia" w:cs="宋体"/>
          <w:b/>
          <w:bCs/>
          <w:color w:val="auto"/>
          <w:highlight w:val="none"/>
        </w:rPr>
        <w:sectPr>
          <w:pgSz w:w="16838" w:h="11906" w:orient="landscape"/>
          <w:pgMar w:top="1440" w:right="1440" w:bottom="1466" w:left="1440" w:header="851" w:footer="992" w:gutter="0"/>
          <w:pgNumType w:fmt="decimal"/>
          <w:cols w:space="720" w:num="1"/>
          <w:docGrid w:type="linesAndChars" w:linePitch="312" w:charSpace="0"/>
        </w:sectPr>
      </w:pPr>
    </w:p>
    <w:p w14:paraId="20F2CF02">
      <w:pPr>
        <w:pStyle w:val="2"/>
        <w:widowControl/>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rPr>
        <w:t>附录</w:t>
      </w:r>
      <w:r>
        <w:rPr>
          <w:rFonts w:hint="eastAsia" w:ascii="宋体" w:hAnsi="宋体"/>
          <w:color w:val="auto"/>
          <w:sz w:val="21"/>
          <w:szCs w:val="21"/>
          <w:highlight w:val="none"/>
        </w:rPr>
        <w:t>17</w:t>
      </w:r>
      <w:bookmarkEnd w:id="49"/>
      <w:r>
        <w:rPr>
          <w:rFonts w:hint="eastAsia" w:ascii="宋体" w:hAnsi="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法定代表人证明书</w:t>
      </w:r>
    </w:p>
    <w:p w14:paraId="16C90D5A">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法定代表人证明书</w:t>
      </w:r>
    </w:p>
    <w:p w14:paraId="01DEEB9F">
      <w:pPr>
        <w:tabs>
          <w:tab w:val="left" w:pos="1800"/>
        </w:tabs>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p>
    <w:p w14:paraId="42D2978D">
      <w:pPr>
        <w:tabs>
          <w:tab w:val="left" w:pos="1800"/>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3D66806">
      <w:pPr>
        <w:tabs>
          <w:tab w:val="left" w:pos="1800"/>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8B5FFBA">
      <w:pPr>
        <w:tabs>
          <w:tab w:val="left" w:pos="1800"/>
        </w:tabs>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21CFA09F">
      <w:pPr>
        <w:tabs>
          <w:tab w:val="left" w:pos="1800"/>
        </w:tabs>
        <w:spacing w:line="360" w:lineRule="auto"/>
        <w:ind w:firstLine="480" w:firstLineChars="200"/>
        <w:rPr>
          <w:rFonts w:ascii="宋体" w:hAnsi="宋体" w:cs="宋体"/>
          <w:color w:val="auto"/>
          <w:sz w:val="24"/>
          <w:highlight w:val="none"/>
        </w:rPr>
      </w:pPr>
    </w:p>
    <w:p w14:paraId="78E7EA6E">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特此证明。        </w:t>
      </w:r>
    </w:p>
    <w:p w14:paraId="5EE845D1">
      <w:pPr>
        <w:tabs>
          <w:tab w:val="left" w:pos="1800"/>
        </w:tabs>
        <w:spacing w:line="360" w:lineRule="auto"/>
        <w:ind w:firstLine="420" w:firstLineChars="200"/>
        <w:rPr>
          <w:rFonts w:ascii="宋体" w:hAnsi="宋体" w:cs="宋体"/>
          <w:color w:val="auto"/>
          <w:highlight w:val="none"/>
        </w:rPr>
      </w:pPr>
    </w:p>
    <w:p w14:paraId="18425C4B">
      <w:pPr>
        <w:pStyle w:val="15"/>
        <w:spacing w:line="480" w:lineRule="auto"/>
        <w:rPr>
          <w:rFonts w:ascii="等线" w:hAnsi="等线" w:eastAsia="等线"/>
          <w:color w:val="auto"/>
          <w:sz w:val="24"/>
          <w:highlight w:val="none"/>
        </w:rPr>
      </w:pPr>
    </w:p>
    <w:p w14:paraId="32D066BC">
      <w:pPr>
        <w:tabs>
          <w:tab w:val="left" w:pos="1800"/>
        </w:tabs>
        <w:spacing w:line="480" w:lineRule="auto"/>
        <w:ind w:firstLine="480" w:firstLineChars="200"/>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投标人（盖章）：</w:t>
      </w:r>
      <w:r>
        <w:rPr>
          <w:rFonts w:hint="eastAsia" w:ascii="宋体" w:hAnsi="宋体" w:cs="宋体"/>
          <w:color w:val="auto"/>
          <w:sz w:val="24"/>
          <w:highlight w:val="none"/>
          <w:u w:val="single"/>
        </w:rPr>
        <w:t xml:space="preserve">                   </w:t>
      </w:r>
    </w:p>
    <w:p w14:paraId="292C6C6E">
      <w:pPr>
        <w:pStyle w:val="15"/>
        <w:tabs>
          <w:tab w:val="left" w:pos="540"/>
        </w:tabs>
        <w:spacing w:line="480" w:lineRule="auto"/>
        <w:ind w:firstLine="480" w:firstLineChars="200"/>
        <w:jc w:val="right"/>
        <w:rPr>
          <w:rFonts w:ascii="等线" w:hAnsi="等线" w:eastAsia="等线"/>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7416C3A">
      <w:pPr>
        <w:rPr>
          <w:rFonts w:ascii="等线" w:hAnsi="等线" w:eastAsia="等线"/>
          <w:color w:val="auto"/>
          <w:sz w:val="28"/>
          <w:szCs w:val="28"/>
          <w:highlight w:val="none"/>
        </w:rPr>
      </w:pPr>
    </w:p>
    <w:p w14:paraId="6C11CBBE">
      <w:pPr>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（注：</w:t>
      </w:r>
      <w:r>
        <w:rPr>
          <w:rFonts w:hint="eastAsia" w:ascii="宋体" w:hAnsi="宋体" w:eastAsia="宋体" w:cs="宋体"/>
          <w:b/>
          <w:color w:val="auto"/>
          <w:sz w:val="24"/>
          <w:szCs w:val="24"/>
          <w:highlight w:val="none"/>
          <w:u w:val="single"/>
          <w:lang w:val="en-US" w:eastAsia="zh-CN"/>
        </w:rPr>
        <w:t>1、</w:t>
      </w:r>
      <w:r>
        <w:rPr>
          <w:rFonts w:hint="eastAsia" w:ascii="宋体" w:hAnsi="宋体" w:eastAsia="宋体" w:cs="宋体"/>
          <w:b/>
          <w:bCs/>
          <w:color w:val="auto"/>
          <w:spacing w:val="12"/>
          <w:sz w:val="24"/>
          <w:szCs w:val="24"/>
          <w:highlight w:val="none"/>
          <w:u w:val="single"/>
          <w:lang w:val="en-US" w:eastAsia="zh-CN"/>
        </w:rPr>
        <w:t>需提供法定代表人身份证正反面扫描件；2、如联合体投标，法定代表人证明书及授权委托书由联合体牵头方出具即可，其中“投标人”一栏可只填写联合体牵头方名称</w:t>
      </w:r>
      <w:r>
        <w:rPr>
          <w:rFonts w:hint="eastAsia" w:ascii="宋体" w:hAnsi="宋体" w:eastAsia="宋体" w:cs="宋体"/>
          <w:b/>
          <w:color w:val="auto"/>
          <w:sz w:val="24"/>
          <w:szCs w:val="24"/>
          <w:highlight w:val="none"/>
          <w:u w:val="single"/>
        </w:rPr>
        <w:t>。）</w:t>
      </w:r>
    </w:p>
    <w:p w14:paraId="40DEB0A2">
      <w:pPr>
        <w:pStyle w:val="2"/>
        <w:widowControl/>
        <w:rPr>
          <w:rFonts w:hint="eastAsia" w:ascii="宋体" w:hAnsi="宋体" w:eastAsia="宋体"/>
          <w:color w:val="auto"/>
          <w:sz w:val="21"/>
          <w:szCs w:val="21"/>
          <w:highlight w:val="none"/>
          <w:lang w:eastAsia="zh-CN"/>
        </w:rPr>
      </w:pPr>
      <w:r>
        <w:rPr>
          <w:rFonts w:ascii="等线" w:hAnsi="等线" w:eastAsia="等线"/>
          <w:b/>
          <w:color w:val="auto"/>
          <w:sz w:val="36"/>
          <w:szCs w:val="36"/>
          <w:highlight w:val="none"/>
        </w:rPr>
        <w:br w:type="page"/>
      </w:r>
      <w:bookmarkStart w:id="50" w:name="_Toc24165"/>
      <w:r>
        <w:rPr>
          <w:rFonts w:hint="eastAsia" w:ascii="宋体" w:hAnsi="宋体" w:cs="宋体"/>
          <w:color w:val="auto"/>
          <w:sz w:val="21"/>
          <w:szCs w:val="21"/>
          <w:highlight w:val="none"/>
        </w:rPr>
        <w:t>附录</w:t>
      </w:r>
      <w:r>
        <w:rPr>
          <w:rFonts w:hint="eastAsia" w:ascii="宋体" w:hAnsi="宋体"/>
          <w:color w:val="auto"/>
          <w:sz w:val="21"/>
          <w:szCs w:val="21"/>
          <w:highlight w:val="none"/>
        </w:rPr>
        <w:t>18</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bookmarkEnd w:id="50"/>
      <w:r>
        <w:rPr>
          <w:rFonts w:hint="eastAsia" w:ascii="宋体" w:hAnsi="宋体" w:cs="宋体"/>
          <w:color w:val="auto"/>
          <w:sz w:val="21"/>
          <w:szCs w:val="21"/>
          <w:highlight w:val="none"/>
          <w:lang w:eastAsia="zh-CN"/>
        </w:rPr>
        <w:t>授权委托书</w:t>
      </w:r>
    </w:p>
    <w:p w14:paraId="5BA60EA4">
      <w:pPr>
        <w:pStyle w:val="22"/>
        <w:snapToGrid w:val="0"/>
        <w:spacing w:beforeAutospacing="0" w:afterAutospacing="0" w:line="360" w:lineRule="auto"/>
        <w:rPr>
          <w:color w:val="auto"/>
          <w:sz w:val="21"/>
          <w:szCs w:val="21"/>
          <w:highlight w:val="none"/>
        </w:rPr>
      </w:pPr>
    </w:p>
    <w:p w14:paraId="765EA454">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授权委托书</w:t>
      </w:r>
    </w:p>
    <w:p w14:paraId="1C1ECA2F">
      <w:pPr>
        <w:spacing w:line="480" w:lineRule="auto"/>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广州市天投城市更新有限公司</w:t>
      </w:r>
    </w:p>
    <w:p w14:paraId="511552C4">
      <w:pPr>
        <w:tabs>
          <w:tab w:val="left" w:pos="1800"/>
          <w:tab w:val="left" w:pos="4860"/>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本授权书宣告：</w:t>
      </w:r>
      <w:r>
        <w:rPr>
          <w:rFonts w:hint="eastAsia" w:ascii="宋体" w:hAnsi="宋体" w:cs="宋体"/>
          <w:color w:val="auto"/>
          <w:sz w:val="24"/>
          <w:highlight w:val="none"/>
          <w:u w:val="single"/>
        </w:rPr>
        <w:t xml:space="preserve">(投标申请人) (单位法人职务) (姓名) </w:t>
      </w:r>
      <w:r>
        <w:rPr>
          <w:rFonts w:hint="eastAsia" w:ascii="宋体" w:hAnsi="宋体" w:cs="宋体"/>
          <w:color w:val="auto"/>
          <w:sz w:val="24"/>
          <w:highlight w:val="none"/>
        </w:rPr>
        <w:t>合法地代表我单位，授权</w:t>
      </w:r>
      <w:r>
        <w:rPr>
          <w:rFonts w:hint="eastAsia" w:ascii="宋体" w:hAnsi="宋体" w:cs="宋体"/>
          <w:color w:val="auto"/>
          <w:sz w:val="24"/>
          <w:highlight w:val="none"/>
          <w:u w:val="single"/>
        </w:rPr>
        <w:t>(被授权人所在单位详细名称)</w:t>
      </w:r>
      <w:r>
        <w:rPr>
          <w:rFonts w:hint="eastAsia" w:ascii="宋体" w:hAnsi="宋体" w:cs="宋体"/>
          <w:color w:val="auto"/>
          <w:sz w:val="24"/>
          <w:highlight w:val="none"/>
        </w:rPr>
        <w:t xml:space="preserve"> 的 </w:t>
      </w:r>
      <w:r>
        <w:rPr>
          <w:rFonts w:hint="eastAsia" w:ascii="宋体" w:hAnsi="宋体" w:cs="宋体"/>
          <w:color w:val="auto"/>
          <w:sz w:val="24"/>
          <w:highlight w:val="none"/>
          <w:u w:val="single"/>
        </w:rPr>
        <w:t xml:space="preserve">(被授权人职务) (姓名) </w:t>
      </w:r>
      <w:r>
        <w:rPr>
          <w:rFonts w:hint="eastAsia" w:ascii="宋体" w:hAnsi="宋体" w:cs="宋体"/>
          <w:color w:val="auto"/>
          <w:sz w:val="24"/>
          <w:highlight w:val="none"/>
        </w:rPr>
        <w:t>为我单位代理人，该代理人有权在</w:t>
      </w:r>
      <w:r>
        <w:rPr>
          <w:rFonts w:hint="eastAsia" w:ascii="宋体" w:hAnsi="宋体" w:cs="宋体"/>
          <w:color w:val="auto"/>
          <w:sz w:val="24"/>
          <w:highlight w:val="none"/>
          <w:u w:val="single"/>
          <w:lang w:eastAsia="zh-CN"/>
        </w:rPr>
        <w:t>天河区柯木塱村城中村改造项目-首开区凤凰汇西侧地块复建安置房及配套设施工程勘察及初步设计服务</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宋体"/>
          <w:color w:val="auto"/>
          <w:sz w:val="24"/>
          <w:highlight w:val="none"/>
        </w:rPr>
        <w:t>的投标活动中，以我单位的名义签署投标书和投标文件，与招标人(或业主)协商，签订合同书以及执行一切与此有关的事项。</w:t>
      </w:r>
    </w:p>
    <w:p w14:paraId="0738007A">
      <w:pPr>
        <w:rPr>
          <w:rFonts w:ascii="宋体" w:hAnsi="宋体" w:cs="宋体"/>
          <w:color w:val="auto"/>
          <w:sz w:val="24"/>
          <w:highlight w:val="none"/>
        </w:rPr>
      </w:pPr>
    </w:p>
    <w:p w14:paraId="1E4D6B8B">
      <w:pPr>
        <w:rPr>
          <w:rFonts w:ascii="宋体" w:hAnsi="宋体" w:cs="宋体"/>
          <w:color w:val="auto"/>
          <w:sz w:val="24"/>
          <w:highlight w:val="none"/>
        </w:rPr>
      </w:pPr>
    </w:p>
    <w:p w14:paraId="520BC88E">
      <w:pPr>
        <w:rPr>
          <w:rFonts w:ascii="宋体" w:hAnsi="宋体" w:cs="宋体"/>
          <w:color w:val="auto"/>
          <w:sz w:val="24"/>
          <w:highlight w:val="none"/>
        </w:rPr>
      </w:pPr>
    </w:p>
    <w:tbl>
      <w:tblPr>
        <w:tblStyle w:val="26"/>
        <w:tblW w:w="0" w:type="auto"/>
        <w:tblInd w:w="2788" w:type="dxa"/>
        <w:tblLayout w:type="fixed"/>
        <w:tblCellMar>
          <w:top w:w="0" w:type="dxa"/>
          <w:left w:w="108" w:type="dxa"/>
          <w:bottom w:w="0" w:type="dxa"/>
          <w:right w:w="108" w:type="dxa"/>
        </w:tblCellMar>
      </w:tblPr>
      <w:tblGrid>
        <w:gridCol w:w="2360"/>
        <w:gridCol w:w="3952"/>
      </w:tblGrid>
      <w:tr w14:paraId="66F72201">
        <w:tblPrEx>
          <w:tblCellMar>
            <w:top w:w="0" w:type="dxa"/>
            <w:left w:w="108" w:type="dxa"/>
            <w:bottom w:w="0" w:type="dxa"/>
            <w:right w:w="108" w:type="dxa"/>
          </w:tblCellMar>
        </w:tblPrEx>
        <w:trPr>
          <w:trHeight w:val="923" w:hRule="atLeast"/>
        </w:trPr>
        <w:tc>
          <w:tcPr>
            <w:tcW w:w="2360" w:type="dxa"/>
            <w:noWrap w:val="0"/>
            <w:vAlign w:val="bottom"/>
          </w:tcPr>
          <w:p w14:paraId="30089F6E">
            <w:pPr>
              <w:spacing w:line="0" w:lineRule="atLeast"/>
              <w:rPr>
                <w:rFonts w:ascii="宋体" w:hAnsi="宋体" w:cs="宋体"/>
                <w:color w:val="auto"/>
                <w:sz w:val="24"/>
                <w:highlight w:val="none"/>
              </w:rPr>
            </w:pPr>
            <w:r>
              <w:rPr>
                <w:rFonts w:hint="eastAsia" w:ascii="宋体" w:hAnsi="宋体" w:cs="宋体"/>
                <w:color w:val="auto"/>
                <w:sz w:val="24"/>
                <w:highlight w:val="none"/>
              </w:rPr>
              <w:t>投    标    人：</w:t>
            </w:r>
          </w:p>
        </w:tc>
        <w:tc>
          <w:tcPr>
            <w:tcW w:w="3952" w:type="dxa"/>
            <w:noWrap w:val="0"/>
            <w:vAlign w:val="bottom"/>
          </w:tcPr>
          <w:p w14:paraId="61FE4531">
            <w:pPr>
              <w:spacing w:line="0" w:lineRule="atLeast"/>
              <w:rPr>
                <w:rFonts w:ascii="宋体" w:hAnsi="宋体" w:cs="宋体"/>
                <w:color w:val="auto"/>
                <w:sz w:val="24"/>
                <w:highlight w:val="none"/>
                <w:u w:val="single"/>
              </w:rPr>
            </w:pPr>
            <w:r>
              <w:rPr>
                <w:rFonts w:hint="eastAsia" w:ascii="宋体" w:hAnsi="宋体" w:cs="宋体"/>
                <w:color w:val="auto"/>
                <w:sz w:val="24"/>
                <w:highlight w:val="none"/>
                <w:u w:val="single"/>
              </w:rPr>
              <w:t xml:space="preserve">        (全称)  (盖章)     </w:t>
            </w:r>
          </w:p>
        </w:tc>
      </w:tr>
      <w:tr w14:paraId="116E7D74">
        <w:tblPrEx>
          <w:tblCellMar>
            <w:top w:w="0" w:type="dxa"/>
            <w:left w:w="108" w:type="dxa"/>
            <w:bottom w:w="0" w:type="dxa"/>
            <w:right w:w="108" w:type="dxa"/>
          </w:tblCellMar>
        </w:tblPrEx>
        <w:trPr>
          <w:trHeight w:val="828" w:hRule="atLeast"/>
        </w:trPr>
        <w:tc>
          <w:tcPr>
            <w:tcW w:w="2360" w:type="dxa"/>
            <w:noWrap w:val="0"/>
            <w:vAlign w:val="bottom"/>
          </w:tcPr>
          <w:p w14:paraId="32179563">
            <w:pPr>
              <w:spacing w:line="0" w:lineRule="atLeast"/>
              <w:rPr>
                <w:rFonts w:ascii="宋体" w:hAnsi="宋体" w:cs="宋体"/>
                <w:color w:val="auto"/>
                <w:sz w:val="24"/>
                <w:highlight w:val="none"/>
              </w:rPr>
            </w:pPr>
            <w:r>
              <w:rPr>
                <w:rFonts w:hint="eastAsia" w:ascii="宋体" w:hAnsi="宋体" w:cs="宋体"/>
                <w:color w:val="auto"/>
                <w:sz w:val="24"/>
                <w:highlight w:val="none"/>
              </w:rPr>
              <w:t>法 定 代 表 人：</w:t>
            </w:r>
          </w:p>
        </w:tc>
        <w:tc>
          <w:tcPr>
            <w:tcW w:w="3952" w:type="dxa"/>
            <w:noWrap w:val="0"/>
            <w:vAlign w:val="bottom"/>
          </w:tcPr>
          <w:p w14:paraId="176D9896">
            <w:pPr>
              <w:spacing w:line="0" w:lineRule="atLeast"/>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hAnsi="宋体"/>
                <w:color w:val="auto"/>
                <w:sz w:val="24"/>
                <w:highlight w:val="none"/>
                <w:u w:val="single"/>
              </w:rPr>
              <w:t>签字或盖章</w:t>
            </w:r>
            <w:r>
              <w:rPr>
                <w:rFonts w:hint="eastAsia" w:ascii="宋体" w:hAnsi="宋体" w:cs="宋体"/>
                <w:color w:val="auto"/>
                <w:sz w:val="24"/>
                <w:highlight w:val="none"/>
                <w:u w:val="single"/>
              </w:rPr>
              <w:t xml:space="preserve">)        </w:t>
            </w:r>
          </w:p>
        </w:tc>
      </w:tr>
      <w:tr w14:paraId="08238E88">
        <w:tblPrEx>
          <w:tblCellMar>
            <w:top w:w="0" w:type="dxa"/>
            <w:left w:w="108" w:type="dxa"/>
            <w:bottom w:w="0" w:type="dxa"/>
            <w:right w:w="108" w:type="dxa"/>
          </w:tblCellMar>
        </w:tblPrEx>
        <w:trPr>
          <w:trHeight w:val="980" w:hRule="atLeast"/>
        </w:trPr>
        <w:tc>
          <w:tcPr>
            <w:tcW w:w="2360" w:type="dxa"/>
            <w:noWrap w:val="0"/>
            <w:vAlign w:val="bottom"/>
          </w:tcPr>
          <w:p w14:paraId="11342F47">
            <w:pPr>
              <w:spacing w:line="0" w:lineRule="atLeast"/>
              <w:rPr>
                <w:rFonts w:ascii="宋体" w:hAnsi="宋体" w:cs="宋体"/>
                <w:color w:val="auto"/>
                <w:sz w:val="24"/>
                <w:highlight w:val="none"/>
              </w:rPr>
            </w:pPr>
            <w:r>
              <w:rPr>
                <w:rFonts w:hint="eastAsia" w:ascii="宋体" w:hAnsi="宋体" w:cs="宋体"/>
                <w:color w:val="auto"/>
                <w:sz w:val="24"/>
                <w:highlight w:val="none"/>
              </w:rPr>
              <w:t>被授权的代理人：</w:t>
            </w:r>
          </w:p>
        </w:tc>
        <w:tc>
          <w:tcPr>
            <w:tcW w:w="3952" w:type="dxa"/>
            <w:noWrap w:val="0"/>
            <w:vAlign w:val="bottom"/>
          </w:tcPr>
          <w:p w14:paraId="79283E3B">
            <w:pPr>
              <w:spacing w:line="0" w:lineRule="atLeast"/>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hAnsi="宋体"/>
                <w:color w:val="auto"/>
                <w:sz w:val="24"/>
                <w:highlight w:val="none"/>
                <w:u w:val="single"/>
              </w:rPr>
              <w:t>签字或盖章</w:t>
            </w:r>
            <w:r>
              <w:rPr>
                <w:rFonts w:hint="eastAsia" w:ascii="宋体" w:hAnsi="宋体" w:cs="宋体"/>
                <w:color w:val="auto"/>
                <w:sz w:val="24"/>
                <w:highlight w:val="none"/>
                <w:u w:val="single"/>
              </w:rPr>
              <w:t xml:space="preserve">)        </w:t>
            </w:r>
          </w:p>
        </w:tc>
      </w:tr>
      <w:tr w14:paraId="3638406E">
        <w:tblPrEx>
          <w:tblCellMar>
            <w:top w:w="0" w:type="dxa"/>
            <w:left w:w="108" w:type="dxa"/>
            <w:bottom w:w="0" w:type="dxa"/>
            <w:right w:w="108" w:type="dxa"/>
          </w:tblCellMar>
        </w:tblPrEx>
        <w:trPr>
          <w:trHeight w:val="801" w:hRule="atLeast"/>
        </w:trPr>
        <w:tc>
          <w:tcPr>
            <w:tcW w:w="2360" w:type="dxa"/>
            <w:noWrap w:val="0"/>
            <w:vAlign w:val="bottom"/>
          </w:tcPr>
          <w:p w14:paraId="34943F53">
            <w:pPr>
              <w:spacing w:line="0" w:lineRule="atLeast"/>
              <w:rPr>
                <w:rFonts w:ascii="宋体" w:hAnsi="宋体" w:cs="宋体"/>
                <w:color w:val="auto"/>
                <w:sz w:val="24"/>
                <w:highlight w:val="none"/>
              </w:rPr>
            </w:pPr>
            <w:r>
              <w:rPr>
                <w:rFonts w:hint="eastAsia" w:ascii="宋体" w:hAnsi="宋体" w:cs="宋体"/>
                <w:color w:val="auto"/>
                <w:sz w:val="24"/>
                <w:highlight w:val="none"/>
              </w:rPr>
              <w:t>日          期：</w:t>
            </w:r>
          </w:p>
        </w:tc>
        <w:tc>
          <w:tcPr>
            <w:tcW w:w="3952" w:type="dxa"/>
            <w:noWrap w:val="0"/>
            <w:vAlign w:val="bottom"/>
          </w:tcPr>
          <w:p w14:paraId="66F150A6">
            <w:pPr>
              <w:spacing w:line="0" w:lineRule="atLeas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r>
    </w:tbl>
    <w:p w14:paraId="7A40AF8E">
      <w:pPr>
        <w:spacing w:line="360" w:lineRule="auto"/>
        <w:rPr>
          <w:rFonts w:ascii="等线" w:hAnsi="等线" w:eastAsia="等线"/>
          <w:color w:val="auto"/>
          <w:spacing w:val="12"/>
          <w:highlight w:val="none"/>
          <w:u w:val="single"/>
        </w:rPr>
      </w:pPr>
    </w:p>
    <w:p w14:paraId="48F1A7F0">
      <w:pPr>
        <w:spacing w:line="360" w:lineRule="auto"/>
        <w:jc w:val="both"/>
        <w:rPr>
          <w:rFonts w:hint="eastAsia" w:ascii="宋体" w:hAnsi="宋体" w:eastAsia="宋体" w:cs="宋体"/>
          <w:b/>
          <w:bCs/>
          <w:color w:val="auto"/>
          <w:spacing w:val="12"/>
          <w:sz w:val="24"/>
          <w:szCs w:val="24"/>
          <w:highlight w:val="none"/>
          <w:u w:val="single"/>
          <w:lang w:val="en-US" w:eastAsia="zh-CN"/>
        </w:rPr>
      </w:pPr>
      <w:r>
        <w:rPr>
          <w:rFonts w:hint="eastAsia" w:ascii="宋体" w:hAnsi="宋体" w:eastAsia="宋体" w:cs="宋体"/>
          <w:b/>
          <w:bCs/>
          <w:color w:val="auto"/>
          <w:spacing w:val="12"/>
          <w:sz w:val="24"/>
          <w:szCs w:val="24"/>
          <w:highlight w:val="none"/>
          <w:u w:val="single"/>
          <w:lang w:val="en-US" w:eastAsia="zh-CN"/>
        </w:rPr>
        <w:t>（注：1、需提供授权的代理人身份证正反面扫描件；2、投标文件如由授权代理人签署，则应按本授权书格式提供授权委托书；投标文件如全部由法定代表人签署，则无须提供授权委托书。3、如联合体投标，法定代表人证明书及授权委托书由联合体牵头方出具即可，其中“投标人”一栏可只填写联合体牵头方名称。）</w:t>
      </w:r>
    </w:p>
    <w:p w14:paraId="5A384861">
      <w:pPr>
        <w:pStyle w:val="2"/>
        <w:spacing w:before="0" w:after="0" w:line="240" w:lineRule="auto"/>
        <w:rPr>
          <w:rFonts w:ascii="宋体" w:hAnsi="宋体"/>
          <w:color w:val="auto"/>
          <w:sz w:val="21"/>
          <w:szCs w:val="21"/>
          <w:highlight w:val="none"/>
        </w:rPr>
      </w:pPr>
      <w:r>
        <w:rPr>
          <w:rFonts w:hint="eastAsia" w:ascii="宋体" w:hAnsi="宋体" w:cs="宋体"/>
          <w:color w:val="auto"/>
          <w:sz w:val="24"/>
          <w:szCs w:val="24"/>
          <w:highlight w:val="none"/>
        </w:rPr>
        <w:br w:type="page"/>
      </w:r>
      <w:bookmarkStart w:id="51" w:name="_Toc6269"/>
      <w:r>
        <w:rPr>
          <w:rFonts w:hint="eastAsia" w:ascii="宋体" w:hAnsi="宋体"/>
          <w:color w:val="auto"/>
          <w:sz w:val="24"/>
          <w:szCs w:val="24"/>
          <w:highlight w:val="none"/>
        </w:rPr>
        <w:t xml:space="preserve">附录19 </w:t>
      </w:r>
      <w:r>
        <w:rPr>
          <w:rFonts w:hint="eastAsia" w:ascii="宋体" w:hAnsi="宋体" w:eastAsia="宋体" w:cs="Times New Roman"/>
          <w:strike w:val="0"/>
          <w:dstrike w:val="0"/>
          <w:color w:val="auto"/>
          <w:sz w:val="24"/>
          <w:szCs w:val="24"/>
          <w:highlight w:val="none"/>
          <w:lang w:eastAsia="zh-CN"/>
        </w:rPr>
        <w:t>天河区柯木塱村城中村改造项目-首开区凤凰汇西侧地块复建安置房及配套设施工程勘察及初步</w:t>
      </w:r>
      <w:r>
        <w:rPr>
          <w:rFonts w:hint="eastAsia" w:ascii="宋体" w:hAnsi="宋体"/>
          <w:strike w:val="0"/>
          <w:dstrike w:val="0"/>
          <w:color w:val="auto"/>
          <w:sz w:val="24"/>
          <w:szCs w:val="24"/>
          <w:highlight w:val="none"/>
        </w:rPr>
        <w:t>设计任务书</w:t>
      </w:r>
      <w:bookmarkEnd w:id="51"/>
    </w:p>
    <w:p w14:paraId="420FD709">
      <w:pPr>
        <w:pStyle w:val="22"/>
        <w:snapToGrid w:val="0"/>
        <w:spacing w:before="0" w:beforeAutospacing="0" w:after="0" w:afterAutospacing="0" w:line="360" w:lineRule="auto"/>
        <w:ind w:firstLine="0" w:firstLineChars="0"/>
        <w:jc w:val="center"/>
        <w:rPr>
          <w:rFonts w:hint="eastAsia"/>
          <w:b/>
          <w:color w:val="auto"/>
          <w:sz w:val="21"/>
          <w:szCs w:val="21"/>
          <w:highlight w:val="none"/>
          <w:shd w:val="clear" w:color="auto" w:fill="FFFFFF"/>
          <w:lang w:val="en-US" w:eastAsia="zh-CN"/>
        </w:rPr>
      </w:pPr>
    </w:p>
    <w:p w14:paraId="1073577A">
      <w:pPr>
        <w:pStyle w:val="22"/>
        <w:snapToGrid w:val="0"/>
        <w:spacing w:before="0" w:beforeAutospacing="0" w:after="0" w:afterAutospacing="0" w:line="360" w:lineRule="auto"/>
        <w:ind w:firstLine="0" w:firstLineChars="0"/>
        <w:jc w:val="center"/>
        <w:rPr>
          <w:rFonts w:hint="default" w:eastAsia="宋体"/>
          <w:b/>
          <w:color w:val="auto"/>
          <w:sz w:val="21"/>
          <w:szCs w:val="21"/>
          <w:highlight w:val="none"/>
          <w:shd w:val="clear" w:color="auto" w:fill="FFFFFF"/>
          <w:lang w:val="en-US" w:eastAsia="zh-CN"/>
        </w:rPr>
      </w:pPr>
      <w:r>
        <w:rPr>
          <w:rFonts w:hint="eastAsia"/>
          <w:b/>
          <w:color w:val="auto"/>
          <w:sz w:val="21"/>
          <w:szCs w:val="21"/>
          <w:highlight w:val="none"/>
          <w:shd w:val="clear" w:color="auto" w:fill="FFFFFF"/>
          <w:lang w:val="en-US" w:eastAsia="zh-CN"/>
        </w:rPr>
        <w:t>（另册）</w:t>
      </w:r>
    </w:p>
    <w:p w14:paraId="781F5483">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17E788E9">
      <w:pPr>
        <w:pStyle w:val="22"/>
        <w:snapToGrid w:val="0"/>
        <w:spacing w:before="0" w:beforeAutospacing="0" w:after="0" w:afterAutospacing="0" w:line="360" w:lineRule="auto"/>
        <w:ind w:firstLine="424" w:firstLineChars="202"/>
        <w:rPr>
          <w:b/>
          <w:color w:val="auto"/>
          <w:sz w:val="21"/>
          <w:szCs w:val="21"/>
          <w:highlight w:val="none"/>
          <w:shd w:val="clear" w:color="auto" w:fill="FFFFFF"/>
        </w:rPr>
      </w:pPr>
    </w:p>
    <w:p w14:paraId="1BC3B8F6">
      <w:pPr>
        <w:rPr>
          <w:rFonts w:ascii="宋体" w:hAnsi="宋体"/>
          <w:b/>
          <w:bCs/>
          <w:color w:val="auto"/>
          <w:highlight w:val="none"/>
        </w:rPr>
      </w:pPr>
    </w:p>
    <w:p w14:paraId="6822EC11">
      <w:pPr>
        <w:rPr>
          <w:rFonts w:ascii="宋体" w:hAnsi="宋体"/>
          <w:b/>
          <w:bCs/>
          <w:color w:val="auto"/>
          <w:highlight w:val="none"/>
        </w:rPr>
      </w:pPr>
    </w:p>
    <w:p w14:paraId="071C9016">
      <w:pPr>
        <w:rPr>
          <w:rFonts w:ascii="宋体" w:hAnsi="宋体"/>
          <w:b/>
          <w:bCs/>
          <w:color w:val="auto"/>
          <w:highlight w:val="none"/>
        </w:rPr>
      </w:pPr>
    </w:p>
    <w:p w14:paraId="338D5110">
      <w:pPr>
        <w:rPr>
          <w:rFonts w:ascii="宋体" w:hAnsi="宋体"/>
          <w:b/>
          <w:bCs/>
          <w:color w:val="auto"/>
          <w:highlight w:val="none"/>
        </w:rPr>
      </w:pPr>
    </w:p>
    <w:p w14:paraId="3FC8929D">
      <w:pPr>
        <w:rPr>
          <w:rFonts w:ascii="宋体" w:hAnsi="宋体"/>
          <w:b/>
          <w:bCs/>
          <w:color w:val="auto"/>
          <w:highlight w:val="none"/>
        </w:rPr>
      </w:pPr>
    </w:p>
    <w:p w14:paraId="286C8D53">
      <w:pPr>
        <w:rPr>
          <w:rFonts w:ascii="宋体" w:hAnsi="宋体"/>
          <w:b/>
          <w:bCs/>
          <w:color w:val="auto"/>
          <w:highlight w:val="none"/>
        </w:rPr>
      </w:pPr>
    </w:p>
    <w:p w14:paraId="0C3590F2">
      <w:pPr>
        <w:rPr>
          <w:rFonts w:ascii="宋体" w:hAnsi="宋体"/>
          <w:b/>
          <w:bCs/>
          <w:color w:val="auto"/>
          <w:highlight w:val="none"/>
        </w:rPr>
      </w:pPr>
    </w:p>
    <w:p w14:paraId="33304489">
      <w:pPr>
        <w:rPr>
          <w:rFonts w:ascii="宋体" w:hAnsi="宋体"/>
          <w:b/>
          <w:bCs/>
          <w:color w:val="auto"/>
          <w:highlight w:val="none"/>
        </w:rPr>
      </w:pPr>
    </w:p>
    <w:p w14:paraId="4ABCE096">
      <w:pPr>
        <w:rPr>
          <w:rFonts w:ascii="宋体" w:hAnsi="宋体"/>
          <w:b/>
          <w:bCs/>
          <w:color w:val="auto"/>
          <w:highlight w:val="none"/>
        </w:rPr>
      </w:pPr>
    </w:p>
    <w:p w14:paraId="607F7874">
      <w:pPr>
        <w:rPr>
          <w:rFonts w:ascii="宋体" w:hAnsi="宋体"/>
          <w:b/>
          <w:bCs/>
          <w:color w:val="auto"/>
          <w:highlight w:val="none"/>
        </w:rPr>
      </w:pPr>
    </w:p>
    <w:p w14:paraId="346EE80F">
      <w:pPr>
        <w:rPr>
          <w:rFonts w:ascii="宋体" w:hAnsi="宋体"/>
          <w:b/>
          <w:bCs/>
          <w:color w:val="auto"/>
          <w:highlight w:val="none"/>
        </w:rPr>
      </w:pPr>
    </w:p>
    <w:p w14:paraId="7628A7D6">
      <w:pPr>
        <w:rPr>
          <w:rFonts w:ascii="宋体" w:hAnsi="宋体"/>
          <w:b/>
          <w:bCs/>
          <w:color w:val="auto"/>
          <w:highlight w:val="none"/>
        </w:rPr>
      </w:pPr>
    </w:p>
    <w:p w14:paraId="07B7AFCF">
      <w:pPr>
        <w:rPr>
          <w:rFonts w:ascii="宋体" w:hAnsi="宋体"/>
          <w:b/>
          <w:bCs/>
          <w:color w:val="auto"/>
          <w:highlight w:val="none"/>
        </w:rPr>
      </w:pPr>
    </w:p>
    <w:p w14:paraId="3587DCCC">
      <w:pPr>
        <w:rPr>
          <w:rFonts w:ascii="宋体" w:hAnsi="宋体"/>
          <w:b/>
          <w:bCs/>
          <w:color w:val="auto"/>
          <w:highlight w:val="none"/>
        </w:rPr>
      </w:pPr>
    </w:p>
    <w:p w14:paraId="25C4776C">
      <w:pPr>
        <w:rPr>
          <w:rFonts w:ascii="宋体" w:hAnsi="宋体"/>
          <w:b/>
          <w:bCs/>
          <w:color w:val="auto"/>
          <w:highlight w:val="none"/>
        </w:rPr>
      </w:pPr>
    </w:p>
    <w:p w14:paraId="7FFB484E">
      <w:pPr>
        <w:rPr>
          <w:rFonts w:ascii="宋体" w:hAnsi="宋体"/>
          <w:b/>
          <w:bCs/>
          <w:color w:val="auto"/>
          <w:highlight w:val="none"/>
        </w:rPr>
      </w:pPr>
    </w:p>
    <w:p w14:paraId="5AA2AC26">
      <w:pPr>
        <w:rPr>
          <w:rFonts w:ascii="宋体" w:hAnsi="宋体"/>
          <w:b/>
          <w:bCs/>
          <w:color w:val="auto"/>
          <w:highlight w:val="none"/>
        </w:rPr>
      </w:pPr>
    </w:p>
    <w:p w14:paraId="4355DCC2">
      <w:pPr>
        <w:rPr>
          <w:rFonts w:ascii="宋体" w:hAnsi="宋体"/>
          <w:b/>
          <w:bCs/>
          <w:color w:val="auto"/>
          <w:highlight w:val="none"/>
        </w:rPr>
      </w:pPr>
    </w:p>
    <w:p w14:paraId="5A9B6893">
      <w:pPr>
        <w:rPr>
          <w:rFonts w:ascii="宋体" w:hAnsi="宋体"/>
          <w:b/>
          <w:bCs/>
          <w:color w:val="auto"/>
          <w:highlight w:val="none"/>
        </w:rPr>
      </w:pPr>
    </w:p>
    <w:p w14:paraId="3DDF1CE2">
      <w:pPr>
        <w:rPr>
          <w:rFonts w:ascii="宋体" w:hAnsi="宋体"/>
          <w:b/>
          <w:bCs/>
          <w:color w:val="auto"/>
          <w:highlight w:val="none"/>
        </w:rPr>
      </w:pPr>
    </w:p>
    <w:p w14:paraId="7FF00375">
      <w:pPr>
        <w:rPr>
          <w:rFonts w:ascii="宋体" w:hAnsi="宋体"/>
          <w:b/>
          <w:bCs/>
          <w:color w:val="auto"/>
          <w:highlight w:val="none"/>
        </w:rPr>
      </w:pPr>
    </w:p>
    <w:p w14:paraId="480C14F3">
      <w:pPr>
        <w:rPr>
          <w:rFonts w:ascii="宋体" w:hAnsi="宋体"/>
          <w:b/>
          <w:bCs/>
          <w:color w:val="auto"/>
          <w:highlight w:val="none"/>
        </w:rPr>
      </w:pPr>
    </w:p>
    <w:p w14:paraId="704E1354">
      <w:pPr>
        <w:rPr>
          <w:rFonts w:ascii="宋体" w:hAnsi="宋体"/>
          <w:b/>
          <w:bCs/>
          <w:color w:val="auto"/>
          <w:highlight w:val="none"/>
        </w:rPr>
      </w:pPr>
    </w:p>
    <w:p w14:paraId="45624DE9">
      <w:pPr>
        <w:rPr>
          <w:rFonts w:ascii="宋体" w:hAnsi="宋体"/>
          <w:b/>
          <w:bCs/>
          <w:color w:val="auto"/>
          <w:highlight w:val="none"/>
        </w:rPr>
      </w:pPr>
    </w:p>
    <w:p w14:paraId="758A01FA">
      <w:pPr>
        <w:rPr>
          <w:rFonts w:ascii="宋体" w:hAnsi="宋体"/>
          <w:b/>
          <w:bCs/>
          <w:color w:val="auto"/>
          <w:highlight w:val="none"/>
        </w:rPr>
      </w:pPr>
    </w:p>
    <w:p w14:paraId="2F4ADB49">
      <w:pPr>
        <w:rPr>
          <w:rFonts w:ascii="宋体" w:hAnsi="宋体"/>
          <w:b/>
          <w:bCs/>
          <w:color w:val="auto"/>
          <w:highlight w:val="none"/>
        </w:rPr>
      </w:pPr>
    </w:p>
    <w:p w14:paraId="70345D6E">
      <w:pPr>
        <w:rPr>
          <w:rFonts w:ascii="宋体" w:hAnsi="宋体"/>
          <w:b/>
          <w:bCs/>
          <w:color w:val="auto"/>
          <w:highlight w:val="none"/>
        </w:rPr>
      </w:pPr>
    </w:p>
    <w:p w14:paraId="39D27925">
      <w:pPr>
        <w:rPr>
          <w:rFonts w:ascii="宋体" w:hAnsi="宋体"/>
          <w:b/>
          <w:bCs/>
          <w:color w:val="auto"/>
          <w:highlight w:val="none"/>
        </w:rPr>
      </w:pPr>
    </w:p>
    <w:p w14:paraId="715655C5">
      <w:pPr>
        <w:rPr>
          <w:rFonts w:ascii="宋体" w:hAnsi="宋体"/>
          <w:b/>
          <w:bCs/>
          <w:color w:val="auto"/>
          <w:highlight w:val="none"/>
        </w:rPr>
      </w:pPr>
    </w:p>
    <w:p w14:paraId="482E5637">
      <w:pPr>
        <w:rPr>
          <w:rFonts w:ascii="宋体" w:hAnsi="宋体"/>
          <w:b/>
          <w:bCs/>
          <w:color w:val="auto"/>
          <w:highlight w:val="none"/>
        </w:rPr>
      </w:pPr>
    </w:p>
    <w:p w14:paraId="2F5CB27D">
      <w:pPr>
        <w:rPr>
          <w:rFonts w:ascii="宋体" w:hAnsi="宋体"/>
          <w:b/>
          <w:bCs/>
          <w:color w:val="auto"/>
          <w:highlight w:val="none"/>
        </w:rPr>
      </w:pPr>
    </w:p>
    <w:p w14:paraId="5DE39271">
      <w:pPr>
        <w:rPr>
          <w:rFonts w:ascii="宋体" w:hAnsi="宋体"/>
          <w:b/>
          <w:bCs/>
          <w:color w:val="auto"/>
          <w:highlight w:val="none"/>
        </w:rPr>
      </w:pPr>
    </w:p>
    <w:p w14:paraId="2A122BB8">
      <w:pPr>
        <w:pStyle w:val="2"/>
        <w:spacing w:before="0" w:after="0" w:line="240" w:lineRule="auto"/>
        <w:rPr>
          <w:rFonts w:hint="eastAsia" w:ascii="宋体" w:hAnsi="宋体"/>
          <w:b/>
          <w:bCs/>
          <w:color w:val="auto"/>
          <w:sz w:val="24"/>
          <w:szCs w:val="24"/>
          <w:highlight w:val="none"/>
        </w:rPr>
      </w:pPr>
    </w:p>
    <w:p w14:paraId="6C8ADB8F">
      <w:pPr>
        <w:rPr>
          <w:rFonts w:hint="eastAsia" w:ascii="宋体" w:hAnsi="宋体"/>
          <w:b/>
          <w:bCs/>
          <w:color w:val="auto"/>
          <w:sz w:val="24"/>
          <w:szCs w:val="24"/>
          <w:highlight w:val="none"/>
        </w:rPr>
      </w:pPr>
    </w:p>
    <w:p w14:paraId="121B906E">
      <w:pPr>
        <w:rPr>
          <w:rFonts w:hint="eastAsia" w:ascii="宋体" w:hAnsi="宋体"/>
          <w:b/>
          <w:bCs/>
          <w:color w:val="auto"/>
          <w:sz w:val="24"/>
          <w:szCs w:val="24"/>
          <w:highlight w:val="none"/>
        </w:rPr>
      </w:pPr>
    </w:p>
    <w:p w14:paraId="0B513D98">
      <w:pPr>
        <w:rPr>
          <w:rFonts w:hint="eastAsia" w:ascii="宋体" w:hAnsi="宋体"/>
          <w:b/>
          <w:bCs/>
          <w:color w:val="auto"/>
          <w:sz w:val="24"/>
          <w:szCs w:val="24"/>
          <w:highlight w:val="none"/>
        </w:rPr>
      </w:pPr>
    </w:p>
    <w:p w14:paraId="4638EF5E">
      <w:pPr>
        <w:rPr>
          <w:rFonts w:hint="eastAsia" w:ascii="宋体" w:hAnsi="宋体"/>
          <w:b/>
          <w:bCs/>
          <w:color w:val="auto"/>
          <w:sz w:val="24"/>
          <w:szCs w:val="24"/>
          <w:highlight w:val="none"/>
        </w:rPr>
      </w:pPr>
    </w:p>
    <w:p w14:paraId="5F830280">
      <w:pPr>
        <w:pStyle w:val="2"/>
        <w:spacing w:before="0" w:after="0" w:line="240" w:lineRule="auto"/>
        <w:rPr>
          <w:rFonts w:hint="eastAsia" w:ascii="宋体" w:hAnsi="宋体"/>
          <w:b/>
          <w:bCs/>
          <w:color w:val="auto"/>
          <w:sz w:val="24"/>
          <w:highlight w:val="none"/>
        </w:rPr>
      </w:pPr>
      <w:r>
        <w:rPr>
          <w:rFonts w:hint="eastAsia" w:ascii="宋体" w:hAnsi="宋体"/>
          <w:b/>
          <w:bCs/>
          <w:color w:val="auto"/>
          <w:sz w:val="24"/>
          <w:szCs w:val="24"/>
          <w:highlight w:val="none"/>
        </w:rPr>
        <w:t>附</w:t>
      </w:r>
      <w:r>
        <w:rPr>
          <w:rFonts w:hint="eastAsia" w:ascii="宋体" w:hAnsi="宋体"/>
          <w:color w:val="auto"/>
          <w:sz w:val="24"/>
          <w:szCs w:val="24"/>
          <w:highlight w:val="none"/>
        </w:rPr>
        <w:t>录20</w:t>
      </w:r>
      <w:r>
        <w:rPr>
          <w:rFonts w:hint="eastAsia" w:ascii="宋体" w:hAnsi="宋体"/>
          <w:color w:val="auto"/>
          <w:sz w:val="24"/>
          <w:highlight w:val="none"/>
        </w:rPr>
        <w:t>评标委员会成员声明</w:t>
      </w:r>
    </w:p>
    <w:p w14:paraId="7F9460D3">
      <w:pPr>
        <w:spacing w:line="440" w:lineRule="exact"/>
        <w:jc w:val="center"/>
        <w:rPr>
          <w:rFonts w:hint="eastAsia" w:ascii="宋体" w:hAnsi="宋体"/>
          <w:b/>
          <w:bCs/>
          <w:color w:val="auto"/>
          <w:sz w:val="28"/>
          <w:szCs w:val="28"/>
          <w:highlight w:val="none"/>
        </w:rPr>
      </w:pPr>
      <w:bookmarkStart w:id="52" w:name="_Hlk182767060"/>
      <w:r>
        <w:rPr>
          <w:rFonts w:hint="eastAsia" w:ascii="宋体" w:hAnsi="宋体"/>
          <w:b/>
          <w:bCs/>
          <w:color w:val="auto"/>
          <w:sz w:val="28"/>
          <w:szCs w:val="28"/>
          <w:highlight w:val="none"/>
        </w:rPr>
        <w:t>评标委员会成员声明</w:t>
      </w:r>
    </w:p>
    <w:bookmarkEnd w:id="52"/>
    <w:p w14:paraId="6F76437E">
      <w:pPr>
        <w:spacing w:line="440" w:lineRule="exact"/>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广州市天投城市更新有限公司</w:t>
      </w:r>
      <w:r>
        <w:rPr>
          <w:rFonts w:hint="eastAsia" w:ascii="宋体" w:hAnsi="宋体"/>
          <w:b w:val="0"/>
          <w:bCs w:val="0"/>
          <w:color w:val="auto"/>
          <w:sz w:val="24"/>
          <w:highlight w:val="none"/>
        </w:rPr>
        <w:t>：</w:t>
      </w:r>
    </w:p>
    <w:p w14:paraId="17E57EF5">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本人就参与</w:t>
      </w:r>
      <w:r>
        <w:rPr>
          <w:rFonts w:hint="eastAsia" w:ascii="宋体" w:hAnsi="宋体" w:eastAsia="宋体" w:cs="Times New Roman"/>
          <w:color w:val="auto"/>
          <w:sz w:val="24"/>
          <w:szCs w:val="24"/>
          <w:highlight w:val="none"/>
          <w:u w:val="single"/>
          <w:lang w:eastAsia="zh-CN"/>
        </w:rPr>
        <w:t>天河区柯木塱村城中村改造项目-首开区凤凰汇西侧地块复建安置房及配套设施工程勘察及初步设计服务</w:t>
      </w:r>
      <w:r>
        <w:rPr>
          <w:rFonts w:hint="eastAsia" w:ascii="宋体" w:hAnsi="宋体"/>
          <w:b w:val="0"/>
          <w:bCs w:val="0"/>
          <w:color w:val="auto"/>
          <w:sz w:val="24"/>
          <w:highlight w:val="none"/>
        </w:rPr>
        <w:t>项目的评标工作，作出郑重声明：</w:t>
      </w:r>
    </w:p>
    <w:p w14:paraId="1B1B8A53">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43BF54C">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ED5111">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18B50AE">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BDBC142">
      <w:pPr>
        <w:spacing w:line="44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7F9B849">
      <w:pPr>
        <w:spacing w:line="440" w:lineRule="exact"/>
        <w:rPr>
          <w:rFonts w:hint="eastAsia" w:ascii="宋体" w:hAnsi="宋体"/>
          <w:b w:val="0"/>
          <w:bCs w:val="0"/>
          <w:color w:val="auto"/>
          <w:sz w:val="24"/>
          <w:highlight w:val="none"/>
        </w:rPr>
      </w:pPr>
      <w:r>
        <w:rPr>
          <w:rFonts w:hint="eastAsia" w:ascii="宋体" w:hAnsi="宋体"/>
          <w:b w:val="0"/>
          <w:bCs w:val="0"/>
          <w:color w:val="auto"/>
          <w:sz w:val="24"/>
          <w:highlight w:val="none"/>
        </w:rPr>
        <w:t>如果本人违反上述声明内容，造成的后果由本人自行承担。</w:t>
      </w:r>
    </w:p>
    <w:p w14:paraId="3F18BD71">
      <w:pPr>
        <w:spacing w:line="440" w:lineRule="exact"/>
        <w:rPr>
          <w:rFonts w:hint="eastAsia" w:ascii="宋体" w:hAnsi="宋体"/>
          <w:b w:val="0"/>
          <w:bCs w:val="0"/>
          <w:color w:val="auto"/>
          <w:sz w:val="24"/>
          <w:highlight w:val="none"/>
        </w:rPr>
      </w:pPr>
    </w:p>
    <w:p w14:paraId="78A3076D">
      <w:pPr>
        <w:spacing w:line="440" w:lineRule="exact"/>
        <w:ind w:firstLine="5280" w:firstLineChars="2200"/>
        <w:rPr>
          <w:rFonts w:hint="eastAsia" w:ascii="宋体" w:hAnsi="宋体"/>
          <w:b w:val="0"/>
          <w:bCs w:val="0"/>
          <w:color w:val="auto"/>
          <w:sz w:val="24"/>
          <w:highlight w:val="none"/>
        </w:rPr>
      </w:pPr>
      <w:r>
        <w:rPr>
          <w:rFonts w:hint="eastAsia" w:ascii="宋体" w:hAnsi="宋体"/>
          <w:b w:val="0"/>
          <w:bCs w:val="0"/>
          <w:color w:val="auto"/>
          <w:sz w:val="24"/>
          <w:highlight w:val="none"/>
        </w:rPr>
        <w:t>声明人：（签名）</w:t>
      </w:r>
    </w:p>
    <w:sectPr>
      <w:pgSz w:w="11906" w:h="16838"/>
      <w:pgMar w:top="1440" w:right="1466" w:bottom="1440"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263D">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14:paraId="43768E59">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7429">
    <w:pPr>
      <w:pStyle w:val="1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6D8C9">
                          <w:pPr>
                            <w:pStyle w:val="18"/>
                          </w:pPr>
                          <w:r>
                            <w:fldChar w:fldCharType="begin"/>
                          </w:r>
                          <w:r>
                            <w:instrText xml:space="preserve"> PAGE  \* MERGEFORMAT </w:instrText>
                          </w:r>
                          <w:r>
                            <w:fldChar w:fldCharType="separate"/>
                          </w:r>
                          <w:r>
                            <w:t>67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6C26D8C9">
                    <w:pPr>
                      <w:pStyle w:val="1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8DE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E85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4F04B">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534F04B">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3F8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45BF4">
                          <w:pPr>
                            <w:pStyle w:val="18"/>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B045BF4">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016B">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14:paraId="0C1C18B6">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335DC">
    <w:pPr>
      <w:pStyle w:val="1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8743A">
                          <w:pPr>
                            <w:pStyle w:val="1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22F8743A">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CC2A">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14:paraId="19143DFB">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E357">
    <w:pPr>
      <w:pStyle w:val="1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0D574">
                          <w:pPr>
                            <w:pStyle w:val="18"/>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17A0D574">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3D00">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14:paraId="4382E2AE">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F00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B0ACA"/>
    <w:multiLevelType w:val="multilevel"/>
    <w:tmpl w:val="E3BB0ACA"/>
    <w:lvl w:ilvl="0" w:tentative="0">
      <w:start w:val="1"/>
      <w:numFmt w:val="decimal"/>
      <w:lvlText w:val="（%1）"/>
      <w:lvlJc w:val="left"/>
      <w:pPr>
        <w:tabs>
          <w:tab w:val="left" w:pos="1093"/>
        </w:tabs>
        <w:ind w:left="1093" w:hanging="608"/>
      </w:pPr>
    </w:lvl>
    <w:lvl w:ilvl="1" w:tentative="0">
      <w:start w:val="1"/>
      <w:numFmt w:val="lowerLetter"/>
      <w:lvlText w:val="%2)"/>
      <w:lvlJc w:val="left"/>
      <w:pPr>
        <w:tabs>
          <w:tab w:val="left" w:pos="1325"/>
        </w:tabs>
        <w:ind w:left="1325" w:hanging="420"/>
      </w:pPr>
    </w:lvl>
    <w:lvl w:ilvl="2" w:tentative="0">
      <w:start w:val="1"/>
      <w:numFmt w:val="lowerRoman"/>
      <w:lvlText w:val="%3."/>
      <w:lvlJc w:val="right"/>
      <w:pPr>
        <w:tabs>
          <w:tab w:val="left" w:pos="1745"/>
        </w:tabs>
        <w:ind w:left="1745" w:hanging="420"/>
      </w:pPr>
    </w:lvl>
    <w:lvl w:ilvl="3" w:tentative="0">
      <w:start w:val="1"/>
      <w:numFmt w:val="decimal"/>
      <w:lvlText w:val="%4."/>
      <w:lvlJc w:val="left"/>
      <w:pPr>
        <w:tabs>
          <w:tab w:val="left" w:pos="2165"/>
        </w:tabs>
        <w:ind w:left="2165" w:hanging="420"/>
      </w:pPr>
    </w:lvl>
    <w:lvl w:ilvl="4" w:tentative="0">
      <w:start w:val="1"/>
      <w:numFmt w:val="lowerLetter"/>
      <w:lvlText w:val="%5)"/>
      <w:lvlJc w:val="left"/>
      <w:pPr>
        <w:tabs>
          <w:tab w:val="left" w:pos="2585"/>
        </w:tabs>
        <w:ind w:left="2585" w:hanging="420"/>
      </w:pPr>
    </w:lvl>
    <w:lvl w:ilvl="5" w:tentative="0">
      <w:start w:val="1"/>
      <w:numFmt w:val="lowerRoman"/>
      <w:lvlText w:val="%6."/>
      <w:lvlJc w:val="right"/>
      <w:pPr>
        <w:tabs>
          <w:tab w:val="left" w:pos="3005"/>
        </w:tabs>
        <w:ind w:left="3005" w:hanging="420"/>
      </w:pPr>
    </w:lvl>
    <w:lvl w:ilvl="6" w:tentative="0">
      <w:start w:val="1"/>
      <w:numFmt w:val="decimal"/>
      <w:lvlText w:val="%7."/>
      <w:lvlJc w:val="left"/>
      <w:pPr>
        <w:tabs>
          <w:tab w:val="left" w:pos="3425"/>
        </w:tabs>
        <w:ind w:left="3425" w:hanging="420"/>
      </w:pPr>
    </w:lvl>
    <w:lvl w:ilvl="7" w:tentative="0">
      <w:start w:val="1"/>
      <w:numFmt w:val="lowerLetter"/>
      <w:lvlText w:val="%8)"/>
      <w:lvlJc w:val="left"/>
      <w:pPr>
        <w:tabs>
          <w:tab w:val="left" w:pos="3845"/>
        </w:tabs>
        <w:ind w:left="3845" w:hanging="420"/>
      </w:pPr>
    </w:lvl>
    <w:lvl w:ilvl="8" w:tentative="0">
      <w:start w:val="1"/>
      <w:numFmt w:val="lowerRoman"/>
      <w:lvlText w:val="%9."/>
      <w:lvlJc w:val="right"/>
      <w:pPr>
        <w:tabs>
          <w:tab w:val="left" w:pos="4265"/>
        </w:tabs>
        <w:ind w:left="4265" w:hanging="420"/>
      </w:p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6D55C038"/>
    <w:multiLevelType w:val="singleLevel"/>
    <w:tmpl w:val="6D55C038"/>
    <w:lvl w:ilvl="0" w:tentative="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IwZGU3NzQ3ZDU2ZTkxNGIwNWY5MWU5MTY2MzMifQ=="/>
  </w:docVars>
  <w:rsids>
    <w:rsidRoot w:val="00172A27"/>
    <w:rsid w:val="00000C7A"/>
    <w:rsid w:val="00001C7D"/>
    <w:rsid w:val="00002C21"/>
    <w:rsid w:val="00005E9C"/>
    <w:rsid w:val="00006FAF"/>
    <w:rsid w:val="00007144"/>
    <w:rsid w:val="00007708"/>
    <w:rsid w:val="00012054"/>
    <w:rsid w:val="0001241C"/>
    <w:rsid w:val="000127F1"/>
    <w:rsid w:val="0001402E"/>
    <w:rsid w:val="000152A3"/>
    <w:rsid w:val="00016265"/>
    <w:rsid w:val="00017F85"/>
    <w:rsid w:val="00021F74"/>
    <w:rsid w:val="000227AF"/>
    <w:rsid w:val="000243CA"/>
    <w:rsid w:val="0002474C"/>
    <w:rsid w:val="000248D7"/>
    <w:rsid w:val="0002593A"/>
    <w:rsid w:val="00027ACA"/>
    <w:rsid w:val="00027B0D"/>
    <w:rsid w:val="00030DA2"/>
    <w:rsid w:val="00032E96"/>
    <w:rsid w:val="0003378A"/>
    <w:rsid w:val="0004096B"/>
    <w:rsid w:val="00041ED3"/>
    <w:rsid w:val="00042EA1"/>
    <w:rsid w:val="00044FFE"/>
    <w:rsid w:val="000456B3"/>
    <w:rsid w:val="00046749"/>
    <w:rsid w:val="000467D4"/>
    <w:rsid w:val="000467EC"/>
    <w:rsid w:val="00046BC5"/>
    <w:rsid w:val="00046CAE"/>
    <w:rsid w:val="00046D7D"/>
    <w:rsid w:val="0004719B"/>
    <w:rsid w:val="000471C8"/>
    <w:rsid w:val="00050330"/>
    <w:rsid w:val="00050722"/>
    <w:rsid w:val="00052573"/>
    <w:rsid w:val="00052C12"/>
    <w:rsid w:val="0005308D"/>
    <w:rsid w:val="00054A02"/>
    <w:rsid w:val="00055DC1"/>
    <w:rsid w:val="000578C1"/>
    <w:rsid w:val="00061302"/>
    <w:rsid w:val="00061E98"/>
    <w:rsid w:val="000635ED"/>
    <w:rsid w:val="000645DC"/>
    <w:rsid w:val="00065094"/>
    <w:rsid w:val="000652F6"/>
    <w:rsid w:val="0006594B"/>
    <w:rsid w:val="00066EFB"/>
    <w:rsid w:val="00067600"/>
    <w:rsid w:val="00070428"/>
    <w:rsid w:val="0007122F"/>
    <w:rsid w:val="00071670"/>
    <w:rsid w:val="00071D26"/>
    <w:rsid w:val="000726BE"/>
    <w:rsid w:val="000730E7"/>
    <w:rsid w:val="0007523A"/>
    <w:rsid w:val="0007648D"/>
    <w:rsid w:val="00076732"/>
    <w:rsid w:val="000774B1"/>
    <w:rsid w:val="00081742"/>
    <w:rsid w:val="00081F76"/>
    <w:rsid w:val="00085CF7"/>
    <w:rsid w:val="00086621"/>
    <w:rsid w:val="000879B3"/>
    <w:rsid w:val="000907FA"/>
    <w:rsid w:val="00093510"/>
    <w:rsid w:val="00093B39"/>
    <w:rsid w:val="00095B2F"/>
    <w:rsid w:val="00096B2E"/>
    <w:rsid w:val="00096BD7"/>
    <w:rsid w:val="00096DC1"/>
    <w:rsid w:val="00096EA3"/>
    <w:rsid w:val="000A1475"/>
    <w:rsid w:val="000A1A88"/>
    <w:rsid w:val="000A21E6"/>
    <w:rsid w:val="000A2DB3"/>
    <w:rsid w:val="000A4529"/>
    <w:rsid w:val="000A50F5"/>
    <w:rsid w:val="000A5692"/>
    <w:rsid w:val="000A6415"/>
    <w:rsid w:val="000A6549"/>
    <w:rsid w:val="000A668A"/>
    <w:rsid w:val="000A69D2"/>
    <w:rsid w:val="000B0CD7"/>
    <w:rsid w:val="000B1242"/>
    <w:rsid w:val="000B2032"/>
    <w:rsid w:val="000B2207"/>
    <w:rsid w:val="000B256E"/>
    <w:rsid w:val="000B3E44"/>
    <w:rsid w:val="000B46A1"/>
    <w:rsid w:val="000B48D1"/>
    <w:rsid w:val="000B5436"/>
    <w:rsid w:val="000C0191"/>
    <w:rsid w:val="000C0F4C"/>
    <w:rsid w:val="000C101E"/>
    <w:rsid w:val="000C206C"/>
    <w:rsid w:val="000C28B1"/>
    <w:rsid w:val="000C3762"/>
    <w:rsid w:val="000C5F6F"/>
    <w:rsid w:val="000C616F"/>
    <w:rsid w:val="000C6348"/>
    <w:rsid w:val="000C6895"/>
    <w:rsid w:val="000C6D1B"/>
    <w:rsid w:val="000C74F0"/>
    <w:rsid w:val="000C77B6"/>
    <w:rsid w:val="000C78DF"/>
    <w:rsid w:val="000C7ACE"/>
    <w:rsid w:val="000D033D"/>
    <w:rsid w:val="000D2E34"/>
    <w:rsid w:val="000D2EE3"/>
    <w:rsid w:val="000D40B0"/>
    <w:rsid w:val="000D4202"/>
    <w:rsid w:val="000D5842"/>
    <w:rsid w:val="000D692A"/>
    <w:rsid w:val="000D790C"/>
    <w:rsid w:val="000E000C"/>
    <w:rsid w:val="000E0281"/>
    <w:rsid w:val="000E0D6A"/>
    <w:rsid w:val="000E1154"/>
    <w:rsid w:val="000E16BE"/>
    <w:rsid w:val="000E2AD9"/>
    <w:rsid w:val="000E302F"/>
    <w:rsid w:val="000E3A14"/>
    <w:rsid w:val="000E49E8"/>
    <w:rsid w:val="000E4BB6"/>
    <w:rsid w:val="000E63B0"/>
    <w:rsid w:val="000E6B01"/>
    <w:rsid w:val="000E799D"/>
    <w:rsid w:val="001010FC"/>
    <w:rsid w:val="0010198D"/>
    <w:rsid w:val="0010284C"/>
    <w:rsid w:val="001029D3"/>
    <w:rsid w:val="00103EF7"/>
    <w:rsid w:val="00104D4F"/>
    <w:rsid w:val="00105C65"/>
    <w:rsid w:val="001061BD"/>
    <w:rsid w:val="001064D9"/>
    <w:rsid w:val="0011042D"/>
    <w:rsid w:val="001108CB"/>
    <w:rsid w:val="0011206B"/>
    <w:rsid w:val="00112382"/>
    <w:rsid w:val="001150D2"/>
    <w:rsid w:val="00117258"/>
    <w:rsid w:val="0012446B"/>
    <w:rsid w:val="001245DF"/>
    <w:rsid w:val="00124DCC"/>
    <w:rsid w:val="00124E7E"/>
    <w:rsid w:val="00126434"/>
    <w:rsid w:val="00126755"/>
    <w:rsid w:val="0012726E"/>
    <w:rsid w:val="00130BE1"/>
    <w:rsid w:val="00131C47"/>
    <w:rsid w:val="0013251B"/>
    <w:rsid w:val="00132C0E"/>
    <w:rsid w:val="00133F61"/>
    <w:rsid w:val="00134AB4"/>
    <w:rsid w:val="00137B28"/>
    <w:rsid w:val="001415FB"/>
    <w:rsid w:val="00142F49"/>
    <w:rsid w:val="0014597E"/>
    <w:rsid w:val="00146C42"/>
    <w:rsid w:val="00150375"/>
    <w:rsid w:val="00152690"/>
    <w:rsid w:val="00153DC9"/>
    <w:rsid w:val="00155638"/>
    <w:rsid w:val="00156092"/>
    <w:rsid w:val="00156979"/>
    <w:rsid w:val="0016112A"/>
    <w:rsid w:val="001621A4"/>
    <w:rsid w:val="00163551"/>
    <w:rsid w:val="00163784"/>
    <w:rsid w:val="00163C87"/>
    <w:rsid w:val="00165409"/>
    <w:rsid w:val="001669D4"/>
    <w:rsid w:val="00166C22"/>
    <w:rsid w:val="00167952"/>
    <w:rsid w:val="001721F8"/>
    <w:rsid w:val="0017377C"/>
    <w:rsid w:val="00175914"/>
    <w:rsid w:val="00175A1B"/>
    <w:rsid w:val="001760D7"/>
    <w:rsid w:val="001768F1"/>
    <w:rsid w:val="001809AA"/>
    <w:rsid w:val="00180F0E"/>
    <w:rsid w:val="00181BFF"/>
    <w:rsid w:val="00181E2D"/>
    <w:rsid w:val="00182C28"/>
    <w:rsid w:val="00182ED7"/>
    <w:rsid w:val="00184421"/>
    <w:rsid w:val="00184FFB"/>
    <w:rsid w:val="001861C1"/>
    <w:rsid w:val="001863C2"/>
    <w:rsid w:val="00186BB3"/>
    <w:rsid w:val="00187551"/>
    <w:rsid w:val="001908F4"/>
    <w:rsid w:val="001923F2"/>
    <w:rsid w:val="00193E96"/>
    <w:rsid w:val="0019404E"/>
    <w:rsid w:val="0019453D"/>
    <w:rsid w:val="00194662"/>
    <w:rsid w:val="00194BE6"/>
    <w:rsid w:val="001975B7"/>
    <w:rsid w:val="00197CAC"/>
    <w:rsid w:val="001A1870"/>
    <w:rsid w:val="001A30C9"/>
    <w:rsid w:val="001A44F5"/>
    <w:rsid w:val="001A6353"/>
    <w:rsid w:val="001A64B1"/>
    <w:rsid w:val="001A698B"/>
    <w:rsid w:val="001A6DEF"/>
    <w:rsid w:val="001A6DFA"/>
    <w:rsid w:val="001B0F54"/>
    <w:rsid w:val="001B2125"/>
    <w:rsid w:val="001B24EE"/>
    <w:rsid w:val="001B2827"/>
    <w:rsid w:val="001B290B"/>
    <w:rsid w:val="001B327D"/>
    <w:rsid w:val="001B5206"/>
    <w:rsid w:val="001B6D40"/>
    <w:rsid w:val="001C2322"/>
    <w:rsid w:val="001C23CF"/>
    <w:rsid w:val="001C2473"/>
    <w:rsid w:val="001C32F9"/>
    <w:rsid w:val="001C38C8"/>
    <w:rsid w:val="001D0B15"/>
    <w:rsid w:val="001D0FF1"/>
    <w:rsid w:val="001E01F2"/>
    <w:rsid w:val="001E0695"/>
    <w:rsid w:val="001E0EF3"/>
    <w:rsid w:val="001E11D4"/>
    <w:rsid w:val="001E2005"/>
    <w:rsid w:val="001E3210"/>
    <w:rsid w:val="001E3539"/>
    <w:rsid w:val="001E355A"/>
    <w:rsid w:val="001E366C"/>
    <w:rsid w:val="001E41D1"/>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0EE8"/>
    <w:rsid w:val="0021134E"/>
    <w:rsid w:val="0021240E"/>
    <w:rsid w:val="002125E2"/>
    <w:rsid w:val="00215694"/>
    <w:rsid w:val="0021639F"/>
    <w:rsid w:val="00217F82"/>
    <w:rsid w:val="0022042B"/>
    <w:rsid w:val="00221249"/>
    <w:rsid w:val="00221341"/>
    <w:rsid w:val="00223288"/>
    <w:rsid w:val="00223311"/>
    <w:rsid w:val="0022343E"/>
    <w:rsid w:val="00225383"/>
    <w:rsid w:val="00225CD3"/>
    <w:rsid w:val="00225DFC"/>
    <w:rsid w:val="002268B4"/>
    <w:rsid w:val="0022723E"/>
    <w:rsid w:val="00230114"/>
    <w:rsid w:val="00230360"/>
    <w:rsid w:val="002316E9"/>
    <w:rsid w:val="00233C71"/>
    <w:rsid w:val="002345D3"/>
    <w:rsid w:val="0023590C"/>
    <w:rsid w:val="00235F2D"/>
    <w:rsid w:val="002379D0"/>
    <w:rsid w:val="00237EF9"/>
    <w:rsid w:val="0024133E"/>
    <w:rsid w:val="00241934"/>
    <w:rsid w:val="00241A6C"/>
    <w:rsid w:val="00243F41"/>
    <w:rsid w:val="002440CF"/>
    <w:rsid w:val="00245796"/>
    <w:rsid w:val="00245DDE"/>
    <w:rsid w:val="002461E0"/>
    <w:rsid w:val="00246582"/>
    <w:rsid w:val="0024767D"/>
    <w:rsid w:val="00250944"/>
    <w:rsid w:val="00251AA2"/>
    <w:rsid w:val="00251CF2"/>
    <w:rsid w:val="00255DC6"/>
    <w:rsid w:val="0025691B"/>
    <w:rsid w:val="00257541"/>
    <w:rsid w:val="0025765D"/>
    <w:rsid w:val="00260461"/>
    <w:rsid w:val="00262E1E"/>
    <w:rsid w:val="002634DA"/>
    <w:rsid w:val="00264759"/>
    <w:rsid w:val="0026754D"/>
    <w:rsid w:val="002714AD"/>
    <w:rsid w:val="00271EE0"/>
    <w:rsid w:val="0027248B"/>
    <w:rsid w:val="00274434"/>
    <w:rsid w:val="002759AE"/>
    <w:rsid w:val="00276A0F"/>
    <w:rsid w:val="00277D94"/>
    <w:rsid w:val="002814AB"/>
    <w:rsid w:val="00281889"/>
    <w:rsid w:val="00281B0C"/>
    <w:rsid w:val="002820D3"/>
    <w:rsid w:val="00282EBD"/>
    <w:rsid w:val="00283180"/>
    <w:rsid w:val="0028341A"/>
    <w:rsid w:val="00283497"/>
    <w:rsid w:val="002842E2"/>
    <w:rsid w:val="00284D43"/>
    <w:rsid w:val="00284EF8"/>
    <w:rsid w:val="002860AD"/>
    <w:rsid w:val="0028670E"/>
    <w:rsid w:val="00286F1D"/>
    <w:rsid w:val="00287A0E"/>
    <w:rsid w:val="00290A9F"/>
    <w:rsid w:val="0029233B"/>
    <w:rsid w:val="0029243D"/>
    <w:rsid w:val="00292BAB"/>
    <w:rsid w:val="00293DA3"/>
    <w:rsid w:val="00293F45"/>
    <w:rsid w:val="002941FA"/>
    <w:rsid w:val="0029494B"/>
    <w:rsid w:val="00294D16"/>
    <w:rsid w:val="00295C7A"/>
    <w:rsid w:val="002970C1"/>
    <w:rsid w:val="002A0748"/>
    <w:rsid w:val="002A0D1E"/>
    <w:rsid w:val="002A19E8"/>
    <w:rsid w:val="002A3372"/>
    <w:rsid w:val="002A3564"/>
    <w:rsid w:val="002A69BF"/>
    <w:rsid w:val="002A6BFF"/>
    <w:rsid w:val="002B01C7"/>
    <w:rsid w:val="002B11AE"/>
    <w:rsid w:val="002B14B1"/>
    <w:rsid w:val="002B19BE"/>
    <w:rsid w:val="002B2F4D"/>
    <w:rsid w:val="002B5727"/>
    <w:rsid w:val="002B608C"/>
    <w:rsid w:val="002B65B3"/>
    <w:rsid w:val="002B6923"/>
    <w:rsid w:val="002B69AF"/>
    <w:rsid w:val="002B6C43"/>
    <w:rsid w:val="002C04FA"/>
    <w:rsid w:val="002C34BB"/>
    <w:rsid w:val="002C388B"/>
    <w:rsid w:val="002C4449"/>
    <w:rsid w:val="002C5186"/>
    <w:rsid w:val="002C52C1"/>
    <w:rsid w:val="002C5303"/>
    <w:rsid w:val="002D1267"/>
    <w:rsid w:val="002D1976"/>
    <w:rsid w:val="002D26E4"/>
    <w:rsid w:val="002D45D7"/>
    <w:rsid w:val="002D463E"/>
    <w:rsid w:val="002D498D"/>
    <w:rsid w:val="002D49CD"/>
    <w:rsid w:val="002D5ADD"/>
    <w:rsid w:val="002D7216"/>
    <w:rsid w:val="002D7B4E"/>
    <w:rsid w:val="002E2E9E"/>
    <w:rsid w:val="002E3CC8"/>
    <w:rsid w:val="002E48A3"/>
    <w:rsid w:val="002E4B72"/>
    <w:rsid w:val="002E61A6"/>
    <w:rsid w:val="002E66A1"/>
    <w:rsid w:val="002E71CA"/>
    <w:rsid w:val="002E7C73"/>
    <w:rsid w:val="002E7E87"/>
    <w:rsid w:val="002F063A"/>
    <w:rsid w:val="002F2133"/>
    <w:rsid w:val="002F2E3F"/>
    <w:rsid w:val="002F340E"/>
    <w:rsid w:val="002F4896"/>
    <w:rsid w:val="003001A7"/>
    <w:rsid w:val="00300996"/>
    <w:rsid w:val="00300EE2"/>
    <w:rsid w:val="00302694"/>
    <w:rsid w:val="00302B5D"/>
    <w:rsid w:val="003060BA"/>
    <w:rsid w:val="00310314"/>
    <w:rsid w:val="00311C0D"/>
    <w:rsid w:val="0031405B"/>
    <w:rsid w:val="00317821"/>
    <w:rsid w:val="00320ACE"/>
    <w:rsid w:val="00320AD1"/>
    <w:rsid w:val="0032112C"/>
    <w:rsid w:val="003220F3"/>
    <w:rsid w:val="003229F5"/>
    <w:rsid w:val="003242A0"/>
    <w:rsid w:val="00325F63"/>
    <w:rsid w:val="00326330"/>
    <w:rsid w:val="003268AC"/>
    <w:rsid w:val="00326919"/>
    <w:rsid w:val="00327B3B"/>
    <w:rsid w:val="00327FC8"/>
    <w:rsid w:val="003319C4"/>
    <w:rsid w:val="00331E48"/>
    <w:rsid w:val="00332810"/>
    <w:rsid w:val="003345B2"/>
    <w:rsid w:val="00335E61"/>
    <w:rsid w:val="00335E99"/>
    <w:rsid w:val="0033652E"/>
    <w:rsid w:val="00337A6B"/>
    <w:rsid w:val="00337D7F"/>
    <w:rsid w:val="00341374"/>
    <w:rsid w:val="003414E1"/>
    <w:rsid w:val="00342724"/>
    <w:rsid w:val="003439BA"/>
    <w:rsid w:val="00344937"/>
    <w:rsid w:val="00344BC3"/>
    <w:rsid w:val="003454AC"/>
    <w:rsid w:val="00345A80"/>
    <w:rsid w:val="003464F8"/>
    <w:rsid w:val="0034676A"/>
    <w:rsid w:val="00347EC0"/>
    <w:rsid w:val="00350E0E"/>
    <w:rsid w:val="003513D9"/>
    <w:rsid w:val="00351779"/>
    <w:rsid w:val="0035208B"/>
    <w:rsid w:val="003525EB"/>
    <w:rsid w:val="00352D7C"/>
    <w:rsid w:val="003540B1"/>
    <w:rsid w:val="0035503D"/>
    <w:rsid w:val="00355AB5"/>
    <w:rsid w:val="00355B10"/>
    <w:rsid w:val="00357E29"/>
    <w:rsid w:val="003609C9"/>
    <w:rsid w:val="00360A28"/>
    <w:rsid w:val="00363377"/>
    <w:rsid w:val="00363DA3"/>
    <w:rsid w:val="00363DA4"/>
    <w:rsid w:val="003647FF"/>
    <w:rsid w:val="0036583C"/>
    <w:rsid w:val="00367897"/>
    <w:rsid w:val="003710F8"/>
    <w:rsid w:val="00371767"/>
    <w:rsid w:val="003725AB"/>
    <w:rsid w:val="00373CE6"/>
    <w:rsid w:val="0037539F"/>
    <w:rsid w:val="00376015"/>
    <w:rsid w:val="00376A74"/>
    <w:rsid w:val="00380B2F"/>
    <w:rsid w:val="0038126F"/>
    <w:rsid w:val="0038480B"/>
    <w:rsid w:val="00385928"/>
    <w:rsid w:val="00385A55"/>
    <w:rsid w:val="00385B3D"/>
    <w:rsid w:val="003868E5"/>
    <w:rsid w:val="00387C09"/>
    <w:rsid w:val="003908C4"/>
    <w:rsid w:val="00391E7B"/>
    <w:rsid w:val="00392D5B"/>
    <w:rsid w:val="003932A9"/>
    <w:rsid w:val="0039389B"/>
    <w:rsid w:val="00393FE4"/>
    <w:rsid w:val="00394034"/>
    <w:rsid w:val="00394BB0"/>
    <w:rsid w:val="00395416"/>
    <w:rsid w:val="0039564F"/>
    <w:rsid w:val="00396F1D"/>
    <w:rsid w:val="003975BB"/>
    <w:rsid w:val="003977EF"/>
    <w:rsid w:val="003A00AE"/>
    <w:rsid w:val="003A0939"/>
    <w:rsid w:val="003A4358"/>
    <w:rsid w:val="003A4731"/>
    <w:rsid w:val="003A4D55"/>
    <w:rsid w:val="003A5E5D"/>
    <w:rsid w:val="003A62B6"/>
    <w:rsid w:val="003A6CD6"/>
    <w:rsid w:val="003B014E"/>
    <w:rsid w:val="003B07AB"/>
    <w:rsid w:val="003B65E6"/>
    <w:rsid w:val="003C27CF"/>
    <w:rsid w:val="003C4FA4"/>
    <w:rsid w:val="003C5DFE"/>
    <w:rsid w:val="003C6E6F"/>
    <w:rsid w:val="003D034F"/>
    <w:rsid w:val="003D03BA"/>
    <w:rsid w:val="003D0F8B"/>
    <w:rsid w:val="003D1534"/>
    <w:rsid w:val="003D195D"/>
    <w:rsid w:val="003D1B42"/>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551A"/>
    <w:rsid w:val="003F7DF9"/>
    <w:rsid w:val="00400223"/>
    <w:rsid w:val="00400DDF"/>
    <w:rsid w:val="00400E2F"/>
    <w:rsid w:val="004029E9"/>
    <w:rsid w:val="0040501A"/>
    <w:rsid w:val="00405BE0"/>
    <w:rsid w:val="00405F40"/>
    <w:rsid w:val="0041202D"/>
    <w:rsid w:val="00412297"/>
    <w:rsid w:val="00412834"/>
    <w:rsid w:val="0041310D"/>
    <w:rsid w:val="004131B8"/>
    <w:rsid w:val="004131BE"/>
    <w:rsid w:val="004141B0"/>
    <w:rsid w:val="00415E8C"/>
    <w:rsid w:val="004173E4"/>
    <w:rsid w:val="004233A0"/>
    <w:rsid w:val="004235EF"/>
    <w:rsid w:val="00423672"/>
    <w:rsid w:val="004239F3"/>
    <w:rsid w:val="00423A5C"/>
    <w:rsid w:val="00425501"/>
    <w:rsid w:val="004256A1"/>
    <w:rsid w:val="00426DAC"/>
    <w:rsid w:val="00430CC6"/>
    <w:rsid w:val="00431B59"/>
    <w:rsid w:val="004323CD"/>
    <w:rsid w:val="00432499"/>
    <w:rsid w:val="00432CF3"/>
    <w:rsid w:val="0043365D"/>
    <w:rsid w:val="00434819"/>
    <w:rsid w:val="004351E1"/>
    <w:rsid w:val="00435523"/>
    <w:rsid w:val="00435956"/>
    <w:rsid w:val="00435FC7"/>
    <w:rsid w:val="004369B8"/>
    <w:rsid w:val="00436D17"/>
    <w:rsid w:val="00437935"/>
    <w:rsid w:val="00440751"/>
    <w:rsid w:val="0044119C"/>
    <w:rsid w:val="004422D0"/>
    <w:rsid w:val="00442D51"/>
    <w:rsid w:val="00447504"/>
    <w:rsid w:val="0045016A"/>
    <w:rsid w:val="00454568"/>
    <w:rsid w:val="004558A4"/>
    <w:rsid w:val="0045641C"/>
    <w:rsid w:val="004569DD"/>
    <w:rsid w:val="00456E6E"/>
    <w:rsid w:val="004570F6"/>
    <w:rsid w:val="0045783D"/>
    <w:rsid w:val="00460A42"/>
    <w:rsid w:val="004644F8"/>
    <w:rsid w:val="004649BF"/>
    <w:rsid w:val="00464D14"/>
    <w:rsid w:val="004655CD"/>
    <w:rsid w:val="00465F90"/>
    <w:rsid w:val="00466D87"/>
    <w:rsid w:val="004714E5"/>
    <w:rsid w:val="004716B9"/>
    <w:rsid w:val="00473254"/>
    <w:rsid w:val="00473765"/>
    <w:rsid w:val="00473A31"/>
    <w:rsid w:val="00473B6A"/>
    <w:rsid w:val="0047430C"/>
    <w:rsid w:val="00476920"/>
    <w:rsid w:val="004769C9"/>
    <w:rsid w:val="00476AAD"/>
    <w:rsid w:val="004807F6"/>
    <w:rsid w:val="0048167C"/>
    <w:rsid w:val="004839B1"/>
    <w:rsid w:val="00483BE7"/>
    <w:rsid w:val="00484D4B"/>
    <w:rsid w:val="0048653D"/>
    <w:rsid w:val="00486F9F"/>
    <w:rsid w:val="00487D7A"/>
    <w:rsid w:val="00490408"/>
    <w:rsid w:val="00494164"/>
    <w:rsid w:val="00495590"/>
    <w:rsid w:val="00495A86"/>
    <w:rsid w:val="004966F9"/>
    <w:rsid w:val="00497392"/>
    <w:rsid w:val="00497C96"/>
    <w:rsid w:val="004A09C5"/>
    <w:rsid w:val="004A1588"/>
    <w:rsid w:val="004A4340"/>
    <w:rsid w:val="004A50F1"/>
    <w:rsid w:val="004A5A5D"/>
    <w:rsid w:val="004A5CA3"/>
    <w:rsid w:val="004A746B"/>
    <w:rsid w:val="004A7A79"/>
    <w:rsid w:val="004B0338"/>
    <w:rsid w:val="004B14C9"/>
    <w:rsid w:val="004B2A8C"/>
    <w:rsid w:val="004B381A"/>
    <w:rsid w:val="004B4363"/>
    <w:rsid w:val="004B481A"/>
    <w:rsid w:val="004B54B9"/>
    <w:rsid w:val="004B5EC4"/>
    <w:rsid w:val="004B747A"/>
    <w:rsid w:val="004B79F9"/>
    <w:rsid w:val="004B7C29"/>
    <w:rsid w:val="004C2709"/>
    <w:rsid w:val="004C36A6"/>
    <w:rsid w:val="004C3A06"/>
    <w:rsid w:val="004C611C"/>
    <w:rsid w:val="004C6CD8"/>
    <w:rsid w:val="004C6FBD"/>
    <w:rsid w:val="004C7F23"/>
    <w:rsid w:val="004D07E4"/>
    <w:rsid w:val="004D13DC"/>
    <w:rsid w:val="004D1ECF"/>
    <w:rsid w:val="004D2BF5"/>
    <w:rsid w:val="004D4DB8"/>
    <w:rsid w:val="004D5517"/>
    <w:rsid w:val="004D6AD1"/>
    <w:rsid w:val="004D6F2D"/>
    <w:rsid w:val="004D7037"/>
    <w:rsid w:val="004E1761"/>
    <w:rsid w:val="004E2237"/>
    <w:rsid w:val="004E270C"/>
    <w:rsid w:val="004E4EBD"/>
    <w:rsid w:val="004E50C3"/>
    <w:rsid w:val="004E5EB3"/>
    <w:rsid w:val="004E6327"/>
    <w:rsid w:val="004E6392"/>
    <w:rsid w:val="004E7DDE"/>
    <w:rsid w:val="004F0230"/>
    <w:rsid w:val="004F302B"/>
    <w:rsid w:val="004F6DAC"/>
    <w:rsid w:val="004F76B0"/>
    <w:rsid w:val="00500FED"/>
    <w:rsid w:val="00504A15"/>
    <w:rsid w:val="00504AFD"/>
    <w:rsid w:val="00506393"/>
    <w:rsid w:val="00506BE1"/>
    <w:rsid w:val="00510F5E"/>
    <w:rsid w:val="00511FBC"/>
    <w:rsid w:val="00512EAD"/>
    <w:rsid w:val="00512EEF"/>
    <w:rsid w:val="005137FA"/>
    <w:rsid w:val="00514C7F"/>
    <w:rsid w:val="005151FE"/>
    <w:rsid w:val="005166C8"/>
    <w:rsid w:val="00516D63"/>
    <w:rsid w:val="00517181"/>
    <w:rsid w:val="00517E78"/>
    <w:rsid w:val="00521395"/>
    <w:rsid w:val="00521AA7"/>
    <w:rsid w:val="00524DEB"/>
    <w:rsid w:val="005252DA"/>
    <w:rsid w:val="00525311"/>
    <w:rsid w:val="005264F0"/>
    <w:rsid w:val="005270A5"/>
    <w:rsid w:val="00527FB8"/>
    <w:rsid w:val="005300B6"/>
    <w:rsid w:val="0053112C"/>
    <w:rsid w:val="005339B1"/>
    <w:rsid w:val="0053406E"/>
    <w:rsid w:val="00534519"/>
    <w:rsid w:val="0053461A"/>
    <w:rsid w:val="00534FC0"/>
    <w:rsid w:val="00535004"/>
    <w:rsid w:val="00535F0E"/>
    <w:rsid w:val="00536095"/>
    <w:rsid w:val="00536629"/>
    <w:rsid w:val="00541327"/>
    <w:rsid w:val="005451BD"/>
    <w:rsid w:val="00547052"/>
    <w:rsid w:val="005479A3"/>
    <w:rsid w:val="00550393"/>
    <w:rsid w:val="00550408"/>
    <w:rsid w:val="00553ABD"/>
    <w:rsid w:val="00554823"/>
    <w:rsid w:val="00555B7D"/>
    <w:rsid w:val="005602B4"/>
    <w:rsid w:val="00560509"/>
    <w:rsid w:val="00560A48"/>
    <w:rsid w:val="00561990"/>
    <w:rsid w:val="00561CC0"/>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56FC"/>
    <w:rsid w:val="005861BE"/>
    <w:rsid w:val="00587144"/>
    <w:rsid w:val="005871C3"/>
    <w:rsid w:val="00587A82"/>
    <w:rsid w:val="00587B41"/>
    <w:rsid w:val="00590B24"/>
    <w:rsid w:val="00590B85"/>
    <w:rsid w:val="00591096"/>
    <w:rsid w:val="00591707"/>
    <w:rsid w:val="0059199D"/>
    <w:rsid w:val="00591C35"/>
    <w:rsid w:val="00593110"/>
    <w:rsid w:val="00593722"/>
    <w:rsid w:val="00593F5A"/>
    <w:rsid w:val="005941EC"/>
    <w:rsid w:val="0059584A"/>
    <w:rsid w:val="00596DED"/>
    <w:rsid w:val="00597358"/>
    <w:rsid w:val="005A107B"/>
    <w:rsid w:val="005A213F"/>
    <w:rsid w:val="005A2216"/>
    <w:rsid w:val="005A26E5"/>
    <w:rsid w:val="005A3A30"/>
    <w:rsid w:val="005B0EAA"/>
    <w:rsid w:val="005B150F"/>
    <w:rsid w:val="005B1E46"/>
    <w:rsid w:val="005B22DF"/>
    <w:rsid w:val="005B2A4D"/>
    <w:rsid w:val="005B7315"/>
    <w:rsid w:val="005B7989"/>
    <w:rsid w:val="005C0269"/>
    <w:rsid w:val="005C0F7C"/>
    <w:rsid w:val="005C0FC9"/>
    <w:rsid w:val="005C2910"/>
    <w:rsid w:val="005C2EF0"/>
    <w:rsid w:val="005C417F"/>
    <w:rsid w:val="005C4CF3"/>
    <w:rsid w:val="005C60CA"/>
    <w:rsid w:val="005C6703"/>
    <w:rsid w:val="005D09CB"/>
    <w:rsid w:val="005D2FF2"/>
    <w:rsid w:val="005D4561"/>
    <w:rsid w:val="005D5B71"/>
    <w:rsid w:val="005E019F"/>
    <w:rsid w:val="005E0912"/>
    <w:rsid w:val="005E096B"/>
    <w:rsid w:val="005E1A27"/>
    <w:rsid w:val="005E2BBA"/>
    <w:rsid w:val="005E3C88"/>
    <w:rsid w:val="005E6577"/>
    <w:rsid w:val="005E7972"/>
    <w:rsid w:val="005F00C9"/>
    <w:rsid w:val="005F2F95"/>
    <w:rsid w:val="005F3D5E"/>
    <w:rsid w:val="005F4001"/>
    <w:rsid w:val="005F5A2C"/>
    <w:rsid w:val="005F6455"/>
    <w:rsid w:val="005F6A06"/>
    <w:rsid w:val="00600DD0"/>
    <w:rsid w:val="00602737"/>
    <w:rsid w:val="00605CE3"/>
    <w:rsid w:val="00607917"/>
    <w:rsid w:val="00607DA7"/>
    <w:rsid w:val="00610203"/>
    <w:rsid w:val="006123AA"/>
    <w:rsid w:val="0061456C"/>
    <w:rsid w:val="00615064"/>
    <w:rsid w:val="00615862"/>
    <w:rsid w:val="00616038"/>
    <w:rsid w:val="00616E55"/>
    <w:rsid w:val="006179D3"/>
    <w:rsid w:val="006236D7"/>
    <w:rsid w:val="00624E96"/>
    <w:rsid w:val="00625048"/>
    <w:rsid w:val="006269B5"/>
    <w:rsid w:val="00631089"/>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57EA9"/>
    <w:rsid w:val="006602A0"/>
    <w:rsid w:val="00663491"/>
    <w:rsid w:val="00663EA9"/>
    <w:rsid w:val="0066411B"/>
    <w:rsid w:val="00664E56"/>
    <w:rsid w:val="0066667D"/>
    <w:rsid w:val="006675BC"/>
    <w:rsid w:val="00667C98"/>
    <w:rsid w:val="00670356"/>
    <w:rsid w:val="0067131A"/>
    <w:rsid w:val="00673A7E"/>
    <w:rsid w:val="006740EB"/>
    <w:rsid w:val="0067666F"/>
    <w:rsid w:val="00676C36"/>
    <w:rsid w:val="0067777F"/>
    <w:rsid w:val="00680379"/>
    <w:rsid w:val="006808DB"/>
    <w:rsid w:val="00680A30"/>
    <w:rsid w:val="00681B43"/>
    <w:rsid w:val="006821C8"/>
    <w:rsid w:val="006826BB"/>
    <w:rsid w:val="00682A44"/>
    <w:rsid w:val="00683C2C"/>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40BF"/>
    <w:rsid w:val="006B5484"/>
    <w:rsid w:val="006B6CBF"/>
    <w:rsid w:val="006B7683"/>
    <w:rsid w:val="006C0DAD"/>
    <w:rsid w:val="006C0E8F"/>
    <w:rsid w:val="006C0FBC"/>
    <w:rsid w:val="006C243E"/>
    <w:rsid w:val="006C4433"/>
    <w:rsid w:val="006C6EC3"/>
    <w:rsid w:val="006C79FA"/>
    <w:rsid w:val="006D34CA"/>
    <w:rsid w:val="006D6D50"/>
    <w:rsid w:val="006D7FA4"/>
    <w:rsid w:val="006E0730"/>
    <w:rsid w:val="006E079B"/>
    <w:rsid w:val="006E0E1B"/>
    <w:rsid w:val="006E1B11"/>
    <w:rsid w:val="006E2837"/>
    <w:rsid w:val="006E33B7"/>
    <w:rsid w:val="006E3538"/>
    <w:rsid w:val="006E54D3"/>
    <w:rsid w:val="006E61BB"/>
    <w:rsid w:val="006E6D82"/>
    <w:rsid w:val="006F04C2"/>
    <w:rsid w:val="006F0834"/>
    <w:rsid w:val="006F2CF0"/>
    <w:rsid w:val="006F5A4A"/>
    <w:rsid w:val="006F641E"/>
    <w:rsid w:val="006F6FCA"/>
    <w:rsid w:val="006F7E33"/>
    <w:rsid w:val="00700EB7"/>
    <w:rsid w:val="007018E6"/>
    <w:rsid w:val="00701CB6"/>
    <w:rsid w:val="007020F0"/>
    <w:rsid w:val="00703EAE"/>
    <w:rsid w:val="00704A1F"/>
    <w:rsid w:val="0070591A"/>
    <w:rsid w:val="007061DF"/>
    <w:rsid w:val="00707ADE"/>
    <w:rsid w:val="00707F12"/>
    <w:rsid w:val="00707F71"/>
    <w:rsid w:val="00710C05"/>
    <w:rsid w:val="00711077"/>
    <w:rsid w:val="00712E77"/>
    <w:rsid w:val="00713C09"/>
    <w:rsid w:val="0071465C"/>
    <w:rsid w:val="007177D1"/>
    <w:rsid w:val="0072236E"/>
    <w:rsid w:val="0072385F"/>
    <w:rsid w:val="00725B5D"/>
    <w:rsid w:val="00727184"/>
    <w:rsid w:val="007278FC"/>
    <w:rsid w:val="0073035D"/>
    <w:rsid w:val="00730EC8"/>
    <w:rsid w:val="00731F15"/>
    <w:rsid w:val="007321F1"/>
    <w:rsid w:val="00732BA9"/>
    <w:rsid w:val="00733ABE"/>
    <w:rsid w:val="00737014"/>
    <w:rsid w:val="007409B0"/>
    <w:rsid w:val="007414A8"/>
    <w:rsid w:val="00741C16"/>
    <w:rsid w:val="007420F2"/>
    <w:rsid w:val="007428D2"/>
    <w:rsid w:val="00742B04"/>
    <w:rsid w:val="00742F38"/>
    <w:rsid w:val="0074359C"/>
    <w:rsid w:val="007435CB"/>
    <w:rsid w:val="00744BD0"/>
    <w:rsid w:val="00746167"/>
    <w:rsid w:val="00746D1D"/>
    <w:rsid w:val="00747DD6"/>
    <w:rsid w:val="00751EE6"/>
    <w:rsid w:val="00751F85"/>
    <w:rsid w:val="007522E7"/>
    <w:rsid w:val="0075252A"/>
    <w:rsid w:val="007528A5"/>
    <w:rsid w:val="00752BCD"/>
    <w:rsid w:val="00753A5A"/>
    <w:rsid w:val="00754A0F"/>
    <w:rsid w:val="00755106"/>
    <w:rsid w:val="00755A37"/>
    <w:rsid w:val="00757CFE"/>
    <w:rsid w:val="00760047"/>
    <w:rsid w:val="007614DC"/>
    <w:rsid w:val="0076186A"/>
    <w:rsid w:val="007618A4"/>
    <w:rsid w:val="00763569"/>
    <w:rsid w:val="0076371B"/>
    <w:rsid w:val="00764AA2"/>
    <w:rsid w:val="00765C40"/>
    <w:rsid w:val="007663FB"/>
    <w:rsid w:val="00766868"/>
    <w:rsid w:val="0076793C"/>
    <w:rsid w:val="00772C31"/>
    <w:rsid w:val="00773880"/>
    <w:rsid w:val="007760CF"/>
    <w:rsid w:val="00777DEA"/>
    <w:rsid w:val="00780D78"/>
    <w:rsid w:val="0078143C"/>
    <w:rsid w:val="00782A76"/>
    <w:rsid w:val="00783123"/>
    <w:rsid w:val="00783678"/>
    <w:rsid w:val="0078568E"/>
    <w:rsid w:val="00786DCD"/>
    <w:rsid w:val="00787170"/>
    <w:rsid w:val="00787A3A"/>
    <w:rsid w:val="00787BAA"/>
    <w:rsid w:val="00791DA5"/>
    <w:rsid w:val="007928C6"/>
    <w:rsid w:val="00794329"/>
    <w:rsid w:val="0079466F"/>
    <w:rsid w:val="0079509C"/>
    <w:rsid w:val="00795748"/>
    <w:rsid w:val="00795E89"/>
    <w:rsid w:val="00796ED8"/>
    <w:rsid w:val="00797333"/>
    <w:rsid w:val="00797AAC"/>
    <w:rsid w:val="007A17BE"/>
    <w:rsid w:val="007A1A5D"/>
    <w:rsid w:val="007A1BBE"/>
    <w:rsid w:val="007A23EE"/>
    <w:rsid w:val="007A2538"/>
    <w:rsid w:val="007A2FD8"/>
    <w:rsid w:val="007A60B3"/>
    <w:rsid w:val="007A6824"/>
    <w:rsid w:val="007B02B3"/>
    <w:rsid w:val="007B0400"/>
    <w:rsid w:val="007B1B4B"/>
    <w:rsid w:val="007B2209"/>
    <w:rsid w:val="007B276F"/>
    <w:rsid w:val="007B2804"/>
    <w:rsid w:val="007B2B7A"/>
    <w:rsid w:val="007B5595"/>
    <w:rsid w:val="007B6FD9"/>
    <w:rsid w:val="007C1B66"/>
    <w:rsid w:val="007C4425"/>
    <w:rsid w:val="007C5F69"/>
    <w:rsid w:val="007C60FA"/>
    <w:rsid w:val="007C73BD"/>
    <w:rsid w:val="007D113F"/>
    <w:rsid w:val="007D2695"/>
    <w:rsid w:val="007D337F"/>
    <w:rsid w:val="007D3876"/>
    <w:rsid w:val="007D481D"/>
    <w:rsid w:val="007D5020"/>
    <w:rsid w:val="007D6BD7"/>
    <w:rsid w:val="007E08D6"/>
    <w:rsid w:val="007E0B42"/>
    <w:rsid w:val="007E1233"/>
    <w:rsid w:val="007E16D3"/>
    <w:rsid w:val="007E1EF3"/>
    <w:rsid w:val="007E37A9"/>
    <w:rsid w:val="007E39A0"/>
    <w:rsid w:val="007E4565"/>
    <w:rsid w:val="007E5381"/>
    <w:rsid w:val="007E611D"/>
    <w:rsid w:val="007E7BA9"/>
    <w:rsid w:val="007F1891"/>
    <w:rsid w:val="007F450D"/>
    <w:rsid w:val="007F5308"/>
    <w:rsid w:val="007F784E"/>
    <w:rsid w:val="008004D3"/>
    <w:rsid w:val="00800DF6"/>
    <w:rsid w:val="00800F75"/>
    <w:rsid w:val="00800FD0"/>
    <w:rsid w:val="00801F87"/>
    <w:rsid w:val="008029C7"/>
    <w:rsid w:val="00804EE1"/>
    <w:rsid w:val="00805B5C"/>
    <w:rsid w:val="00807620"/>
    <w:rsid w:val="00807965"/>
    <w:rsid w:val="00810876"/>
    <w:rsid w:val="00811B58"/>
    <w:rsid w:val="00812798"/>
    <w:rsid w:val="00812835"/>
    <w:rsid w:val="008153F8"/>
    <w:rsid w:val="00816AC8"/>
    <w:rsid w:val="008173B0"/>
    <w:rsid w:val="008200FB"/>
    <w:rsid w:val="00821141"/>
    <w:rsid w:val="00822571"/>
    <w:rsid w:val="008232DD"/>
    <w:rsid w:val="00823902"/>
    <w:rsid w:val="00824802"/>
    <w:rsid w:val="008263E2"/>
    <w:rsid w:val="0082700D"/>
    <w:rsid w:val="00827F91"/>
    <w:rsid w:val="00831651"/>
    <w:rsid w:val="008319C8"/>
    <w:rsid w:val="00833C92"/>
    <w:rsid w:val="00840394"/>
    <w:rsid w:val="00840F31"/>
    <w:rsid w:val="008419BB"/>
    <w:rsid w:val="00841D8F"/>
    <w:rsid w:val="008431B0"/>
    <w:rsid w:val="00844642"/>
    <w:rsid w:val="00846665"/>
    <w:rsid w:val="00846717"/>
    <w:rsid w:val="00850BB2"/>
    <w:rsid w:val="00851813"/>
    <w:rsid w:val="00852D5A"/>
    <w:rsid w:val="00853949"/>
    <w:rsid w:val="00853F77"/>
    <w:rsid w:val="00854450"/>
    <w:rsid w:val="00855A56"/>
    <w:rsid w:val="00860FEB"/>
    <w:rsid w:val="00861A20"/>
    <w:rsid w:val="00864673"/>
    <w:rsid w:val="00864E48"/>
    <w:rsid w:val="0086597B"/>
    <w:rsid w:val="00866272"/>
    <w:rsid w:val="00870956"/>
    <w:rsid w:val="00871995"/>
    <w:rsid w:val="00871A63"/>
    <w:rsid w:val="008731DE"/>
    <w:rsid w:val="00875001"/>
    <w:rsid w:val="00875926"/>
    <w:rsid w:val="00875BFF"/>
    <w:rsid w:val="00875C42"/>
    <w:rsid w:val="008760E7"/>
    <w:rsid w:val="008763BA"/>
    <w:rsid w:val="0087734D"/>
    <w:rsid w:val="00877C4E"/>
    <w:rsid w:val="0088000C"/>
    <w:rsid w:val="008804CE"/>
    <w:rsid w:val="008805BC"/>
    <w:rsid w:val="00880697"/>
    <w:rsid w:val="008825A8"/>
    <w:rsid w:val="00882B00"/>
    <w:rsid w:val="0088457B"/>
    <w:rsid w:val="008845B8"/>
    <w:rsid w:val="00884785"/>
    <w:rsid w:val="00887713"/>
    <w:rsid w:val="0089064B"/>
    <w:rsid w:val="00891B64"/>
    <w:rsid w:val="00893394"/>
    <w:rsid w:val="008933BC"/>
    <w:rsid w:val="00893A3D"/>
    <w:rsid w:val="00893F38"/>
    <w:rsid w:val="00894CDB"/>
    <w:rsid w:val="00894CFA"/>
    <w:rsid w:val="00896DC0"/>
    <w:rsid w:val="0089759F"/>
    <w:rsid w:val="00897773"/>
    <w:rsid w:val="008A4CCD"/>
    <w:rsid w:val="008A52CE"/>
    <w:rsid w:val="008A6481"/>
    <w:rsid w:val="008A7234"/>
    <w:rsid w:val="008B013D"/>
    <w:rsid w:val="008B049B"/>
    <w:rsid w:val="008B0DF3"/>
    <w:rsid w:val="008B2966"/>
    <w:rsid w:val="008B4052"/>
    <w:rsid w:val="008B4FA3"/>
    <w:rsid w:val="008B5178"/>
    <w:rsid w:val="008B7536"/>
    <w:rsid w:val="008B7BE7"/>
    <w:rsid w:val="008C0AA6"/>
    <w:rsid w:val="008C368A"/>
    <w:rsid w:val="008C536E"/>
    <w:rsid w:val="008C6850"/>
    <w:rsid w:val="008C7DEB"/>
    <w:rsid w:val="008D1B2B"/>
    <w:rsid w:val="008D3C25"/>
    <w:rsid w:val="008D40A5"/>
    <w:rsid w:val="008D5FFA"/>
    <w:rsid w:val="008D7329"/>
    <w:rsid w:val="008D7C97"/>
    <w:rsid w:val="008E04CC"/>
    <w:rsid w:val="008E086C"/>
    <w:rsid w:val="008E36BE"/>
    <w:rsid w:val="008E6C4E"/>
    <w:rsid w:val="008E70F5"/>
    <w:rsid w:val="008F00DB"/>
    <w:rsid w:val="008F0AC7"/>
    <w:rsid w:val="008F1EF0"/>
    <w:rsid w:val="008F63AA"/>
    <w:rsid w:val="008F64B9"/>
    <w:rsid w:val="008F6C91"/>
    <w:rsid w:val="008F7783"/>
    <w:rsid w:val="009004F1"/>
    <w:rsid w:val="00901EFC"/>
    <w:rsid w:val="009045DC"/>
    <w:rsid w:val="0090532B"/>
    <w:rsid w:val="0090668B"/>
    <w:rsid w:val="00907EAC"/>
    <w:rsid w:val="00910B98"/>
    <w:rsid w:val="00912B43"/>
    <w:rsid w:val="0091412B"/>
    <w:rsid w:val="00914424"/>
    <w:rsid w:val="0091521E"/>
    <w:rsid w:val="009160EE"/>
    <w:rsid w:val="00917D22"/>
    <w:rsid w:val="00925542"/>
    <w:rsid w:val="00926317"/>
    <w:rsid w:val="0092725B"/>
    <w:rsid w:val="00930A01"/>
    <w:rsid w:val="009311BD"/>
    <w:rsid w:val="00931B05"/>
    <w:rsid w:val="00933C0F"/>
    <w:rsid w:val="00935849"/>
    <w:rsid w:val="00937E63"/>
    <w:rsid w:val="009417E2"/>
    <w:rsid w:val="0094207E"/>
    <w:rsid w:val="00942CFB"/>
    <w:rsid w:val="00943E7E"/>
    <w:rsid w:val="00943EC2"/>
    <w:rsid w:val="009460BB"/>
    <w:rsid w:val="00946C5E"/>
    <w:rsid w:val="00946E79"/>
    <w:rsid w:val="009525F8"/>
    <w:rsid w:val="00954301"/>
    <w:rsid w:val="00955996"/>
    <w:rsid w:val="00956245"/>
    <w:rsid w:val="0095722E"/>
    <w:rsid w:val="00957CFB"/>
    <w:rsid w:val="00960403"/>
    <w:rsid w:val="00961C1A"/>
    <w:rsid w:val="00962AF8"/>
    <w:rsid w:val="00962E2F"/>
    <w:rsid w:val="009638B6"/>
    <w:rsid w:val="00965612"/>
    <w:rsid w:val="00965A56"/>
    <w:rsid w:val="00966F57"/>
    <w:rsid w:val="0096796C"/>
    <w:rsid w:val="009702BE"/>
    <w:rsid w:val="0097230C"/>
    <w:rsid w:val="0097396C"/>
    <w:rsid w:val="00975CD5"/>
    <w:rsid w:val="00980077"/>
    <w:rsid w:val="00980480"/>
    <w:rsid w:val="00980A77"/>
    <w:rsid w:val="00982997"/>
    <w:rsid w:val="009835ED"/>
    <w:rsid w:val="00986BBE"/>
    <w:rsid w:val="00987075"/>
    <w:rsid w:val="009879F8"/>
    <w:rsid w:val="00987C44"/>
    <w:rsid w:val="009915D1"/>
    <w:rsid w:val="00995AB1"/>
    <w:rsid w:val="00995E88"/>
    <w:rsid w:val="00996769"/>
    <w:rsid w:val="00996982"/>
    <w:rsid w:val="009A0F99"/>
    <w:rsid w:val="009A172D"/>
    <w:rsid w:val="009A1B33"/>
    <w:rsid w:val="009A22B9"/>
    <w:rsid w:val="009A29E8"/>
    <w:rsid w:val="009A2C77"/>
    <w:rsid w:val="009A437C"/>
    <w:rsid w:val="009A49C5"/>
    <w:rsid w:val="009A645C"/>
    <w:rsid w:val="009A69C5"/>
    <w:rsid w:val="009B067D"/>
    <w:rsid w:val="009B0E16"/>
    <w:rsid w:val="009B1720"/>
    <w:rsid w:val="009B2337"/>
    <w:rsid w:val="009B2C7C"/>
    <w:rsid w:val="009B2D98"/>
    <w:rsid w:val="009B4126"/>
    <w:rsid w:val="009B4BBB"/>
    <w:rsid w:val="009B5851"/>
    <w:rsid w:val="009B6669"/>
    <w:rsid w:val="009B6BB3"/>
    <w:rsid w:val="009C02B6"/>
    <w:rsid w:val="009C1DDF"/>
    <w:rsid w:val="009C383B"/>
    <w:rsid w:val="009C5E02"/>
    <w:rsid w:val="009C5F9C"/>
    <w:rsid w:val="009C71C9"/>
    <w:rsid w:val="009C76D2"/>
    <w:rsid w:val="009D0DF2"/>
    <w:rsid w:val="009D201F"/>
    <w:rsid w:val="009D40C2"/>
    <w:rsid w:val="009D48D6"/>
    <w:rsid w:val="009D5417"/>
    <w:rsid w:val="009D623A"/>
    <w:rsid w:val="009D6B16"/>
    <w:rsid w:val="009D6C87"/>
    <w:rsid w:val="009D6CBC"/>
    <w:rsid w:val="009E0614"/>
    <w:rsid w:val="009E1D82"/>
    <w:rsid w:val="009E1F13"/>
    <w:rsid w:val="009E341E"/>
    <w:rsid w:val="009E4283"/>
    <w:rsid w:val="009E4FF0"/>
    <w:rsid w:val="009E583E"/>
    <w:rsid w:val="009E68A9"/>
    <w:rsid w:val="009E79C2"/>
    <w:rsid w:val="009F0FED"/>
    <w:rsid w:val="009F2857"/>
    <w:rsid w:val="009F45AD"/>
    <w:rsid w:val="009F4E8E"/>
    <w:rsid w:val="009F62C9"/>
    <w:rsid w:val="009F6808"/>
    <w:rsid w:val="00A00D7A"/>
    <w:rsid w:val="00A030B1"/>
    <w:rsid w:val="00A031BD"/>
    <w:rsid w:val="00A04008"/>
    <w:rsid w:val="00A051A0"/>
    <w:rsid w:val="00A11F68"/>
    <w:rsid w:val="00A14C31"/>
    <w:rsid w:val="00A15A98"/>
    <w:rsid w:val="00A171A7"/>
    <w:rsid w:val="00A174A0"/>
    <w:rsid w:val="00A21EB8"/>
    <w:rsid w:val="00A22896"/>
    <w:rsid w:val="00A22CCA"/>
    <w:rsid w:val="00A234A7"/>
    <w:rsid w:val="00A24390"/>
    <w:rsid w:val="00A2456D"/>
    <w:rsid w:val="00A24610"/>
    <w:rsid w:val="00A262C5"/>
    <w:rsid w:val="00A27007"/>
    <w:rsid w:val="00A27A49"/>
    <w:rsid w:val="00A27FDA"/>
    <w:rsid w:val="00A309DA"/>
    <w:rsid w:val="00A3142F"/>
    <w:rsid w:val="00A320C0"/>
    <w:rsid w:val="00A34F94"/>
    <w:rsid w:val="00A3524A"/>
    <w:rsid w:val="00A353C4"/>
    <w:rsid w:val="00A35735"/>
    <w:rsid w:val="00A35AC9"/>
    <w:rsid w:val="00A35FC7"/>
    <w:rsid w:val="00A365A1"/>
    <w:rsid w:val="00A373BC"/>
    <w:rsid w:val="00A374C9"/>
    <w:rsid w:val="00A37E5F"/>
    <w:rsid w:val="00A404AC"/>
    <w:rsid w:val="00A40D84"/>
    <w:rsid w:val="00A41814"/>
    <w:rsid w:val="00A42C6D"/>
    <w:rsid w:val="00A42CEC"/>
    <w:rsid w:val="00A43465"/>
    <w:rsid w:val="00A43B0A"/>
    <w:rsid w:val="00A46154"/>
    <w:rsid w:val="00A4757F"/>
    <w:rsid w:val="00A477DB"/>
    <w:rsid w:val="00A477E5"/>
    <w:rsid w:val="00A5064A"/>
    <w:rsid w:val="00A558C5"/>
    <w:rsid w:val="00A56C79"/>
    <w:rsid w:val="00A5722D"/>
    <w:rsid w:val="00A5741E"/>
    <w:rsid w:val="00A57679"/>
    <w:rsid w:val="00A57F49"/>
    <w:rsid w:val="00A60A24"/>
    <w:rsid w:val="00A61810"/>
    <w:rsid w:val="00A62903"/>
    <w:rsid w:val="00A63AB7"/>
    <w:rsid w:val="00A63DF8"/>
    <w:rsid w:val="00A63E04"/>
    <w:rsid w:val="00A647C1"/>
    <w:rsid w:val="00A654E3"/>
    <w:rsid w:val="00A6589C"/>
    <w:rsid w:val="00A667A7"/>
    <w:rsid w:val="00A66BB9"/>
    <w:rsid w:val="00A70503"/>
    <w:rsid w:val="00A71F95"/>
    <w:rsid w:val="00A7265C"/>
    <w:rsid w:val="00A74122"/>
    <w:rsid w:val="00A74DB7"/>
    <w:rsid w:val="00A8001E"/>
    <w:rsid w:val="00A8211E"/>
    <w:rsid w:val="00A83186"/>
    <w:rsid w:val="00A852DC"/>
    <w:rsid w:val="00A8683D"/>
    <w:rsid w:val="00A86979"/>
    <w:rsid w:val="00A90D97"/>
    <w:rsid w:val="00A91F75"/>
    <w:rsid w:val="00A9342C"/>
    <w:rsid w:val="00A95A8D"/>
    <w:rsid w:val="00A95C10"/>
    <w:rsid w:val="00A973B6"/>
    <w:rsid w:val="00A973F5"/>
    <w:rsid w:val="00A97FCC"/>
    <w:rsid w:val="00AA02F9"/>
    <w:rsid w:val="00AA184A"/>
    <w:rsid w:val="00AA1AAA"/>
    <w:rsid w:val="00AA410B"/>
    <w:rsid w:val="00AA558D"/>
    <w:rsid w:val="00AA5B9D"/>
    <w:rsid w:val="00AA5F5A"/>
    <w:rsid w:val="00AA6A4F"/>
    <w:rsid w:val="00AB2A75"/>
    <w:rsid w:val="00AB2DFE"/>
    <w:rsid w:val="00AB3BB4"/>
    <w:rsid w:val="00AB46DD"/>
    <w:rsid w:val="00AB621B"/>
    <w:rsid w:val="00AB6350"/>
    <w:rsid w:val="00AB6F3D"/>
    <w:rsid w:val="00AB7346"/>
    <w:rsid w:val="00AB742D"/>
    <w:rsid w:val="00AC0ADD"/>
    <w:rsid w:val="00AC1508"/>
    <w:rsid w:val="00AC2EB9"/>
    <w:rsid w:val="00AC5625"/>
    <w:rsid w:val="00AC5FE8"/>
    <w:rsid w:val="00AC741F"/>
    <w:rsid w:val="00AD086D"/>
    <w:rsid w:val="00AD1257"/>
    <w:rsid w:val="00AD14D4"/>
    <w:rsid w:val="00AD18CF"/>
    <w:rsid w:val="00AD19F7"/>
    <w:rsid w:val="00AD35E5"/>
    <w:rsid w:val="00AD360F"/>
    <w:rsid w:val="00AD3C6C"/>
    <w:rsid w:val="00AD5E12"/>
    <w:rsid w:val="00AD7A8A"/>
    <w:rsid w:val="00AD7D68"/>
    <w:rsid w:val="00AE3BB9"/>
    <w:rsid w:val="00AE5C97"/>
    <w:rsid w:val="00AE798B"/>
    <w:rsid w:val="00AF0BEB"/>
    <w:rsid w:val="00AF0F4E"/>
    <w:rsid w:val="00AF19AD"/>
    <w:rsid w:val="00AF511D"/>
    <w:rsid w:val="00AF658E"/>
    <w:rsid w:val="00AF7727"/>
    <w:rsid w:val="00B02C52"/>
    <w:rsid w:val="00B02DD6"/>
    <w:rsid w:val="00B02FD6"/>
    <w:rsid w:val="00B047D8"/>
    <w:rsid w:val="00B048E0"/>
    <w:rsid w:val="00B04E77"/>
    <w:rsid w:val="00B053E7"/>
    <w:rsid w:val="00B054C7"/>
    <w:rsid w:val="00B05C4F"/>
    <w:rsid w:val="00B05CAA"/>
    <w:rsid w:val="00B06B20"/>
    <w:rsid w:val="00B07571"/>
    <w:rsid w:val="00B07632"/>
    <w:rsid w:val="00B102D9"/>
    <w:rsid w:val="00B109CE"/>
    <w:rsid w:val="00B10A23"/>
    <w:rsid w:val="00B111B6"/>
    <w:rsid w:val="00B11C76"/>
    <w:rsid w:val="00B11E1B"/>
    <w:rsid w:val="00B13F0E"/>
    <w:rsid w:val="00B15545"/>
    <w:rsid w:val="00B1707E"/>
    <w:rsid w:val="00B20450"/>
    <w:rsid w:val="00B20B78"/>
    <w:rsid w:val="00B20FC8"/>
    <w:rsid w:val="00B23AEE"/>
    <w:rsid w:val="00B248EC"/>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2E0A"/>
    <w:rsid w:val="00B43274"/>
    <w:rsid w:val="00B43BC5"/>
    <w:rsid w:val="00B44480"/>
    <w:rsid w:val="00B450A5"/>
    <w:rsid w:val="00B454BB"/>
    <w:rsid w:val="00B47378"/>
    <w:rsid w:val="00B5122A"/>
    <w:rsid w:val="00B515CE"/>
    <w:rsid w:val="00B52BFB"/>
    <w:rsid w:val="00B55E2B"/>
    <w:rsid w:val="00B5750D"/>
    <w:rsid w:val="00B6229E"/>
    <w:rsid w:val="00B63099"/>
    <w:rsid w:val="00B631A1"/>
    <w:rsid w:val="00B6436F"/>
    <w:rsid w:val="00B65769"/>
    <w:rsid w:val="00B6592B"/>
    <w:rsid w:val="00B67AEF"/>
    <w:rsid w:val="00B70D8D"/>
    <w:rsid w:val="00B716CC"/>
    <w:rsid w:val="00B722EE"/>
    <w:rsid w:val="00B72DEC"/>
    <w:rsid w:val="00B738D2"/>
    <w:rsid w:val="00B74556"/>
    <w:rsid w:val="00B74A21"/>
    <w:rsid w:val="00B75690"/>
    <w:rsid w:val="00B8018F"/>
    <w:rsid w:val="00B80423"/>
    <w:rsid w:val="00B80D4C"/>
    <w:rsid w:val="00B81614"/>
    <w:rsid w:val="00B82499"/>
    <w:rsid w:val="00B82937"/>
    <w:rsid w:val="00B84451"/>
    <w:rsid w:val="00B859CD"/>
    <w:rsid w:val="00B9075C"/>
    <w:rsid w:val="00B91A42"/>
    <w:rsid w:val="00B91AF4"/>
    <w:rsid w:val="00B93ADD"/>
    <w:rsid w:val="00B93BD3"/>
    <w:rsid w:val="00B9558B"/>
    <w:rsid w:val="00B95DE8"/>
    <w:rsid w:val="00B965D2"/>
    <w:rsid w:val="00B96E0E"/>
    <w:rsid w:val="00B97327"/>
    <w:rsid w:val="00BA0C02"/>
    <w:rsid w:val="00BA17D4"/>
    <w:rsid w:val="00BA20B9"/>
    <w:rsid w:val="00BA27D3"/>
    <w:rsid w:val="00BA2FFF"/>
    <w:rsid w:val="00BA5374"/>
    <w:rsid w:val="00BA64A1"/>
    <w:rsid w:val="00BB1E72"/>
    <w:rsid w:val="00BB33E9"/>
    <w:rsid w:val="00BB381B"/>
    <w:rsid w:val="00BB70F8"/>
    <w:rsid w:val="00BC01D3"/>
    <w:rsid w:val="00BC0875"/>
    <w:rsid w:val="00BC0DEF"/>
    <w:rsid w:val="00BC0F00"/>
    <w:rsid w:val="00BC2C96"/>
    <w:rsid w:val="00BC3610"/>
    <w:rsid w:val="00BC414E"/>
    <w:rsid w:val="00BC4725"/>
    <w:rsid w:val="00BC4B0C"/>
    <w:rsid w:val="00BC5559"/>
    <w:rsid w:val="00BC6943"/>
    <w:rsid w:val="00BD106D"/>
    <w:rsid w:val="00BD1F90"/>
    <w:rsid w:val="00BD2485"/>
    <w:rsid w:val="00BD6C1E"/>
    <w:rsid w:val="00BD6D7F"/>
    <w:rsid w:val="00BD7E16"/>
    <w:rsid w:val="00BE07E2"/>
    <w:rsid w:val="00BE0B24"/>
    <w:rsid w:val="00BE1092"/>
    <w:rsid w:val="00BE1545"/>
    <w:rsid w:val="00BE1A8E"/>
    <w:rsid w:val="00BE5113"/>
    <w:rsid w:val="00BE61E9"/>
    <w:rsid w:val="00BE656C"/>
    <w:rsid w:val="00BE6EDB"/>
    <w:rsid w:val="00BF58FB"/>
    <w:rsid w:val="00BF64A3"/>
    <w:rsid w:val="00BF64B9"/>
    <w:rsid w:val="00C00263"/>
    <w:rsid w:val="00C02199"/>
    <w:rsid w:val="00C0313C"/>
    <w:rsid w:val="00C0443F"/>
    <w:rsid w:val="00C05730"/>
    <w:rsid w:val="00C057E6"/>
    <w:rsid w:val="00C05DB1"/>
    <w:rsid w:val="00C06189"/>
    <w:rsid w:val="00C0694C"/>
    <w:rsid w:val="00C06E4A"/>
    <w:rsid w:val="00C07704"/>
    <w:rsid w:val="00C108BA"/>
    <w:rsid w:val="00C12273"/>
    <w:rsid w:val="00C12876"/>
    <w:rsid w:val="00C156C4"/>
    <w:rsid w:val="00C1677B"/>
    <w:rsid w:val="00C17372"/>
    <w:rsid w:val="00C1795E"/>
    <w:rsid w:val="00C22A6C"/>
    <w:rsid w:val="00C23AC6"/>
    <w:rsid w:val="00C24F55"/>
    <w:rsid w:val="00C2500F"/>
    <w:rsid w:val="00C25D97"/>
    <w:rsid w:val="00C2625B"/>
    <w:rsid w:val="00C275E0"/>
    <w:rsid w:val="00C30191"/>
    <w:rsid w:val="00C326B0"/>
    <w:rsid w:val="00C32755"/>
    <w:rsid w:val="00C337A7"/>
    <w:rsid w:val="00C33CBB"/>
    <w:rsid w:val="00C35DC4"/>
    <w:rsid w:val="00C36D6C"/>
    <w:rsid w:val="00C37951"/>
    <w:rsid w:val="00C37B4C"/>
    <w:rsid w:val="00C40C99"/>
    <w:rsid w:val="00C4101A"/>
    <w:rsid w:val="00C43A76"/>
    <w:rsid w:val="00C45C9A"/>
    <w:rsid w:val="00C5118F"/>
    <w:rsid w:val="00C51D97"/>
    <w:rsid w:val="00C52694"/>
    <w:rsid w:val="00C52DB1"/>
    <w:rsid w:val="00C53B45"/>
    <w:rsid w:val="00C55677"/>
    <w:rsid w:val="00C56163"/>
    <w:rsid w:val="00C56DAC"/>
    <w:rsid w:val="00C60D05"/>
    <w:rsid w:val="00C61126"/>
    <w:rsid w:val="00C616FB"/>
    <w:rsid w:val="00C636D8"/>
    <w:rsid w:val="00C660AD"/>
    <w:rsid w:val="00C662B6"/>
    <w:rsid w:val="00C66B35"/>
    <w:rsid w:val="00C67DAC"/>
    <w:rsid w:val="00C706AB"/>
    <w:rsid w:val="00C70BDD"/>
    <w:rsid w:val="00C70BEB"/>
    <w:rsid w:val="00C71CE5"/>
    <w:rsid w:val="00C732AB"/>
    <w:rsid w:val="00C73B2A"/>
    <w:rsid w:val="00C74B02"/>
    <w:rsid w:val="00C74DAD"/>
    <w:rsid w:val="00C771E8"/>
    <w:rsid w:val="00C77C28"/>
    <w:rsid w:val="00C8068A"/>
    <w:rsid w:val="00C81CFF"/>
    <w:rsid w:val="00C84172"/>
    <w:rsid w:val="00C87BE2"/>
    <w:rsid w:val="00C90E7A"/>
    <w:rsid w:val="00C91097"/>
    <w:rsid w:val="00C91E54"/>
    <w:rsid w:val="00C922C1"/>
    <w:rsid w:val="00C92F5C"/>
    <w:rsid w:val="00C956C2"/>
    <w:rsid w:val="00C95D3D"/>
    <w:rsid w:val="00C95F17"/>
    <w:rsid w:val="00C96163"/>
    <w:rsid w:val="00C975AC"/>
    <w:rsid w:val="00C97829"/>
    <w:rsid w:val="00CA1288"/>
    <w:rsid w:val="00CA2750"/>
    <w:rsid w:val="00CA320E"/>
    <w:rsid w:val="00CA4093"/>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A35"/>
    <w:rsid w:val="00CC3D35"/>
    <w:rsid w:val="00CC4229"/>
    <w:rsid w:val="00CC423C"/>
    <w:rsid w:val="00CC4654"/>
    <w:rsid w:val="00CC4AEC"/>
    <w:rsid w:val="00CC5853"/>
    <w:rsid w:val="00CC5AD2"/>
    <w:rsid w:val="00CC67E6"/>
    <w:rsid w:val="00CC6D32"/>
    <w:rsid w:val="00CD014A"/>
    <w:rsid w:val="00CD1C15"/>
    <w:rsid w:val="00CD3FFB"/>
    <w:rsid w:val="00CD4858"/>
    <w:rsid w:val="00CD6293"/>
    <w:rsid w:val="00CD7ACA"/>
    <w:rsid w:val="00CE011B"/>
    <w:rsid w:val="00CE02B4"/>
    <w:rsid w:val="00CE0AC5"/>
    <w:rsid w:val="00CE1892"/>
    <w:rsid w:val="00CE1B29"/>
    <w:rsid w:val="00CE1C71"/>
    <w:rsid w:val="00CE2407"/>
    <w:rsid w:val="00CE4BC8"/>
    <w:rsid w:val="00CE4D66"/>
    <w:rsid w:val="00CE627D"/>
    <w:rsid w:val="00CF0078"/>
    <w:rsid w:val="00CF0182"/>
    <w:rsid w:val="00CF1E82"/>
    <w:rsid w:val="00CF4275"/>
    <w:rsid w:val="00CF4E50"/>
    <w:rsid w:val="00CF502A"/>
    <w:rsid w:val="00CF54D5"/>
    <w:rsid w:val="00CF7741"/>
    <w:rsid w:val="00CF7AE3"/>
    <w:rsid w:val="00D00A7B"/>
    <w:rsid w:val="00D00CC9"/>
    <w:rsid w:val="00D00E7A"/>
    <w:rsid w:val="00D013D6"/>
    <w:rsid w:val="00D01494"/>
    <w:rsid w:val="00D0212A"/>
    <w:rsid w:val="00D025BD"/>
    <w:rsid w:val="00D02E14"/>
    <w:rsid w:val="00D02F94"/>
    <w:rsid w:val="00D030A7"/>
    <w:rsid w:val="00D031C6"/>
    <w:rsid w:val="00D0373F"/>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CF7"/>
    <w:rsid w:val="00D26E1B"/>
    <w:rsid w:val="00D3214A"/>
    <w:rsid w:val="00D3250A"/>
    <w:rsid w:val="00D33114"/>
    <w:rsid w:val="00D33325"/>
    <w:rsid w:val="00D3356D"/>
    <w:rsid w:val="00D3454C"/>
    <w:rsid w:val="00D34E5A"/>
    <w:rsid w:val="00D352D0"/>
    <w:rsid w:val="00D37741"/>
    <w:rsid w:val="00D41917"/>
    <w:rsid w:val="00D46E96"/>
    <w:rsid w:val="00D50121"/>
    <w:rsid w:val="00D50C89"/>
    <w:rsid w:val="00D527AA"/>
    <w:rsid w:val="00D5289E"/>
    <w:rsid w:val="00D53067"/>
    <w:rsid w:val="00D54737"/>
    <w:rsid w:val="00D5496C"/>
    <w:rsid w:val="00D55256"/>
    <w:rsid w:val="00D56A1A"/>
    <w:rsid w:val="00D56AA6"/>
    <w:rsid w:val="00D56F2E"/>
    <w:rsid w:val="00D60468"/>
    <w:rsid w:val="00D604BE"/>
    <w:rsid w:val="00D608F0"/>
    <w:rsid w:val="00D60BE1"/>
    <w:rsid w:val="00D61E06"/>
    <w:rsid w:val="00D63C93"/>
    <w:rsid w:val="00D64602"/>
    <w:rsid w:val="00D64D83"/>
    <w:rsid w:val="00D64E55"/>
    <w:rsid w:val="00D66E2F"/>
    <w:rsid w:val="00D70E04"/>
    <w:rsid w:val="00D70F82"/>
    <w:rsid w:val="00D71252"/>
    <w:rsid w:val="00D724B6"/>
    <w:rsid w:val="00D746E2"/>
    <w:rsid w:val="00D75BBC"/>
    <w:rsid w:val="00D80387"/>
    <w:rsid w:val="00D80FDF"/>
    <w:rsid w:val="00D81275"/>
    <w:rsid w:val="00D812CC"/>
    <w:rsid w:val="00D815CB"/>
    <w:rsid w:val="00D84F2B"/>
    <w:rsid w:val="00D8503C"/>
    <w:rsid w:val="00D86FDA"/>
    <w:rsid w:val="00D87EB0"/>
    <w:rsid w:val="00D903C6"/>
    <w:rsid w:val="00D9041D"/>
    <w:rsid w:val="00D90B10"/>
    <w:rsid w:val="00D914C4"/>
    <w:rsid w:val="00D91F9B"/>
    <w:rsid w:val="00D926BE"/>
    <w:rsid w:val="00D9348E"/>
    <w:rsid w:val="00D93C29"/>
    <w:rsid w:val="00D949D7"/>
    <w:rsid w:val="00D94A5D"/>
    <w:rsid w:val="00D96C73"/>
    <w:rsid w:val="00D9791A"/>
    <w:rsid w:val="00DA2F20"/>
    <w:rsid w:val="00DA38F3"/>
    <w:rsid w:val="00DA4A77"/>
    <w:rsid w:val="00DA621C"/>
    <w:rsid w:val="00DA6F28"/>
    <w:rsid w:val="00DA77D0"/>
    <w:rsid w:val="00DA7DCA"/>
    <w:rsid w:val="00DB00F5"/>
    <w:rsid w:val="00DB0163"/>
    <w:rsid w:val="00DB164D"/>
    <w:rsid w:val="00DB44BD"/>
    <w:rsid w:val="00DB5CC2"/>
    <w:rsid w:val="00DB5E7B"/>
    <w:rsid w:val="00DB6B23"/>
    <w:rsid w:val="00DB6F38"/>
    <w:rsid w:val="00DB7053"/>
    <w:rsid w:val="00DC0039"/>
    <w:rsid w:val="00DC1D8D"/>
    <w:rsid w:val="00DC6E41"/>
    <w:rsid w:val="00DC6F8A"/>
    <w:rsid w:val="00DD04E3"/>
    <w:rsid w:val="00DD0F70"/>
    <w:rsid w:val="00DD32BB"/>
    <w:rsid w:val="00DD46E2"/>
    <w:rsid w:val="00DD4873"/>
    <w:rsid w:val="00DD5923"/>
    <w:rsid w:val="00DE08E0"/>
    <w:rsid w:val="00DE1BE7"/>
    <w:rsid w:val="00DE23E6"/>
    <w:rsid w:val="00DE402F"/>
    <w:rsid w:val="00DE4B22"/>
    <w:rsid w:val="00DE50F9"/>
    <w:rsid w:val="00DE7E6C"/>
    <w:rsid w:val="00DF054F"/>
    <w:rsid w:val="00DF0F4D"/>
    <w:rsid w:val="00DF2555"/>
    <w:rsid w:val="00DF51E4"/>
    <w:rsid w:val="00DF5201"/>
    <w:rsid w:val="00DF6D91"/>
    <w:rsid w:val="00DF7564"/>
    <w:rsid w:val="00DF77FA"/>
    <w:rsid w:val="00E01D21"/>
    <w:rsid w:val="00E03A73"/>
    <w:rsid w:val="00E05B60"/>
    <w:rsid w:val="00E07571"/>
    <w:rsid w:val="00E105A2"/>
    <w:rsid w:val="00E10DF5"/>
    <w:rsid w:val="00E11DEC"/>
    <w:rsid w:val="00E123AF"/>
    <w:rsid w:val="00E123E8"/>
    <w:rsid w:val="00E131F5"/>
    <w:rsid w:val="00E13798"/>
    <w:rsid w:val="00E140F9"/>
    <w:rsid w:val="00E14850"/>
    <w:rsid w:val="00E153F5"/>
    <w:rsid w:val="00E16183"/>
    <w:rsid w:val="00E21128"/>
    <w:rsid w:val="00E23900"/>
    <w:rsid w:val="00E25048"/>
    <w:rsid w:val="00E25687"/>
    <w:rsid w:val="00E26238"/>
    <w:rsid w:val="00E26560"/>
    <w:rsid w:val="00E26C8A"/>
    <w:rsid w:val="00E27758"/>
    <w:rsid w:val="00E30763"/>
    <w:rsid w:val="00E31B41"/>
    <w:rsid w:val="00E32CA9"/>
    <w:rsid w:val="00E32D91"/>
    <w:rsid w:val="00E33753"/>
    <w:rsid w:val="00E33978"/>
    <w:rsid w:val="00E35C90"/>
    <w:rsid w:val="00E36ED0"/>
    <w:rsid w:val="00E37BE6"/>
    <w:rsid w:val="00E4191A"/>
    <w:rsid w:val="00E435E0"/>
    <w:rsid w:val="00E44F8F"/>
    <w:rsid w:val="00E4574D"/>
    <w:rsid w:val="00E47411"/>
    <w:rsid w:val="00E51086"/>
    <w:rsid w:val="00E51E6B"/>
    <w:rsid w:val="00E522CC"/>
    <w:rsid w:val="00E5276A"/>
    <w:rsid w:val="00E52BF3"/>
    <w:rsid w:val="00E52C59"/>
    <w:rsid w:val="00E5399A"/>
    <w:rsid w:val="00E53A68"/>
    <w:rsid w:val="00E544C0"/>
    <w:rsid w:val="00E5498D"/>
    <w:rsid w:val="00E56192"/>
    <w:rsid w:val="00E56A54"/>
    <w:rsid w:val="00E56BEC"/>
    <w:rsid w:val="00E600C1"/>
    <w:rsid w:val="00E60D31"/>
    <w:rsid w:val="00E61A15"/>
    <w:rsid w:val="00E624E0"/>
    <w:rsid w:val="00E633D2"/>
    <w:rsid w:val="00E642EC"/>
    <w:rsid w:val="00E64E92"/>
    <w:rsid w:val="00E650D1"/>
    <w:rsid w:val="00E6554D"/>
    <w:rsid w:val="00E662A1"/>
    <w:rsid w:val="00E666FB"/>
    <w:rsid w:val="00E706B0"/>
    <w:rsid w:val="00E7222B"/>
    <w:rsid w:val="00E72D34"/>
    <w:rsid w:val="00E7331C"/>
    <w:rsid w:val="00E73991"/>
    <w:rsid w:val="00E7405D"/>
    <w:rsid w:val="00E748CF"/>
    <w:rsid w:val="00E75680"/>
    <w:rsid w:val="00E76416"/>
    <w:rsid w:val="00E76601"/>
    <w:rsid w:val="00E773FE"/>
    <w:rsid w:val="00E77BD6"/>
    <w:rsid w:val="00E806FA"/>
    <w:rsid w:val="00E81E3D"/>
    <w:rsid w:val="00E82648"/>
    <w:rsid w:val="00E82C54"/>
    <w:rsid w:val="00E83BD4"/>
    <w:rsid w:val="00E84365"/>
    <w:rsid w:val="00E85CB7"/>
    <w:rsid w:val="00E91F8D"/>
    <w:rsid w:val="00E9217D"/>
    <w:rsid w:val="00E92E61"/>
    <w:rsid w:val="00E93DB8"/>
    <w:rsid w:val="00E94140"/>
    <w:rsid w:val="00E943C4"/>
    <w:rsid w:val="00E957F9"/>
    <w:rsid w:val="00E964B1"/>
    <w:rsid w:val="00E9750C"/>
    <w:rsid w:val="00EA08A3"/>
    <w:rsid w:val="00EA19EF"/>
    <w:rsid w:val="00EA1AFB"/>
    <w:rsid w:val="00EA2795"/>
    <w:rsid w:val="00EA2822"/>
    <w:rsid w:val="00EA35FF"/>
    <w:rsid w:val="00EA3F1C"/>
    <w:rsid w:val="00EA5AFE"/>
    <w:rsid w:val="00EA7D36"/>
    <w:rsid w:val="00EB1318"/>
    <w:rsid w:val="00EB27E3"/>
    <w:rsid w:val="00EB3E96"/>
    <w:rsid w:val="00EB590D"/>
    <w:rsid w:val="00EB5D35"/>
    <w:rsid w:val="00EB6379"/>
    <w:rsid w:val="00EB7131"/>
    <w:rsid w:val="00EC44E7"/>
    <w:rsid w:val="00EC4E0B"/>
    <w:rsid w:val="00EC4EEA"/>
    <w:rsid w:val="00EC51FD"/>
    <w:rsid w:val="00EC5962"/>
    <w:rsid w:val="00EC601D"/>
    <w:rsid w:val="00EC7561"/>
    <w:rsid w:val="00EC7F1C"/>
    <w:rsid w:val="00ED074F"/>
    <w:rsid w:val="00ED0ACE"/>
    <w:rsid w:val="00ED1D54"/>
    <w:rsid w:val="00ED28EC"/>
    <w:rsid w:val="00ED2F25"/>
    <w:rsid w:val="00ED41CE"/>
    <w:rsid w:val="00ED4402"/>
    <w:rsid w:val="00ED467F"/>
    <w:rsid w:val="00ED50F3"/>
    <w:rsid w:val="00ED68A4"/>
    <w:rsid w:val="00ED7F00"/>
    <w:rsid w:val="00EE350B"/>
    <w:rsid w:val="00EE3598"/>
    <w:rsid w:val="00EE76CA"/>
    <w:rsid w:val="00EF0EFA"/>
    <w:rsid w:val="00EF0FF7"/>
    <w:rsid w:val="00EF25FB"/>
    <w:rsid w:val="00EF4B82"/>
    <w:rsid w:val="00EF4D4C"/>
    <w:rsid w:val="00EF5907"/>
    <w:rsid w:val="00EF5A55"/>
    <w:rsid w:val="00F00879"/>
    <w:rsid w:val="00F0143A"/>
    <w:rsid w:val="00F01D3C"/>
    <w:rsid w:val="00F02360"/>
    <w:rsid w:val="00F02F10"/>
    <w:rsid w:val="00F056E0"/>
    <w:rsid w:val="00F12B0F"/>
    <w:rsid w:val="00F15177"/>
    <w:rsid w:val="00F15BBF"/>
    <w:rsid w:val="00F166CE"/>
    <w:rsid w:val="00F1766D"/>
    <w:rsid w:val="00F17B8B"/>
    <w:rsid w:val="00F20ADC"/>
    <w:rsid w:val="00F20D8C"/>
    <w:rsid w:val="00F21F34"/>
    <w:rsid w:val="00F223C3"/>
    <w:rsid w:val="00F24D7F"/>
    <w:rsid w:val="00F26539"/>
    <w:rsid w:val="00F27A1E"/>
    <w:rsid w:val="00F313F3"/>
    <w:rsid w:val="00F32274"/>
    <w:rsid w:val="00F33244"/>
    <w:rsid w:val="00F3386B"/>
    <w:rsid w:val="00F35EFD"/>
    <w:rsid w:val="00F363C4"/>
    <w:rsid w:val="00F367CF"/>
    <w:rsid w:val="00F37F6A"/>
    <w:rsid w:val="00F408C2"/>
    <w:rsid w:val="00F4278D"/>
    <w:rsid w:val="00F42B94"/>
    <w:rsid w:val="00F43E5C"/>
    <w:rsid w:val="00F45347"/>
    <w:rsid w:val="00F45F22"/>
    <w:rsid w:val="00F51E40"/>
    <w:rsid w:val="00F528E5"/>
    <w:rsid w:val="00F52F36"/>
    <w:rsid w:val="00F53DC9"/>
    <w:rsid w:val="00F54296"/>
    <w:rsid w:val="00F55007"/>
    <w:rsid w:val="00F60073"/>
    <w:rsid w:val="00F614C5"/>
    <w:rsid w:val="00F66B82"/>
    <w:rsid w:val="00F66B93"/>
    <w:rsid w:val="00F677BD"/>
    <w:rsid w:val="00F70D6C"/>
    <w:rsid w:val="00F70EF2"/>
    <w:rsid w:val="00F72568"/>
    <w:rsid w:val="00F72811"/>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853B9"/>
    <w:rsid w:val="00F875BD"/>
    <w:rsid w:val="00F90283"/>
    <w:rsid w:val="00F917A9"/>
    <w:rsid w:val="00F91A00"/>
    <w:rsid w:val="00F91AC4"/>
    <w:rsid w:val="00F92F07"/>
    <w:rsid w:val="00F93241"/>
    <w:rsid w:val="00F95AAA"/>
    <w:rsid w:val="00F96402"/>
    <w:rsid w:val="00F965E8"/>
    <w:rsid w:val="00FA1CE8"/>
    <w:rsid w:val="00FA29E7"/>
    <w:rsid w:val="00FA350A"/>
    <w:rsid w:val="00FA603C"/>
    <w:rsid w:val="00FA68AF"/>
    <w:rsid w:val="00FA6924"/>
    <w:rsid w:val="00FA7AA6"/>
    <w:rsid w:val="00FB0BF3"/>
    <w:rsid w:val="00FB18A1"/>
    <w:rsid w:val="00FB1EB9"/>
    <w:rsid w:val="00FB59E0"/>
    <w:rsid w:val="00FB7A4B"/>
    <w:rsid w:val="00FB7C12"/>
    <w:rsid w:val="00FC0208"/>
    <w:rsid w:val="00FC02AF"/>
    <w:rsid w:val="00FC0A6E"/>
    <w:rsid w:val="00FC0A96"/>
    <w:rsid w:val="00FC1989"/>
    <w:rsid w:val="00FC1C6B"/>
    <w:rsid w:val="00FC330A"/>
    <w:rsid w:val="00FC3441"/>
    <w:rsid w:val="00FC520B"/>
    <w:rsid w:val="00FC59E6"/>
    <w:rsid w:val="00FC5F46"/>
    <w:rsid w:val="00FC636A"/>
    <w:rsid w:val="00FC6809"/>
    <w:rsid w:val="00FC7801"/>
    <w:rsid w:val="00FC7AF7"/>
    <w:rsid w:val="00FD04EE"/>
    <w:rsid w:val="00FD173A"/>
    <w:rsid w:val="00FD3931"/>
    <w:rsid w:val="00FD3DF8"/>
    <w:rsid w:val="00FD418A"/>
    <w:rsid w:val="00FD4A19"/>
    <w:rsid w:val="00FD4EBA"/>
    <w:rsid w:val="00FD5328"/>
    <w:rsid w:val="00FD5430"/>
    <w:rsid w:val="00FD5659"/>
    <w:rsid w:val="00FD5D21"/>
    <w:rsid w:val="00FD6AE4"/>
    <w:rsid w:val="00FD6B3A"/>
    <w:rsid w:val="00FE2256"/>
    <w:rsid w:val="00FE2E40"/>
    <w:rsid w:val="00FE33C2"/>
    <w:rsid w:val="00FE4F77"/>
    <w:rsid w:val="00FE5DE6"/>
    <w:rsid w:val="00FE6278"/>
    <w:rsid w:val="00FE68BD"/>
    <w:rsid w:val="00FF07D7"/>
    <w:rsid w:val="00FF0955"/>
    <w:rsid w:val="00FF1CF2"/>
    <w:rsid w:val="00FF2B93"/>
    <w:rsid w:val="00FF313C"/>
    <w:rsid w:val="00FF33BB"/>
    <w:rsid w:val="00FF41F7"/>
    <w:rsid w:val="00FF48ED"/>
    <w:rsid w:val="00FF4AE0"/>
    <w:rsid w:val="00FF752A"/>
    <w:rsid w:val="01395070"/>
    <w:rsid w:val="015A77D2"/>
    <w:rsid w:val="018B49C0"/>
    <w:rsid w:val="01A544B3"/>
    <w:rsid w:val="01D9415D"/>
    <w:rsid w:val="01DA2CF2"/>
    <w:rsid w:val="02442DCD"/>
    <w:rsid w:val="02442FC2"/>
    <w:rsid w:val="02475579"/>
    <w:rsid w:val="02881E0B"/>
    <w:rsid w:val="02AB0465"/>
    <w:rsid w:val="03072607"/>
    <w:rsid w:val="031F3DF1"/>
    <w:rsid w:val="03250913"/>
    <w:rsid w:val="03B92498"/>
    <w:rsid w:val="03BA6F84"/>
    <w:rsid w:val="04163446"/>
    <w:rsid w:val="041A602A"/>
    <w:rsid w:val="04221740"/>
    <w:rsid w:val="043D731B"/>
    <w:rsid w:val="044A30F0"/>
    <w:rsid w:val="0452010C"/>
    <w:rsid w:val="04673CA2"/>
    <w:rsid w:val="04682B05"/>
    <w:rsid w:val="04770389"/>
    <w:rsid w:val="04912D27"/>
    <w:rsid w:val="04A55CAF"/>
    <w:rsid w:val="04AB3B8E"/>
    <w:rsid w:val="04BF33B7"/>
    <w:rsid w:val="04C133B2"/>
    <w:rsid w:val="04EF66A6"/>
    <w:rsid w:val="04FD0BAE"/>
    <w:rsid w:val="0530678A"/>
    <w:rsid w:val="054B63EF"/>
    <w:rsid w:val="056A270C"/>
    <w:rsid w:val="05843A1B"/>
    <w:rsid w:val="0599432F"/>
    <w:rsid w:val="05C01E74"/>
    <w:rsid w:val="05DD1F63"/>
    <w:rsid w:val="061C32A2"/>
    <w:rsid w:val="062C0CFF"/>
    <w:rsid w:val="062D0413"/>
    <w:rsid w:val="0679513B"/>
    <w:rsid w:val="067D726D"/>
    <w:rsid w:val="06B036DE"/>
    <w:rsid w:val="06BC4872"/>
    <w:rsid w:val="06C947A0"/>
    <w:rsid w:val="06DC599F"/>
    <w:rsid w:val="06F21F49"/>
    <w:rsid w:val="070B6B66"/>
    <w:rsid w:val="07191D46"/>
    <w:rsid w:val="071E1739"/>
    <w:rsid w:val="07247C28"/>
    <w:rsid w:val="072639A0"/>
    <w:rsid w:val="074C4003"/>
    <w:rsid w:val="077C7FCE"/>
    <w:rsid w:val="07F177D3"/>
    <w:rsid w:val="082D0D5E"/>
    <w:rsid w:val="08362309"/>
    <w:rsid w:val="08714070"/>
    <w:rsid w:val="089F4205"/>
    <w:rsid w:val="08A47272"/>
    <w:rsid w:val="08E578C5"/>
    <w:rsid w:val="08E65ADD"/>
    <w:rsid w:val="08EF6185"/>
    <w:rsid w:val="08F31FA8"/>
    <w:rsid w:val="08F97FBE"/>
    <w:rsid w:val="08FA08F7"/>
    <w:rsid w:val="093A3733"/>
    <w:rsid w:val="09420839"/>
    <w:rsid w:val="094D790A"/>
    <w:rsid w:val="095355BE"/>
    <w:rsid w:val="097A6225"/>
    <w:rsid w:val="098E1395"/>
    <w:rsid w:val="099F5C8C"/>
    <w:rsid w:val="09BC6338"/>
    <w:rsid w:val="09E6676A"/>
    <w:rsid w:val="09ED69F7"/>
    <w:rsid w:val="0A002BCE"/>
    <w:rsid w:val="0A0106F5"/>
    <w:rsid w:val="0A1E007C"/>
    <w:rsid w:val="0A276C6C"/>
    <w:rsid w:val="0A2A1AD7"/>
    <w:rsid w:val="0A5922DF"/>
    <w:rsid w:val="0A6030E8"/>
    <w:rsid w:val="0A6946C2"/>
    <w:rsid w:val="0A6F542B"/>
    <w:rsid w:val="0A8B6142"/>
    <w:rsid w:val="0A945FCF"/>
    <w:rsid w:val="0AA83FD1"/>
    <w:rsid w:val="0AE61DC4"/>
    <w:rsid w:val="0B226B74"/>
    <w:rsid w:val="0B3D575C"/>
    <w:rsid w:val="0B445804"/>
    <w:rsid w:val="0B5B7C3A"/>
    <w:rsid w:val="0B7373D0"/>
    <w:rsid w:val="0BB80354"/>
    <w:rsid w:val="0BCD6AE0"/>
    <w:rsid w:val="0BCF0AAA"/>
    <w:rsid w:val="0BF422BF"/>
    <w:rsid w:val="0C532613"/>
    <w:rsid w:val="0C596BDC"/>
    <w:rsid w:val="0CA35A93"/>
    <w:rsid w:val="0CC10336"/>
    <w:rsid w:val="0CD8398F"/>
    <w:rsid w:val="0CEA5470"/>
    <w:rsid w:val="0CF14A50"/>
    <w:rsid w:val="0D09462E"/>
    <w:rsid w:val="0D102253"/>
    <w:rsid w:val="0D4A5F0F"/>
    <w:rsid w:val="0D58062B"/>
    <w:rsid w:val="0D6B65B1"/>
    <w:rsid w:val="0D7116ED"/>
    <w:rsid w:val="0D725B91"/>
    <w:rsid w:val="0D742406"/>
    <w:rsid w:val="0D85043F"/>
    <w:rsid w:val="0DA84C6E"/>
    <w:rsid w:val="0DBA70F0"/>
    <w:rsid w:val="0DE22AE9"/>
    <w:rsid w:val="0E0F4B19"/>
    <w:rsid w:val="0E7D2A40"/>
    <w:rsid w:val="0EC266A4"/>
    <w:rsid w:val="0ECF2B6F"/>
    <w:rsid w:val="0EF16F8A"/>
    <w:rsid w:val="0F011DAD"/>
    <w:rsid w:val="0F3E5300"/>
    <w:rsid w:val="0F49152F"/>
    <w:rsid w:val="0F4C2412"/>
    <w:rsid w:val="0FAC4C5F"/>
    <w:rsid w:val="0FB022B6"/>
    <w:rsid w:val="0FB81855"/>
    <w:rsid w:val="0FBA737B"/>
    <w:rsid w:val="0FCE1079"/>
    <w:rsid w:val="0FE812B5"/>
    <w:rsid w:val="0FEB28B1"/>
    <w:rsid w:val="10184D5C"/>
    <w:rsid w:val="101A2510"/>
    <w:rsid w:val="102A5470"/>
    <w:rsid w:val="1033406A"/>
    <w:rsid w:val="10357E4D"/>
    <w:rsid w:val="105474E0"/>
    <w:rsid w:val="10573593"/>
    <w:rsid w:val="105E66E2"/>
    <w:rsid w:val="10606175"/>
    <w:rsid w:val="10685029"/>
    <w:rsid w:val="1070041D"/>
    <w:rsid w:val="1074140A"/>
    <w:rsid w:val="10B22749"/>
    <w:rsid w:val="10E35CEE"/>
    <w:rsid w:val="10FA1D4C"/>
    <w:rsid w:val="1108709E"/>
    <w:rsid w:val="110E73FF"/>
    <w:rsid w:val="112D3B2C"/>
    <w:rsid w:val="112F54A8"/>
    <w:rsid w:val="11357601"/>
    <w:rsid w:val="114D482A"/>
    <w:rsid w:val="11F07DF7"/>
    <w:rsid w:val="12132C93"/>
    <w:rsid w:val="12237432"/>
    <w:rsid w:val="12EC5084"/>
    <w:rsid w:val="12F37AA7"/>
    <w:rsid w:val="13C04DC5"/>
    <w:rsid w:val="13C403B4"/>
    <w:rsid w:val="13D82A29"/>
    <w:rsid w:val="13DA7FEC"/>
    <w:rsid w:val="13FC7CB2"/>
    <w:rsid w:val="143D1F5C"/>
    <w:rsid w:val="14912F94"/>
    <w:rsid w:val="149716A9"/>
    <w:rsid w:val="14AC02E2"/>
    <w:rsid w:val="14BA7E1E"/>
    <w:rsid w:val="14BE346A"/>
    <w:rsid w:val="14D42C8D"/>
    <w:rsid w:val="150115A9"/>
    <w:rsid w:val="15086875"/>
    <w:rsid w:val="154C7934"/>
    <w:rsid w:val="154D68CC"/>
    <w:rsid w:val="157324C4"/>
    <w:rsid w:val="15857A9F"/>
    <w:rsid w:val="15996EE0"/>
    <w:rsid w:val="16113A6D"/>
    <w:rsid w:val="16117F11"/>
    <w:rsid w:val="161E6396"/>
    <w:rsid w:val="1682323F"/>
    <w:rsid w:val="16B014D8"/>
    <w:rsid w:val="16C60CFC"/>
    <w:rsid w:val="16CA2A4D"/>
    <w:rsid w:val="17011114"/>
    <w:rsid w:val="17086F95"/>
    <w:rsid w:val="171464C8"/>
    <w:rsid w:val="172D0CD6"/>
    <w:rsid w:val="172E1005"/>
    <w:rsid w:val="17367C2F"/>
    <w:rsid w:val="173D1A24"/>
    <w:rsid w:val="17683B61"/>
    <w:rsid w:val="176E4C91"/>
    <w:rsid w:val="17A22221"/>
    <w:rsid w:val="17E80E79"/>
    <w:rsid w:val="17FB49D5"/>
    <w:rsid w:val="181F0070"/>
    <w:rsid w:val="183529EC"/>
    <w:rsid w:val="18784278"/>
    <w:rsid w:val="187D188E"/>
    <w:rsid w:val="18B26CCE"/>
    <w:rsid w:val="18EF6E88"/>
    <w:rsid w:val="18FE29CF"/>
    <w:rsid w:val="19524AC9"/>
    <w:rsid w:val="196C14C4"/>
    <w:rsid w:val="196D36B1"/>
    <w:rsid w:val="197C636F"/>
    <w:rsid w:val="19B47531"/>
    <w:rsid w:val="19B7492C"/>
    <w:rsid w:val="19BE585F"/>
    <w:rsid w:val="19FE0D6A"/>
    <w:rsid w:val="1A1B310D"/>
    <w:rsid w:val="1A206975"/>
    <w:rsid w:val="1A406F1E"/>
    <w:rsid w:val="1A7026E7"/>
    <w:rsid w:val="1A78230D"/>
    <w:rsid w:val="1A81005B"/>
    <w:rsid w:val="1A925858"/>
    <w:rsid w:val="1AA562D2"/>
    <w:rsid w:val="1AC45552"/>
    <w:rsid w:val="1AD81A1B"/>
    <w:rsid w:val="1AF56DCF"/>
    <w:rsid w:val="1B100797"/>
    <w:rsid w:val="1B6233C8"/>
    <w:rsid w:val="1B704572"/>
    <w:rsid w:val="1B9A62B3"/>
    <w:rsid w:val="1BAA0BEC"/>
    <w:rsid w:val="1BC11A92"/>
    <w:rsid w:val="1BCB46BE"/>
    <w:rsid w:val="1BCF2401"/>
    <w:rsid w:val="1BE0460E"/>
    <w:rsid w:val="1BE702C8"/>
    <w:rsid w:val="1BFE5601"/>
    <w:rsid w:val="1C0E2F29"/>
    <w:rsid w:val="1C1D5059"/>
    <w:rsid w:val="1C324211"/>
    <w:rsid w:val="1C330BE1"/>
    <w:rsid w:val="1C5841A4"/>
    <w:rsid w:val="1C623275"/>
    <w:rsid w:val="1C6E5776"/>
    <w:rsid w:val="1C890C15"/>
    <w:rsid w:val="1CB7525E"/>
    <w:rsid w:val="1D061E52"/>
    <w:rsid w:val="1D22526D"/>
    <w:rsid w:val="1D24677C"/>
    <w:rsid w:val="1D32378B"/>
    <w:rsid w:val="1D3C0749"/>
    <w:rsid w:val="1D595A4A"/>
    <w:rsid w:val="1D5A35F1"/>
    <w:rsid w:val="1D61352C"/>
    <w:rsid w:val="1D990F18"/>
    <w:rsid w:val="1D9F14C8"/>
    <w:rsid w:val="1DCD48B9"/>
    <w:rsid w:val="1DD426E2"/>
    <w:rsid w:val="1DD933BC"/>
    <w:rsid w:val="1DEE2CE7"/>
    <w:rsid w:val="1DF7545B"/>
    <w:rsid w:val="1DF919B7"/>
    <w:rsid w:val="1DFB74DD"/>
    <w:rsid w:val="1E002D45"/>
    <w:rsid w:val="1E080442"/>
    <w:rsid w:val="1E28318B"/>
    <w:rsid w:val="1E34479D"/>
    <w:rsid w:val="1E347F24"/>
    <w:rsid w:val="1E672B40"/>
    <w:rsid w:val="1E8F7C25"/>
    <w:rsid w:val="1EE937D9"/>
    <w:rsid w:val="1EF9717D"/>
    <w:rsid w:val="1EFF2D77"/>
    <w:rsid w:val="1F134CFA"/>
    <w:rsid w:val="1F176598"/>
    <w:rsid w:val="1FC752CE"/>
    <w:rsid w:val="1FCD30FB"/>
    <w:rsid w:val="200D4A7C"/>
    <w:rsid w:val="20347613"/>
    <w:rsid w:val="207035BF"/>
    <w:rsid w:val="20E3054D"/>
    <w:rsid w:val="21026DD4"/>
    <w:rsid w:val="210C71D7"/>
    <w:rsid w:val="210E5DA6"/>
    <w:rsid w:val="2164532D"/>
    <w:rsid w:val="216830DB"/>
    <w:rsid w:val="219127B3"/>
    <w:rsid w:val="21AF2885"/>
    <w:rsid w:val="21B30FD0"/>
    <w:rsid w:val="21DF0EC4"/>
    <w:rsid w:val="21E64000"/>
    <w:rsid w:val="21F225BC"/>
    <w:rsid w:val="223E208E"/>
    <w:rsid w:val="22551F67"/>
    <w:rsid w:val="226D2FB3"/>
    <w:rsid w:val="22A64B98"/>
    <w:rsid w:val="22E83DA8"/>
    <w:rsid w:val="231D605D"/>
    <w:rsid w:val="23474F72"/>
    <w:rsid w:val="234B3C7F"/>
    <w:rsid w:val="236E0751"/>
    <w:rsid w:val="237A0EA4"/>
    <w:rsid w:val="23AD0356"/>
    <w:rsid w:val="23CA6E90"/>
    <w:rsid w:val="23FE3883"/>
    <w:rsid w:val="24311EAA"/>
    <w:rsid w:val="245C3DE9"/>
    <w:rsid w:val="249366F2"/>
    <w:rsid w:val="24982143"/>
    <w:rsid w:val="24C820E3"/>
    <w:rsid w:val="24DA5B26"/>
    <w:rsid w:val="24E448AE"/>
    <w:rsid w:val="24F609FE"/>
    <w:rsid w:val="25394CA0"/>
    <w:rsid w:val="25602998"/>
    <w:rsid w:val="258B55EA"/>
    <w:rsid w:val="25AD01C7"/>
    <w:rsid w:val="25BA1A2C"/>
    <w:rsid w:val="25CB3C39"/>
    <w:rsid w:val="25ED03FD"/>
    <w:rsid w:val="25FC3A19"/>
    <w:rsid w:val="2602412F"/>
    <w:rsid w:val="26341C2C"/>
    <w:rsid w:val="26946721"/>
    <w:rsid w:val="26C30DB4"/>
    <w:rsid w:val="26CF1507"/>
    <w:rsid w:val="26D94133"/>
    <w:rsid w:val="2717362A"/>
    <w:rsid w:val="27337CE7"/>
    <w:rsid w:val="276460F3"/>
    <w:rsid w:val="277D5407"/>
    <w:rsid w:val="278D0E3B"/>
    <w:rsid w:val="278E3170"/>
    <w:rsid w:val="27FD4CB0"/>
    <w:rsid w:val="28407606"/>
    <w:rsid w:val="2893686C"/>
    <w:rsid w:val="289F279D"/>
    <w:rsid w:val="28BC5ABB"/>
    <w:rsid w:val="29195DB7"/>
    <w:rsid w:val="291B6C85"/>
    <w:rsid w:val="29491A44"/>
    <w:rsid w:val="295E4DC4"/>
    <w:rsid w:val="29731502"/>
    <w:rsid w:val="29753F13"/>
    <w:rsid w:val="29905716"/>
    <w:rsid w:val="299407E6"/>
    <w:rsid w:val="29A0156E"/>
    <w:rsid w:val="29AE7AF9"/>
    <w:rsid w:val="29EE439A"/>
    <w:rsid w:val="2A33452F"/>
    <w:rsid w:val="2A6966C3"/>
    <w:rsid w:val="2AE553C9"/>
    <w:rsid w:val="2B2D3C56"/>
    <w:rsid w:val="2B551809"/>
    <w:rsid w:val="2B710DDE"/>
    <w:rsid w:val="2B7F4F5B"/>
    <w:rsid w:val="2B8419BB"/>
    <w:rsid w:val="2BA52826"/>
    <w:rsid w:val="2BAB239D"/>
    <w:rsid w:val="2BED6535"/>
    <w:rsid w:val="2C163AAC"/>
    <w:rsid w:val="2C275941"/>
    <w:rsid w:val="2C2C6882"/>
    <w:rsid w:val="2C2E0A7D"/>
    <w:rsid w:val="2C5F332D"/>
    <w:rsid w:val="2C680433"/>
    <w:rsid w:val="2C9E6544"/>
    <w:rsid w:val="2CC6515A"/>
    <w:rsid w:val="2CF411A2"/>
    <w:rsid w:val="2DDE357F"/>
    <w:rsid w:val="2E04267D"/>
    <w:rsid w:val="2E1E430F"/>
    <w:rsid w:val="2E3E3A4B"/>
    <w:rsid w:val="2E444588"/>
    <w:rsid w:val="2E457F1A"/>
    <w:rsid w:val="2E7035CF"/>
    <w:rsid w:val="2E7A4933"/>
    <w:rsid w:val="2E8C3AEB"/>
    <w:rsid w:val="2EA75E76"/>
    <w:rsid w:val="2EA9088F"/>
    <w:rsid w:val="2EB45BB2"/>
    <w:rsid w:val="2EBF2F4F"/>
    <w:rsid w:val="2F1E302B"/>
    <w:rsid w:val="2F2A0293"/>
    <w:rsid w:val="2F2B0D7B"/>
    <w:rsid w:val="2F300FB0"/>
    <w:rsid w:val="2F4E3E29"/>
    <w:rsid w:val="2F5C1DA5"/>
    <w:rsid w:val="2F683B53"/>
    <w:rsid w:val="2F6923FE"/>
    <w:rsid w:val="2FA33530"/>
    <w:rsid w:val="2FA84FEB"/>
    <w:rsid w:val="2FCA6D0F"/>
    <w:rsid w:val="2FE85162"/>
    <w:rsid w:val="302848BB"/>
    <w:rsid w:val="304B30F5"/>
    <w:rsid w:val="309B4163"/>
    <w:rsid w:val="30BD0622"/>
    <w:rsid w:val="30D342E9"/>
    <w:rsid w:val="30F06C49"/>
    <w:rsid w:val="30FE1366"/>
    <w:rsid w:val="31097D0B"/>
    <w:rsid w:val="311B5054"/>
    <w:rsid w:val="313528AE"/>
    <w:rsid w:val="313A6116"/>
    <w:rsid w:val="31584A07"/>
    <w:rsid w:val="31854642"/>
    <w:rsid w:val="319E0453"/>
    <w:rsid w:val="31A170CF"/>
    <w:rsid w:val="31E11A5F"/>
    <w:rsid w:val="31FF349E"/>
    <w:rsid w:val="32A7158A"/>
    <w:rsid w:val="32FE389F"/>
    <w:rsid w:val="3301513E"/>
    <w:rsid w:val="33095DA0"/>
    <w:rsid w:val="333B75B5"/>
    <w:rsid w:val="33627A71"/>
    <w:rsid w:val="337A0A4C"/>
    <w:rsid w:val="3392223A"/>
    <w:rsid w:val="33B45D0C"/>
    <w:rsid w:val="33FA4504"/>
    <w:rsid w:val="34256C0A"/>
    <w:rsid w:val="34307719"/>
    <w:rsid w:val="343E2814"/>
    <w:rsid w:val="345309D9"/>
    <w:rsid w:val="34AE061D"/>
    <w:rsid w:val="34D81ECE"/>
    <w:rsid w:val="34E96ADE"/>
    <w:rsid w:val="3549409A"/>
    <w:rsid w:val="356B2D42"/>
    <w:rsid w:val="356C2719"/>
    <w:rsid w:val="359E01CA"/>
    <w:rsid w:val="35C44398"/>
    <w:rsid w:val="35CD1307"/>
    <w:rsid w:val="36462E68"/>
    <w:rsid w:val="36492A9B"/>
    <w:rsid w:val="36727323"/>
    <w:rsid w:val="36751FA8"/>
    <w:rsid w:val="3699152D"/>
    <w:rsid w:val="37307DA0"/>
    <w:rsid w:val="377368D9"/>
    <w:rsid w:val="37C36E66"/>
    <w:rsid w:val="37CC5C86"/>
    <w:rsid w:val="37CD3AE7"/>
    <w:rsid w:val="37D73BD2"/>
    <w:rsid w:val="37DA5F5D"/>
    <w:rsid w:val="37FF7772"/>
    <w:rsid w:val="38431D54"/>
    <w:rsid w:val="38507FCD"/>
    <w:rsid w:val="38B7004D"/>
    <w:rsid w:val="38D806EF"/>
    <w:rsid w:val="38FF3ECD"/>
    <w:rsid w:val="392133B0"/>
    <w:rsid w:val="39355B41"/>
    <w:rsid w:val="393B0C7E"/>
    <w:rsid w:val="393C4019"/>
    <w:rsid w:val="394B2208"/>
    <w:rsid w:val="395F2BBE"/>
    <w:rsid w:val="39A22AAB"/>
    <w:rsid w:val="39B852DE"/>
    <w:rsid w:val="39FD44A5"/>
    <w:rsid w:val="3A085004"/>
    <w:rsid w:val="3A483652"/>
    <w:rsid w:val="3A4F2C33"/>
    <w:rsid w:val="3A7E0E22"/>
    <w:rsid w:val="3A955227"/>
    <w:rsid w:val="3AA0523C"/>
    <w:rsid w:val="3ADD023E"/>
    <w:rsid w:val="3AE26309"/>
    <w:rsid w:val="3AE3337B"/>
    <w:rsid w:val="3B070769"/>
    <w:rsid w:val="3B417482"/>
    <w:rsid w:val="3B6A46FA"/>
    <w:rsid w:val="3B6A75F8"/>
    <w:rsid w:val="3B914B85"/>
    <w:rsid w:val="3BF770DE"/>
    <w:rsid w:val="3C1B0F7E"/>
    <w:rsid w:val="3C602688"/>
    <w:rsid w:val="3C864F25"/>
    <w:rsid w:val="3CAE69D3"/>
    <w:rsid w:val="3CC86CCC"/>
    <w:rsid w:val="3CDB07AE"/>
    <w:rsid w:val="3CE30398"/>
    <w:rsid w:val="3CF96E86"/>
    <w:rsid w:val="3D2D0EEC"/>
    <w:rsid w:val="3D3C45C1"/>
    <w:rsid w:val="3D6A7D83"/>
    <w:rsid w:val="3DA43295"/>
    <w:rsid w:val="3DA7761D"/>
    <w:rsid w:val="3DB42DAD"/>
    <w:rsid w:val="3DB574D0"/>
    <w:rsid w:val="3DBC5BF5"/>
    <w:rsid w:val="3DC56CDD"/>
    <w:rsid w:val="3DC8404A"/>
    <w:rsid w:val="3DCE6660"/>
    <w:rsid w:val="3E1E3068"/>
    <w:rsid w:val="3E5F4044"/>
    <w:rsid w:val="3E8513CE"/>
    <w:rsid w:val="3E9E014C"/>
    <w:rsid w:val="3EE27E6C"/>
    <w:rsid w:val="3EFB0C93"/>
    <w:rsid w:val="3F373C95"/>
    <w:rsid w:val="3F51605E"/>
    <w:rsid w:val="3F5B7984"/>
    <w:rsid w:val="3F807C38"/>
    <w:rsid w:val="3F90772B"/>
    <w:rsid w:val="3FB6361F"/>
    <w:rsid w:val="40295CD4"/>
    <w:rsid w:val="40330901"/>
    <w:rsid w:val="408E0777"/>
    <w:rsid w:val="409F5F96"/>
    <w:rsid w:val="40BB6362"/>
    <w:rsid w:val="40E316AF"/>
    <w:rsid w:val="41006A35"/>
    <w:rsid w:val="41377F7D"/>
    <w:rsid w:val="413F18B2"/>
    <w:rsid w:val="415648A7"/>
    <w:rsid w:val="41831414"/>
    <w:rsid w:val="41B23984"/>
    <w:rsid w:val="41DD6D76"/>
    <w:rsid w:val="41FF6CEC"/>
    <w:rsid w:val="420B61CC"/>
    <w:rsid w:val="426540BC"/>
    <w:rsid w:val="439E42E3"/>
    <w:rsid w:val="43DA6B22"/>
    <w:rsid w:val="44441786"/>
    <w:rsid w:val="445A2900"/>
    <w:rsid w:val="445A46AE"/>
    <w:rsid w:val="44780FD8"/>
    <w:rsid w:val="44A85D7C"/>
    <w:rsid w:val="44B8695B"/>
    <w:rsid w:val="44C10289"/>
    <w:rsid w:val="44D351AB"/>
    <w:rsid w:val="44DF620C"/>
    <w:rsid w:val="44F53B1E"/>
    <w:rsid w:val="451A5EF2"/>
    <w:rsid w:val="456B71A5"/>
    <w:rsid w:val="45790B64"/>
    <w:rsid w:val="457B2B2E"/>
    <w:rsid w:val="45F4643C"/>
    <w:rsid w:val="4618073C"/>
    <w:rsid w:val="461C509D"/>
    <w:rsid w:val="46401681"/>
    <w:rsid w:val="464C44CA"/>
    <w:rsid w:val="464C6797"/>
    <w:rsid w:val="46523B3D"/>
    <w:rsid w:val="46696E2A"/>
    <w:rsid w:val="466C691A"/>
    <w:rsid w:val="466F1F67"/>
    <w:rsid w:val="468123C6"/>
    <w:rsid w:val="46D87F3F"/>
    <w:rsid w:val="46E110B6"/>
    <w:rsid w:val="46FA3F26"/>
    <w:rsid w:val="470D3C59"/>
    <w:rsid w:val="476615BC"/>
    <w:rsid w:val="47723ABC"/>
    <w:rsid w:val="47D06A35"/>
    <w:rsid w:val="48086987"/>
    <w:rsid w:val="480A4E53"/>
    <w:rsid w:val="48107637"/>
    <w:rsid w:val="48827FAC"/>
    <w:rsid w:val="48AC74A2"/>
    <w:rsid w:val="48B85E47"/>
    <w:rsid w:val="48FC21D7"/>
    <w:rsid w:val="49396F88"/>
    <w:rsid w:val="4966481C"/>
    <w:rsid w:val="49883A6B"/>
    <w:rsid w:val="499557A4"/>
    <w:rsid w:val="499845B9"/>
    <w:rsid w:val="49A85EBB"/>
    <w:rsid w:val="49D27776"/>
    <w:rsid w:val="4A113A61"/>
    <w:rsid w:val="4A4C2749"/>
    <w:rsid w:val="4A783AE0"/>
    <w:rsid w:val="4A7B712C"/>
    <w:rsid w:val="4A8C758B"/>
    <w:rsid w:val="4A9D2228"/>
    <w:rsid w:val="4AB274C5"/>
    <w:rsid w:val="4AFF68B9"/>
    <w:rsid w:val="4B030F21"/>
    <w:rsid w:val="4B1B4079"/>
    <w:rsid w:val="4B1D01E3"/>
    <w:rsid w:val="4B481704"/>
    <w:rsid w:val="4BB63951"/>
    <w:rsid w:val="4C0118B3"/>
    <w:rsid w:val="4C0C226F"/>
    <w:rsid w:val="4C3A75CA"/>
    <w:rsid w:val="4C404189"/>
    <w:rsid w:val="4C577B71"/>
    <w:rsid w:val="4C5E135D"/>
    <w:rsid w:val="4C6941BC"/>
    <w:rsid w:val="4C997D3D"/>
    <w:rsid w:val="4CB93A3F"/>
    <w:rsid w:val="4CDC7ED3"/>
    <w:rsid w:val="4CEC60BF"/>
    <w:rsid w:val="4D0E24D9"/>
    <w:rsid w:val="4D267823"/>
    <w:rsid w:val="4D461C73"/>
    <w:rsid w:val="4D8367CC"/>
    <w:rsid w:val="4D843BD6"/>
    <w:rsid w:val="4DA65C96"/>
    <w:rsid w:val="4DAA371F"/>
    <w:rsid w:val="4DD30CD0"/>
    <w:rsid w:val="4DD80FDB"/>
    <w:rsid w:val="4E045131"/>
    <w:rsid w:val="4E102281"/>
    <w:rsid w:val="4E15077D"/>
    <w:rsid w:val="4E1A397F"/>
    <w:rsid w:val="4E415D3F"/>
    <w:rsid w:val="4E5E4D9B"/>
    <w:rsid w:val="4E661EA1"/>
    <w:rsid w:val="4EB634D4"/>
    <w:rsid w:val="4ECF5D97"/>
    <w:rsid w:val="4F133DD7"/>
    <w:rsid w:val="4F232462"/>
    <w:rsid w:val="4F2D2651"/>
    <w:rsid w:val="4F41693A"/>
    <w:rsid w:val="4F6F1BB2"/>
    <w:rsid w:val="4F8209E7"/>
    <w:rsid w:val="4FF97471"/>
    <w:rsid w:val="50416722"/>
    <w:rsid w:val="5051105B"/>
    <w:rsid w:val="50707007"/>
    <w:rsid w:val="50811214"/>
    <w:rsid w:val="508476E3"/>
    <w:rsid w:val="50A62A29"/>
    <w:rsid w:val="50A849F3"/>
    <w:rsid w:val="50DA20CD"/>
    <w:rsid w:val="511C772D"/>
    <w:rsid w:val="51434B70"/>
    <w:rsid w:val="51452242"/>
    <w:rsid w:val="51583D23"/>
    <w:rsid w:val="51592993"/>
    <w:rsid w:val="518014CC"/>
    <w:rsid w:val="51A14C2D"/>
    <w:rsid w:val="51D35A9F"/>
    <w:rsid w:val="51E9516C"/>
    <w:rsid w:val="51EF5042"/>
    <w:rsid w:val="51FD48CA"/>
    <w:rsid w:val="521F0CE5"/>
    <w:rsid w:val="52601133"/>
    <w:rsid w:val="52662F59"/>
    <w:rsid w:val="52764DE9"/>
    <w:rsid w:val="52963AED"/>
    <w:rsid w:val="52E8557B"/>
    <w:rsid w:val="52F5036B"/>
    <w:rsid w:val="53156D61"/>
    <w:rsid w:val="532F31A9"/>
    <w:rsid w:val="534A59DA"/>
    <w:rsid w:val="537B019D"/>
    <w:rsid w:val="53D32E1F"/>
    <w:rsid w:val="53DD2077"/>
    <w:rsid w:val="53DE648D"/>
    <w:rsid w:val="541A79B6"/>
    <w:rsid w:val="54215EFC"/>
    <w:rsid w:val="54230498"/>
    <w:rsid w:val="54614C56"/>
    <w:rsid w:val="54907C78"/>
    <w:rsid w:val="54A02118"/>
    <w:rsid w:val="54B41BB8"/>
    <w:rsid w:val="54D65DCA"/>
    <w:rsid w:val="55055F70"/>
    <w:rsid w:val="551D4319"/>
    <w:rsid w:val="55237245"/>
    <w:rsid w:val="553D1BAE"/>
    <w:rsid w:val="55477B29"/>
    <w:rsid w:val="556D4594"/>
    <w:rsid w:val="559455F3"/>
    <w:rsid w:val="56211C12"/>
    <w:rsid w:val="567E247E"/>
    <w:rsid w:val="56A83CA3"/>
    <w:rsid w:val="56FE090D"/>
    <w:rsid w:val="56FE620B"/>
    <w:rsid w:val="570A1F63"/>
    <w:rsid w:val="572D410A"/>
    <w:rsid w:val="575507E7"/>
    <w:rsid w:val="57595F84"/>
    <w:rsid w:val="575B631B"/>
    <w:rsid w:val="57911D3D"/>
    <w:rsid w:val="57AB7FF5"/>
    <w:rsid w:val="57D7752B"/>
    <w:rsid w:val="57E42304"/>
    <w:rsid w:val="57E74DAE"/>
    <w:rsid w:val="5827444F"/>
    <w:rsid w:val="587D49B7"/>
    <w:rsid w:val="588F7547"/>
    <w:rsid w:val="58A74D44"/>
    <w:rsid w:val="58BD6B0D"/>
    <w:rsid w:val="591744C0"/>
    <w:rsid w:val="591744C4"/>
    <w:rsid w:val="59374B66"/>
    <w:rsid w:val="59592D2E"/>
    <w:rsid w:val="597B0EF6"/>
    <w:rsid w:val="59B9557B"/>
    <w:rsid w:val="59BD150F"/>
    <w:rsid w:val="59D13ABB"/>
    <w:rsid w:val="59D16D68"/>
    <w:rsid w:val="59E3084A"/>
    <w:rsid w:val="5A047ABD"/>
    <w:rsid w:val="5A0F2134"/>
    <w:rsid w:val="5A252C10"/>
    <w:rsid w:val="5A296C2B"/>
    <w:rsid w:val="5A3920B8"/>
    <w:rsid w:val="5A4C234C"/>
    <w:rsid w:val="5A5063F8"/>
    <w:rsid w:val="5A7B7F86"/>
    <w:rsid w:val="5A951B44"/>
    <w:rsid w:val="5A99319F"/>
    <w:rsid w:val="5AB83A84"/>
    <w:rsid w:val="5AC43474"/>
    <w:rsid w:val="5AD22D98"/>
    <w:rsid w:val="5B1F4EAD"/>
    <w:rsid w:val="5B681B7A"/>
    <w:rsid w:val="5B685414"/>
    <w:rsid w:val="5B6A1223"/>
    <w:rsid w:val="5B820C68"/>
    <w:rsid w:val="5BA67D81"/>
    <w:rsid w:val="5BB241F5"/>
    <w:rsid w:val="5BCF1086"/>
    <w:rsid w:val="5BD112A2"/>
    <w:rsid w:val="5BFF1AC4"/>
    <w:rsid w:val="5C245EE4"/>
    <w:rsid w:val="5C2A1931"/>
    <w:rsid w:val="5C2C30D5"/>
    <w:rsid w:val="5C853E3A"/>
    <w:rsid w:val="5C8D1EDB"/>
    <w:rsid w:val="5C8F20DB"/>
    <w:rsid w:val="5CA97B29"/>
    <w:rsid w:val="5CC22998"/>
    <w:rsid w:val="5CCB5CF1"/>
    <w:rsid w:val="5CFA0384"/>
    <w:rsid w:val="5D026F64"/>
    <w:rsid w:val="5D550D59"/>
    <w:rsid w:val="5D6C1A39"/>
    <w:rsid w:val="5D880879"/>
    <w:rsid w:val="5D884E24"/>
    <w:rsid w:val="5DA84284"/>
    <w:rsid w:val="5DA930B5"/>
    <w:rsid w:val="5DF71793"/>
    <w:rsid w:val="5E03770C"/>
    <w:rsid w:val="5E2002BE"/>
    <w:rsid w:val="5E39312E"/>
    <w:rsid w:val="5E512226"/>
    <w:rsid w:val="5E55738D"/>
    <w:rsid w:val="5E562442"/>
    <w:rsid w:val="5E624433"/>
    <w:rsid w:val="5E9078C8"/>
    <w:rsid w:val="5EB56C59"/>
    <w:rsid w:val="5EB708CF"/>
    <w:rsid w:val="5EBC03F9"/>
    <w:rsid w:val="5EDA046D"/>
    <w:rsid w:val="5EF5161B"/>
    <w:rsid w:val="5F092B01"/>
    <w:rsid w:val="5F0C6C56"/>
    <w:rsid w:val="5F2E757B"/>
    <w:rsid w:val="5F4E5ED3"/>
    <w:rsid w:val="5F812FDF"/>
    <w:rsid w:val="5F906D7E"/>
    <w:rsid w:val="5F937007"/>
    <w:rsid w:val="5F992492"/>
    <w:rsid w:val="5FDB761F"/>
    <w:rsid w:val="5FE043DB"/>
    <w:rsid w:val="60076534"/>
    <w:rsid w:val="600A5DD1"/>
    <w:rsid w:val="6024439E"/>
    <w:rsid w:val="60326087"/>
    <w:rsid w:val="604906BA"/>
    <w:rsid w:val="604C0E25"/>
    <w:rsid w:val="60FA5EA5"/>
    <w:rsid w:val="610572F8"/>
    <w:rsid w:val="6118702B"/>
    <w:rsid w:val="61EA6C19"/>
    <w:rsid w:val="62015D11"/>
    <w:rsid w:val="621A76D0"/>
    <w:rsid w:val="625D388F"/>
    <w:rsid w:val="62A96D20"/>
    <w:rsid w:val="62BF35C7"/>
    <w:rsid w:val="62C01629"/>
    <w:rsid w:val="630C2BBF"/>
    <w:rsid w:val="631303F2"/>
    <w:rsid w:val="63506F50"/>
    <w:rsid w:val="6369673D"/>
    <w:rsid w:val="636C365E"/>
    <w:rsid w:val="6377272F"/>
    <w:rsid w:val="638E67FA"/>
    <w:rsid w:val="63976BA4"/>
    <w:rsid w:val="63A3671A"/>
    <w:rsid w:val="63B35731"/>
    <w:rsid w:val="63CC234F"/>
    <w:rsid w:val="64AA2690"/>
    <w:rsid w:val="64B8177E"/>
    <w:rsid w:val="64EE6A20"/>
    <w:rsid w:val="64F97173"/>
    <w:rsid w:val="652F0F37"/>
    <w:rsid w:val="657A4758"/>
    <w:rsid w:val="65C94D98"/>
    <w:rsid w:val="65CC6636"/>
    <w:rsid w:val="65F42702"/>
    <w:rsid w:val="66042274"/>
    <w:rsid w:val="66044022"/>
    <w:rsid w:val="6607190C"/>
    <w:rsid w:val="660F63BB"/>
    <w:rsid w:val="661A1A97"/>
    <w:rsid w:val="661E5B72"/>
    <w:rsid w:val="66335744"/>
    <w:rsid w:val="667A7807"/>
    <w:rsid w:val="66835FC3"/>
    <w:rsid w:val="669730E8"/>
    <w:rsid w:val="676254A4"/>
    <w:rsid w:val="677E1BB2"/>
    <w:rsid w:val="67922B3B"/>
    <w:rsid w:val="67A65A9D"/>
    <w:rsid w:val="680B7043"/>
    <w:rsid w:val="681232EC"/>
    <w:rsid w:val="681E0330"/>
    <w:rsid w:val="683A6742"/>
    <w:rsid w:val="684C78AA"/>
    <w:rsid w:val="687234C5"/>
    <w:rsid w:val="68B65AA7"/>
    <w:rsid w:val="68C1005B"/>
    <w:rsid w:val="68C1269E"/>
    <w:rsid w:val="68C301C4"/>
    <w:rsid w:val="68EC2363"/>
    <w:rsid w:val="68FB72E9"/>
    <w:rsid w:val="69845BA5"/>
    <w:rsid w:val="6A102F95"/>
    <w:rsid w:val="6A38073E"/>
    <w:rsid w:val="6A4F1258"/>
    <w:rsid w:val="6A621819"/>
    <w:rsid w:val="6A707ED8"/>
    <w:rsid w:val="6A805A93"/>
    <w:rsid w:val="6AB44268"/>
    <w:rsid w:val="6B146AB5"/>
    <w:rsid w:val="6B2313EE"/>
    <w:rsid w:val="6B3B022A"/>
    <w:rsid w:val="6B46658F"/>
    <w:rsid w:val="6B757582"/>
    <w:rsid w:val="6B971491"/>
    <w:rsid w:val="6B9968C2"/>
    <w:rsid w:val="6BB87815"/>
    <w:rsid w:val="6BC579E0"/>
    <w:rsid w:val="6C0134DD"/>
    <w:rsid w:val="6C625637"/>
    <w:rsid w:val="6C81461E"/>
    <w:rsid w:val="6CF558E4"/>
    <w:rsid w:val="6D147716"/>
    <w:rsid w:val="6D32129F"/>
    <w:rsid w:val="6D4F2026"/>
    <w:rsid w:val="6D5827BE"/>
    <w:rsid w:val="6D836174"/>
    <w:rsid w:val="6D8A305E"/>
    <w:rsid w:val="6D8C3A3E"/>
    <w:rsid w:val="6D8D2B4F"/>
    <w:rsid w:val="6D9A0524"/>
    <w:rsid w:val="6DBF176A"/>
    <w:rsid w:val="6DDD7C5D"/>
    <w:rsid w:val="6DE54739"/>
    <w:rsid w:val="6DE56767"/>
    <w:rsid w:val="6DFF1C9E"/>
    <w:rsid w:val="6E472A13"/>
    <w:rsid w:val="6E6F41F9"/>
    <w:rsid w:val="6E965C0E"/>
    <w:rsid w:val="6EA67F1C"/>
    <w:rsid w:val="6EB76C30"/>
    <w:rsid w:val="6EC53CE1"/>
    <w:rsid w:val="6ECE1671"/>
    <w:rsid w:val="6EF32913"/>
    <w:rsid w:val="6F0F5F11"/>
    <w:rsid w:val="6F2A2D4B"/>
    <w:rsid w:val="6F55769C"/>
    <w:rsid w:val="6F7E3097"/>
    <w:rsid w:val="6FA81EC2"/>
    <w:rsid w:val="6FAA79E8"/>
    <w:rsid w:val="6FAE2DE1"/>
    <w:rsid w:val="6FCA73A4"/>
    <w:rsid w:val="6FD563E8"/>
    <w:rsid w:val="6FDB228A"/>
    <w:rsid w:val="6FE86762"/>
    <w:rsid w:val="70324099"/>
    <w:rsid w:val="70587444"/>
    <w:rsid w:val="705D4A5A"/>
    <w:rsid w:val="708A12C8"/>
    <w:rsid w:val="708C17E3"/>
    <w:rsid w:val="70EB475C"/>
    <w:rsid w:val="70ED2282"/>
    <w:rsid w:val="70FF2AA0"/>
    <w:rsid w:val="710B2708"/>
    <w:rsid w:val="71336B97"/>
    <w:rsid w:val="714F0772"/>
    <w:rsid w:val="71724535"/>
    <w:rsid w:val="71912795"/>
    <w:rsid w:val="71BC14F0"/>
    <w:rsid w:val="71DA1BBC"/>
    <w:rsid w:val="71EF3DD8"/>
    <w:rsid w:val="71F35E29"/>
    <w:rsid w:val="720553A9"/>
    <w:rsid w:val="720A7302"/>
    <w:rsid w:val="725D60BF"/>
    <w:rsid w:val="72733A58"/>
    <w:rsid w:val="728409C4"/>
    <w:rsid w:val="728704B4"/>
    <w:rsid w:val="729B7ABC"/>
    <w:rsid w:val="72B8241C"/>
    <w:rsid w:val="72C9287B"/>
    <w:rsid w:val="72F92A2A"/>
    <w:rsid w:val="736362E9"/>
    <w:rsid w:val="73961D29"/>
    <w:rsid w:val="73CD6A9A"/>
    <w:rsid w:val="74281823"/>
    <w:rsid w:val="74343D24"/>
    <w:rsid w:val="74485A21"/>
    <w:rsid w:val="745D771F"/>
    <w:rsid w:val="746960C4"/>
    <w:rsid w:val="74836A59"/>
    <w:rsid w:val="74DF6386"/>
    <w:rsid w:val="74E861A1"/>
    <w:rsid w:val="74EA0887"/>
    <w:rsid w:val="74FB1DBA"/>
    <w:rsid w:val="754B59D2"/>
    <w:rsid w:val="75642008"/>
    <w:rsid w:val="757A7E5C"/>
    <w:rsid w:val="758A3D23"/>
    <w:rsid w:val="75CA2BC7"/>
    <w:rsid w:val="75ED6880"/>
    <w:rsid w:val="75FA700B"/>
    <w:rsid w:val="762F0AE4"/>
    <w:rsid w:val="76591577"/>
    <w:rsid w:val="76613040"/>
    <w:rsid w:val="766B2F1B"/>
    <w:rsid w:val="767423A8"/>
    <w:rsid w:val="768A2321"/>
    <w:rsid w:val="76C375E1"/>
    <w:rsid w:val="770245AD"/>
    <w:rsid w:val="77106CCA"/>
    <w:rsid w:val="771F6F0D"/>
    <w:rsid w:val="77372994"/>
    <w:rsid w:val="77772932"/>
    <w:rsid w:val="77A14684"/>
    <w:rsid w:val="77A411C1"/>
    <w:rsid w:val="77BA67F0"/>
    <w:rsid w:val="77BE297B"/>
    <w:rsid w:val="78123C27"/>
    <w:rsid w:val="78174678"/>
    <w:rsid w:val="782F13D2"/>
    <w:rsid w:val="78346522"/>
    <w:rsid w:val="78370C1B"/>
    <w:rsid w:val="784529A4"/>
    <w:rsid w:val="78497340"/>
    <w:rsid w:val="78570470"/>
    <w:rsid w:val="78AF3A05"/>
    <w:rsid w:val="793622EC"/>
    <w:rsid w:val="7952331A"/>
    <w:rsid w:val="79623E78"/>
    <w:rsid w:val="796B468C"/>
    <w:rsid w:val="796E7CD8"/>
    <w:rsid w:val="798B088A"/>
    <w:rsid w:val="79942C52"/>
    <w:rsid w:val="79B577EE"/>
    <w:rsid w:val="79CC49FF"/>
    <w:rsid w:val="79D12015"/>
    <w:rsid w:val="79DF1B43"/>
    <w:rsid w:val="7A2E2961"/>
    <w:rsid w:val="7A425B48"/>
    <w:rsid w:val="7A5A0B8E"/>
    <w:rsid w:val="7A8B6668"/>
    <w:rsid w:val="7A9335B3"/>
    <w:rsid w:val="7AA8546C"/>
    <w:rsid w:val="7AC11659"/>
    <w:rsid w:val="7AD64A2A"/>
    <w:rsid w:val="7ADC1EA2"/>
    <w:rsid w:val="7ADE0E8D"/>
    <w:rsid w:val="7AF735ED"/>
    <w:rsid w:val="7B226FCC"/>
    <w:rsid w:val="7B2D4678"/>
    <w:rsid w:val="7B354940"/>
    <w:rsid w:val="7B407452"/>
    <w:rsid w:val="7B534407"/>
    <w:rsid w:val="7B55001E"/>
    <w:rsid w:val="7B8437E3"/>
    <w:rsid w:val="7B876439"/>
    <w:rsid w:val="7B8E6410"/>
    <w:rsid w:val="7C02295A"/>
    <w:rsid w:val="7C0665E0"/>
    <w:rsid w:val="7C0F7B31"/>
    <w:rsid w:val="7C2E374F"/>
    <w:rsid w:val="7C45243B"/>
    <w:rsid w:val="7C9B7036"/>
    <w:rsid w:val="7CA103C5"/>
    <w:rsid w:val="7D057C32"/>
    <w:rsid w:val="7D080444"/>
    <w:rsid w:val="7D3905FD"/>
    <w:rsid w:val="7D3E3E65"/>
    <w:rsid w:val="7D821FA4"/>
    <w:rsid w:val="7D9046C1"/>
    <w:rsid w:val="7D9B137D"/>
    <w:rsid w:val="7DC00AF1"/>
    <w:rsid w:val="7DC0110E"/>
    <w:rsid w:val="7DC93D15"/>
    <w:rsid w:val="7DDD542C"/>
    <w:rsid w:val="7DDF17A1"/>
    <w:rsid w:val="7E111492"/>
    <w:rsid w:val="7E12157A"/>
    <w:rsid w:val="7E503E50"/>
    <w:rsid w:val="7E980501"/>
    <w:rsid w:val="7E9E696A"/>
    <w:rsid w:val="7EED6C1A"/>
    <w:rsid w:val="7F0A2251"/>
    <w:rsid w:val="7F207CC7"/>
    <w:rsid w:val="7F23772D"/>
    <w:rsid w:val="7F2A53E3"/>
    <w:rsid w:val="7F736048"/>
    <w:rsid w:val="7F78540D"/>
    <w:rsid w:val="7F9164CE"/>
    <w:rsid w:val="7FAF4BA7"/>
    <w:rsid w:val="7FB228AD"/>
    <w:rsid w:val="7FB33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4"/>
    <w:next w:val="6"/>
    <w:qFormat/>
    <w:uiPriority w:val="0"/>
    <w:pPr>
      <w:numPr>
        <w:ilvl w:val="3"/>
        <w:numId w:val="1"/>
      </w:numPr>
      <w:spacing w:before="156" w:beforeLines="50" w:after="156" w:afterLines="50" w:line="360" w:lineRule="auto"/>
      <w:jc w:val="center"/>
      <w:outlineLvl w:val="3"/>
    </w:pPr>
    <w:rPr>
      <w:rFonts w:ascii="Arial" w:hAnsi="Arial"/>
      <w:b w:val="0"/>
      <w:bCs w:val="0"/>
      <w:sz w:val="24"/>
      <w:szCs w:val="24"/>
    </w:rPr>
  </w:style>
  <w:style w:type="paragraph" w:styleId="7">
    <w:name w:val="heading 5"/>
    <w:basedOn w:val="5"/>
    <w:next w:val="6"/>
    <w:qFormat/>
    <w:uiPriority w:val="0"/>
    <w:pPr>
      <w:numPr>
        <w:ilvl w:val="4"/>
        <w:numId w:val="1"/>
      </w:numPr>
      <w:spacing w:line="240" w:lineRule="exact"/>
      <w:outlineLvl w:val="4"/>
    </w:pPr>
  </w:style>
  <w:style w:type="paragraph" w:styleId="8">
    <w:name w:val="heading 7"/>
    <w:basedOn w:val="1"/>
    <w:next w:val="6"/>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1">
    <w:name w:val="annotation text"/>
    <w:basedOn w:val="1"/>
    <w:semiHidden/>
    <w:qFormat/>
    <w:uiPriority w:val="0"/>
    <w:pPr>
      <w:jc w:val="left"/>
    </w:pPr>
  </w:style>
  <w:style w:type="paragraph" w:styleId="12">
    <w:name w:val="Body Text 3"/>
    <w:basedOn w:val="1"/>
    <w:link w:val="35"/>
    <w:qFormat/>
    <w:uiPriority w:val="0"/>
    <w:pPr>
      <w:spacing w:after="120"/>
    </w:pPr>
    <w:rPr>
      <w:sz w:val="16"/>
      <w:szCs w:val="16"/>
    </w:rPr>
  </w:style>
  <w:style w:type="paragraph" w:styleId="13">
    <w:name w:val="Body Text"/>
    <w:basedOn w:val="1"/>
    <w:qFormat/>
    <w:uiPriority w:val="0"/>
    <w:pPr>
      <w:pBdr>
        <w:top w:val="single" w:color="auto" w:sz="4" w:space="1"/>
      </w:pBdr>
    </w:pPr>
    <w:rPr>
      <w:b/>
      <w:bCs/>
    </w:rPr>
  </w:style>
  <w:style w:type="paragraph" w:styleId="14">
    <w:name w:val="Body Text Indent"/>
    <w:basedOn w:val="1"/>
    <w:link w:val="36"/>
    <w:qFormat/>
    <w:uiPriority w:val="0"/>
    <w:pPr>
      <w:ind w:firstLine="600" w:firstLineChars="200"/>
    </w:pPr>
    <w:rPr>
      <w:rFonts w:ascii="宋体"/>
      <w:sz w:val="30"/>
      <w:szCs w:val="20"/>
    </w:rPr>
  </w:style>
  <w:style w:type="paragraph" w:styleId="15">
    <w:name w:val="Plain Text"/>
    <w:basedOn w:val="1"/>
    <w:link w:val="37"/>
    <w:qFormat/>
    <w:uiPriority w:val="0"/>
    <w:rPr>
      <w:rFonts w:ascii="宋体" w:hAnsi="Courier New"/>
      <w:szCs w:val="20"/>
    </w:rPr>
  </w:style>
  <w:style w:type="paragraph" w:styleId="16">
    <w:name w:val="Date"/>
    <w:basedOn w:val="1"/>
    <w:next w:val="1"/>
    <w:link w:val="38"/>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link w:val="39"/>
    <w:qFormat/>
    <w:uiPriority w:val="99"/>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tabs>
        <w:tab w:val="right" w:leader="dot" w:pos="8990"/>
      </w:tabs>
      <w:spacing w:line="360" w:lineRule="auto"/>
    </w:pPr>
  </w:style>
  <w:style w:type="paragraph" w:styleId="21">
    <w:name w:val="toc 2"/>
    <w:basedOn w:val="1"/>
    <w:next w:val="1"/>
    <w:unhideWhenUsed/>
    <w:qFormat/>
    <w:uiPriority w:val="39"/>
    <w:pPr>
      <w:ind w:left="420" w:leftChars="200"/>
      <w:jc w:val="center"/>
    </w:pPr>
    <w:rPr>
      <w:rFonts w:ascii="仿宋_GB2312" w:hAnsi="宋体" w:eastAsia="仿宋_GB2312"/>
      <w:color w:val="000000"/>
      <w:kern w:val="0"/>
      <w:sz w:val="28"/>
      <w:szCs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link w:val="40"/>
    <w:qFormat/>
    <w:uiPriority w:val="0"/>
    <w:pPr>
      <w:spacing w:before="240" w:after="60"/>
      <w:jc w:val="center"/>
      <w:outlineLvl w:val="0"/>
    </w:pPr>
    <w:rPr>
      <w:rFonts w:ascii="Cambria" w:hAnsi="Cambria" w:cs="Times New Roman"/>
      <w:b/>
      <w:bCs/>
      <w:sz w:val="32"/>
      <w:szCs w:val="32"/>
    </w:rPr>
  </w:style>
  <w:style w:type="paragraph" w:styleId="24">
    <w:name w:val="annotation subject"/>
    <w:basedOn w:val="11"/>
    <w:next w:val="11"/>
    <w:semiHidden/>
    <w:qFormat/>
    <w:uiPriority w:val="0"/>
    <w:rPr>
      <w:b/>
      <w:bCs/>
    </w:rPr>
  </w:style>
  <w:style w:type="paragraph" w:styleId="25">
    <w:name w:val="Body Text First Indent"/>
    <w:basedOn w:val="13"/>
    <w:qFormat/>
    <w:uiPriority w:val="0"/>
    <w:pPr>
      <w:pBdr>
        <w:top w:val="none" w:color="auto" w:sz="0" w:space="0"/>
      </w:pBdr>
      <w:spacing w:after="120"/>
      <w:ind w:firstLine="420" w:firstLineChars="100"/>
    </w:pPr>
    <w:rPr>
      <w:b w:val="0"/>
      <w:kern w:val="2"/>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customStyle="1" w:styleId="33">
    <w:name w:val="标题 1 字符"/>
    <w:link w:val="2"/>
    <w:qFormat/>
    <w:uiPriority w:val="0"/>
    <w:rPr>
      <w:b/>
      <w:bCs/>
      <w:kern w:val="44"/>
      <w:sz w:val="44"/>
      <w:szCs w:val="44"/>
    </w:rPr>
  </w:style>
  <w:style w:type="character" w:customStyle="1" w:styleId="34">
    <w:name w:val="标题 2 字符"/>
    <w:link w:val="3"/>
    <w:semiHidden/>
    <w:qFormat/>
    <w:uiPriority w:val="0"/>
    <w:rPr>
      <w:rFonts w:ascii="等线 Light" w:hAnsi="等线 Light" w:eastAsia="等线 Light" w:cs="Times New Roman"/>
      <w:b/>
      <w:bCs/>
      <w:kern w:val="2"/>
      <w:sz w:val="32"/>
      <w:szCs w:val="32"/>
    </w:rPr>
  </w:style>
  <w:style w:type="character" w:customStyle="1" w:styleId="35">
    <w:name w:val="正文文本 3 字符"/>
    <w:link w:val="12"/>
    <w:qFormat/>
    <w:uiPriority w:val="0"/>
    <w:rPr>
      <w:kern w:val="2"/>
      <w:sz w:val="16"/>
      <w:szCs w:val="16"/>
    </w:rPr>
  </w:style>
  <w:style w:type="character" w:customStyle="1" w:styleId="36">
    <w:name w:val="正文文本缩进 字符"/>
    <w:link w:val="14"/>
    <w:qFormat/>
    <w:uiPriority w:val="0"/>
    <w:rPr>
      <w:rFonts w:ascii="宋体"/>
      <w:kern w:val="2"/>
      <w:sz w:val="30"/>
    </w:rPr>
  </w:style>
  <w:style w:type="character" w:customStyle="1" w:styleId="37">
    <w:name w:val="纯文本 字符"/>
    <w:link w:val="15"/>
    <w:qFormat/>
    <w:locked/>
    <w:uiPriority w:val="0"/>
    <w:rPr>
      <w:rFonts w:ascii="宋体" w:hAnsi="Courier New"/>
      <w:kern w:val="2"/>
      <w:sz w:val="21"/>
    </w:rPr>
  </w:style>
  <w:style w:type="character" w:customStyle="1" w:styleId="38">
    <w:name w:val="日期 字符"/>
    <w:link w:val="16"/>
    <w:qFormat/>
    <w:uiPriority w:val="0"/>
    <w:rPr>
      <w:kern w:val="2"/>
      <w:sz w:val="21"/>
      <w:szCs w:val="24"/>
    </w:rPr>
  </w:style>
  <w:style w:type="character" w:customStyle="1" w:styleId="39">
    <w:name w:val="页脚 字符"/>
    <w:link w:val="18"/>
    <w:qFormat/>
    <w:uiPriority w:val="99"/>
    <w:rPr>
      <w:kern w:val="2"/>
      <w:sz w:val="18"/>
      <w:szCs w:val="24"/>
    </w:rPr>
  </w:style>
  <w:style w:type="character" w:customStyle="1" w:styleId="40">
    <w:name w:val="标题 字符"/>
    <w:link w:val="23"/>
    <w:qFormat/>
    <w:uiPriority w:val="0"/>
    <w:rPr>
      <w:rFonts w:ascii="Cambria" w:hAnsi="Cambria" w:cs="Times New Roman"/>
      <w:b/>
      <w:bCs/>
      <w:kern w:val="2"/>
      <w:sz w:val="32"/>
      <w:szCs w:val="32"/>
    </w:rPr>
  </w:style>
  <w:style w:type="paragraph" w:customStyle="1" w:styleId="41">
    <w:name w:val=" Char"/>
    <w:basedOn w:val="1"/>
    <w:qFormat/>
    <w:uiPriority w:val="0"/>
    <w:pPr>
      <w:widowControl/>
      <w:spacing w:line="400" w:lineRule="exact"/>
      <w:jc w:val="center"/>
    </w:pPr>
    <w:rPr>
      <w:sz w:val="24"/>
    </w:rPr>
  </w:style>
  <w:style w:type="paragraph" w:customStyle="1" w:styleId="42">
    <w:name w:val=" Char Char Char Char Char Char Char"/>
    <w:basedOn w:val="1"/>
    <w:qFormat/>
    <w:uiPriority w:val="0"/>
    <w:pPr>
      <w:tabs>
        <w:tab w:val="left" w:pos="425"/>
      </w:tabs>
      <w:ind w:left="425" w:hanging="425"/>
    </w:pPr>
    <w:rPr>
      <w:rFonts w:eastAsia="仿宋_GB2312"/>
      <w:kern w:val="24"/>
      <w:sz w:val="24"/>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paragraph" w:customStyle="1" w:styleId="45">
    <w:name w:val="_Style 44"/>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7">
    <w:name w:val="Table Text"/>
    <w:basedOn w:val="1"/>
    <w:semiHidden/>
    <w:qFormat/>
    <w:uiPriority w:val="0"/>
    <w:pPr>
      <w:spacing w:before="202" w:line="219" w:lineRule="auto"/>
      <w:jc w:val="center"/>
    </w:pPr>
    <w:rPr>
      <w:rFonts w:ascii="宋体" w:hAnsi="宋体" w:eastAsia="宋体" w:cs="宋体"/>
      <w:sz w:val="22"/>
      <w:szCs w:val="22"/>
    </w:rPr>
  </w:style>
  <w:style w:type="table" w:customStyle="1" w:styleId="4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9">
    <w:name w:val="文二"/>
    <w:basedOn w:val="1"/>
    <w:qFormat/>
    <w:uiPriority w:val="0"/>
    <w:rPr>
      <w:rFonts w:ascii="宋体" w:hAnsi="宋体" w:eastAsia="宋体"/>
      <w:kern w:val="2"/>
      <w:sz w:val="21"/>
      <w:szCs w:val="21"/>
      <w:lang w:eastAsia="zh-CN"/>
    </w:rPr>
  </w:style>
  <w:style w:type="paragraph" w:customStyle="1" w:styleId="50">
    <w:name w:val="_Style 49"/>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24246</Words>
  <Characters>25852</Characters>
  <Lines>335</Lines>
  <Paragraphs>94</Paragraphs>
  <TotalTime>5</TotalTime>
  <ScaleCrop>false</ScaleCrop>
  <LinksUpToDate>false</LinksUpToDate>
  <CharactersWithSpaces>26793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2020-02-25T02:24:00Z</dcterms:created>
  <dc:creator>86178</dc:creator>
  <cp:lastModifiedBy>1</cp:lastModifiedBy>
  <cp:lastPrinted>2024-11-19T01:39:00Z</cp:lastPrinted>
  <dcterms:modified xsi:type="dcterms:W3CDTF">2025-08-13T08:33:12Z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203DA66D023B491CB2941210B69A1426_13</vt:lpwstr>
  </property>
  <property fmtid="{D5CDD505-2E9C-101B-9397-08002B2CF9AE}" pid="4" name="KSOTemplateDocerSaveRecord">
    <vt:lpwstr>eyJoZGlkIjoiMDBhNTBlMjMzM2VlYWFkMzQ1ZDZhNjNlNTU2OWFjOTkiLCJ1c2VySWQiOiIxOTI5NDk1MDIifQ==</vt:lpwstr>
  </property>
</Properties>
</file>