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C5003">
      <w:pPr>
        <w:jc w:val="center"/>
        <w:outlineLvl w:val="0"/>
        <w:rPr>
          <w:rFonts w:hint="eastAsia" w:ascii="宋体" w:hAnsi="宋体" w:eastAsia="宋体" w:cs="Times New Roman"/>
          <w:b/>
          <w:color w:val="auto"/>
          <w:sz w:val="48"/>
          <w:szCs w:val="48"/>
          <w:highlight w:val="none"/>
          <w:lang w:eastAsia="zh-CN"/>
        </w:rPr>
      </w:pPr>
    </w:p>
    <w:p w14:paraId="17940B91">
      <w:pPr>
        <w:jc w:val="center"/>
        <w:outlineLvl w:val="0"/>
        <w:rPr>
          <w:rFonts w:hint="eastAsia" w:ascii="宋体" w:hAnsi="宋体" w:eastAsia="宋体" w:cs="Times New Roman"/>
          <w:b/>
          <w:color w:val="auto"/>
          <w:sz w:val="48"/>
          <w:szCs w:val="48"/>
          <w:highlight w:val="none"/>
          <w:lang w:eastAsia="zh-CN"/>
        </w:rPr>
      </w:pPr>
      <w:r>
        <w:rPr>
          <w:rFonts w:hint="eastAsia" w:ascii="宋体" w:hAnsi="宋体" w:eastAsia="宋体" w:cs="Times New Roman"/>
          <w:b/>
          <w:color w:val="auto"/>
          <w:sz w:val="48"/>
          <w:szCs w:val="48"/>
          <w:highlight w:val="none"/>
          <w:lang w:eastAsia="zh-CN"/>
        </w:rPr>
        <w:t>天河区柯木塱村城中村改造项目-首开区凤凰汇西侧地块复建安置房及配套设施工程勘察及初步设计服务</w:t>
      </w:r>
    </w:p>
    <w:p w14:paraId="67A5DFB0">
      <w:pPr>
        <w:pStyle w:val="18"/>
        <w:rPr>
          <w:rFonts w:hint="eastAsia" w:ascii="宋体" w:hAnsi="宋体" w:eastAsia="宋体" w:cs="Times New Roman"/>
          <w:b/>
          <w:color w:val="auto"/>
          <w:sz w:val="48"/>
          <w:szCs w:val="48"/>
          <w:highlight w:val="none"/>
        </w:rPr>
      </w:pPr>
    </w:p>
    <w:p w14:paraId="14E6F7C5">
      <w:pPr>
        <w:pStyle w:val="18"/>
        <w:rPr>
          <w:rFonts w:hint="eastAsia" w:ascii="宋体" w:hAnsi="宋体" w:cs="Times New Roman"/>
          <w:b/>
          <w:color w:val="auto"/>
          <w:sz w:val="48"/>
          <w:szCs w:val="48"/>
          <w:highlight w:val="none"/>
          <w:lang w:eastAsia="zh-CN"/>
        </w:rPr>
      </w:pPr>
    </w:p>
    <w:p w14:paraId="0F5B8E65">
      <w:pPr>
        <w:pStyle w:val="18"/>
        <w:rPr>
          <w:rFonts w:hint="eastAsia" w:ascii="宋体" w:hAnsi="宋体" w:cs="Times New Roman"/>
          <w:b/>
          <w:color w:val="auto"/>
          <w:sz w:val="48"/>
          <w:szCs w:val="48"/>
          <w:highlight w:val="none"/>
          <w:lang w:eastAsia="zh-CN"/>
        </w:rPr>
      </w:pPr>
    </w:p>
    <w:p w14:paraId="599834D4">
      <w:pPr>
        <w:pStyle w:val="18"/>
        <w:rPr>
          <w:rFonts w:hint="eastAsia" w:ascii="宋体" w:hAnsi="宋体" w:cs="Times New Roman"/>
          <w:b/>
          <w:color w:val="auto"/>
          <w:sz w:val="48"/>
          <w:szCs w:val="48"/>
          <w:highlight w:val="none"/>
          <w:lang w:eastAsia="zh-CN"/>
        </w:rPr>
      </w:pPr>
    </w:p>
    <w:p w14:paraId="33022ECD">
      <w:pPr>
        <w:pStyle w:val="18"/>
        <w:rPr>
          <w:rFonts w:hint="eastAsia" w:ascii="宋体" w:hAnsi="宋体" w:cs="Times New Roman"/>
          <w:b/>
          <w:color w:val="auto"/>
          <w:sz w:val="48"/>
          <w:szCs w:val="48"/>
          <w:highlight w:val="none"/>
          <w:lang w:eastAsia="zh-CN"/>
        </w:rPr>
      </w:pPr>
    </w:p>
    <w:p w14:paraId="46C3990C">
      <w:pPr>
        <w:pStyle w:val="18"/>
        <w:rPr>
          <w:rFonts w:hint="eastAsia" w:ascii="宋体" w:hAnsi="宋体" w:cs="Times New Roman"/>
          <w:b/>
          <w:color w:val="auto"/>
          <w:sz w:val="48"/>
          <w:szCs w:val="48"/>
          <w:highlight w:val="none"/>
          <w:lang w:eastAsia="zh-CN"/>
        </w:rPr>
      </w:pPr>
    </w:p>
    <w:p w14:paraId="1398CACE">
      <w:pPr>
        <w:pStyle w:val="18"/>
        <w:rPr>
          <w:rFonts w:hint="eastAsia" w:ascii="宋体" w:hAnsi="宋体" w:cs="Times New Roman"/>
          <w:b/>
          <w:color w:val="auto"/>
          <w:sz w:val="72"/>
          <w:szCs w:val="72"/>
          <w:highlight w:val="none"/>
          <w:lang w:eastAsia="zh-CN"/>
        </w:rPr>
      </w:pPr>
      <w:r>
        <w:rPr>
          <w:rFonts w:hint="eastAsia" w:ascii="宋体" w:hAnsi="宋体" w:cs="Times New Roman"/>
          <w:b/>
          <w:color w:val="auto"/>
          <w:sz w:val="72"/>
          <w:szCs w:val="72"/>
          <w:highlight w:val="none"/>
          <w:lang w:eastAsia="zh-CN"/>
        </w:rPr>
        <w:t>招标公告</w:t>
      </w:r>
    </w:p>
    <w:p w14:paraId="6D2AA3B3">
      <w:pPr>
        <w:pStyle w:val="18"/>
        <w:rPr>
          <w:rFonts w:hint="eastAsia" w:ascii="宋体" w:hAnsi="宋体" w:cs="Times New Roman"/>
          <w:b/>
          <w:color w:val="auto"/>
          <w:sz w:val="48"/>
          <w:szCs w:val="48"/>
          <w:highlight w:val="none"/>
          <w:lang w:eastAsia="zh-CN"/>
        </w:rPr>
      </w:pPr>
    </w:p>
    <w:p w14:paraId="5DD5CFEC">
      <w:pPr>
        <w:pStyle w:val="18"/>
        <w:rPr>
          <w:rFonts w:hint="eastAsia" w:ascii="宋体" w:hAnsi="宋体" w:cs="Times New Roman"/>
          <w:b/>
          <w:color w:val="auto"/>
          <w:sz w:val="48"/>
          <w:szCs w:val="48"/>
          <w:highlight w:val="none"/>
          <w:lang w:eastAsia="zh-CN"/>
        </w:rPr>
      </w:pPr>
    </w:p>
    <w:p w14:paraId="7ACC7493">
      <w:pPr>
        <w:pStyle w:val="18"/>
        <w:rPr>
          <w:rFonts w:hint="eastAsia" w:ascii="宋体" w:hAnsi="宋体" w:cs="Times New Roman"/>
          <w:b/>
          <w:color w:val="auto"/>
          <w:sz w:val="48"/>
          <w:szCs w:val="48"/>
          <w:highlight w:val="none"/>
          <w:lang w:eastAsia="zh-CN"/>
        </w:rPr>
      </w:pPr>
    </w:p>
    <w:p w14:paraId="4CD1428C">
      <w:pPr>
        <w:pStyle w:val="18"/>
        <w:rPr>
          <w:rFonts w:hint="eastAsia" w:ascii="宋体" w:hAnsi="宋体" w:cs="Times New Roman"/>
          <w:b/>
          <w:color w:val="auto"/>
          <w:sz w:val="48"/>
          <w:szCs w:val="48"/>
          <w:highlight w:val="none"/>
          <w:lang w:eastAsia="zh-CN"/>
        </w:rPr>
      </w:pPr>
    </w:p>
    <w:p w14:paraId="611B630D">
      <w:pPr>
        <w:pStyle w:val="18"/>
        <w:rPr>
          <w:rFonts w:hint="eastAsia" w:ascii="宋体" w:hAnsi="宋体" w:cs="Times New Roman"/>
          <w:b/>
          <w:color w:val="auto"/>
          <w:sz w:val="48"/>
          <w:szCs w:val="48"/>
          <w:highlight w:val="none"/>
          <w:lang w:eastAsia="zh-CN"/>
        </w:rPr>
      </w:pPr>
    </w:p>
    <w:p w14:paraId="2C69A3CE">
      <w:pPr>
        <w:pStyle w:val="18"/>
        <w:rPr>
          <w:rFonts w:hint="eastAsia" w:ascii="宋体" w:hAnsi="宋体" w:cs="Times New Roman"/>
          <w:b/>
          <w:color w:val="auto"/>
          <w:sz w:val="48"/>
          <w:szCs w:val="48"/>
          <w:highlight w:val="none"/>
          <w:lang w:eastAsia="zh-CN"/>
        </w:rPr>
      </w:pPr>
    </w:p>
    <w:p w14:paraId="74DB91BE">
      <w:pPr>
        <w:pStyle w:val="18"/>
        <w:rPr>
          <w:rFonts w:hint="eastAsia" w:ascii="宋体" w:hAnsi="宋体" w:cs="Times New Roman"/>
          <w:b/>
          <w:color w:val="auto"/>
          <w:sz w:val="48"/>
          <w:szCs w:val="48"/>
          <w:highlight w:val="none"/>
          <w:lang w:eastAsia="zh-CN"/>
        </w:rPr>
      </w:pPr>
    </w:p>
    <w:p w14:paraId="15B47EA2">
      <w:pPr>
        <w:spacing w:line="480" w:lineRule="auto"/>
        <w:ind w:right="325" w:rightChars="155" w:firstLine="1405" w:firstLineChars="500"/>
        <w:outlineLvl w:val="0"/>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招   标   人：</w:t>
      </w:r>
      <w:r>
        <w:rPr>
          <w:rFonts w:hint="eastAsia" w:ascii="宋体" w:hAnsi="宋体" w:eastAsia="宋体" w:cs="宋体"/>
          <w:b/>
          <w:color w:val="auto"/>
          <w:sz w:val="28"/>
          <w:szCs w:val="28"/>
          <w:highlight w:val="none"/>
          <w:lang w:val="zh-CN" w:eastAsia="zh-CN"/>
        </w:rPr>
        <w:t>广州市天投城市更新有限公司</w:t>
      </w:r>
    </w:p>
    <w:p w14:paraId="659D6E62">
      <w:pPr>
        <w:spacing w:line="480" w:lineRule="auto"/>
        <w:ind w:right="325" w:rightChars="155" w:firstLine="1405" w:firstLineChars="500"/>
        <w:outlineLvl w:val="0"/>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招标代理机构：</w:t>
      </w:r>
      <w:r>
        <w:rPr>
          <w:rFonts w:hint="eastAsia" w:ascii="宋体" w:hAnsi="宋体" w:eastAsia="宋体" w:cs="宋体"/>
          <w:b/>
          <w:color w:val="auto"/>
          <w:sz w:val="28"/>
          <w:szCs w:val="28"/>
          <w:highlight w:val="none"/>
          <w:lang w:val="zh-CN" w:eastAsia="zh-CN"/>
        </w:rPr>
        <w:t>建成工程咨询股份有限公司</w:t>
      </w:r>
    </w:p>
    <w:p w14:paraId="557FE7E2">
      <w:pPr>
        <w:spacing w:line="480" w:lineRule="auto"/>
        <w:ind w:right="325" w:rightChars="155" w:firstLine="1405" w:firstLineChars="500"/>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日        期：202</w:t>
      </w: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lang w:val="zh-CN"/>
        </w:rPr>
        <w:t>年</w:t>
      </w:r>
      <w:r>
        <w:rPr>
          <w:rFonts w:hint="eastAsia" w:ascii="宋体"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lang w:val="zh-CN"/>
        </w:rPr>
        <w:t>月</w:t>
      </w:r>
    </w:p>
    <w:p w14:paraId="5D98F362">
      <w:pPr>
        <w:pStyle w:val="18"/>
        <w:rPr>
          <w:rFonts w:hint="eastAsia" w:ascii="宋体" w:hAnsi="宋体" w:cs="Times New Roman"/>
          <w:b/>
          <w:color w:val="auto"/>
          <w:sz w:val="28"/>
          <w:szCs w:val="28"/>
          <w:highlight w:val="none"/>
          <w:lang w:eastAsia="zh-CN"/>
        </w:rPr>
        <w:sectPr>
          <w:headerReference r:id="rId5" w:type="first"/>
          <w:footerReference r:id="rId7" w:type="first"/>
          <w:headerReference r:id="rId3" w:type="default"/>
          <w:headerReference r:id="rId4" w:type="even"/>
          <w:footerReference r:id="rId6" w:type="even"/>
          <w:pgSz w:w="11906" w:h="16838"/>
          <w:pgMar w:top="1417" w:right="1417" w:bottom="1417" w:left="1417" w:header="851" w:footer="992" w:gutter="0"/>
          <w:cols w:space="720" w:num="1"/>
          <w:docGrid w:type="lines" w:linePitch="312" w:charSpace="0"/>
        </w:sectPr>
      </w:pPr>
    </w:p>
    <w:p w14:paraId="469FC9C8">
      <w:pPr>
        <w:pStyle w:val="18"/>
        <w:rPr>
          <w:rFonts w:hint="eastAsia" w:ascii="宋体" w:hAnsi="宋体" w:cs="Times New Roman"/>
          <w:b/>
          <w:color w:val="auto"/>
          <w:sz w:val="28"/>
          <w:szCs w:val="28"/>
          <w:highlight w:val="none"/>
          <w:lang w:eastAsia="zh-CN"/>
        </w:rPr>
      </w:pPr>
      <w:r>
        <w:rPr>
          <w:rFonts w:hint="eastAsia" w:ascii="宋体" w:hAnsi="宋体" w:cs="Times New Roman"/>
          <w:b/>
          <w:color w:val="auto"/>
          <w:sz w:val="28"/>
          <w:szCs w:val="28"/>
          <w:highlight w:val="none"/>
          <w:lang w:eastAsia="zh-CN"/>
        </w:rPr>
        <w:t>天河区柯木塱村城中村改造项目-首开区凤凰汇西侧地块复建安置房及配套设施工程勘察及初步设计服务招标公告</w:t>
      </w:r>
    </w:p>
    <w:p w14:paraId="27A5790A">
      <w:pPr>
        <w:spacing w:line="360" w:lineRule="auto"/>
        <w:rPr>
          <w:rFonts w:hint="eastAsia" w:ascii="宋体" w:hAnsi="宋体"/>
          <w:b/>
          <w:color w:val="auto"/>
          <w:sz w:val="24"/>
          <w:highlight w:val="none"/>
        </w:rPr>
      </w:pPr>
    </w:p>
    <w:p w14:paraId="06DB4BD9">
      <w:pPr>
        <w:spacing w:line="360" w:lineRule="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    招标目的</w:t>
      </w:r>
    </w:p>
    <w:p w14:paraId="126A7D7D">
      <w:pPr>
        <w:spacing w:line="360" w:lineRule="auto"/>
        <w:ind w:left="821" w:hanging="718" w:hangingChars="34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为了获得工程勘察设计方案，招标人以公开招标方式，在给定任务书、投标人满足投标资格的前提下，通过评标委员会的评审推荐，确定最佳勘察设计方案及其勘察设计承包人。</w:t>
      </w:r>
    </w:p>
    <w:p w14:paraId="2D9C5FC2">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    项目概况</w:t>
      </w:r>
    </w:p>
    <w:p w14:paraId="1AAE8B3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工程名称：</w:t>
      </w:r>
      <w:r>
        <w:rPr>
          <w:rFonts w:hint="eastAsia" w:ascii="宋体" w:hAnsi="宋体" w:eastAsia="宋体" w:cs="宋体"/>
          <w:color w:val="auto"/>
          <w:sz w:val="21"/>
          <w:szCs w:val="21"/>
          <w:highlight w:val="none"/>
          <w:u w:val="single"/>
          <w:lang w:eastAsia="zh-CN"/>
        </w:rPr>
        <w:t>天河区柯木塱村城中村改造项目-首开区凤凰汇西侧地块复建安置房及配套设施工程勘察及初步设计服务</w:t>
      </w:r>
      <w:r>
        <w:rPr>
          <w:rFonts w:hint="eastAsia" w:ascii="宋体" w:hAnsi="宋体" w:eastAsia="宋体" w:cs="宋体"/>
          <w:color w:val="auto"/>
          <w:sz w:val="21"/>
          <w:szCs w:val="21"/>
          <w:highlight w:val="none"/>
        </w:rPr>
        <w:t>。</w:t>
      </w:r>
    </w:p>
    <w:p w14:paraId="42A107EC">
      <w:pPr>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1.2.2  工程位置：</w:t>
      </w:r>
      <w:r>
        <w:rPr>
          <w:rFonts w:hint="eastAsia" w:ascii="宋体" w:hAnsi="宋体" w:eastAsia="宋体" w:cs="宋体"/>
          <w:color w:val="auto"/>
          <w:sz w:val="21"/>
          <w:szCs w:val="21"/>
          <w:highlight w:val="none"/>
          <w:u w:val="single"/>
        </w:rPr>
        <w:t>位于广汕路以南，凤凰汇商业中心以西。</w:t>
      </w:r>
    </w:p>
    <w:p w14:paraId="1C8A7C3B">
      <w:pPr>
        <w:spacing w:line="360" w:lineRule="auto"/>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1.2.3  工程范围：</w:t>
      </w:r>
      <w:r>
        <w:rPr>
          <w:rFonts w:hint="eastAsia" w:ascii="宋体" w:hAnsi="宋体" w:eastAsia="宋体" w:cs="宋体"/>
          <w:color w:val="auto"/>
          <w:sz w:val="21"/>
          <w:szCs w:val="21"/>
          <w:highlight w:val="none"/>
          <w:u w:val="single"/>
        </w:rPr>
        <w:t>项目规划用地面积约为44441.7平方米，其中可建设用地为36554.96平方米、绿化用地面积7886.74平方米。用地性质为二类居住兼容商业用地。本次招标范围为居住建筑，总建筑面积约为16.5万平方米（另复建物业的地上及地下建筑不在本次招标范围）。地块容积率≤4.2，建筑密度≤40%，绿地率≥30%，建筑限高 85-100 米。项目主要建设内容包括安置房、小区内道路绿地、公共服务配套设施等，最终以经审查的初步设计为准。</w:t>
      </w:r>
    </w:p>
    <w:p w14:paraId="359F8DC0">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  规划用地文件：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98083A">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  项目批准文件：</w:t>
      </w:r>
      <w:r>
        <w:rPr>
          <w:rFonts w:hint="eastAsia" w:ascii="宋体" w:hAnsi="宋体" w:eastAsia="宋体" w:cs="宋体"/>
          <w:color w:val="auto"/>
          <w:kern w:val="2"/>
          <w:sz w:val="21"/>
          <w:szCs w:val="21"/>
          <w:highlight w:val="none"/>
          <w:u w:val="single"/>
          <w:lang w:bidi="ar"/>
        </w:rPr>
        <w:t>2406-440106-04-01-554447</w:t>
      </w:r>
      <w:r>
        <w:rPr>
          <w:rFonts w:hint="eastAsia" w:ascii="宋体" w:hAnsi="宋体" w:eastAsia="宋体" w:cs="宋体"/>
          <w:color w:val="auto"/>
          <w:sz w:val="21"/>
          <w:szCs w:val="21"/>
          <w:highlight w:val="none"/>
        </w:rPr>
        <w:t>。</w:t>
      </w:r>
    </w:p>
    <w:p w14:paraId="5C7F0A8F">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  资金来源：</w:t>
      </w:r>
      <w:r>
        <w:rPr>
          <w:rFonts w:hint="eastAsia" w:ascii="宋体" w:hAnsi="宋体" w:eastAsia="宋体" w:cs="宋体"/>
          <w:color w:val="auto"/>
          <w:szCs w:val="21"/>
          <w:highlight w:val="none"/>
          <w:u w:val="single"/>
        </w:rPr>
        <w:t>企业自筹资金</w:t>
      </w:r>
      <w:r>
        <w:rPr>
          <w:rFonts w:hint="eastAsia" w:ascii="宋体" w:hAnsi="宋体" w:eastAsia="宋体" w:cs="宋体"/>
          <w:color w:val="auto"/>
          <w:sz w:val="21"/>
          <w:szCs w:val="21"/>
          <w:highlight w:val="none"/>
          <w:u w:val="single"/>
        </w:rPr>
        <w:t>。</w:t>
      </w:r>
    </w:p>
    <w:p w14:paraId="2853BF79">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1.2.7  投资总额：</w:t>
      </w:r>
      <w:r>
        <w:rPr>
          <w:rFonts w:hint="eastAsia" w:ascii="宋体" w:hAnsi="宋体"/>
          <w:color w:val="auto"/>
          <w:sz w:val="21"/>
          <w:szCs w:val="21"/>
          <w:highlight w:val="none"/>
          <w:u w:val="single"/>
        </w:rPr>
        <w:t>估算总投资约12亿元，其中工程费用约79200万元。</w:t>
      </w:r>
    </w:p>
    <w:p w14:paraId="6102B5BF">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1.2.8  招标内容：</w:t>
      </w:r>
      <w:r>
        <w:rPr>
          <w:rFonts w:hint="eastAsia" w:ascii="宋体" w:hAnsi="宋体" w:eastAsia="宋体" w:cs="宋体"/>
          <w:color w:val="auto"/>
          <w:sz w:val="21"/>
          <w:szCs w:val="21"/>
          <w:highlight w:val="none"/>
          <w:u w:val="single"/>
        </w:rPr>
        <w:t>根据基础资料完成本项目立项范围内所有建设内容的勘察</w:t>
      </w:r>
      <w:r>
        <w:rPr>
          <w:rFonts w:hint="eastAsia" w:ascii="宋体" w:hAnsi="宋体" w:eastAsia="宋体" w:cs="宋体"/>
          <w:color w:val="auto"/>
          <w:sz w:val="21"/>
          <w:szCs w:val="21"/>
          <w:highlight w:val="none"/>
          <w:u w:val="single"/>
          <w:lang w:val="en-US" w:eastAsia="zh-CN"/>
        </w:rPr>
        <w:t>及方案至初步</w:t>
      </w:r>
      <w:r>
        <w:rPr>
          <w:rFonts w:hint="eastAsia" w:ascii="宋体" w:hAnsi="宋体" w:eastAsia="宋体" w:cs="宋体"/>
          <w:color w:val="auto"/>
          <w:sz w:val="21"/>
          <w:szCs w:val="21"/>
          <w:highlight w:val="none"/>
          <w:u w:val="single"/>
        </w:rPr>
        <w:t>设计</w:t>
      </w:r>
      <w:r>
        <w:rPr>
          <w:rFonts w:hint="eastAsia" w:ascii="宋体" w:hAnsi="宋体" w:eastAsia="宋体" w:cs="宋体"/>
          <w:color w:val="auto"/>
          <w:sz w:val="21"/>
          <w:szCs w:val="21"/>
          <w:highlight w:val="none"/>
          <w:u w:val="single"/>
          <w:lang w:val="en-US" w:eastAsia="zh-CN"/>
        </w:rPr>
        <w:t>阶段</w:t>
      </w:r>
      <w:r>
        <w:rPr>
          <w:rFonts w:hint="eastAsia" w:ascii="宋体" w:hAnsi="宋体" w:eastAsia="宋体" w:cs="宋体"/>
          <w:color w:val="auto"/>
          <w:sz w:val="21"/>
          <w:szCs w:val="21"/>
          <w:highlight w:val="none"/>
          <w:u w:val="single"/>
        </w:rPr>
        <w:t>的全部设计工作，在项目总投资控制下，严格按照</w:t>
      </w:r>
      <w:r>
        <w:rPr>
          <w:rFonts w:hint="eastAsia" w:ascii="宋体" w:hAnsi="宋体" w:eastAsia="宋体" w:cs="宋体"/>
          <w:color w:val="auto"/>
          <w:sz w:val="21"/>
          <w:szCs w:val="21"/>
          <w:highlight w:val="none"/>
          <w:u w:val="single"/>
          <w:lang w:val="en-US" w:eastAsia="zh-CN"/>
        </w:rPr>
        <w:t>招标人</w:t>
      </w:r>
      <w:r>
        <w:rPr>
          <w:rFonts w:hint="eastAsia" w:ascii="宋体" w:hAnsi="宋体" w:eastAsia="宋体" w:cs="宋体"/>
          <w:color w:val="auto"/>
          <w:sz w:val="21"/>
          <w:szCs w:val="21"/>
          <w:highlight w:val="none"/>
          <w:u w:val="single"/>
        </w:rPr>
        <w:t>的要求进行限额设计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配合</w:t>
      </w:r>
      <w:r>
        <w:rPr>
          <w:rFonts w:hint="eastAsia" w:ascii="宋体" w:hAnsi="宋体" w:eastAsia="宋体" w:cs="宋体"/>
          <w:color w:val="auto"/>
          <w:sz w:val="21"/>
          <w:szCs w:val="21"/>
          <w:highlight w:val="none"/>
          <w:u w:val="single"/>
          <w:lang w:eastAsia="zh-CN"/>
        </w:rPr>
        <w:t>招标人</w:t>
      </w:r>
      <w:r>
        <w:rPr>
          <w:rFonts w:hint="eastAsia" w:ascii="宋体" w:hAnsi="宋体" w:eastAsia="宋体" w:cs="宋体"/>
          <w:color w:val="auto"/>
          <w:sz w:val="21"/>
          <w:szCs w:val="21"/>
          <w:highlight w:val="none"/>
          <w:u w:val="single"/>
        </w:rPr>
        <w:t>做好全过程成本控制要求。</w:t>
      </w:r>
      <w:r>
        <w:rPr>
          <w:rFonts w:hint="eastAsia" w:ascii="宋体" w:hAnsi="宋体" w:eastAsia="宋体" w:cs="宋体"/>
          <w:color w:val="auto"/>
          <w:sz w:val="21"/>
          <w:szCs w:val="21"/>
          <w:highlight w:val="none"/>
          <w:u w:val="single"/>
          <w:lang w:val="en-US" w:eastAsia="zh-CN"/>
        </w:rPr>
        <w:t>同时设计应满足</w:t>
      </w:r>
      <w:r>
        <w:rPr>
          <w:rFonts w:hint="eastAsia" w:ascii="宋体" w:hAnsi="宋体" w:eastAsia="宋体" w:cs="宋体"/>
          <w:color w:val="auto"/>
          <w:sz w:val="21"/>
          <w:szCs w:val="21"/>
          <w:highlight w:val="none"/>
          <w:u w:val="single"/>
        </w:rPr>
        <w:t>《广州市城中村改造项目改造主体工作评估实施细则(试行)》</w:t>
      </w:r>
      <w:r>
        <w:rPr>
          <w:rFonts w:hint="eastAsia" w:ascii="宋体" w:hAnsi="宋体" w:eastAsia="宋体" w:cs="宋体"/>
          <w:color w:val="auto"/>
          <w:sz w:val="21"/>
          <w:szCs w:val="21"/>
          <w:highlight w:val="none"/>
          <w:u w:val="single"/>
          <w:lang w:val="en-US" w:eastAsia="zh-CN"/>
        </w:rPr>
        <w:t>中</w:t>
      </w:r>
      <w:r>
        <w:rPr>
          <w:rFonts w:hint="eastAsia" w:ascii="宋体" w:hAnsi="宋体" w:eastAsia="宋体" w:cs="宋体"/>
          <w:color w:val="auto"/>
          <w:sz w:val="21"/>
          <w:szCs w:val="21"/>
          <w:highlight w:val="none"/>
          <w:u w:val="single"/>
        </w:rPr>
        <w:t>“良好”或以上档次标准</w:t>
      </w:r>
      <w:r>
        <w:rPr>
          <w:rFonts w:hint="eastAsia" w:ascii="宋体" w:hAnsi="宋体" w:eastAsia="宋体" w:cs="宋体"/>
          <w:color w:val="auto"/>
          <w:sz w:val="21"/>
          <w:szCs w:val="21"/>
          <w:highlight w:val="none"/>
          <w:u w:val="single"/>
          <w:lang w:eastAsia="zh-CN"/>
        </w:rPr>
        <w:t>，结合后续工作需求落实模块化</w:t>
      </w:r>
      <w:r>
        <w:rPr>
          <w:rFonts w:hint="eastAsia" w:ascii="宋体" w:hAnsi="宋体" w:eastAsia="宋体" w:cs="宋体"/>
          <w:color w:val="auto"/>
          <w:sz w:val="21"/>
          <w:szCs w:val="21"/>
          <w:highlight w:val="none"/>
          <w:u w:val="single"/>
          <w:lang w:val="en-US" w:eastAsia="zh-CN"/>
        </w:rPr>
        <w:t>建筑</w:t>
      </w:r>
      <w:r>
        <w:rPr>
          <w:rFonts w:hint="eastAsia" w:ascii="宋体" w:hAnsi="宋体" w:eastAsia="宋体" w:cs="宋体"/>
          <w:color w:val="auto"/>
          <w:sz w:val="21"/>
          <w:szCs w:val="21"/>
          <w:highlight w:val="none"/>
          <w:u w:val="single"/>
          <w:lang w:eastAsia="zh-CN"/>
        </w:rPr>
        <w:t>设计（如有），</w:t>
      </w:r>
      <w:r>
        <w:rPr>
          <w:rFonts w:hint="eastAsia" w:ascii="宋体" w:hAnsi="宋体" w:eastAsia="宋体" w:cs="宋体"/>
          <w:color w:val="auto"/>
          <w:sz w:val="21"/>
          <w:szCs w:val="21"/>
          <w:highlight w:val="none"/>
          <w:u w:val="single"/>
        </w:rPr>
        <w:t>包括但不限于：</w:t>
      </w:r>
    </w:p>
    <w:p w14:paraId="00397506">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勘察工作范围包括：本项目规划红线图范围内所</w:t>
      </w:r>
      <w:r>
        <w:rPr>
          <w:rFonts w:hint="eastAsia" w:ascii="宋体" w:hAnsi="宋体" w:eastAsia="宋体" w:cs="宋体"/>
          <w:color w:val="auto"/>
          <w:sz w:val="21"/>
          <w:szCs w:val="21"/>
          <w:highlight w:val="none"/>
          <w:u w:val="single"/>
          <w:lang w:val="en-US" w:eastAsia="zh-CN"/>
        </w:rPr>
        <w:t>需</w:t>
      </w:r>
      <w:r>
        <w:rPr>
          <w:rFonts w:hint="eastAsia" w:ascii="宋体" w:hAnsi="宋体" w:eastAsia="宋体" w:cs="宋体"/>
          <w:color w:val="auto"/>
          <w:sz w:val="21"/>
          <w:szCs w:val="21"/>
          <w:highlight w:val="none"/>
          <w:u w:val="single"/>
        </w:rPr>
        <w:t>的所有勘察工作，暂估地质勘察工程量约</w:t>
      </w:r>
      <w:r>
        <w:rPr>
          <w:rFonts w:hint="eastAsia" w:ascii="宋体" w:hAnsi="宋体" w:eastAsia="宋体" w:cs="宋体"/>
          <w:color w:val="auto"/>
          <w:sz w:val="21"/>
          <w:szCs w:val="21"/>
          <w:highlight w:val="none"/>
          <w:u w:val="single"/>
          <w:lang w:val="en-US" w:eastAsia="zh-CN"/>
        </w:rPr>
        <w:t>5200</w:t>
      </w:r>
      <w:r>
        <w:rPr>
          <w:rFonts w:hint="eastAsia" w:ascii="宋体" w:hAnsi="宋体" w:eastAsia="宋体" w:cs="宋体"/>
          <w:color w:val="auto"/>
          <w:sz w:val="21"/>
          <w:szCs w:val="21"/>
          <w:highlight w:val="none"/>
          <w:u w:val="single"/>
        </w:rPr>
        <w:t>m（最终工程量以实际发生为准），包括但不限于</w:t>
      </w:r>
      <w:r>
        <w:rPr>
          <w:rFonts w:hint="eastAsia" w:ascii="宋体" w:hAnsi="宋体" w:eastAsia="宋体" w:cs="宋体"/>
          <w:color w:val="auto"/>
          <w:sz w:val="21"/>
          <w:szCs w:val="21"/>
          <w:highlight w:val="none"/>
          <w:u w:val="single"/>
          <w:lang w:val="en-US" w:eastAsia="zh-CN"/>
        </w:rPr>
        <w:t>初步勘察、详细勘察、</w:t>
      </w:r>
      <w:r>
        <w:rPr>
          <w:rFonts w:hint="eastAsia" w:ascii="宋体" w:hAnsi="宋体" w:eastAsia="宋体" w:cs="宋体"/>
          <w:color w:val="auto"/>
          <w:sz w:val="21"/>
          <w:szCs w:val="21"/>
          <w:highlight w:val="none"/>
          <w:u w:val="single"/>
        </w:rPr>
        <w:t>土洞溶洞探测、</w:t>
      </w:r>
      <w:r>
        <w:rPr>
          <w:rFonts w:hint="eastAsia" w:ascii="宋体" w:hAnsi="宋体" w:eastAsia="宋体" w:cs="宋体"/>
          <w:color w:val="auto"/>
          <w:sz w:val="21"/>
          <w:szCs w:val="21"/>
          <w:highlight w:val="none"/>
          <w:u w:val="single"/>
          <w:lang w:val="en-US" w:eastAsia="zh-CN"/>
        </w:rPr>
        <w:t>土壤氡检测、</w:t>
      </w:r>
      <w:r>
        <w:rPr>
          <w:rFonts w:hint="eastAsia" w:ascii="宋体" w:hAnsi="宋体" w:eastAsia="宋体" w:cs="宋体"/>
          <w:color w:val="auto"/>
          <w:sz w:val="21"/>
          <w:szCs w:val="21"/>
          <w:highlight w:val="none"/>
          <w:u w:val="single"/>
        </w:rPr>
        <w:t>单孔简易抽水试验、波速试验</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地下管线探测等</w:t>
      </w:r>
      <w:r>
        <w:rPr>
          <w:rFonts w:hint="eastAsia" w:ascii="宋体" w:hAnsi="宋体" w:eastAsia="宋体" w:cs="宋体"/>
          <w:color w:val="auto"/>
          <w:sz w:val="21"/>
          <w:szCs w:val="21"/>
          <w:highlight w:val="none"/>
          <w:u w:val="single"/>
        </w:rPr>
        <w:t>工作。</w:t>
      </w:r>
    </w:p>
    <w:p w14:paraId="157A3D0E">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设计范围包括：</w:t>
      </w:r>
      <w:r>
        <w:rPr>
          <w:rFonts w:hint="eastAsia" w:ascii="宋体" w:hAnsi="宋体" w:eastAsia="宋体" w:cs="宋体"/>
          <w:color w:val="auto"/>
          <w:sz w:val="21"/>
          <w:szCs w:val="21"/>
          <w:highlight w:val="none"/>
          <w:u w:val="single"/>
          <w:lang w:val="en-US" w:eastAsia="zh-CN"/>
        </w:rPr>
        <w:t>本项目</w:t>
      </w:r>
      <w:r>
        <w:rPr>
          <w:rFonts w:hint="eastAsia" w:ascii="宋体" w:hAnsi="宋体" w:eastAsia="宋体" w:cs="宋体"/>
          <w:color w:val="auto"/>
          <w:sz w:val="21"/>
          <w:szCs w:val="21"/>
          <w:highlight w:val="none"/>
          <w:u w:val="single"/>
        </w:rPr>
        <w:t>全部</w:t>
      </w:r>
      <w:r>
        <w:rPr>
          <w:rFonts w:hint="eastAsia" w:ascii="宋体" w:hAnsi="宋体" w:eastAsia="宋体" w:cs="宋体"/>
          <w:color w:val="auto"/>
          <w:sz w:val="21"/>
          <w:szCs w:val="21"/>
          <w:highlight w:val="none"/>
          <w:u w:val="single"/>
          <w:lang w:val="en-US" w:eastAsia="zh-CN"/>
        </w:rPr>
        <w:t>方案设计至</w:t>
      </w:r>
      <w:r>
        <w:rPr>
          <w:rFonts w:hint="eastAsia" w:ascii="宋体" w:hAnsi="宋体" w:eastAsia="宋体" w:cs="宋体"/>
          <w:color w:val="auto"/>
          <w:sz w:val="21"/>
          <w:szCs w:val="21"/>
          <w:highlight w:val="none"/>
          <w:u w:val="single"/>
        </w:rPr>
        <w:t>初步设计阶段</w:t>
      </w:r>
      <w:r>
        <w:rPr>
          <w:rFonts w:hint="eastAsia" w:ascii="宋体" w:hAnsi="宋体" w:eastAsia="宋体" w:cs="宋体"/>
          <w:color w:val="auto"/>
          <w:sz w:val="21"/>
          <w:szCs w:val="21"/>
          <w:highlight w:val="none"/>
          <w:u w:val="single"/>
          <w:lang w:val="en-US" w:eastAsia="zh-CN"/>
        </w:rPr>
        <w:t>的</w:t>
      </w:r>
      <w:r>
        <w:rPr>
          <w:rFonts w:hint="eastAsia" w:ascii="宋体" w:hAnsi="宋体" w:eastAsia="宋体" w:cs="宋体"/>
          <w:color w:val="auto"/>
          <w:sz w:val="21"/>
          <w:szCs w:val="21"/>
          <w:highlight w:val="none"/>
          <w:u w:val="single"/>
        </w:rPr>
        <w:t>设计</w:t>
      </w:r>
      <w:r>
        <w:rPr>
          <w:rFonts w:hint="eastAsia" w:ascii="宋体" w:hAnsi="宋体" w:eastAsia="宋体" w:cs="宋体"/>
          <w:color w:val="auto"/>
          <w:sz w:val="21"/>
          <w:szCs w:val="21"/>
          <w:highlight w:val="none"/>
          <w:u w:val="single"/>
          <w:lang w:val="en-US" w:eastAsia="zh-CN"/>
        </w:rPr>
        <w:t>工作</w:t>
      </w:r>
      <w:r>
        <w:rPr>
          <w:rFonts w:hint="eastAsia" w:ascii="宋体" w:hAnsi="宋体" w:eastAsia="宋体" w:cs="宋体"/>
          <w:color w:val="auto"/>
          <w:sz w:val="21"/>
          <w:szCs w:val="21"/>
          <w:highlight w:val="none"/>
          <w:u w:val="single"/>
        </w:rPr>
        <w:t>，设计深度需满足政府主管部门初步设计报批深度的要求，包括场地的基坑支护设计、地基及软基处理设计、建筑方案设计、</w:t>
      </w:r>
      <w:r>
        <w:rPr>
          <w:rFonts w:hint="eastAsia" w:ascii="宋体" w:hAnsi="宋体" w:eastAsia="宋体" w:cs="宋体"/>
          <w:color w:val="auto"/>
          <w:sz w:val="21"/>
          <w:szCs w:val="21"/>
          <w:highlight w:val="none"/>
          <w:u w:val="single"/>
          <w:lang w:val="en-US" w:eastAsia="zh-CN"/>
        </w:rPr>
        <w:t>初步设计、</w:t>
      </w:r>
      <w:r>
        <w:rPr>
          <w:rFonts w:hint="eastAsia" w:ascii="宋体" w:hAnsi="宋体" w:eastAsia="宋体" w:cs="宋体"/>
          <w:color w:val="auto"/>
          <w:sz w:val="21"/>
          <w:szCs w:val="21"/>
          <w:highlight w:val="none"/>
          <w:u w:val="single"/>
        </w:rPr>
        <w:t>概算编制、因政策变化或相应外部条件改变带来的相应设计工作、总控协调工作（如有）、与本项目初步设计阶段相关的设计等工作。</w:t>
      </w:r>
      <w:r>
        <w:rPr>
          <w:rFonts w:hint="eastAsia" w:ascii="宋体" w:hAnsi="宋体" w:eastAsia="宋体" w:cs="宋体"/>
          <w:color w:val="auto"/>
          <w:sz w:val="21"/>
          <w:szCs w:val="21"/>
          <w:highlight w:val="none"/>
          <w:u w:val="single"/>
          <w:lang w:val="en-US" w:eastAsia="zh-CN"/>
        </w:rPr>
        <w:t>具体如下：</w:t>
      </w:r>
    </w:p>
    <w:p w14:paraId="3A7C8489">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设计主要阶段工作内容包括但不限于：总平面规划、建筑、结构、人防、消防、给排水、电气、智能化、暖通、室内、电梯、安防、导向标识、防雷、充电桩、幕墙、</w:t>
      </w:r>
      <w:r>
        <w:rPr>
          <w:rFonts w:hint="eastAsia" w:ascii="宋体" w:hAnsi="宋体" w:eastAsia="宋体" w:cs="宋体"/>
          <w:color w:val="auto"/>
          <w:sz w:val="21"/>
          <w:szCs w:val="21"/>
          <w:highlight w:val="none"/>
          <w:u w:val="single"/>
          <w:lang w:val="en-US" w:eastAsia="zh-CN"/>
        </w:rPr>
        <w:t>泳池（如有）</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隔音</w:t>
      </w:r>
      <w:r>
        <w:rPr>
          <w:rFonts w:hint="eastAsia" w:ascii="宋体" w:hAnsi="宋体" w:eastAsia="宋体" w:cs="宋体"/>
          <w:color w:val="auto"/>
          <w:sz w:val="21"/>
          <w:szCs w:val="21"/>
          <w:highlight w:val="none"/>
          <w:u w:val="single"/>
        </w:rPr>
        <w:t>、室外市政</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含外电、燃气、外水等</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、园林</w:t>
      </w:r>
      <w:r>
        <w:rPr>
          <w:rFonts w:hint="eastAsia" w:ascii="宋体" w:hAnsi="宋体" w:eastAsia="宋体" w:cs="宋体"/>
          <w:color w:val="auto"/>
          <w:sz w:val="21"/>
          <w:szCs w:val="21"/>
          <w:highlight w:val="none"/>
          <w:u w:val="single"/>
          <w:lang w:val="en-US" w:eastAsia="zh-CN"/>
        </w:rPr>
        <w:t>景观</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泛光照明</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树木保护</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交通分析</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基坑支护</w:t>
      </w:r>
      <w:r>
        <w:rPr>
          <w:rFonts w:hint="eastAsia" w:ascii="宋体" w:hAnsi="宋体" w:eastAsia="宋体" w:cs="宋体"/>
          <w:color w:val="auto"/>
          <w:sz w:val="21"/>
          <w:szCs w:val="21"/>
          <w:highlight w:val="none"/>
          <w:u w:val="single"/>
        </w:rPr>
        <w:t>、市政管线、管线综合平衡、设备选型</w:t>
      </w:r>
      <w:r>
        <w:rPr>
          <w:rFonts w:hint="eastAsia" w:ascii="宋体" w:hAnsi="宋体" w:eastAsia="宋体" w:cs="宋体"/>
          <w:color w:val="auto"/>
          <w:sz w:val="21"/>
          <w:szCs w:val="21"/>
          <w:highlight w:val="none"/>
          <w:u w:val="single"/>
          <w:lang w:val="en-US" w:eastAsia="zh-CN"/>
        </w:rPr>
        <w:t>建议</w:t>
      </w:r>
      <w:r>
        <w:rPr>
          <w:rFonts w:hint="eastAsia" w:ascii="宋体" w:hAnsi="宋体" w:eastAsia="宋体" w:cs="宋体"/>
          <w:color w:val="auto"/>
          <w:sz w:val="21"/>
          <w:szCs w:val="21"/>
          <w:highlight w:val="none"/>
          <w:u w:val="single"/>
        </w:rPr>
        <w:t>等专业内容。</w:t>
      </w:r>
    </w:p>
    <w:p w14:paraId="4609F56B">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建筑节能新技术的应用及设计：包括但不限于节能、环保、绿色建筑、海绵城市等专项工程设计</w:t>
      </w:r>
      <w:r>
        <w:rPr>
          <w:rFonts w:hint="eastAsia" w:ascii="宋体" w:hAnsi="宋体" w:eastAsia="宋体" w:cs="宋体"/>
          <w:color w:val="auto"/>
          <w:sz w:val="21"/>
          <w:szCs w:val="21"/>
          <w:highlight w:val="none"/>
          <w:u w:val="single"/>
          <w:lang w:val="en-US" w:eastAsia="zh-CN"/>
        </w:rPr>
        <w:t>及提供主要设备材料表和技术需求书</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本项目居住建筑执行二星级及以上绿色建筑标准。</w:t>
      </w:r>
      <w:r>
        <w:rPr>
          <w:rFonts w:hint="eastAsia" w:ascii="宋体" w:hAnsi="宋体" w:eastAsia="宋体" w:cs="宋体"/>
          <w:color w:val="auto"/>
          <w:sz w:val="21"/>
          <w:szCs w:val="21"/>
          <w:highlight w:val="none"/>
          <w:u w:val="single"/>
        </w:rPr>
        <w:t>按照广州市绿色建筑和建筑节能管理规定开展设计工作提交绿色建筑设计专题报告（包括本项目采用绿建标准进行设计的论证报告及造价分析），确保达到要求的星级标准设计。</w:t>
      </w:r>
    </w:p>
    <w:p w14:paraId="4FF759AC">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（3）BIM技术应用：按照勘察及初步设计任务书的要求开展方案及初步设计阶段的BIM技术应用工作。</w:t>
      </w:r>
    </w:p>
    <w:p w14:paraId="110A6AAB">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设计方案报审工作：在编制设计方案过程中，根据</w:t>
      </w:r>
      <w:r>
        <w:rPr>
          <w:rFonts w:hint="eastAsia" w:ascii="宋体" w:hAnsi="宋体" w:eastAsia="宋体" w:cs="宋体"/>
          <w:color w:val="auto"/>
          <w:sz w:val="21"/>
          <w:szCs w:val="21"/>
          <w:highlight w:val="none"/>
          <w:u w:val="single"/>
          <w:lang w:val="en-US" w:eastAsia="zh-CN"/>
        </w:rPr>
        <w:t>招标人</w:t>
      </w:r>
      <w:r>
        <w:rPr>
          <w:rFonts w:hint="eastAsia" w:ascii="宋体" w:hAnsi="宋体" w:eastAsia="宋体" w:cs="宋体"/>
          <w:color w:val="auto"/>
          <w:sz w:val="21"/>
          <w:szCs w:val="21"/>
          <w:highlight w:val="none"/>
          <w:u w:val="single"/>
        </w:rPr>
        <w:t>需求对实际功能布局进行深化优化，在现行政策规定下完成</w:t>
      </w:r>
      <w:r>
        <w:rPr>
          <w:rFonts w:hint="eastAsia" w:ascii="宋体" w:hAnsi="宋体" w:eastAsia="宋体" w:cs="宋体"/>
          <w:color w:val="auto"/>
          <w:sz w:val="21"/>
          <w:szCs w:val="21"/>
          <w:highlight w:val="none"/>
          <w:u w:val="single"/>
          <w:lang w:val="en-US" w:eastAsia="zh-CN"/>
        </w:rPr>
        <w:t>方案</w:t>
      </w:r>
      <w:r>
        <w:rPr>
          <w:rFonts w:hint="eastAsia" w:ascii="宋体" w:hAnsi="宋体" w:eastAsia="宋体" w:cs="宋体"/>
          <w:color w:val="auto"/>
          <w:sz w:val="21"/>
          <w:szCs w:val="21"/>
          <w:highlight w:val="none"/>
          <w:u w:val="single"/>
        </w:rPr>
        <w:t>编制及报审（具体以</w:t>
      </w:r>
      <w:r>
        <w:rPr>
          <w:rFonts w:hint="eastAsia" w:ascii="宋体" w:hAnsi="宋体" w:eastAsia="宋体" w:cs="宋体"/>
          <w:color w:val="auto"/>
          <w:sz w:val="21"/>
          <w:szCs w:val="21"/>
          <w:highlight w:val="none"/>
          <w:u w:val="single"/>
          <w:lang w:eastAsia="zh-CN"/>
        </w:rPr>
        <w:t>招标人</w:t>
      </w:r>
      <w:r>
        <w:rPr>
          <w:rFonts w:hint="eastAsia" w:ascii="宋体" w:hAnsi="宋体" w:eastAsia="宋体" w:cs="宋体"/>
          <w:color w:val="auto"/>
          <w:sz w:val="21"/>
          <w:szCs w:val="21"/>
          <w:highlight w:val="none"/>
          <w:u w:val="single"/>
        </w:rPr>
        <w:t>要求及规划报建主管部门最新政策要求为准）。</w:t>
      </w:r>
    </w:p>
    <w:p w14:paraId="65F72040">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3、概算编制工作：</w:t>
      </w:r>
    </w:p>
    <w:p w14:paraId="62843BD5">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完成本项目范围内方案比选估算、工程概算编制等造价文件的编制及相关配合报审（含财政评审）工作，细化设计过程的投资控制工作要求，包括分解、落实、反馈各阶段、各专业技术经济指标、限额设计量化指标。</w:t>
      </w:r>
    </w:p>
    <w:p w14:paraId="1A7EC7C6">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4、配合编制宣传图册，面向招标人及政府部门开展研讨会、宣传动员及答疑会等。</w:t>
      </w:r>
    </w:p>
    <w:p w14:paraId="6AF8D7ED">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5、其它工作</w:t>
      </w:r>
    </w:p>
    <w:p w14:paraId="4569309F">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）技术配合工作：</w:t>
      </w:r>
      <w:r>
        <w:rPr>
          <w:rFonts w:hint="eastAsia" w:ascii="宋体" w:hAnsi="宋体" w:eastAsia="宋体" w:cs="宋体"/>
          <w:color w:val="auto"/>
          <w:sz w:val="21"/>
          <w:szCs w:val="21"/>
          <w:highlight w:val="none"/>
          <w:u w:val="single"/>
          <w:lang w:val="en-US" w:eastAsia="zh-CN"/>
        </w:rPr>
        <w:t>招标人</w:t>
      </w:r>
      <w:r>
        <w:rPr>
          <w:rFonts w:hint="eastAsia" w:ascii="宋体" w:hAnsi="宋体" w:eastAsia="宋体" w:cs="宋体"/>
          <w:color w:val="auto"/>
          <w:sz w:val="21"/>
          <w:szCs w:val="21"/>
          <w:highlight w:val="none"/>
          <w:u w:val="single"/>
        </w:rPr>
        <w:t>后续各类（含招标）工作配合服务等</w:t>
      </w:r>
      <w:r>
        <w:rPr>
          <w:rFonts w:hint="eastAsia" w:ascii="宋体" w:hAnsi="宋体" w:eastAsia="宋体" w:cs="宋体"/>
          <w:color w:val="auto"/>
          <w:sz w:val="21"/>
          <w:szCs w:val="21"/>
          <w:highlight w:val="none"/>
          <w:u w:val="single"/>
          <w:lang w:eastAsia="zh-CN"/>
        </w:rPr>
        <w:t>。</w:t>
      </w:r>
    </w:p>
    <w:p w14:paraId="61F379E0">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）报建配合工作：立项（含可研）范围内综合管线规划设计报批、建筑设计方案审查等的所有用地、规划、建筑、技术、管线、专项等各类报建配合、协调工作</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套图</w:t>
      </w:r>
      <w:r>
        <w:rPr>
          <w:rFonts w:hint="eastAsia" w:ascii="宋体" w:hAnsi="宋体" w:eastAsia="宋体" w:cs="宋体"/>
          <w:color w:val="auto"/>
          <w:sz w:val="21"/>
          <w:szCs w:val="21"/>
          <w:highlight w:val="none"/>
          <w:u w:val="single"/>
        </w:rPr>
        <w:t>等。</w:t>
      </w:r>
      <w:r>
        <w:rPr>
          <w:rFonts w:hint="eastAsia" w:ascii="宋体" w:hAnsi="宋体" w:eastAsia="宋体" w:cs="宋体"/>
          <w:color w:val="auto"/>
          <w:sz w:val="21"/>
          <w:szCs w:val="21"/>
          <w:highlight w:val="none"/>
          <w:u w:val="single"/>
          <w:lang w:val="en-US" w:eastAsia="zh-CN"/>
        </w:rPr>
        <w:t>报建配合工作需专人负责。</w:t>
      </w:r>
    </w:p>
    <w:p w14:paraId="06BC38C2">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）设计文件修改、完善工作：</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rPr>
        <w:t>应根据政府相关行政主管部门、行业主管部门的审批意见无条件地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无偿</w:t>
      </w:r>
      <w:r>
        <w:rPr>
          <w:rFonts w:hint="eastAsia" w:ascii="宋体" w:hAnsi="宋体" w:eastAsia="宋体" w:cs="宋体"/>
          <w:color w:val="auto"/>
          <w:sz w:val="21"/>
          <w:szCs w:val="21"/>
          <w:highlight w:val="none"/>
          <w:u w:val="single"/>
        </w:rPr>
        <w:t>修改、完善各阶段的设计成果文件，确保其满足相关的审批要求；</w:t>
      </w:r>
      <w:r>
        <w:rPr>
          <w:rFonts w:hint="eastAsia" w:ascii="宋体" w:hAnsi="宋体" w:eastAsia="宋体" w:cs="宋体"/>
          <w:color w:val="auto"/>
          <w:sz w:val="21"/>
          <w:szCs w:val="21"/>
          <w:highlight w:val="none"/>
          <w:u w:val="single"/>
          <w:lang w:eastAsia="zh-CN"/>
        </w:rPr>
        <w:t>投标人</w:t>
      </w:r>
      <w:r>
        <w:rPr>
          <w:rFonts w:hint="eastAsia" w:ascii="宋体" w:hAnsi="宋体" w:eastAsia="宋体" w:cs="宋体"/>
          <w:color w:val="auto"/>
          <w:sz w:val="21"/>
          <w:szCs w:val="21"/>
          <w:highlight w:val="none"/>
          <w:u w:val="single"/>
        </w:rPr>
        <w:t>应根据</w:t>
      </w:r>
      <w:r>
        <w:rPr>
          <w:rFonts w:hint="eastAsia" w:ascii="宋体" w:hAnsi="宋体" w:eastAsia="宋体" w:cs="宋体"/>
          <w:color w:val="auto"/>
          <w:sz w:val="21"/>
          <w:szCs w:val="21"/>
          <w:highlight w:val="none"/>
          <w:u w:val="single"/>
          <w:lang w:val="en-US" w:eastAsia="zh-CN"/>
        </w:rPr>
        <w:t>初步设计审查、概算审查</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招标人</w:t>
      </w:r>
      <w:r>
        <w:rPr>
          <w:rFonts w:hint="eastAsia" w:ascii="宋体" w:hAnsi="宋体" w:eastAsia="宋体" w:cs="宋体"/>
          <w:color w:val="auto"/>
          <w:sz w:val="21"/>
          <w:szCs w:val="21"/>
          <w:highlight w:val="none"/>
          <w:u w:val="single"/>
        </w:rPr>
        <w:t>的设计评审、</w:t>
      </w:r>
      <w:r>
        <w:rPr>
          <w:rFonts w:hint="eastAsia" w:ascii="宋体" w:hAnsi="宋体" w:eastAsia="宋体" w:cs="宋体"/>
          <w:color w:val="auto"/>
          <w:sz w:val="21"/>
          <w:szCs w:val="21"/>
          <w:highlight w:val="none"/>
          <w:u w:val="single"/>
          <w:lang w:eastAsia="zh-CN"/>
        </w:rPr>
        <w:t>招标人</w:t>
      </w:r>
      <w:r>
        <w:rPr>
          <w:rFonts w:hint="eastAsia" w:ascii="宋体" w:hAnsi="宋体" w:eastAsia="宋体" w:cs="宋体"/>
          <w:color w:val="auto"/>
          <w:sz w:val="21"/>
          <w:szCs w:val="21"/>
          <w:highlight w:val="none"/>
          <w:u w:val="single"/>
        </w:rPr>
        <w:t>组织的专业人士的意见对设计成果文件进行修改、完善。</w:t>
      </w:r>
    </w:p>
    <w:p w14:paraId="61F5DCA6">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snapToGrid w:val="0"/>
          <w:color w:val="auto"/>
          <w:spacing w:val="-4"/>
          <w:kern w:val="0"/>
          <w:sz w:val="21"/>
          <w:szCs w:val="21"/>
          <w:highlight w:val="none"/>
        </w:rPr>
        <w:t>装配式建筑设计</w:t>
      </w:r>
      <w:r>
        <w:rPr>
          <w:rFonts w:hint="eastAsia" w:ascii="宋体" w:hAnsi="宋体" w:eastAsia="宋体" w:cs="宋体"/>
          <w:snapToGrid w:val="0"/>
          <w:color w:val="auto"/>
          <w:spacing w:val="-4"/>
          <w:kern w:val="0"/>
          <w:sz w:val="21"/>
          <w:szCs w:val="21"/>
          <w:highlight w:val="none"/>
          <w:lang w:val="en-US" w:eastAsia="zh-CN"/>
        </w:rPr>
        <w:t>、装配化装修及模块化设计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装配率需满足广州市住房和城乡建设局相关规定的要求。</w:t>
      </w:r>
    </w:p>
    <w:p w14:paraId="6C3735F9">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（5）报批配合工作：</w:t>
      </w:r>
      <w:r>
        <w:rPr>
          <w:rFonts w:hint="eastAsia" w:ascii="宋体" w:hAnsi="宋体" w:eastAsia="宋体" w:cs="宋体"/>
          <w:color w:val="auto"/>
          <w:sz w:val="21"/>
          <w:szCs w:val="21"/>
          <w:highlight w:val="none"/>
          <w:u w:val="single"/>
        </w:rPr>
        <w:t>按照建设方案联审决策审批（如有）要求，配合建设方案联审决策审批（如有）、行业主管部门审批</w:t>
      </w:r>
      <w:r>
        <w:rPr>
          <w:rFonts w:hint="eastAsia" w:ascii="宋体" w:hAnsi="宋体" w:eastAsia="宋体" w:cs="宋体"/>
          <w:color w:val="auto"/>
          <w:sz w:val="21"/>
          <w:szCs w:val="21"/>
          <w:highlight w:val="none"/>
          <w:u w:val="single"/>
          <w:lang w:val="en-US" w:eastAsia="zh-CN"/>
        </w:rPr>
        <w:t>等相关工作</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并就前述审批工作为招标人</w:t>
      </w:r>
      <w:r>
        <w:rPr>
          <w:rFonts w:hint="eastAsia" w:ascii="宋体" w:hAnsi="宋体" w:eastAsia="宋体" w:cs="宋体"/>
          <w:color w:val="auto"/>
          <w:sz w:val="21"/>
          <w:szCs w:val="21"/>
          <w:highlight w:val="none"/>
          <w:u w:val="single"/>
        </w:rPr>
        <w:t>提供咨询服务等。</w:t>
      </w:r>
    </w:p>
    <w:p w14:paraId="3966BFD3">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勘察</w:t>
      </w:r>
      <w:r>
        <w:rPr>
          <w:rFonts w:hint="eastAsia" w:ascii="宋体" w:hAnsi="宋体" w:eastAsia="宋体" w:cs="宋体"/>
          <w:color w:val="auto"/>
          <w:sz w:val="21"/>
          <w:szCs w:val="21"/>
          <w:highlight w:val="none"/>
          <w:u w:val="single"/>
          <w:lang w:val="en-US" w:eastAsia="zh-CN"/>
        </w:rPr>
        <w:t>及初步</w:t>
      </w:r>
      <w:r>
        <w:rPr>
          <w:rFonts w:hint="eastAsia" w:ascii="宋体" w:hAnsi="宋体" w:eastAsia="宋体" w:cs="宋体"/>
          <w:color w:val="auto"/>
          <w:sz w:val="21"/>
          <w:szCs w:val="21"/>
          <w:highlight w:val="none"/>
          <w:u w:val="single"/>
        </w:rPr>
        <w:t>设计总承包管理：对其设计工作范围内的专业设计单位全面全方位管理，确保各专业之间的设计界面和工作内容清晰、避免设计重复或交叉，总体协调确保各专业各阶段设计成果有效对接，保证本合同工程各专业接口及与周边工程良好衔接。</w:t>
      </w:r>
    </w:p>
    <w:p w14:paraId="6B0A2287">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具体要求以最终招标公告发布的设计任务书为准。</w:t>
      </w:r>
    </w:p>
    <w:p w14:paraId="69D9F9B5">
      <w:pPr>
        <w:spacing w:line="360" w:lineRule="auto"/>
        <w:ind w:firstLine="420" w:firstLineChars="200"/>
        <w:jc w:val="left"/>
        <w:rPr>
          <w:rFonts w:hint="eastAsia" w:ascii="宋体" w:hAnsi="宋体"/>
          <w:color w:val="auto"/>
          <w:sz w:val="21"/>
          <w:szCs w:val="21"/>
          <w:highlight w:val="none"/>
          <w:u w:val="single"/>
          <w:lang w:val="en-US" w:eastAsia="zh-CN"/>
        </w:rPr>
      </w:pPr>
    </w:p>
    <w:p w14:paraId="657A3A2A">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 xml:space="preserve">1.2.9 </w:t>
      </w:r>
      <w:r>
        <w:rPr>
          <w:rFonts w:hint="eastAsia" w:ascii="宋体" w:hAnsi="宋体"/>
          <w:color w:val="auto"/>
          <w:szCs w:val="21"/>
          <w:highlight w:val="none"/>
          <w:u w:val="single"/>
          <w:lang w:val="en-US" w:eastAsia="zh-CN"/>
        </w:rPr>
        <w:t>计划</w:t>
      </w:r>
      <w:r>
        <w:rPr>
          <w:rFonts w:hint="eastAsia" w:ascii="宋体" w:hAnsi="宋体"/>
          <w:color w:val="auto"/>
          <w:szCs w:val="21"/>
          <w:highlight w:val="none"/>
          <w:u w:val="single"/>
        </w:rPr>
        <w:t>总工期</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个</w:t>
      </w:r>
      <w:r>
        <w:rPr>
          <w:rFonts w:hint="eastAsia" w:ascii="宋体" w:hAnsi="宋体"/>
          <w:color w:val="auto"/>
          <w:szCs w:val="21"/>
          <w:highlight w:val="none"/>
          <w:u w:val="single"/>
          <w:lang w:val="en-US" w:eastAsia="zh-CN"/>
        </w:rPr>
        <w:t>月</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具体开工日期以总监理工程师发出的开工令为准</w:t>
      </w:r>
      <w:r>
        <w:rPr>
          <w:rFonts w:hint="eastAsia" w:ascii="宋体" w:hAnsi="宋体"/>
          <w:color w:val="auto"/>
          <w:sz w:val="21"/>
          <w:szCs w:val="21"/>
          <w:highlight w:val="none"/>
        </w:rPr>
        <w:t>。</w:t>
      </w:r>
    </w:p>
    <w:p w14:paraId="4E5C420D">
      <w:pPr>
        <w:spacing w:line="360" w:lineRule="auto"/>
        <w:jc w:val="left"/>
        <w:outlineLvl w:val="1"/>
        <w:rPr>
          <w:rFonts w:hint="eastAsia" w:ascii="宋体" w:hAnsi="宋体"/>
          <w:color w:val="auto"/>
          <w:sz w:val="21"/>
          <w:szCs w:val="21"/>
          <w:highlight w:val="none"/>
        </w:rPr>
      </w:pPr>
      <w:r>
        <w:rPr>
          <w:rFonts w:hint="eastAsia" w:ascii="宋体" w:hAnsi="宋体" w:eastAsia="宋体" w:cs="Times New Roman"/>
          <w:b w:val="0"/>
          <w:color w:val="auto"/>
          <w:sz w:val="21"/>
          <w:szCs w:val="21"/>
          <w:highlight w:val="none"/>
          <w:lang w:val="en-US" w:eastAsia="zh-CN"/>
        </w:rPr>
        <w:t>1.2.10</w:t>
      </w:r>
      <w:r>
        <w:rPr>
          <w:rFonts w:hint="eastAsia" w:ascii="宋体" w:hAnsi="宋体" w:eastAsia="宋体" w:cs="Times New Roman"/>
          <w:b w:val="0"/>
          <w:color w:val="auto"/>
          <w:sz w:val="21"/>
          <w:szCs w:val="21"/>
          <w:highlight w:val="none"/>
        </w:rPr>
        <w:t>本项目绿色建筑等级要求为：</w:t>
      </w:r>
      <w:r>
        <w:rPr>
          <w:rFonts w:hint="eastAsia" w:ascii="宋体" w:hAnsi="宋体" w:eastAsia="宋体" w:cs="Times New Roman"/>
          <w:b w:val="0"/>
          <w:color w:val="auto"/>
          <w:sz w:val="21"/>
          <w:szCs w:val="21"/>
          <w:highlight w:val="none"/>
          <w:u w:val="single"/>
          <w:lang w:val="en-US" w:eastAsia="zh-CN"/>
        </w:rPr>
        <w:t>二星级及以上</w:t>
      </w:r>
      <w:r>
        <w:rPr>
          <w:rFonts w:hint="eastAsia" w:ascii="宋体" w:hAnsi="宋体"/>
          <w:b w:val="0"/>
          <w:color w:val="auto"/>
          <w:sz w:val="21"/>
          <w:szCs w:val="21"/>
          <w:highlight w:val="none"/>
          <w:u w:val="single"/>
          <w:lang w:val="en-US" w:eastAsia="zh-CN"/>
        </w:rPr>
        <w:t>。</w:t>
      </w:r>
      <w:r>
        <w:rPr>
          <w:rFonts w:hint="eastAsia" w:ascii="宋体" w:hAnsi="宋体"/>
          <w:b w:val="0"/>
          <w:color w:val="auto"/>
          <w:sz w:val="21"/>
          <w:szCs w:val="21"/>
          <w:highlight w:val="none"/>
          <w:u w:val="none"/>
        </w:rPr>
        <w:t xml:space="preserve"> </w:t>
      </w:r>
    </w:p>
    <w:p w14:paraId="0703861B">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outlineLvl w:val="0"/>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1.3    前期服务机构</w:t>
      </w:r>
    </w:p>
    <w:p w14:paraId="741A1FB9">
      <w:pPr>
        <w:spacing w:line="360" w:lineRule="auto"/>
        <w:jc w:val="left"/>
        <w:outlineLvl w:val="1"/>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1.3.1  机构名称：</w:t>
      </w:r>
      <w:r>
        <w:rPr>
          <w:rFonts w:hint="eastAsia" w:ascii="宋体" w:hAnsi="宋体" w:eastAsia="宋体" w:cs="Times New Roman"/>
          <w:color w:val="auto"/>
          <w:sz w:val="21"/>
          <w:szCs w:val="21"/>
          <w:highlight w:val="none"/>
          <w:u w:val="single"/>
          <w:lang w:val="en-US" w:eastAsia="zh-CN"/>
        </w:rPr>
        <w:t xml:space="preserve">    /   </w:t>
      </w:r>
      <w:r>
        <w:rPr>
          <w:rFonts w:hint="eastAsia" w:ascii="宋体" w:hAnsi="宋体" w:eastAsia="宋体" w:cs="Times New Roman"/>
          <w:color w:val="auto"/>
          <w:sz w:val="21"/>
          <w:szCs w:val="21"/>
          <w:highlight w:val="none"/>
          <w:u w:val="none"/>
          <w:lang w:val="en-US" w:eastAsia="zh-CN"/>
        </w:rPr>
        <w:t>。</w:t>
      </w:r>
    </w:p>
    <w:p w14:paraId="6EB826BA">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[注释] 如果有前期服务机构，应公开披露其名称。</w:t>
      </w:r>
    </w:p>
    <w:p w14:paraId="1C427571">
      <w:pPr>
        <w:spacing w:line="360" w:lineRule="auto"/>
        <w:ind w:left="821" w:hanging="718" w:hangingChars="342"/>
        <w:jc w:val="left"/>
        <w:rPr>
          <w:rFonts w:hint="eastAsia" w:ascii="宋体" w:hAnsi="宋体"/>
          <w:color w:val="auto"/>
          <w:sz w:val="21"/>
          <w:szCs w:val="21"/>
          <w:highlight w:val="none"/>
        </w:rPr>
      </w:pPr>
      <w:r>
        <w:rPr>
          <w:rFonts w:hint="eastAsia" w:ascii="宋体" w:hAnsi="宋体"/>
          <w:color w:val="auto"/>
          <w:sz w:val="21"/>
          <w:szCs w:val="21"/>
          <w:highlight w:val="none"/>
        </w:rPr>
        <w:t>1.3.2  如果前期服务机构参加本次投标，应将本公告发布前最终完成的工作成果（含电子文件）在</w:t>
      </w:r>
      <w:r>
        <w:rPr>
          <w:rFonts w:hint="eastAsia" w:ascii="宋体" w:hAnsi="宋体"/>
          <w:color w:val="auto"/>
          <w:sz w:val="21"/>
          <w:szCs w:val="21"/>
          <w:highlight w:val="none"/>
          <w:u w:val="single"/>
          <w:lang w:val="en-US" w:eastAsia="zh-CN"/>
        </w:rPr>
        <w:t>发布招标公告</w:t>
      </w:r>
      <w:r>
        <w:rPr>
          <w:rFonts w:hint="eastAsia" w:ascii="宋体" w:hAnsi="宋体"/>
          <w:color w:val="auto"/>
          <w:sz w:val="21"/>
          <w:szCs w:val="21"/>
          <w:highlight w:val="none"/>
        </w:rPr>
        <w:t>的同时提供给所有投标人参考，否则前期参与的服务机构中标无效。</w:t>
      </w:r>
    </w:p>
    <w:p w14:paraId="27538CF9">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outlineLvl w:val="0"/>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1.4    投标资格</w:t>
      </w:r>
    </w:p>
    <w:p w14:paraId="18C6E3FD">
      <w:pPr>
        <w:spacing w:line="360" w:lineRule="auto"/>
        <w:ind w:left="821" w:hanging="718" w:hangingChars="342"/>
        <w:rPr>
          <w:rFonts w:hint="eastAsia" w:ascii="宋体" w:hAnsi="宋体"/>
          <w:color w:val="auto"/>
          <w:sz w:val="21"/>
          <w:szCs w:val="21"/>
          <w:highlight w:val="none"/>
        </w:rPr>
      </w:pPr>
      <w:r>
        <w:rPr>
          <w:rFonts w:hint="eastAsia" w:ascii="宋体" w:hAnsi="宋体"/>
          <w:color w:val="auto"/>
          <w:sz w:val="21"/>
          <w:szCs w:val="21"/>
          <w:highlight w:val="none"/>
        </w:rPr>
        <w:t>1.4.1  申请人（如联合体投标，含</w:t>
      </w:r>
      <w:r>
        <w:rPr>
          <w:rFonts w:hint="eastAsia" w:ascii="宋体" w:hAnsi="宋体"/>
          <w:color w:val="auto"/>
          <w:sz w:val="21"/>
          <w:szCs w:val="21"/>
          <w:highlight w:val="none"/>
          <w:lang w:eastAsia="zh-CN"/>
        </w:rPr>
        <w:t>联合体各方</w:t>
      </w:r>
      <w:r>
        <w:rPr>
          <w:rFonts w:hint="eastAsia" w:ascii="宋体" w:hAnsi="宋体"/>
          <w:color w:val="auto"/>
          <w:sz w:val="21"/>
          <w:szCs w:val="21"/>
          <w:highlight w:val="none"/>
        </w:rPr>
        <w:t>）与招标人过去3年内无合同履约纠纷，没有不得参加投标的情形。</w:t>
      </w:r>
    </w:p>
    <w:p w14:paraId="27EBF903">
      <w:pPr>
        <w:spacing w:line="360" w:lineRule="auto"/>
        <w:ind w:left="718" w:leftChars="0" w:hanging="718" w:hangingChars="342"/>
        <w:jc w:val="left"/>
        <w:rPr>
          <w:rFonts w:hint="eastAsia" w:ascii="宋体" w:hAnsi="宋体"/>
          <w:color w:val="auto"/>
          <w:sz w:val="21"/>
          <w:szCs w:val="21"/>
          <w:highlight w:val="none"/>
        </w:rPr>
      </w:pPr>
      <w:r>
        <w:rPr>
          <w:rFonts w:hint="eastAsia" w:ascii="宋体" w:hAnsi="宋体"/>
          <w:color w:val="auto"/>
          <w:sz w:val="21"/>
          <w:szCs w:val="21"/>
          <w:highlight w:val="none"/>
        </w:rPr>
        <w:t>[注释] 合同履约纠纷是指招标人过去3年内曾与申请人签订合同，并且对申请人不满意。不得</w:t>
      </w:r>
      <w:r>
        <w:rPr>
          <w:rFonts w:hint="eastAsia" w:ascii="宋体" w:hAnsi="宋体" w:eastAsia="宋体" w:cs="Times New Roman"/>
          <w:color w:val="auto"/>
          <w:sz w:val="21"/>
          <w:szCs w:val="21"/>
          <w:highlight w:val="none"/>
        </w:rPr>
        <w:t>参加</w:t>
      </w:r>
      <w:r>
        <w:rPr>
          <w:rFonts w:hint="eastAsia" w:ascii="宋体" w:hAnsi="宋体"/>
          <w:color w:val="auto"/>
          <w:sz w:val="21"/>
          <w:szCs w:val="21"/>
          <w:highlight w:val="none"/>
        </w:rPr>
        <w:t>投标的情形详见招标文件第三章第3.11条。</w:t>
      </w:r>
    </w:p>
    <w:p w14:paraId="7B65EE3B">
      <w:pPr>
        <w:spacing w:line="360" w:lineRule="auto"/>
        <w:ind w:left="821" w:hanging="718" w:hangingChars="342"/>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w:t xml:space="preserve">1.4.2  </w:t>
      </w:r>
      <w:r>
        <w:rPr>
          <w:rFonts w:hint="eastAsia" w:ascii="宋体" w:hAnsi="宋体" w:cs="宋体"/>
          <w:color w:val="auto"/>
          <w:szCs w:val="21"/>
          <w:highlight w:val="none"/>
        </w:rPr>
        <w:t>国内申请人须</w:t>
      </w:r>
      <w:r>
        <w:rPr>
          <w:rFonts w:hint="eastAsia" w:ascii="宋体" w:hAnsi="宋体" w:cs="宋体"/>
          <w:b/>
          <w:bCs/>
          <w:color w:val="auto"/>
          <w:szCs w:val="21"/>
          <w:highlight w:val="none"/>
          <w:u w:val="single"/>
        </w:rPr>
        <w:t>同时</w:t>
      </w:r>
      <w:r>
        <w:rPr>
          <w:rFonts w:hint="eastAsia" w:ascii="宋体" w:hAnsi="宋体" w:cs="宋体"/>
          <w:color w:val="auto"/>
          <w:szCs w:val="21"/>
          <w:highlight w:val="none"/>
        </w:rPr>
        <w:t>具备建设行政主管部门颁发的</w:t>
      </w:r>
      <w:r>
        <w:rPr>
          <w:rFonts w:hint="eastAsia" w:ascii="宋体" w:hAnsi="宋体" w:eastAsia="宋体" w:cs="宋体"/>
          <w:color w:val="auto"/>
          <w:szCs w:val="21"/>
          <w:highlight w:val="none"/>
          <w:lang w:val="en-US" w:eastAsia="zh-CN"/>
        </w:rPr>
        <w:t>有效期内的</w:t>
      </w:r>
      <w:r>
        <w:rPr>
          <w:rFonts w:hint="eastAsia" w:ascii="宋体" w:hAnsi="宋体" w:cs="宋体"/>
          <w:color w:val="auto"/>
          <w:szCs w:val="21"/>
          <w:highlight w:val="none"/>
          <w:u w:val="single"/>
        </w:rPr>
        <w:t>（1）、（2）</w:t>
      </w:r>
      <w:r>
        <w:rPr>
          <w:rFonts w:hint="eastAsia" w:ascii="宋体" w:hAnsi="宋体" w:cs="宋体"/>
          <w:color w:val="auto"/>
          <w:szCs w:val="21"/>
          <w:highlight w:val="none"/>
        </w:rPr>
        <w:t>资质证书</w:t>
      </w:r>
      <w:r>
        <w:rPr>
          <w:rFonts w:hint="eastAsia" w:ascii="宋体" w:hAnsi="宋体" w:cs="宋体"/>
          <w:color w:val="auto"/>
          <w:szCs w:val="21"/>
          <w:highlight w:val="none"/>
          <w:lang w:val="en-US" w:eastAsia="zh-CN"/>
        </w:rPr>
        <w:t>。</w:t>
      </w:r>
    </w:p>
    <w:p w14:paraId="115B73CB">
      <w:pPr>
        <w:spacing w:line="360" w:lineRule="auto"/>
        <w:ind w:left="724" w:leftChars="111" w:hanging="491" w:hangingChars="234"/>
        <w:jc w:val="left"/>
        <w:outlineLvl w:val="9"/>
        <w:rPr>
          <w:rFonts w:ascii="宋体" w:hAnsi="宋体" w:cs="宋体"/>
          <w:color w:val="auto"/>
          <w:szCs w:val="21"/>
          <w:highlight w:val="none"/>
          <w:u w:val="single"/>
        </w:rPr>
      </w:pPr>
      <w:r>
        <w:rPr>
          <w:rFonts w:hint="eastAsia" w:ascii="宋体" w:hAnsi="宋体" w:cs="宋体"/>
          <w:color w:val="auto"/>
          <w:szCs w:val="21"/>
          <w:highlight w:val="none"/>
          <w:u w:val="single"/>
        </w:rPr>
        <w:t>（</w:t>
      </w:r>
      <w:r>
        <w:rPr>
          <w:rFonts w:ascii="宋体" w:hAnsi="宋体" w:cs="宋体"/>
          <w:color w:val="auto"/>
          <w:szCs w:val="21"/>
          <w:highlight w:val="none"/>
          <w:u w:val="single"/>
        </w:rPr>
        <w:t>1）工程勘察资质：（</w:t>
      </w:r>
      <w:r>
        <w:rPr>
          <w:rFonts w:hint="eastAsia" w:ascii="宋体" w:hAnsi="宋体" w:cs="宋体"/>
          <w:b/>
          <w:bCs/>
          <w:color w:val="auto"/>
          <w:szCs w:val="21"/>
          <w:highlight w:val="none"/>
          <w:u w:val="single"/>
        </w:rPr>
        <w:t>以下资质条件之一</w:t>
      </w:r>
      <w:r>
        <w:rPr>
          <w:rFonts w:hint="eastAsia" w:ascii="宋体" w:hAnsi="宋体" w:cs="宋体"/>
          <w:color w:val="auto"/>
          <w:szCs w:val="21"/>
          <w:highlight w:val="none"/>
          <w:u w:val="single"/>
        </w:rPr>
        <w:t>）</w:t>
      </w:r>
    </w:p>
    <w:p w14:paraId="7D2478E2">
      <w:pPr>
        <w:spacing w:line="360" w:lineRule="auto"/>
        <w:ind w:left="711" w:leftChars="304" w:hanging="73" w:hangingChars="35"/>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①工程勘察综合甲级资质；</w:t>
      </w:r>
    </w:p>
    <w:p w14:paraId="1064AD11">
      <w:pPr>
        <w:spacing w:line="360" w:lineRule="auto"/>
        <w:ind w:left="711" w:leftChars="304" w:hanging="73" w:hangingChars="35"/>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②工程勘察专业类（岩土工程）甲级资质；</w:t>
      </w:r>
    </w:p>
    <w:p w14:paraId="5EA8B00B">
      <w:pPr>
        <w:spacing w:line="360" w:lineRule="auto"/>
        <w:ind w:left="711" w:leftChars="304" w:hanging="73" w:hangingChars="35"/>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③工程勘察专业类[岩土工程（勘察）甲级资质。</w:t>
      </w:r>
    </w:p>
    <w:p w14:paraId="3EA62D57">
      <w:pPr>
        <w:spacing w:line="360" w:lineRule="auto"/>
        <w:ind w:firstLine="210" w:firstLineChars="10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（2）工程设计资质：（</w:t>
      </w:r>
      <w:r>
        <w:rPr>
          <w:rFonts w:hint="eastAsia" w:ascii="宋体" w:hAnsi="宋体" w:eastAsia="宋体" w:cs="宋体"/>
          <w:b/>
          <w:bCs/>
          <w:color w:val="auto"/>
          <w:szCs w:val="21"/>
          <w:highlight w:val="none"/>
          <w:u w:val="single"/>
        </w:rPr>
        <w:t>以下资质条件</w:t>
      </w:r>
      <w:r>
        <w:rPr>
          <w:rFonts w:hint="eastAsia" w:ascii="宋体" w:hAnsi="宋体" w:eastAsia="宋体" w:cs="宋体"/>
          <w:color w:val="auto"/>
          <w:szCs w:val="21"/>
          <w:highlight w:val="none"/>
          <w:u w:val="single"/>
        </w:rPr>
        <w:t>之一）</w:t>
      </w:r>
    </w:p>
    <w:p w14:paraId="5FEA111A">
      <w:pPr>
        <w:spacing w:line="360" w:lineRule="auto"/>
        <w:ind w:left="711" w:leftChars="304" w:hanging="73" w:hangingChars="35"/>
        <w:jc w:val="left"/>
        <w:outlineLvl w:val="9"/>
        <w:rPr>
          <w:rFonts w:ascii="宋体" w:hAnsi="宋体" w:cs="宋体"/>
          <w:color w:val="auto"/>
          <w:szCs w:val="21"/>
          <w:highlight w:val="none"/>
          <w:u w:val="single"/>
        </w:rPr>
      </w:pPr>
      <w:r>
        <w:rPr>
          <w:rFonts w:hint="eastAsia"/>
          <w:color w:val="auto"/>
          <w:highlight w:val="none"/>
          <w:u w:val="single"/>
        </w:rPr>
        <w:t>①工程设计综合资质甲级；</w:t>
      </w:r>
    </w:p>
    <w:p w14:paraId="416B3584">
      <w:pPr>
        <w:spacing w:line="360" w:lineRule="auto"/>
        <w:ind w:left="711" w:leftChars="304" w:hanging="73" w:hangingChars="35"/>
        <w:jc w:val="left"/>
        <w:outlineLvl w:val="9"/>
        <w:rPr>
          <w:color w:val="auto"/>
          <w:highlight w:val="none"/>
        </w:rPr>
      </w:pPr>
      <w:r>
        <w:rPr>
          <w:rFonts w:hint="eastAsia" w:ascii="宋体" w:hAnsi="宋体" w:cs="宋体"/>
          <w:color w:val="auto"/>
          <w:szCs w:val="21"/>
          <w:highlight w:val="none"/>
          <w:u w:val="single"/>
        </w:rPr>
        <w:t>②建筑行业设计</w:t>
      </w:r>
      <w:r>
        <w:rPr>
          <w:rFonts w:hint="eastAsia" w:ascii="宋体" w:hAnsi="宋体" w:eastAsia="宋体" w:cs="宋体"/>
          <w:color w:val="auto"/>
          <w:szCs w:val="21"/>
          <w:highlight w:val="none"/>
          <w:u w:val="single"/>
        </w:rPr>
        <w:t>甲级</w:t>
      </w:r>
      <w:r>
        <w:rPr>
          <w:rFonts w:hint="eastAsia" w:ascii="宋体" w:hAnsi="宋体" w:cs="宋体"/>
          <w:color w:val="auto"/>
          <w:szCs w:val="21"/>
          <w:highlight w:val="none"/>
          <w:u w:val="single"/>
        </w:rPr>
        <w:t>资质；</w:t>
      </w:r>
    </w:p>
    <w:p w14:paraId="4252DA50">
      <w:pPr>
        <w:spacing w:line="360" w:lineRule="auto"/>
        <w:ind w:left="711" w:leftChars="304" w:hanging="73" w:hangingChars="35"/>
        <w:jc w:val="left"/>
        <w:outlineLvl w:val="9"/>
        <w:rPr>
          <w:rFonts w:ascii="宋体" w:hAnsi="宋体" w:cs="宋体"/>
          <w:color w:val="auto"/>
          <w:szCs w:val="21"/>
          <w:highlight w:val="none"/>
          <w:u w:val="single"/>
        </w:rPr>
      </w:pPr>
      <w:r>
        <w:rPr>
          <w:rFonts w:hint="eastAsia" w:ascii="宋体" w:hAnsi="宋体" w:cs="宋体"/>
          <w:color w:val="auto"/>
          <w:szCs w:val="21"/>
          <w:highlight w:val="none"/>
          <w:u w:val="single"/>
        </w:rPr>
        <w:t>③建筑行业（建筑工程）专业设计</w:t>
      </w:r>
      <w:r>
        <w:rPr>
          <w:rFonts w:hint="eastAsia" w:ascii="宋体" w:hAnsi="宋体" w:eastAsia="宋体" w:cs="宋体"/>
          <w:color w:val="auto"/>
          <w:szCs w:val="21"/>
          <w:highlight w:val="none"/>
          <w:u w:val="single"/>
        </w:rPr>
        <w:t>甲级</w:t>
      </w:r>
      <w:r>
        <w:rPr>
          <w:rFonts w:hint="eastAsia" w:ascii="宋体" w:hAnsi="宋体" w:cs="宋体"/>
          <w:color w:val="auto"/>
          <w:szCs w:val="21"/>
          <w:highlight w:val="none"/>
          <w:u w:val="single"/>
        </w:rPr>
        <w:t>资质；</w:t>
      </w:r>
    </w:p>
    <w:p w14:paraId="7C433E32">
      <w:pPr>
        <w:spacing w:line="360" w:lineRule="auto"/>
        <w:ind w:left="711" w:leftChars="304" w:hanging="73" w:hangingChars="35"/>
        <w:jc w:val="left"/>
        <w:outlineLvl w:val="9"/>
        <w:rPr>
          <w:rFonts w:ascii="宋体" w:hAnsi="宋体" w:cs="宋体"/>
          <w:color w:val="auto"/>
          <w:szCs w:val="21"/>
          <w:highlight w:val="none"/>
          <w:u w:val="single"/>
        </w:rPr>
      </w:pPr>
      <w:r>
        <w:rPr>
          <w:rFonts w:hint="eastAsia" w:ascii="宋体" w:hAnsi="宋体" w:cs="宋体"/>
          <w:color w:val="auto"/>
          <w:szCs w:val="21"/>
          <w:highlight w:val="none"/>
          <w:u w:val="single"/>
        </w:rPr>
        <w:t>④建筑设计事务所资质。</w:t>
      </w:r>
    </w:p>
    <w:p w14:paraId="2DD99AE9">
      <w:pPr>
        <w:spacing w:line="360" w:lineRule="auto"/>
        <w:ind w:left="420" w:leftChars="0" w:hanging="420" w:hangingChars="200"/>
        <w:rPr>
          <w:rFonts w:ascii="宋体" w:hAnsi="宋体" w:cs="宋体"/>
          <w:color w:val="auto"/>
          <w:szCs w:val="21"/>
          <w:highlight w:val="none"/>
        </w:rPr>
      </w:pPr>
      <w:r>
        <w:rPr>
          <w:rFonts w:hint="eastAsia" w:ascii="宋体" w:hAnsi="宋体" w:cs="宋体"/>
          <w:color w:val="auto"/>
          <w:szCs w:val="21"/>
          <w:highlight w:val="none"/>
        </w:rPr>
        <w:t>[注释] 1、具体资质要求按照《建设工程勘察设计资质管理规定》（建设部令第160号）、《工程勘察、工程设计资质分级标准补充规定》（建设[2001]178号）、《建设工程勘察设计资质管理规定实施意见》（建市[2007]202号）、《工程勘察资质标准》（建市[2013]9号）、《工程设计资质标准》（建市〔2007〕86号）、《住房城乡建设部关于促进建筑工程设计</w:t>
      </w:r>
      <w:r>
        <w:rPr>
          <w:rFonts w:hint="eastAsia" w:ascii="宋体" w:hAnsi="宋体" w:eastAsia="宋体" w:cs="宋体"/>
          <w:color w:val="auto"/>
          <w:szCs w:val="21"/>
          <w:highlight w:val="none"/>
        </w:rPr>
        <w:t>事务所</w:t>
      </w:r>
      <w:r>
        <w:rPr>
          <w:rFonts w:hint="eastAsia" w:ascii="宋体" w:hAnsi="宋体" w:cs="宋体"/>
          <w:color w:val="auto"/>
          <w:szCs w:val="21"/>
          <w:highlight w:val="none"/>
        </w:rPr>
        <w:t>发展有关事项的通知》（建市（2016）261号）填写。要求同时具备2项或以上资质证书的，申请人可以组成联合体投标。</w:t>
      </w:r>
    </w:p>
    <w:p w14:paraId="29480B00">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2、工程勘察、工程设计企业资质证书有效期按《住房和城乡建设部办公厅关于做好建筑业“证照分离”改革衔接有关工作的通知》（建办市〔2021〕30号）、《住房和城乡建设部办公厅关于建设工程企业资质有关事宜的通知》（建办市函〔2022〕361号）和《广东省住房和城乡建设厅关于建设工程企业资质有关事宜的通知》（粤建许函〔</w:t>
      </w:r>
      <w:r>
        <w:rPr>
          <w:rFonts w:ascii="宋体" w:hAnsi="宋体" w:cs="宋体"/>
          <w:color w:val="auto"/>
          <w:szCs w:val="21"/>
          <w:highlight w:val="none"/>
        </w:rPr>
        <w:t>2022〕846号）</w:t>
      </w:r>
      <w:r>
        <w:rPr>
          <w:rFonts w:hint="eastAsia" w:ascii="宋体" w:hAnsi="宋体" w:cs="宋体"/>
          <w:color w:val="auto"/>
          <w:szCs w:val="21"/>
          <w:highlight w:val="none"/>
        </w:rPr>
        <w:t>、</w:t>
      </w:r>
      <w:r>
        <w:rPr>
          <w:rFonts w:hint="eastAsia" w:ascii="宋体" w:hAnsi="宋体" w:cs="宋体"/>
          <w:bCs/>
          <w:color w:val="auto"/>
          <w:szCs w:val="21"/>
          <w:highlight w:val="none"/>
          <w:u w:val="none"/>
        </w:rPr>
        <w:t>《住房城乡建设部建筑市场监管司关于建设工程企业资质延续有关事项的通知》（建司局函市〔</w:t>
      </w:r>
      <w:r>
        <w:rPr>
          <w:rFonts w:ascii="宋体" w:hAnsi="宋体" w:cs="宋体"/>
          <w:bCs/>
          <w:color w:val="auto"/>
          <w:szCs w:val="21"/>
          <w:highlight w:val="none"/>
          <w:u w:val="none"/>
        </w:rPr>
        <w:t>2023〕116号）、</w:t>
      </w:r>
      <w:r>
        <w:rPr>
          <w:rFonts w:hint="eastAsia" w:ascii="宋体" w:hAnsi="宋体" w:cs="宋体"/>
          <w:bCs/>
          <w:color w:val="auto"/>
          <w:szCs w:val="21"/>
          <w:highlight w:val="none"/>
          <w:u w:val="none"/>
          <w:lang w:val="en-US" w:eastAsia="zh-CN"/>
        </w:rPr>
        <w:t>《住房城乡建设部办公厅关于做好有关建设工程企业资质证书换领和延续工作的通知》（建办市〔2023〕47号）、《广东省住房和城乡建设厅关于做好有关建设工程企业资质证书换领工作的通知》（粤建许函〔2024〕124号）、《广州市住房和城乡建设局关于建设工程企业资质证书换领工作的通知》（穗建审批〔2024〕242号）等相关规定。根据上述文件的要求，投标人需办理企业资质有效期延续的，应当按照相关规定及时办理</w:t>
      </w:r>
      <w:r>
        <w:rPr>
          <w:rFonts w:hint="eastAsia" w:ascii="宋体" w:hAnsi="宋体" w:cs="宋体"/>
          <w:color w:val="auto"/>
          <w:szCs w:val="21"/>
          <w:highlight w:val="none"/>
          <w:u w:val="none"/>
        </w:rPr>
        <w:t>。</w:t>
      </w:r>
    </w:p>
    <w:p w14:paraId="4B0BC462">
      <w:pPr>
        <w:keepNext w:val="0"/>
        <w:keepLines w:val="0"/>
        <w:pageBreakBefore w:val="0"/>
        <w:widowControl w:val="0"/>
        <w:kinsoku/>
        <w:wordWrap w:val="0"/>
        <w:overflowPunct/>
        <w:topLinePunct w:val="0"/>
        <w:autoSpaceDE/>
        <w:autoSpaceDN/>
        <w:bidi w:val="0"/>
        <w:adjustRightInd/>
        <w:snapToGrid/>
        <w:spacing w:line="360" w:lineRule="auto"/>
        <w:ind w:left="420" w:leftChars="0" w:hanging="420" w:hangingChars="200"/>
        <w:jc w:val="left"/>
        <w:textAlignment w:val="auto"/>
        <w:rPr>
          <w:rFonts w:ascii="宋体" w:hAnsi="宋体"/>
          <w:color w:val="auto"/>
          <w:szCs w:val="21"/>
          <w:highlight w:val="none"/>
        </w:rPr>
      </w:pPr>
      <w:r>
        <w:rPr>
          <w:rFonts w:hint="eastAsia" w:ascii="宋体" w:hAnsi="宋体"/>
          <w:color w:val="auto"/>
          <w:szCs w:val="21"/>
          <w:highlight w:val="none"/>
        </w:rPr>
        <w:t xml:space="preserve">    </w:t>
      </w:r>
      <w:r>
        <w:rPr>
          <w:rFonts w:ascii="宋体" w:hAnsi="宋体"/>
          <w:b/>
          <w:bCs/>
          <w:color w:val="auto"/>
          <w:szCs w:val="21"/>
          <w:highlight w:val="none"/>
        </w:rPr>
        <w:t xml:space="preserve">  </w:t>
      </w:r>
      <w:r>
        <w:rPr>
          <w:rFonts w:ascii="宋体" w:hAnsi="宋体"/>
          <w:b/>
          <w:bCs/>
          <w:color w:val="auto"/>
          <w:szCs w:val="21"/>
          <w:highlight w:val="none"/>
        </w:rPr>
        <w:t xml:space="preserve">  </w:t>
      </w:r>
      <w:r>
        <w:rPr>
          <w:rFonts w:ascii="宋体" w:hAnsi="宋体" w:cs="宋体"/>
          <w:color w:val="auto"/>
          <w:szCs w:val="21"/>
          <w:highlight w:val="none"/>
        </w:rPr>
        <w:t>3</w:t>
      </w:r>
      <w:r>
        <w:rPr>
          <w:rFonts w:hint="eastAsia" w:ascii="宋体" w:hAnsi="宋体" w:cs="宋体"/>
          <w:color w:val="auto"/>
          <w:szCs w:val="21"/>
          <w:highlight w:val="none"/>
        </w:rPr>
        <w:t>、</w:t>
      </w:r>
      <w:r>
        <w:rPr>
          <w:rFonts w:hint="eastAsia"/>
          <w:color w:val="auto"/>
          <w:highlight w:val="none"/>
        </w:rPr>
        <w:t>香港企业独立参加投标的，须在广东省住房和城乡建设主管部门备案且备案的业务范围满足本项目要求</w:t>
      </w:r>
      <w:r>
        <w:rPr>
          <w:rFonts w:hint="eastAsia" w:ascii="宋体" w:hAnsi="宋体"/>
          <w:color w:val="auto"/>
          <w:szCs w:val="21"/>
          <w:highlight w:val="none"/>
        </w:rPr>
        <w:t>香港企业备案的业务范围依据《广东省住房和城乡建设厅关于印发香港工程建设咨询企业和专业人士在粤港澳大湾区内地城市开业执业试点管理暂行办法的通知》（粤建规范〔</w:t>
      </w:r>
      <w:r>
        <w:rPr>
          <w:rFonts w:ascii="宋体" w:hAnsi="宋体"/>
          <w:color w:val="auto"/>
          <w:szCs w:val="21"/>
          <w:highlight w:val="none"/>
        </w:rPr>
        <w:t>2020</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号，详见链接：</w:t>
      </w:r>
      <w:r>
        <w:rPr>
          <w:rFonts w:ascii="宋体" w:hAnsi="宋体"/>
          <w:color w:val="auto"/>
          <w:szCs w:val="21"/>
          <w:highlight w:val="none"/>
        </w:rPr>
        <w:t>http://zfcxjst.gd.gov.cn/xxgk/wjtz/content/post_3137220.html</w:t>
      </w:r>
      <w:r>
        <w:rPr>
          <w:rFonts w:hint="eastAsia" w:ascii="宋体" w:hAnsi="宋体"/>
          <w:color w:val="auto"/>
          <w:szCs w:val="21"/>
          <w:highlight w:val="none"/>
        </w:rPr>
        <w:t>）确定。香港企业须提供满足招标文件要求的相应资质证书及备案证明资料扫描件。香港企业投标的，还需持有在香港进行商业登记的证明文书。</w:t>
      </w:r>
      <w:r>
        <w:rPr>
          <w:rFonts w:ascii="宋体" w:hAnsi="宋体"/>
          <w:color w:val="auto"/>
          <w:szCs w:val="21"/>
          <w:highlight w:val="none"/>
        </w:rPr>
        <w:t xml:space="preserve"> </w:t>
      </w:r>
    </w:p>
    <w:p w14:paraId="3289D4E1">
      <w:pPr>
        <w:spacing w:line="360" w:lineRule="auto"/>
        <w:ind w:left="420" w:leftChars="200" w:firstLine="420" w:firstLineChars="200"/>
        <w:jc w:val="left"/>
        <w:rPr>
          <w:rFonts w:hint="eastAsia" w:ascii="宋体" w:hAnsi="宋体" w:eastAsia="宋体" w:cs="Times New Roman"/>
          <w:color w:val="auto"/>
          <w:sz w:val="21"/>
          <w:szCs w:val="21"/>
          <w:highlight w:val="none"/>
        </w:rPr>
      </w:pPr>
      <w:r>
        <w:rPr>
          <w:rFonts w:hint="eastAsia" w:ascii="宋体" w:hAnsi="宋体" w:cs="宋体"/>
          <w:color w:val="auto"/>
          <w:szCs w:val="21"/>
          <w:highlight w:val="none"/>
          <w:u w:val="single"/>
        </w:rPr>
        <w:t>4、本次招标</w:t>
      </w:r>
      <w:r>
        <w:rPr>
          <w:rFonts w:hint="eastAsia" w:ascii="宋体" w:hAnsi="宋体" w:cs="宋体"/>
          <w:b/>
          <w:color w:val="auto"/>
          <w:szCs w:val="21"/>
          <w:highlight w:val="none"/>
          <w:u w:val="single"/>
        </w:rPr>
        <w:t>接受</w:t>
      </w:r>
      <w:r>
        <w:rPr>
          <w:rFonts w:hint="eastAsia" w:ascii="宋体" w:hAnsi="宋体" w:cs="宋体"/>
          <w:color w:val="auto"/>
          <w:szCs w:val="21"/>
          <w:highlight w:val="none"/>
          <w:u w:val="single"/>
        </w:rPr>
        <w:t>联合体投标。联合体投标的，应满足下列要求：申请人可以组成联合体投标，并签订联合体共同投标协议（联合体共同投标协议应明确约定各方拟承担的工作和责任。投标登记截止后联合体增减、更换成员的，其投标无效）。以具有符合本招标项目要求的</w:t>
      </w:r>
      <w:r>
        <w:rPr>
          <w:rFonts w:hint="eastAsia" w:ascii="宋体" w:hAnsi="宋体" w:cs="宋体"/>
          <w:b/>
          <w:color w:val="auto"/>
          <w:szCs w:val="21"/>
          <w:highlight w:val="none"/>
          <w:u w:val="single"/>
        </w:rPr>
        <w:t>工程设计资质的一方为</w:t>
      </w:r>
      <w:r>
        <w:rPr>
          <w:rFonts w:hint="eastAsia" w:ascii="宋体" w:hAnsi="宋体" w:cs="宋体"/>
          <w:b/>
          <w:color w:val="auto"/>
          <w:szCs w:val="21"/>
          <w:highlight w:val="none"/>
          <w:u w:val="single"/>
          <w:lang w:eastAsia="zh-CN"/>
        </w:rPr>
        <w:t>牵头人</w:t>
      </w:r>
      <w:r>
        <w:rPr>
          <w:rFonts w:hint="eastAsia" w:ascii="宋体" w:hAnsi="宋体" w:cs="宋体"/>
          <w:color w:val="auto"/>
          <w:szCs w:val="21"/>
          <w:highlight w:val="none"/>
          <w:u w:val="single"/>
        </w:rPr>
        <w:t>。联合体各方（包括</w:t>
      </w:r>
      <w:r>
        <w:rPr>
          <w:rFonts w:hint="eastAsia" w:ascii="宋体" w:hAnsi="宋体" w:cs="宋体"/>
          <w:color w:val="auto"/>
          <w:szCs w:val="21"/>
          <w:highlight w:val="none"/>
          <w:u w:val="single"/>
          <w:lang w:eastAsia="zh-CN"/>
        </w:rPr>
        <w:t>牵头人</w:t>
      </w:r>
      <w:r>
        <w:rPr>
          <w:rFonts w:hint="eastAsia" w:ascii="宋体" w:hAnsi="宋体" w:cs="宋体"/>
          <w:color w:val="auto"/>
          <w:szCs w:val="21"/>
          <w:highlight w:val="none"/>
          <w:u w:val="single"/>
        </w:rPr>
        <w:t>及联合体成员）不得再单独或与其他单位组成联合体参与本项目投标</w:t>
      </w:r>
      <w:r>
        <w:rPr>
          <w:rFonts w:hint="eastAsia" w:ascii="宋体" w:hAnsi="宋体" w:eastAsia="宋体" w:cs="Times New Roman"/>
          <w:color w:val="auto"/>
          <w:sz w:val="21"/>
          <w:szCs w:val="21"/>
          <w:highlight w:val="none"/>
        </w:rPr>
        <w:t>。由同一专业资质单位组成的联合体，按照资质等级较低的单位确定资质等级。</w:t>
      </w:r>
    </w:p>
    <w:p w14:paraId="7E82A82A">
      <w:pPr>
        <w:spacing w:line="360" w:lineRule="auto"/>
        <w:ind w:left="720" w:hanging="630" w:hangingChars="300"/>
        <w:jc w:val="left"/>
        <w:rPr>
          <w:rFonts w:hint="eastAsia" w:ascii="宋体" w:hAnsi="宋体"/>
          <w:color w:val="auto"/>
          <w:sz w:val="21"/>
          <w:szCs w:val="21"/>
          <w:highlight w:val="none"/>
        </w:rPr>
      </w:pPr>
      <w:r>
        <w:rPr>
          <w:rFonts w:hint="eastAsia" w:ascii="宋体" w:hAnsi="宋体"/>
          <w:color w:val="auto"/>
          <w:sz w:val="21"/>
          <w:szCs w:val="21"/>
          <w:highlight w:val="none"/>
        </w:rPr>
        <w:t>1.4.3 外国或澳门、台湾的设计企业必须选择一家符合上述条件</w:t>
      </w:r>
      <w:r>
        <w:rPr>
          <w:rFonts w:hint="eastAsia" w:ascii="宋体" w:hAnsi="宋体"/>
          <w:color w:val="auto"/>
          <w:sz w:val="21"/>
          <w:szCs w:val="21"/>
          <w:highlight w:val="none"/>
          <w:lang w:eastAsia="zh-CN"/>
        </w:rPr>
        <w:t>（招标公告第</w:t>
      </w:r>
      <w:r>
        <w:rPr>
          <w:rFonts w:hint="eastAsia" w:ascii="宋体" w:hAnsi="宋体"/>
          <w:color w:val="auto"/>
          <w:sz w:val="21"/>
          <w:szCs w:val="21"/>
          <w:highlight w:val="none"/>
          <w:lang w:val="en-US" w:eastAsia="zh-CN"/>
        </w:rPr>
        <w:t>1.4.1条、第1.4.2（2）条要求</w:t>
      </w:r>
      <w:r>
        <w:rPr>
          <w:rFonts w:hint="eastAsia" w:ascii="宋体" w:hAnsi="宋体"/>
          <w:color w:val="auto"/>
          <w:sz w:val="21"/>
          <w:szCs w:val="21"/>
          <w:highlight w:val="none"/>
          <w:lang w:eastAsia="zh-CN"/>
        </w:rPr>
        <w:t>）</w:t>
      </w:r>
      <w:r>
        <w:rPr>
          <w:rFonts w:hint="eastAsia" w:ascii="宋体" w:hAnsi="宋体"/>
          <w:color w:val="auto"/>
          <w:sz w:val="21"/>
          <w:szCs w:val="21"/>
          <w:highlight w:val="none"/>
        </w:rPr>
        <w:t>的</w:t>
      </w:r>
      <w:r>
        <w:rPr>
          <w:rFonts w:hint="eastAsia" w:ascii="宋体" w:hAnsi="宋体"/>
          <w:color w:val="auto"/>
          <w:sz w:val="21"/>
          <w:szCs w:val="21"/>
          <w:highlight w:val="none"/>
          <w:lang w:eastAsia="zh-CN"/>
        </w:rPr>
        <w:t>国内</w:t>
      </w:r>
      <w:r>
        <w:rPr>
          <w:rFonts w:hint="eastAsia" w:ascii="宋体" w:hAnsi="宋体"/>
          <w:color w:val="auto"/>
          <w:sz w:val="21"/>
          <w:szCs w:val="21"/>
          <w:highlight w:val="none"/>
        </w:rPr>
        <w:t>企业进行合作设计。香港企业如不单独参加投标，也必须选择一家符合上述条件</w:t>
      </w:r>
      <w:r>
        <w:rPr>
          <w:rFonts w:hint="eastAsia" w:ascii="宋体" w:hAnsi="宋体"/>
          <w:color w:val="auto"/>
          <w:sz w:val="21"/>
          <w:szCs w:val="21"/>
          <w:highlight w:val="none"/>
          <w:lang w:eastAsia="zh-CN"/>
        </w:rPr>
        <w:t>（招标公告第</w:t>
      </w:r>
      <w:r>
        <w:rPr>
          <w:rFonts w:hint="eastAsia" w:ascii="宋体" w:hAnsi="宋体"/>
          <w:color w:val="auto"/>
          <w:sz w:val="21"/>
          <w:szCs w:val="21"/>
          <w:highlight w:val="none"/>
          <w:lang w:val="en-US" w:eastAsia="zh-CN"/>
        </w:rPr>
        <w:t>1.4.1条、第1.4.2（2）条要求</w:t>
      </w:r>
      <w:r>
        <w:rPr>
          <w:rFonts w:hint="eastAsia" w:ascii="宋体" w:hAnsi="宋体"/>
          <w:color w:val="auto"/>
          <w:sz w:val="21"/>
          <w:szCs w:val="21"/>
          <w:highlight w:val="none"/>
          <w:lang w:eastAsia="zh-CN"/>
        </w:rPr>
        <w:t>）</w:t>
      </w:r>
      <w:r>
        <w:rPr>
          <w:rFonts w:hint="eastAsia" w:ascii="宋体" w:hAnsi="宋体"/>
          <w:color w:val="auto"/>
          <w:sz w:val="21"/>
          <w:szCs w:val="21"/>
          <w:highlight w:val="none"/>
        </w:rPr>
        <w:t>的</w:t>
      </w:r>
      <w:r>
        <w:rPr>
          <w:rFonts w:hint="eastAsia" w:ascii="宋体" w:hAnsi="宋体"/>
          <w:color w:val="auto"/>
          <w:sz w:val="21"/>
          <w:szCs w:val="21"/>
          <w:highlight w:val="none"/>
          <w:lang w:eastAsia="zh-CN"/>
        </w:rPr>
        <w:t>国内</w:t>
      </w:r>
      <w:r>
        <w:rPr>
          <w:rFonts w:hint="eastAsia" w:ascii="宋体" w:hAnsi="宋体"/>
          <w:color w:val="auto"/>
          <w:sz w:val="21"/>
          <w:szCs w:val="21"/>
          <w:highlight w:val="none"/>
        </w:rPr>
        <w:t>企业进行合作设计。</w:t>
      </w:r>
    </w:p>
    <w:p w14:paraId="63F0532D">
      <w:pPr>
        <w:spacing w:line="360" w:lineRule="auto"/>
        <w:ind w:left="720" w:hanging="630" w:hangingChars="300"/>
        <w:jc w:val="left"/>
        <w:rPr>
          <w:rFonts w:hint="eastAsia" w:ascii="宋体" w:hAnsi="宋体"/>
          <w:color w:val="auto"/>
          <w:sz w:val="21"/>
          <w:szCs w:val="21"/>
          <w:highlight w:val="none"/>
        </w:rPr>
      </w:pPr>
      <w:r>
        <w:rPr>
          <w:rFonts w:hint="eastAsia" w:ascii="宋体" w:hAnsi="宋体"/>
          <w:color w:val="auto"/>
          <w:sz w:val="21"/>
          <w:szCs w:val="21"/>
          <w:highlight w:val="none"/>
        </w:rPr>
        <w:t xml:space="preserve">1.4.4 </w:t>
      </w:r>
      <w:r>
        <w:rPr>
          <w:rFonts w:hint="eastAsia" w:ascii="宋体" w:hAnsi="宋体" w:cs="宋体"/>
          <w:color w:val="auto"/>
          <w:szCs w:val="21"/>
          <w:highlight w:val="none"/>
        </w:rPr>
        <w:t>申请人</w:t>
      </w:r>
      <w:r>
        <w:rPr>
          <w:rFonts w:hint="eastAsia" w:ascii="宋体" w:hAnsi="宋体" w:cs="宋体"/>
          <w:color w:val="auto"/>
          <w:szCs w:val="21"/>
          <w:highlight w:val="none"/>
          <w:u w:val="single"/>
        </w:rPr>
        <w:t>（如联合体投标，</w:t>
      </w:r>
      <w:r>
        <w:rPr>
          <w:rFonts w:hint="eastAsia" w:ascii="宋体" w:hAnsi="宋体" w:cs="宋体"/>
          <w:color w:val="auto"/>
          <w:szCs w:val="21"/>
          <w:highlight w:val="none"/>
          <w:u w:val="single"/>
          <w:lang w:val="en-US" w:eastAsia="zh-CN"/>
        </w:rPr>
        <w:t>含联合体各方</w:t>
      </w:r>
      <w:r>
        <w:rPr>
          <w:rFonts w:hint="eastAsia" w:ascii="宋体" w:hAnsi="宋体" w:cs="宋体"/>
          <w:color w:val="auto"/>
          <w:szCs w:val="21"/>
          <w:highlight w:val="none"/>
          <w:u w:val="single"/>
        </w:rPr>
        <w:t>）</w:t>
      </w:r>
      <w:r>
        <w:rPr>
          <w:rFonts w:hint="eastAsia" w:ascii="宋体" w:hAnsi="宋体" w:cs="宋体"/>
          <w:color w:val="auto"/>
          <w:szCs w:val="21"/>
          <w:highlight w:val="none"/>
        </w:rPr>
        <w:t>已在广州市住房和城乡建设局建立企业信用档案，拟委派的项目负责人须是本企业</w:t>
      </w:r>
      <w:r>
        <w:rPr>
          <w:rFonts w:hint="eastAsia" w:ascii="宋体" w:hAnsi="宋体" w:cs="宋体"/>
          <w:color w:val="auto"/>
          <w:szCs w:val="21"/>
          <w:highlight w:val="none"/>
        </w:rPr>
        <w:t>（如联合体投标，指</w:t>
      </w:r>
      <w:r>
        <w:rPr>
          <w:rFonts w:hint="eastAsia" w:ascii="宋体" w:hAnsi="宋体" w:cs="宋体"/>
          <w:color w:val="auto"/>
          <w:szCs w:val="21"/>
          <w:highlight w:val="none"/>
          <w:lang w:eastAsia="zh-CN"/>
        </w:rPr>
        <w:t>牵头人</w:t>
      </w:r>
      <w:r>
        <w:rPr>
          <w:rFonts w:hint="eastAsia" w:ascii="宋体" w:hAnsi="宋体" w:cs="宋体"/>
          <w:color w:val="auto"/>
          <w:szCs w:val="21"/>
          <w:highlight w:val="none"/>
        </w:rPr>
        <w:t>）</w:t>
      </w:r>
      <w:r>
        <w:rPr>
          <w:rFonts w:hint="eastAsia" w:ascii="宋体" w:hAnsi="宋体" w:cs="宋体"/>
          <w:color w:val="auto"/>
          <w:szCs w:val="21"/>
          <w:highlight w:val="none"/>
        </w:rPr>
        <w:t>信用档案中的在册人员</w:t>
      </w:r>
      <w:r>
        <w:rPr>
          <w:rFonts w:hint="eastAsia" w:ascii="宋体" w:hAnsi="宋体"/>
          <w:color w:val="auto"/>
          <w:sz w:val="21"/>
          <w:szCs w:val="21"/>
          <w:highlight w:val="none"/>
        </w:rPr>
        <w:t>。</w:t>
      </w:r>
    </w:p>
    <w:p w14:paraId="021CF523">
      <w:pPr>
        <w:keepNext w:val="0"/>
        <w:keepLines w:val="0"/>
        <w:pageBreakBefore w:val="0"/>
        <w:widowControl w:val="0"/>
        <w:kinsoku/>
        <w:wordWrap w:val="0"/>
        <w:overflowPunct/>
        <w:topLinePunct w:val="0"/>
        <w:autoSpaceDE/>
        <w:autoSpaceDN/>
        <w:bidi w:val="0"/>
        <w:adjustRightInd/>
        <w:snapToGrid/>
        <w:spacing w:line="360" w:lineRule="auto"/>
        <w:ind w:left="630" w:leftChars="100" w:hanging="420" w:hangingChars="200"/>
        <w:jc w:val="left"/>
        <w:textAlignment w:val="auto"/>
        <w:rPr>
          <w:rFonts w:hint="eastAsia" w:ascii="宋体" w:hAnsi="宋体"/>
          <w:color w:val="auto"/>
          <w:sz w:val="21"/>
          <w:szCs w:val="21"/>
          <w:highlight w:val="none"/>
        </w:rPr>
      </w:pPr>
      <w:r>
        <w:rPr>
          <w:rFonts w:hint="eastAsia" w:ascii="宋体" w:hAnsi="宋体"/>
          <w:color w:val="auto"/>
          <w:sz w:val="21"/>
          <w:szCs w:val="21"/>
          <w:highlight w:val="none"/>
          <w:lang w:eastAsia="zh-CN"/>
        </w:rPr>
        <w:t>注：企业信用档案取自投标截止时间投标人在广州市住建行业信用管理平台内的信息，投标人无需提交相关资料，若招标人延长递交投标文件截止时间的，信用档案信息的评审时点也相应延长。（信用档案办理详见《广州市住建行业信用管理平台勘察企业信息录入办理指引》https://zfcj.gz.gov.cn/zwgk/zsdwxxgkzl/gzsjzyglfwzx/bszy/content/post_9759311.html、《广州市住建行业信用管理平台设计企业信息录入指引》http://zfcj.gz.gov.cn/zwgk/zsdwxxgkzl/gzsjzyglfwzx/bszy/content/post_9116013.html）。</w:t>
      </w:r>
    </w:p>
    <w:p w14:paraId="7A25856A">
      <w:pPr>
        <w:spacing w:line="360" w:lineRule="auto"/>
        <w:ind w:left="720" w:hanging="630" w:hangingChars="300"/>
        <w:jc w:val="left"/>
        <w:rPr>
          <w:rFonts w:hint="eastAsia" w:ascii="宋体" w:hAnsi="宋体" w:eastAsia="宋体" w:cs="Times New Roman"/>
          <w:color w:val="auto"/>
          <w:sz w:val="21"/>
          <w:szCs w:val="21"/>
          <w:highlight w:val="none"/>
          <w:u w:val="none"/>
          <w:lang w:val="en-US" w:eastAsia="zh-CN"/>
        </w:rPr>
      </w:pPr>
      <w:r>
        <w:rPr>
          <w:rFonts w:hint="eastAsia" w:ascii="宋体" w:hAnsi="宋体"/>
          <w:color w:val="auto"/>
          <w:sz w:val="21"/>
          <w:szCs w:val="21"/>
          <w:highlight w:val="none"/>
        </w:rPr>
        <w:t>1</w:t>
      </w:r>
      <w:r>
        <w:rPr>
          <w:rFonts w:hint="eastAsia" w:ascii="宋体" w:hAnsi="宋体"/>
          <w:color w:val="auto"/>
          <w:sz w:val="21"/>
          <w:szCs w:val="21"/>
          <w:highlight w:val="none"/>
        </w:rPr>
        <w:t xml:space="preserve">.4.5 </w:t>
      </w:r>
      <w:r>
        <w:rPr>
          <w:rFonts w:hint="eastAsia" w:ascii="宋体" w:hAnsi="宋体" w:cs="宋体"/>
          <w:color w:val="auto"/>
          <w:szCs w:val="21"/>
          <w:highlight w:val="none"/>
        </w:rPr>
        <w:t>申请人（如联合体投标，指</w:t>
      </w:r>
      <w:r>
        <w:rPr>
          <w:rFonts w:hint="eastAsia" w:ascii="宋体" w:hAnsi="宋体" w:cs="宋体"/>
          <w:color w:val="auto"/>
          <w:szCs w:val="21"/>
          <w:highlight w:val="none"/>
          <w:lang w:eastAsia="zh-CN"/>
        </w:rPr>
        <w:t>牵头人</w:t>
      </w:r>
      <w:r>
        <w:rPr>
          <w:rFonts w:hint="eastAsia" w:ascii="宋体" w:hAnsi="宋体" w:cs="宋体"/>
          <w:color w:val="auto"/>
          <w:szCs w:val="21"/>
          <w:highlight w:val="none"/>
        </w:rPr>
        <w:t>）委派的项目负责人须具备</w:t>
      </w:r>
      <w:r>
        <w:rPr>
          <w:rFonts w:ascii="宋体" w:hAnsi="宋体"/>
          <w:b/>
          <w:bCs/>
          <w:color w:val="auto"/>
          <w:szCs w:val="21"/>
          <w:highlight w:val="none"/>
          <w:u w:val="single"/>
        </w:rPr>
        <w:t xml:space="preserve"> </w:t>
      </w:r>
      <w:r>
        <w:rPr>
          <w:rFonts w:hint="eastAsia" w:ascii="宋体" w:hAnsi="宋体" w:cs="宋体"/>
          <w:b/>
          <w:bCs/>
          <w:color w:val="auto"/>
          <w:szCs w:val="21"/>
          <w:highlight w:val="none"/>
          <w:u w:val="single"/>
        </w:rPr>
        <w:t>一级注册建筑师</w:t>
      </w:r>
      <w:r>
        <w:rPr>
          <w:rFonts w:hint="eastAsia" w:ascii="宋体" w:hAnsi="宋体"/>
          <w:color w:val="auto"/>
          <w:szCs w:val="21"/>
          <w:highlight w:val="none"/>
          <w:u w:val="single"/>
        </w:rPr>
        <w:t xml:space="preserve"> </w:t>
      </w:r>
      <w:r>
        <w:rPr>
          <w:rFonts w:hint="eastAsia" w:ascii="宋体" w:hAnsi="宋体" w:cs="宋体"/>
          <w:color w:val="auto"/>
          <w:szCs w:val="21"/>
          <w:highlight w:val="none"/>
        </w:rPr>
        <w:t>资格</w:t>
      </w:r>
      <w:r>
        <w:rPr>
          <w:rFonts w:hint="eastAsia" w:ascii="宋体" w:hAnsi="宋体" w:cs="宋体"/>
          <w:color w:val="auto"/>
          <w:szCs w:val="21"/>
          <w:highlight w:val="none"/>
          <w:u w:val="single"/>
        </w:rPr>
        <w:t>，或在广东省住房和城乡建设主管部门备案且备案的业务范围符合本招标项目对项目负责人要求的香港专业人士，香港专业人士的备案业务范围依据《广东省住房和城乡建设厅关于印发香港工程建设咨询企业和专业人士在粤港澳大湾区内地城市开业执业试点管理暂行办法的通知》（粤建规范〔2020〕1号）确定</w:t>
      </w:r>
      <w:r>
        <w:rPr>
          <w:rFonts w:hint="eastAsia" w:ascii="宋体" w:hAnsi="宋体" w:eastAsia="宋体" w:cs="Times New Roman"/>
          <w:color w:val="auto"/>
          <w:sz w:val="21"/>
          <w:szCs w:val="21"/>
          <w:highlight w:val="none"/>
          <w:u w:val="none"/>
          <w:lang w:val="en-US" w:eastAsia="zh-CN"/>
        </w:rPr>
        <w:t>。</w:t>
      </w:r>
    </w:p>
    <w:p w14:paraId="3823C90E">
      <w:pPr>
        <w:wordWrap w:val="0"/>
        <w:spacing w:line="360" w:lineRule="auto"/>
        <w:ind w:left="630" w:leftChars="100" w:hanging="420" w:hangingChars="200"/>
        <w:jc w:val="left"/>
        <w:rPr>
          <w:rFonts w:hint="eastAsia"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lang w:val="en-US" w:eastAsia="zh-CN"/>
        </w:rPr>
        <w:t>注：①根据《全国注册建筑师管理委员会关于开展使用一级注册建筑师电子注册证书工作的通知》（住建[2021]2号）要求，自2022年7月1日起，一级注册建筑师统一使用电子证书，纸质注册证书作废。各投标人须提供一级注册建筑师证书电子证书打印签名件，电子证书应当符合相关文件规定。</w:t>
      </w:r>
    </w:p>
    <w:p w14:paraId="69741D32">
      <w:pPr>
        <w:wordWrap w:val="0"/>
        <w:spacing w:line="360" w:lineRule="auto"/>
        <w:ind w:left="630" w:leftChars="300" w:firstLine="0" w:firstLineChars="0"/>
        <w:jc w:val="left"/>
        <w:rPr>
          <w:rFonts w:hint="eastAsia" w:ascii="宋体" w:hAnsi="宋体" w:eastAsia="宋体" w:cs="Times New Roman"/>
          <w:color w:val="auto"/>
          <w:sz w:val="21"/>
          <w:szCs w:val="21"/>
          <w:highlight w:val="none"/>
          <w:u w:val="none"/>
          <w:lang w:val="en-US" w:eastAsia="zh-CN"/>
        </w:rPr>
      </w:pPr>
      <w:r>
        <w:rPr>
          <w:rFonts w:hint="eastAsia" w:ascii="宋体" w:hAnsi="宋体" w:eastAsia="宋体" w:cs="Times New Roman"/>
          <w:color w:val="auto"/>
          <w:sz w:val="21"/>
          <w:szCs w:val="21"/>
          <w:highlight w:val="none"/>
          <w:u w:val="none"/>
          <w:lang w:val="en-US" w:eastAsia="zh-CN"/>
        </w:rPr>
        <w:t>②若投标人提供的一级注册建筑师电子证书超过使用有效期、未在个人签名处手写签名或手写签名与签名图像笔迹存在差异的，资格审查时应通过“全国建筑市场监管公共服务平台” 或各省规定的查询渠道查询持证人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554EBC40">
      <w:pPr>
        <w:wordWrap w:val="0"/>
        <w:spacing w:line="360" w:lineRule="auto"/>
        <w:ind w:left="630" w:leftChars="300" w:firstLine="0" w:firstLineChars="0"/>
        <w:jc w:val="left"/>
        <w:rPr>
          <w:rFonts w:hint="eastAsia" w:ascii="宋体" w:hAnsi="宋体" w:eastAsia="宋体" w:cs="Times New Roman"/>
          <w:color w:val="auto"/>
          <w:sz w:val="21"/>
          <w:szCs w:val="21"/>
          <w:highlight w:val="none"/>
          <w:u w:val="none"/>
          <w:lang w:val="en-US" w:eastAsia="zh-CN"/>
        </w:rPr>
      </w:pPr>
      <w:r>
        <w:rPr>
          <w:rFonts w:hint="eastAsia"/>
          <w:b w:val="0"/>
          <w:bCs w:val="0"/>
          <w:color w:val="auto"/>
          <w:sz w:val="21"/>
          <w:szCs w:val="21"/>
          <w:highlight w:val="none"/>
          <w:u w:val="none"/>
        </w:rPr>
        <w:t>③</w:t>
      </w:r>
      <w:r>
        <w:rPr>
          <w:rFonts w:hint="eastAsia"/>
          <w:b w:val="0"/>
          <w:bCs w:val="0"/>
          <w:color w:val="auto"/>
          <w:szCs w:val="21"/>
          <w:highlight w:val="none"/>
          <w:u w:val="none"/>
        </w:rPr>
        <w:t>香港专业人士须提供执业证书及在广东省住房和城乡建设主管部门备案且备案的业务范围符合本招标项目备案证明资料的扫描件。</w:t>
      </w:r>
    </w:p>
    <w:p w14:paraId="53773081">
      <w:pPr>
        <w:spacing w:line="360" w:lineRule="auto"/>
        <w:ind w:left="636" w:hanging="636" w:hangingChars="303"/>
        <w:jc w:val="left"/>
        <w:rPr>
          <w:rFonts w:hint="eastAsia" w:ascii="宋体" w:hAnsi="宋体"/>
          <w:color w:val="auto"/>
          <w:sz w:val="21"/>
          <w:szCs w:val="21"/>
          <w:highlight w:val="none"/>
          <w:u w:val="single"/>
        </w:rPr>
      </w:pPr>
      <w:r>
        <w:rPr>
          <w:rFonts w:hint="eastAsia" w:ascii="宋体" w:hAnsi="宋体" w:cs="宋体"/>
          <w:color w:val="auto"/>
          <w:szCs w:val="21"/>
          <w:highlight w:val="none"/>
        </w:rPr>
        <w:t>1.4.6  信誉要求：</w:t>
      </w:r>
      <w:r>
        <w:rPr>
          <w:rFonts w:hint="eastAsia" w:ascii="宋体" w:hAnsi="宋体" w:cs="宋体"/>
          <w:color w:val="auto"/>
          <w:szCs w:val="21"/>
          <w:highlight w:val="none"/>
          <w:u w:val="single"/>
        </w:rPr>
        <w:t>申请人（如联合体投标，含</w:t>
      </w:r>
      <w:r>
        <w:rPr>
          <w:rFonts w:hint="eastAsia" w:ascii="宋体" w:hAnsi="宋体" w:cs="宋体"/>
          <w:color w:val="auto"/>
          <w:szCs w:val="21"/>
          <w:highlight w:val="none"/>
          <w:u w:val="single"/>
          <w:lang w:eastAsia="zh-CN"/>
        </w:rPr>
        <w:t>联合体各方</w:t>
      </w:r>
      <w:r>
        <w:rPr>
          <w:rFonts w:hint="eastAsia" w:ascii="宋体" w:hAnsi="宋体" w:cs="宋体"/>
          <w:color w:val="auto"/>
          <w:szCs w:val="21"/>
          <w:highlight w:val="none"/>
          <w:u w:val="single"/>
        </w:rPr>
        <w:t>）未被列入拖欠农民工工资失信联合惩戒对象名单。</w:t>
      </w:r>
      <w:r>
        <w:rPr>
          <w:rFonts w:hint="eastAsia" w:ascii="宋体" w:hAnsi="宋体" w:eastAsia="宋体" w:cs="宋体"/>
          <w:color w:val="auto"/>
          <w:sz w:val="21"/>
          <w:szCs w:val="21"/>
          <w:highlight w:val="none"/>
          <w:u w:val="single"/>
        </w:rPr>
        <w:t xml:space="preserve"> </w:t>
      </w:r>
    </w:p>
    <w:p w14:paraId="155A8A3C">
      <w:pPr>
        <w:spacing w:line="360" w:lineRule="auto"/>
        <w:ind w:left="718" w:leftChars="300" w:hanging="88" w:hangingChars="42"/>
        <w:rPr>
          <w:rFonts w:hint="eastAsia" w:ascii="宋体" w:hAnsi="宋体"/>
          <w:color w:val="auto"/>
          <w:sz w:val="21"/>
          <w:szCs w:val="21"/>
          <w:highlight w:val="none"/>
        </w:rPr>
      </w:pPr>
      <w:r>
        <w:rPr>
          <w:rFonts w:hint="eastAsia" w:ascii="宋体" w:hAnsi="宋体"/>
          <w:color w:val="auto"/>
          <w:sz w:val="21"/>
          <w:szCs w:val="21"/>
          <w:highlight w:val="none"/>
        </w:rPr>
        <w:t>[注释] 招标人可以对申请人的严重失信行为等情况予以评审。</w:t>
      </w:r>
    </w:p>
    <w:p w14:paraId="4E57CD6F">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outlineLvl w:val="0"/>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1.5   招标文件的获取及资格审查</w:t>
      </w:r>
    </w:p>
    <w:p w14:paraId="50F8CF85">
      <w:pPr>
        <w:spacing w:line="360" w:lineRule="auto"/>
        <w:ind w:left="714" w:leftChars="-1" w:hanging="716" w:hangingChars="341"/>
        <w:jc w:val="left"/>
        <w:rPr>
          <w:rFonts w:hint="eastAsia"/>
          <w:color w:val="auto"/>
          <w:sz w:val="21"/>
          <w:szCs w:val="21"/>
          <w:highlight w:val="none"/>
        </w:rPr>
      </w:pPr>
      <w:r>
        <w:rPr>
          <w:rFonts w:hint="eastAsia" w:ascii="宋体" w:hAnsi="宋体"/>
          <w:color w:val="auto"/>
          <w:sz w:val="21"/>
          <w:szCs w:val="21"/>
          <w:highlight w:val="none"/>
        </w:rPr>
        <w:t xml:space="preserve">1.5.1  </w:t>
      </w:r>
      <w:r>
        <w:rPr>
          <w:rFonts w:hint="eastAsia"/>
          <w:color w:val="auto"/>
          <w:sz w:val="21"/>
          <w:szCs w:val="21"/>
          <w:highlight w:val="none"/>
        </w:rPr>
        <w:t>公告</w:t>
      </w:r>
      <w:r>
        <w:rPr>
          <w:rFonts w:hint="eastAsia" w:ascii="宋体" w:hAnsi="宋体" w:eastAsia="宋体" w:cs="宋体"/>
          <w:color w:val="auto"/>
          <w:sz w:val="21"/>
          <w:szCs w:val="21"/>
          <w:highlight w:val="none"/>
        </w:rPr>
        <w:t>发布时间：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分至</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分（北京时间，下同）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凡有意参加投标者，请登录</w:t>
      </w:r>
      <w:r>
        <w:rPr>
          <w:rFonts w:hint="eastAsia" w:ascii="宋体" w:hAnsi="宋体" w:eastAsia="宋体" w:cs="宋体"/>
          <w:color w:val="auto"/>
          <w:szCs w:val="21"/>
          <w:highlight w:val="none"/>
          <w:u w:val="single"/>
        </w:rPr>
        <w:t>广州交易集团有限公司（广州公共资源</w:t>
      </w:r>
      <w:r>
        <w:rPr>
          <w:rFonts w:hint="eastAsia" w:ascii="宋体" w:hAnsi="宋体" w:cs="宋体"/>
          <w:color w:val="auto"/>
          <w:szCs w:val="21"/>
          <w:highlight w:val="none"/>
          <w:u w:val="single"/>
        </w:rPr>
        <w:t>交易中心）</w:t>
      </w:r>
      <w:r>
        <w:rPr>
          <w:rFonts w:hint="eastAsia" w:ascii="Times New Roman" w:hAnsi="Times New Roman" w:eastAsia="宋体" w:cs="Times New Roman"/>
          <w:color w:val="auto"/>
          <w:sz w:val="21"/>
          <w:szCs w:val="21"/>
          <w:highlight w:val="none"/>
        </w:rPr>
        <w:t>交易平台网站（网址：</w:t>
      </w:r>
      <w:r>
        <w:rPr>
          <w:rFonts w:hint="eastAsia" w:ascii="Times New Roman" w:hAnsi="Times New Roman" w:eastAsia="宋体" w:cs="Times New Roman"/>
          <w:color w:val="auto"/>
          <w:sz w:val="21"/>
          <w:szCs w:val="21"/>
          <w:highlight w:val="none"/>
          <w:u w:val="single"/>
        </w:rPr>
        <w:t>http://www.gzggzy.cn</w:t>
      </w:r>
      <w:r>
        <w:rPr>
          <w:rFonts w:hint="eastAsia" w:ascii="Times New Roman" w:hAnsi="Times New Roman" w:eastAsia="宋体" w:cs="Times New Roman"/>
          <w:color w:val="auto"/>
          <w:sz w:val="21"/>
          <w:szCs w:val="21"/>
          <w:highlight w:val="none"/>
        </w:rPr>
        <w:t>）</w:t>
      </w:r>
      <w:r>
        <w:rPr>
          <w:rFonts w:hint="eastAsia"/>
          <w:color w:val="auto"/>
          <w:sz w:val="21"/>
          <w:szCs w:val="21"/>
          <w:highlight w:val="none"/>
        </w:rPr>
        <w:t>下载电子招标文件。</w:t>
      </w:r>
    </w:p>
    <w:p w14:paraId="60D2AFFD">
      <w:pPr>
        <w:spacing w:line="360" w:lineRule="auto"/>
        <w:ind w:left="712" w:leftChars="337" w:hanging="4" w:hangingChars="2"/>
        <w:jc w:val="left"/>
        <w:rPr>
          <w:color w:val="auto"/>
          <w:sz w:val="21"/>
          <w:szCs w:val="21"/>
          <w:highlight w:val="none"/>
        </w:rPr>
      </w:pPr>
      <w:r>
        <w:rPr>
          <w:rFonts w:hint="eastAsia"/>
          <w:color w:val="auto"/>
          <w:sz w:val="21"/>
          <w:szCs w:val="21"/>
          <w:highlight w:val="none"/>
        </w:rPr>
        <w:t>注：发布招标公告的时间为招标公告发出之日起至递交投标文件截止时间止。</w:t>
      </w:r>
    </w:p>
    <w:p w14:paraId="5279B606">
      <w:pPr>
        <w:spacing w:line="360" w:lineRule="auto"/>
        <w:ind w:left="840" w:hanging="735" w:hangingChars="350"/>
        <w:jc w:val="left"/>
        <w:rPr>
          <w:rFonts w:hint="eastAsia" w:ascii="宋体" w:hAnsi="宋体"/>
          <w:color w:val="auto"/>
          <w:sz w:val="21"/>
          <w:szCs w:val="21"/>
          <w:highlight w:val="none"/>
        </w:rPr>
      </w:pPr>
      <w:r>
        <w:rPr>
          <w:rFonts w:hint="eastAsia" w:ascii="宋体" w:hAnsi="宋体"/>
          <w:color w:val="auto"/>
          <w:sz w:val="21"/>
          <w:szCs w:val="21"/>
          <w:highlight w:val="none"/>
        </w:rPr>
        <w:t>1.5.2</w:t>
      </w:r>
      <w:r>
        <w:rPr>
          <w:rFonts w:ascii="宋体" w:hAnsi="宋体"/>
          <w:color w:val="auto"/>
          <w:sz w:val="21"/>
          <w:szCs w:val="21"/>
          <w:highlight w:val="none"/>
        </w:rPr>
        <w:t xml:space="preserve">  </w:t>
      </w:r>
      <w:r>
        <w:rPr>
          <w:rFonts w:hint="eastAsia"/>
          <w:color w:val="auto"/>
          <w:sz w:val="21"/>
          <w:szCs w:val="21"/>
          <w:highlight w:val="none"/>
        </w:rPr>
        <w:t>本项目招标文件随招标公告一并在</w:t>
      </w:r>
      <w:r>
        <w:rPr>
          <w:rFonts w:hint="eastAsia" w:ascii="宋体" w:hAnsi="宋体" w:cs="宋体"/>
          <w:color w:val="auto"/>
          <w:szCs w:val="21"/>
          <w:highlight w:val="none"/>
          <w:u w:val="single"/>
        </w:rPr>
        <w:t>广州交易集团有限公司（广州公共资源交易中心）</w:t>
      </w:r>
      <w:r>
        <w:rPr>
          <w:rFonts w:hint="eastAsia"/>
          <w:color w:val="auto"/>
          <w:sz w:val="21"/>
          <w:szCs w:val="21"/>
          <w:highlight w:val="none"/>
        </w:rPr>
        <w:t>交易平台网站发布。招标文件一经在交易平台发布，视为发出给投标人，招标文件由投标人自行在交易平台网站下载。</w:t>
      </w:r>
    </w:p>
    <w:p w14:paraId="5844594C">
      <w:pPr>
        <w:spacing w:line="360" w:lineRule="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本项目资格审查采用方式</w:t>
      </w:r>
      <w:r>
        <w:rPr>
          <w:rFonts w:hint="eastAsia" w:ascii="宋体" w:hAnsi="宋体" w:eastAsia="宋体" w:cs="宋体"/>
          <w:color w:val="auto"/>
          <w:sz w:val="21"/>
          <w:szCs w:val="21"/>
          <w:highlight w:val="none"/>
          <w:u w:val="single"/>
        </w:rPr>
        <w:t xml:space="preserve"> 方式一</w:t>
      </w:r>
      <w:r>
        <w:rPr>
          <w:rFonts w:hint="eastAsia" w:ascii="宋体" w:hAnsi="宋体" w:eastAsia="宋体" w:cs="宋体"/>
          <w:color w:val="auto"/>
          <w:sz w:val="21"/>
          <w:szCs w:val="21"/>
          <w:highlight w:val="none"/>
        </w:rPr>
        <w:t>：</w:t>
      </w:r>
    </w:p>
    <w:p w14:paraId="26A628AE">
      <w:pPr>
        <w:spacing w:line="360" w:lineRule="auto"/>
        <w:ind w:left="712" w:leftChars="337" w:hanging="4" w:hangingChars="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方式一、资格后审方式，由评标委员会负责资格审查；</w:t>
      </w:r>
    </w:p>
    <w:p w14:paraId="6CF98FE6">
      <w:pPr>
        <w:spacing w:line="360" w:lineRule="auto"/>
        <w:ind w:left="712" w:leftChars="337" w:hanging="4" w:hangingChars="2"/>
        <w:jc w:val="left"/>
        <w:rPr>
          <w:rFonts w:hint="eastAsia" w:ascii="宋体" w:hAnsi="宋体" w:eastAsia="宋体" w:cs="宋体"/>
          <w:strike/>
          <w:color w:val="auto"/>
          <w:sz w:val="21"/>
          <w:szCs w:val="21"/>
          <w:highlight w:val="none"/>
        </w:rPr>
      </w:pPr>
      <w:r>
        <w:rPr>
          <w:rFonts w:hint="eastAsia" w:ascii="宋体" w:hAnsi="宋体" w:eastAsia="宋体" w:cs="宋体"/>
          <w:strike/>
          <w:color w:val="auto"/>
          <w:sz w:val="21"/>
          <w:szCs w:val="21"/>
          <w:highlight w:val="none"/>
        </w:rPr>
        <w:t>方式二、评标时不进行资格审查，仅由投标人对自身满足资格条件作出承诺。中标候选人公示前，中标候选人提交资格审查资料给招标人，由招标人按照招标公告中对投标人投标资格的要求，进行中标资格复核。</w:t>
      </w:r>
    </w:p>
    <w:p w14:paraId="0F172581">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    投标截止时间</w:t>
      </w:r>
    </w:p>
    <w:p w14:paraId="06EB6CC2">
      <w:pPr>
        <w:tabs>
          <w:tab w:val="left" w:pos="360"/>
        </w:tabs>
        <w:spacing w:line="360" w:lineRule="auto"/>
        <w:ind w:left="809" w:hanging="707" w:hangingChars="3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投标截止时间为</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r>
        <w:rPr>
          <w:rFonts w:hint="eastAsia" w:ascii="宋体" w:hAnsi="宋体" w:eastAsia="宋体" w:cs="宋体"/>
          <w:color w:val="auto"/>
          <w:szCs w:val="21"/>
          <w:highlight w:val="none"/>
        </w:rPr>
        <w:t>投标人应在截止时间前通过</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交易平台网站递交电子投标文件。投标人完成电子投标上传后，</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交易平台即时向投标人发出递交回执通知。递交时间以递交回执通知载明的传输时间为准</w:t>
      </w:r>
      <w:r>
        <w:rPr>
          <w:rFonts w:hint="eastAsia" w:ascii="宋体" w:hAnsi="宋体" w:eastAsia="宋体" w:cs="宋体"/>
          <w:color w:val="auto"/>
          <w:sz w:val="21"/>
          <w:szCs w:val="21"/>
          <w:highlight w:val="none"/>
        </w:rPr>
        <w:t>。</w:t>
      </w:r>
    </w:p>
    <w:p w14:paraId="718E5BCE">
      <w:pPr>
        <w:tabs>
          <w:tab w:val="left" w:pos="360"/>
        </w:tabs>
        <w:spacing w:line="360" w:lineRule="auto"/>
        <w:ind w:left="809" w:hanging="707" w:hangingChars="3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投标人应在递交投标文件截止时间前，</w:t>
      </w:r>
      <w:r>
        <w:rPr>
          <w:rFonts w:hint="eastAsia" w:ascii="宋体" w:hAnsi="宋体" w:eastAsia="宋体" w:cs="宋体"/>
          <w:color w:val="auto"/>
          <w:szCs w:val="21"/>
          <w:highlight w:val="none"/>
        </w:rPr>
        <w:t>登录</w:t>
      </w:r>
      <w:r>
        <w:rPr>
          <w:rFonts w:hint="eastAsia" w:ascii="宋体" w:hAnsi="宋体" w:eastAsia="宋体" w:cs="宋体"/>
          <w:color w:val="auto"/>
          <w:szCs w:val="21"/>
          <w:highlight w:val="none"/>
          <w:u w:val="single"/>
        </w:rPr>
        <w:t>广州交易集团有限公司</w:t>
      </w:r>
      <w:bookmarkStart w:id="0" w:name="_GoBack"/>
      <w:bookmarkEnd w:id="0"/>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交易平台网站办理网上投标登记手续。按照</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交易平台关于全流程电子化项目的相关指南进行操作</w:t>
      </w:r>
      <w:r>
        <w:rPr>
          <w:rFonts w:hint="eastAsia" w:ascii="宋体" w:hAnsi="宋体" w:eastAsia="宋体" w:cs="宋体"/>
          <w:color w:val="auto"/>
          <w:sz w:val="21"/>
          <w:szCs w:val="21"/>
          <w:highlight w:val="none"/>
        </w:rPr>
        <w:t>。</w:t>
      </w:r>
    </w:p>
    <w:p w14:paraId="0A154E63">
      <w:pPr>
        <w:tabs>
          <w:tab w:val="left" w:pos="360"/>
        </w:tabs>
        <w:spacing w:line="360" w:lineRule="auto"/>
        <w:ind w:left="809" w:hanging="707" w:hangingChars="33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1.6.3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提交投标文件光盘</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或U盘</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备用</w:t>
      </w:r>
    </w:p>
    <w:p w14:paraId="571D1196">
      <w:pPr>
        <w:tabs>
          <w:tab w:val="left" w:pos="360"/>
        </w:tabs>
        <w:spacing w:line="360" w:lineRule="auto"/>
        <w:ind w:left="809" w:hanging="707" w:hangingChars="3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投标文件光盘</w:t>
      </w:r>
      <w:r>
        <w:rPr>
          <w:rFonts w:hint="eastAsia" w:ascii="宋体" w:hAnsi="宋体" w:eastAsia="宋体" w:cs="宋体"/>
          <w:color w:val="auto"/>
          <w:sz w:val="21"/>
          <w:szCs w:val="21"/>
          <w:highlight w:val="none"/>
          <w:lang w:val="en-US" w:eastAsia="zh-CN"/>
        </w:rPr>
        <w:t>或U盘</w:t>
      </w:r>
      <w:r>
        <w:rPr>
          <w:rFonts w:hint="eastAsia" w:ascii="宋体" w:hAnsi="宋体" w:eastAsia="宋体" w:cs="宋体"/>
          <w:color w:val="auto"/>
          <w:sz w:val="21"/>
          <w:szCs w:val="21"/>
          <w:highlight w:val="none"/>
        </w:rPr>
        <w:t>（备用）递交时间：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分至</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分；地点：</w:t>
      </w:r>
      <w:r>
        <w:rPr>
          <w:rFonts w:hint="eastAsia" w:ascii="宋体" w:hAnsi="宋体" w:eastAsia="宋体" w:cs="宋体"/>
          <w:color w:val="auto"/>
          <w:szCs w:val="21"/>
          <w:highlight w:val="none"/>
          <w:u w:val="single"/>
        </w:rPr>
        <w:t>广州交易集团有限公司（广州公共资源交易中心）（广州市天河区天润路333号）第  开标室</w:t>
      </w:r>
      <w:r>
        <w:rPr>
          <w:rFonts w:hint="eastAsia" w:ascii="宋体" w:hAnsi="宋体" w:eastAsia="宋体" w:cs="宋体"/>
          <w:color w:val="auto"/>
          <w:sz w:val="21"/>
          <w:szCs w:val="21"/>
          <w:highlight w:val="none"/>
        </w:rPr>
        <w:t>。（电子光盘</w:t>
      </w:r>
      <w:r>
        <w:rPr>
          <w:rFonts w:hint="eastAsia" w:ascii="宋体" w:hAnsi="宋体" w:eastAsia="宋体" w:cs="宋体"/>
          <w:color w:val="auto"/>
          <w:sz w:val="21"/>
          <w:szCs w:val="21"/>
          <w:highlight w:val="none"/>
          <w:lang w:val="en-US" w:eastAsia="zh-CN"/>
        </w:rPr>
        <w:t>或U盘</w:t>
      </w:r>
      <w:r>
        <w:rPr>
          <w:rFonts w:hint="eastAsia" w:ascii="宋体" w:hAnsi="宋体" w:eastAsia="宋体" w:cs="宋体"/>
          <w:color w:val="auto"/>
          <w:sz w:val="21"/>
          <w:szCs w:val="21"/>
          <w:highlight w:val="none"/>
        </w:rPr>
        <w:t>需按规定封装。投标人将数据刻录到光盘</w:t>
      </w:r>
      <w:r>
        <w:rPr>
          <w:rFonts w:hint="eastAsia" w:ascii="宋体" w:hAnsi="宋体" w:eastAsia="宋体" w:cs="宋体"/>
          <w:color w:val="auto"/>
          <w:sz w:val="21"/>
          <w:szCs w:val="21"/>
          <w:highlight w:val="none"/>
          <w:lang w:val="en-US" w:eastAsia="zh-CN"/>
        </w:rPr>
        <w:t>或U盘</w:t>
      </w:r>
      <w:r>
        <w:rPr>
          <w:rFonts w:hint="eastAsia" w:ascii="宋体" w:hAnsi="宋体" w:eastAsia="宋体" w:cs="宋体"/>
          <w:color w:val="auto"/>
          <w:sz w:val="21"/>
          <w:szCs w:val="21"/>
          <w:highlight w:val="none"/>
        </w:rPr>
        <w:t>之后，投标前自行检查文件是否可以读取。）</w:t>
      </w:r>
    </w:p>
    <w:p w14:paraId="0837E5CF">
      <w:pPr>
        <w:tabs>
          <w:tab w:val="left" w:pos="360"/>
        </w:tabs>
        <w:spacing w:line="360" w:lineRule="auto"/>
        <w:ind w:left="809" w:hanging="707" w:hangingChars="337"/>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逾期送达的投标文件，交易平台将予以拒收。</w:t>
      </w:r>
    </w:p>
    <w:p w14:paraId="30153F76">
      <w:pPr>
        <w:tabs>
          <w:tab w:val="left" w:pos="360"/>
        </w:tabs>
        <w:spacing w:line="360" w:lineRule="auto"/>
        <w:ind w:left="809" w:hanging="707" w:hangingChars="337"/>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 xml:space="preserve">1.6.5   </w:t>
      </w:r>
      <w:r>
        <w:rPr>
          <w:rFonts w:hint="eastAsia" w:ascii="宋体" w:hAnsi="宋体" w:eastAsia="宋体" w:cs="宋体"/>
          <w:color w:val="auto"/>
          <w:szCs w:val="21"/>
          <w:highlight w:val="none"/>
          <w:u w:val="single"/>
        </w:rPr>
        <w:t>在规定的投标截止时间，递交投标文件的申请单位不足3名时，为招标失败，招标人分析招标失败原因，修正招标方案，报有关管理部门核准后，重新组织招标</w:t>
      </w:r>
      <w:r>
        <w:rPr>
          <w:rFonts w:hint="eastAsia" w:ascii="宋体" w:hAnsi="宋体" w:eastAsia="宋体" w:cs="宋体"/>
          <w:color w:val="auto"/>
          <w:szCs w:val="21"/>
          <w:highlight w:val="none"/>
        </w:rPr>
        <w:t>。</w:t>
      </w:r>
    </w:p>
    <w:p w14:paraId="3D636BC9">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    开标开始时间和地点</w:t>
      </w:r>
    </w:p>
    <w:p w14:paraId="55317A21">
      <w:pPr>
        <w:tabs>
          <w:tab w:val="left" w:pos="360"/>
        </w:tabs>
        <w:spacing w:line="360" w:lineRule="auto"/>
        <w:ind w:left="809" w:hanging="707" w:hangingChars="337"/>
        <w:outlineLvl w:val="1"/>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1.7.1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Cs w:val="21"/>
          <w:highlight w:val="none"/>
        </w:rPr>
        <w:t>采用电子开标，在招标投标交易平台上公开进行。开标开始时间：</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rPr>
        <w:t>分（与投标截止时间为同一时间）。所有投标人均应当准时在线参加开标。投标人参与电子开标的具体操作详见</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交易平台发布的相关操作指引</w:t>
      </w:r>
      <w:r>
        <w:rPr>
          <w:rFonts w:hint="eastAsia" w:ascii="宋体" w:hAnsi="宋体" w:eastAsia="宋体" w:cs="宋体"/>
          <w:color w:val="auto"/>
          <w:sz w:val="21"/>
          <w:szCs w:val="21"/>
          <w:highlight w:val="none"/>
        </w:rPr>
        <w:t>。</w:t>
      </w:r>
    </w:p>
    <w:p w14:paraId="57B22C42">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1.8    现场考察</w:t>
      </w:r>
    </w:p>
    <w:p w14:paraId="6B0DB5D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时间：</w:t>
      </w:r>
      <w:r>
        <w:rPr>
          <w:rFonts w:hint="eastAsia" w:ascii="宋体" w:hAnsi="宋体" w:eastAsia="宋体" w:cs="宋体"/>
          <w:color w:val="auto"/>
          <w:sz w:val="21"/>
          <w:szCs w:val="21"/>
          <w:highlight w:val="none"/>
          <w:u w:val="single"/>
        </w:rPr>
        <w:t>招标人不集中组织，由投标人自行考察</w:t>
      </w:r>
      <w:r>
        <w:rPr>
          <w:rFonts w:hint="eastAsia" w:ascii="宋体" w:hAnsi="宋体" w:eastAsia="宋体" w:cs="宋体"/>
          <w:color w:val="auto"/>
          <w:sz w:val="21"/>
          <w:szCs w:val="21"/>
          <w:highlight w:val="none"/>
        </w:rPr>
        <w:t>。</w:t>
      </w:r>
    </w:p>
    <w:p w14:paraId="3B11636B">
      <w:pPr>
        <w:spacing w:line="360" w:lineRule="auto"/>
        <w:ind w:left="821" w:hanging="718" w:hangingChars="34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  地点：</w:t>
      </w:r>
      <w:r>
        <w:rPr>
          <w:rFonts w:hint="eastAsia" w:ascii="宋体" w:hAnsi="宋体" w:eastAsia="宋体" w:cs="宋体"/>
          <w:color w:val="auto"/>
          <w:sz w:val="21"/>
          <w:szCs w:val="21"/>
          <w:highlight w:val="none"/>
          <w:u w:val="single"/>
        </w:rPr>
        <w:t>招标人不集中组织，由投标人自行考察</w:t>
      </w:r>
      <w:r>
        <w:rPr>
          <w:rFonts w:hint="eastAsia" w:ascii="宋体" w:hAnsi="宋体" w:eastAsia="宋体" w:cs="宋体"/>
          <w:color w:val="auto"/>
          <w:sz w:val="21"/>
          <w:szCs w:val="21"/>
          <w:highlight w:val="none"/>
        </w:rPr>
        <w:t>。</w:t>
      </w:r>
    </w:p>
    <w:p w14:paraId="12413419">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1.9    费用</w:t>
      </w:r>
    </w:p>
    <w:p w14:paraId="48E2B7C1">
      <w:pPr>
        <w:spacing w:line="360" w:lineRule="auto"/>
        <w:ind w:left="821" w:hanging="718" w:hangingChars="342"/>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none"/>
        </w:rPr>
        <w:t>1.9.1</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Cs w:val="21"/>
          <w:highlight w:val="none"/>
          <w:u w:val="none"/>
        </w:rPr>
        <w:t>最高投标限价</w:t>
      </w:r>
      <w:r>
        <w:rPr>
          <w:rFonts w:hint="eastAsia" w:ascii="宋体" w:hAnsi="宋体" w:eastAsia="宋体" w:cs="宋体"/>
          <w:color w:val="auto"/>
          <w:szCs w:val="21"/>
          <w:highlight w:val="none"/>
          <w:u w:val="none"/>
          <w:lang w:val="en-US" w:eastAsia="zh-CN"/>
        </w:rPr>
        <w:t>总价（含税）</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u w:val="none"/>
          <w:lang w:val="en-US" w:eastAsia="zh-CN"/>
        </w:rPr>
        <w:t>人民币</w:t>
      </w:r>
      <w:r>
        <w:rPr>
          <w:rFonts w:hint="eastAsia" w:ascii="宋体" w:hAnsi="宋体" w:cs="宋体"/>
          <w:color w:val="auto"/>
          <w:szCs w:val="21"/>
          <w:highlight w:val="none"/>
          <w:u w:val="none"/>
          <w:lang w:val="en-US" w:eastAsia="zh-CN"/>
        </w:rPr>
        <w:t>10246948.40</w:t>
      </w:r>
      <w:r>
        <w:rPr>
          <w:rFonts w:hint="eastAsia" w:ascii="宋体" w:hAnsi="宋体" w:eastAsia="宋体" w:cs="宋体"/>
          <w:color w:val="auto"/>
          <w:szCs w:val="21"/>
          <w:highlight w:val="none"/>
          <w:u w:val="none"/>
          <w:lang w:val="en-US" w:eastAsia="zh-CN"/>
        </w:rPr>
        <w:t>元，其中，分项限价（含税）：①</w:t>
      </w:r>
      <w:r>
        <w:rPr>
          <w:rFonts w:hint="eastAsia" w:ascii="宋体" w:hAnsi="宋体" w:eastAsia="宋体" w:cs="宋体"/>
          <w:color w:val="auto"/>
          <w:szCs w:val="21"/>
          <w:highlight w:val="none"/>
          <w:u w:val="none"/>
        </w:rPr>
        <w:t>工程勘察费</w:t>
      </w:r>
      <w:r>
        <w:rPr>
          <w:rFonts w:hint="eastAsia" w:ascii="宋体" w:hAnsi="宋体" w:eastAsia="宋体" w:cs="宋体"/>
          <w:color w:val="auto"/>
          <w:szCs w:val="21"/>
          <w:highlight w:val="none"/>
          <w:u w:val="none"/>
          <w:lang w:val="en-US" w:eastAsia="zh-CN"/>
        </w:rPr>
        <w:t>投标限价</w:t>
      </w:r>
      <w:r>
        <w:rPr>
          <w:rFonts w:hint="eastAsia" w:ascii="宋体" w:hAnsi="宋体" w:cs="宋体"/>
          <w:color w:val="auto"/>
          <w:sz w:val="21"/>
          <w:szCs w:val="21"/>
          <w:highlight w:val="none"/>
          <w:lang w:val="en-US" w:eastAsia="zh-CN"/>
        </w:rPr>
        <w:t>764400.00</w:t>
      </w:r>
      <w:r>
        <w:rPr>
          <w:rFonts w:hint="eastAsia" w:ascii="宋体" w:hAnsi="宋体" w:eastAsia="宋体" w:cs="宋体"/>
          <w:color w:val="auto"/>
          <w:szCs w:val="21"/>
          <w:highlight w:val="none"/>
          <w:u w:val="none"/>
          <w:lang w:val="en-US" w:eastAsia="zh-CN"/>
        </w:rPr>
        <w:t>元；②</w:t>
      </w:r>
      <w:r>
        <w:rPr>
          <w:rFonts w:hint="eastAsia" w:ascii="宋体" w:hAnsi="宋体" w:cs="宋体"/>
          <w:color w:val="auto"/>
          <w:szCs w:val="21"/>
          <w:highlight w:val="none"/>
          <w:u w:val="none"/>
          <w:lang w:val="en-US" w:eastAsia="zh-CN"/>
        </w:rPr>
        <w:t>地下</w:t>
      </w:r>
      <w:r>
        <w:rPr>
          <w:rFonts w:hint="eastAsia" w:ascii="宋体" w:hAnsi="宋体" w:eastAsia="宋体" w:cs="宋体"/>
          <w:color w:val="auto"/>
          <w:szCs w:val="21"/>
          <w:highlight w:val="none"/>
          <w:u w:val="none"/>
          <w:lang w:val="en-US" w:eastAsia="zh-CN"/>
        </w:rPr>
        <w:t>管线探测费</w:t>
      </w:r>
      <w:r>
        <w:rPr>
          <w:rFonts w:hint="eastAsia" w:ascii="宋体" w:hAnsi="宋体" w:eastAsia="宋体" w:cs="宋体"/>
          <w:color w:val="auto"/>
          <w:szCs w:val="21"/>
          <w:highlight w:val="none"/>
          <w:u w:val="none"/>
        </w:rPr>
        <w:t>投标限价</w:t>
      </w:r>
      <w:r>
        <w:rPr>
          <w:rFonts w:hint="eastAsia" w:ascii="宋体" w:hAnsi="宋体" w:cs="宋体"/>
          <w:bCs w:val="0"/>
          <w:color w:val="auto"/>
          <w:sz w:val="21"/>
          <w:szCs w:val="21"/>
          <w:highlight w:val="none"/>
          <w:lang w:val="en-US" w:eastAsia="zh-CN"/>
        </w:rPr>
        <w:t>180000.00</w:t>
      </w:r>
      <w:r>
        <w:rPr>
          <w:rFonts w:hint="eastAsia" w:ascii="宋体" w:hAnsi="宋体" w:eastAsia="宋体" w:cs="宋体"/>
          <w:color w:val="auto"/>
          <w:szCs w:val="21"/>
          <w:highlight w:val="none"/>
          <w:u w:val="none"/>
          <w:lang w:val="en-US" w:eastAsia="zh-CN"/>
        </w:rPr>
        <w:t>元</w:t>
      </w:r>
      <w:r>
        <w:rPr>
          <w:rFonts w:hint="eastAsia" w:ascii="宋体" w:hAnsi="宋体" w:eastAsia="宋体" w:cs="宋体"/>
          <w:color w:val="auto"/>
          <w:szCs w:val="21"/>
          <w:highlight w:val="none"/>
          <w:u w:val="none"/>
        </w:rPr>
        <w:t>；③工程</w:t>
      </w:r>
      <w:r>
        <w:rPr>
          <w:rFonts w:hint="eastAsia" w:ascii="宋体" w:hAnsi="宋体" w:eastAsia="宋体" w:cs="宋体"/>
          <w:color w:val="auto"/>
          <w:szCs w:val="21"/>
          <w:highlight w:val="none"/>
          <w:u w:val="none"/>
          <w:lang w:val="en-US" w:eastAsia="zh-CN"/>
        </w:rPr>
        <w:t>设计费</w:t>
      </w:r>
      <w:r>
        <w:rPr>
          <w:rFonts w:hint="eastAsia" w:ascii="宋体" w:hAnsi="宋体" w:eastAsia="宋体" w:cs="宋体"/>
          <w:color w:val="auto"/>
          <w:szCs w:val="21"/>
          <w:highlight w:val="none"/>
          <w:u w:val="none"/>
        </w:rPr>
        <w:t>投标限价为</w:t>
      </w:r>
      <w:r>
        <w:rPr>
          <w:rFonts w:hint="eastAsia" w:ascii="宋体" w:hAnsi="宋体" w:cs="宋体"/>
          <w:bCs w:val="0"/>
          <w:color w:val="auto"/>
          <w:sz w:val="21"/>
          <w:szCs w:val="21"/>
          <w:highlight w:val="none"/>
          <w:lang w:val="en-US" w:eastAsia="zh-CN"/>
        </w:rPr>
        <w:t>8934598.40</w:t>
      </w:r>
      <w:r>
        <w:rPr>
          <w:rFonts w:hint="eastAsia" w:ascii="宋体" w:hAnsi="宋体" w:eastAsia="宋体" w:cs="宋体"/>
          <w:color w:val="auto"/>
          <w:szCs w:val="21"/>
          <w:highlight w:val="none"/>
          <w:u w:val="none"/>
        </w:rPr>
        <w:t>元</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eastAsia="zh-CN"/>
        </w:rPr>
        <w:fldChar w:fldCharType="begin"/>
      </w:r>
      <w:r>
        <w:rPr>
          <w:rFonts w:hint="eastAsia" w:ascii="宋体" w:hAnsi="宋体" w:eastAsia="宋体" w:cs="宋体"/>
          <w:color w:val="auto"/>
          <w:szCs w:val="21"/>
          <w:highlight w:val="none"/>
          <w:u w:val="none"/>
          <w:lang w:eastAsia="zh-CN"/>
        </w:rPr>
        <w:instrText xml:space="preserve"> = 4 \* GB3 \* MERGEFORMAT </w:instrText>
      </w:r>
      <w:r>
        <w:rPr>
          <w:rFonts w:hint="eastAsia" w:ascii="宋体" w:hAnsi="宋体" w:eastAsia="宋体" w:cs="宋体"/>
          <w:color w:val="auto"/>
          <w:szCs w:val="21"/>
          <w:highlight w:val="none"/>
          <w:u w:val="none"/>
          <w:lang w:eastAsia="zh-CN"/>
        </w:rPr>
        <w:fldChar w:fldCharType="separate"/>
      </w:r>
      <w:r>
        <w:rPr>
          <w:rFonts w:hint="eastAsia" w:ascii="宋体" w:hAnsi="宋体" w:eastAsia="宋体" w:cs="宋体"/>
          <w:color w:val="auto"/>
          <w:szCs w:val="21"/>
          <w:highlight w:val="none"/>
        </w:rPr>
        <w:t>④</w:t>
      </w:r>
      <w:r>
        <w:rPr>
          <w:rFonts w:hint="eastAsia" w:ascii="宋体" w:hAnsi="宋体" w:eastAsia="宋体" w:cs="宋体"/>
          <w:color w:val="auto"/>
          <w:szCs w:val="21"/>
          <w:highlight w:val="none"/>
          <w:u w:val="none"/>
          <w:lang w:eastAsia="zh-CN"/>
        </w:rPr>
        <w:fldChar w:fldCharType="end"/>
      </w:r>
      <w:r>
        <w:rPr>
          <w:rFonts w:hint="eastAsia" w:ascii="宋体" w:hAnsi="宋体" w:eastAsia="宋体" w:cs="宋体"/>
          <w:color w:val="auto"/>
          <w:sz w:val="21"/>
          <w:szCs w:val="21"/>
          <w:highlight w:val="none"/>
          <w:lang w:val="en-US" w:eastAsia="zh-CN"/>
        </w:rPr>
        <w:t>BIM技术应用费</w:t>
      </w:r>
      <w:r>
        <w:rPr>
          <w:rFonts w:hint="eastAsia" w:ascii="宋体" w:hAnsi="宋体" w:eastAsia="宋体" w:cs="宋体"/>
          <w:b w:val="0"/>
          <w:bCs w:val="0"/>
          <w:color w:val="auto"/>
          <w:kern w:val="2"/>
          <w:sz w:val="21"/>
          <w:szCs w:val="21"/>
          <w:highlight w:val="none"/>
          <w:u w:val="none"/>
          <w:lang w:val="en-US" w:eastAsia="zh-CN"/>
        </w:rPr>
        <w:t>（方案及初步设计阶段）</w:t>
      </w:r>
      <w:r>
        <w:rPr>
          <w:rFonts w:hint="eastAsia" w:ascii="宋体" w:hAnsi="宋体" w:eastAsia="宋体" w:cs="宋体"/>
          <w:color w:val="auto"/>
          <w:szCs w:val="21"/>
          <w:highlight w:val="none"/>
          <w:u w:val="none"/>
        </w:rPr>
        <w:t>投标限价为</w:t>
      </w:r>
      <w:r>
        <w:rPr>
          <w:rFonts w:hint="eastAsia" w:ascii="宋体" w:hAnsi="宋体" w:cs="宋体"/>
          <w:bCs w:val="0"/>
          <w:color w:val="auto"/>
          <w:sz w:val="21"/>
          <w:szCs w:val="21"/>
          <w:highlight w:val="none"/>
          <w:lang w:val="en-US" w:eastAsia="zh-CN"/>
        </w:rPr>
        <w:t>367950.00</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kern w:val="2"/>
          <w:highlight w:val="none"/>
          <w:lang w:val="en-US" w:eastAsia="zh-CN"/>
        </w:rPr>
        <w:t>投标人的投标总报价及各分项报价均不超过招标人公布的最高投标限价总价或相应分项限价。投标总报价超过最高投标限价总价或各分项报价超过相应分项限价的投标文件将作无效标处理。</w:t>
      </w:r>
    </w:p>
    <w:p w14:paraId="33BE1E01">
      <w:pPr>
        <w:spacing w:line="360" w:lineRule="auto"/>
        <w:ind w:left="821" w:hanging="718" w:hangingChars="34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1.9.2  </w:t>
      </w:r>
      <w:r>
        <w:rPr>
          <w:rFonts w:hint="eastAsia" w:ascii="宋体" w:hAnsi="宋体" w:eastAsia="宋体" w:cs="宋体"/>
          <w:color w:val="auto"/>
          <w:sz w:val="21"/>
          <w:szCs w:val="21"/>
          <w:highlight w:val="none"/>
          <w:u w:val="none"/>
        </w:rPr>
        <w:t>本项目要求实行限额设计</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Cs w:val="21"/>
          <w:highlight w:val="none"/>
          <w:u w:val="none"/>
        </w:rPr>
        <w:t>初步设计的建设内容和建设标准不得超过可行性研究报告批复的范围，初步设计概算应控制在经批准的可行性研究报告中总投资以内</w:t>
      </w:r>
      <w:r>
        <w:rPr>
          <w:rFonts w:hint="eastAsia" w:ascii="宋体" w:hAnsi="宋体" w:eastAsia="宋体" w:cs="宋体"/>
          <w:color w:val="auto"/>
          <w:sz w:val="21"/>
          <w:szCs w:val="21"/>
          <w:highlight w:val="none"/>
          <w:u w:val="none"/>
        </w:rPr>
        <w:t>。</w:t>
      </w:r>
    </w:p>
    <w:p w14:paraId="3BA4D30E">
      <w:pPr>
        <w:spacing w:line="360" w:lineRule="auto"/>
        <w:ind w:left="821" w:hanging="718" w:hangingChars="342"/>
        <w:jc w:val="left"/>
        <w:rPr>
          <w:rFonts w:hint="eastAsia" w:ascii="宋体" w:hAnsi="宋体" w:eastAsia="宋体" w:cs="宋体"/>
          <w:strike w:val="0"/>
          <w:dstrike w:val="0"/>
          <w:color w:val="auto"/>
          <w:sz w:val="21"/>
          <w:szCs w:val="21"/>
          <w:highlight w:val="none"/>
          <w:u w:val="single"/>
          <w:lang w:val="en-US" w:eastAsia="zh-CN"/>
        </w:rPr>
      </w:pPr>
      <w:r>
        <w:rPr>
          <w:rFonts w:hint="eastAsia" w:ascii="宋体" w:hAnsi="宋体" w:eastAsia="宋体" w:cs="宋体"/>
          <w:strike w:val="0"/>
          <w:dstrike w:val="0"/>
          <w:color w:val="auto"/>
          <w:sz w:val="21"/>
          <w:szCs w:val="21"/>
          <w:highlight w:val="none"/>
        </w:rPr>
        <w:t xml:space="preserve">1.9.3  </w:t>
      </w:r>
      <w:r>
        <w:rPr>
          <w:rFonts w:hint="eastAsia" w:ascii="宋体" w:hAnsi="宋体" w:eastAsia="宋体" w:cs="宋体"/>
          <w:color w:val="auto"/>
          <w:szCs w:val="21"/>
          <w:highlight w:val="none"/>
          <w:u w:val="none"/>
          <w:lang w:val="en-US" w:eastAsia="zh-CN"/>
        </w:rPr>
        <w:t>本项目不设置未中标单位经济补偿。</w:t>
      </w:r>
    </w:p>
    <w:p w14:paraId="380206BF">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outlineLvl w:val="0"/>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1.10    工期</w:t>
      </w:r>
    </w:p>
    <w:p w14:paraId="389CFBE6">
      <w:pPr>
        <w:spacing w:line="360" w:lineRule="auto"/>
        <w:ind w:left="821" w:hanging="718" w:hangingChars="342"/>
        <w:jc w:val="left"/>
        <w:rPr>
          <w:rFonts w:hint="eastAsia" w:ascii="宋体" w:hAnsi="宋体"/>
          <w:color w:val="auto"/>
          <w:sz w:val="21"/>
          <w:szCs w:val="21"/>
          <w:highlight w:val="none"/>
        </w:rPr>
      </w:pPr>
      <w:r>
        <w:rPr>
          <w:rFonts w:hint="eastAsia" w:ascii="宋体" w:hAnsi="宋体"/>
          <w:color w:val="auto"/>
          <w:sz w:val="21"/>
          <w:szCs w:val="21"/>
          <w:highlight w:val="none"/>
        </w:rPr>
        <w:t>1.10.1 设计工期：</w:t>
      </w:r>
      <w:r>
        <w:rPr>
          <w:rFonts w:hint="eastAsia" w:ascii="宋体" w:hAnsi="宋体"/>
          <w:color w:val="auto"/>
          <w:sz w:val="21"/>
          <w:szCs w:val="21"/>
          <w:highlight w:val="none"/>
          <w:lang w:val="en-US" w:eastAsia="zh-CN"/>
        </w:rPr>
        <w:t>具体工期以招标人要求为准</w:t>
      </w:r>
      <w:r>
        <w:rPr>
          <w:rFonts w:hint="eastAsia" w:ascii="宋体" w:hAnsi="宋体"/>
          <w:color w:val="auto"/>
          <w:sz w:val="21"/>
          <w:szCs w:val="21"/>
          <w:highlight w:val="none"/>
        </w:rPr>
        <w:t>。</w:t>
      </w:r>
    </w:p>
    <w:p w14:paraId="00C9873C">
      <w:pPr>
        <w:spacing w:line="360" w:lineRule="auto"/>
        <w:ind w:left="821" w:hanging="718" w:hangingChars="342"/>
        <w:jc w:val="left"/>
        <w:rPr>
          <w:rFonts w:hint="eastAsia" w:ascii="宋体" w:hAnsi="宋体"/>
          <w:color w:val="auto"/>
          <w:sz w:val="21"/>
          <w:szCs w:val="21"/>
          <w:highlight w:val="none"/>
        </w:rPr>
      </w:pPr>
      <w:r>
        <w:rPr>
          <w:rFonts w:hint="eastAsia" w:ascii="宋体" w:hAnsi="宋体"/>
          <w:color w:val="auto"/>
          <w:sz w:val="21"/>
          <w:szCs w:val="21"/>
          <w:highlight w:val="none"/>
        </w:rPr>
        <w:t>1.10.2</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勘察工期：</w:t>
      </w:r>
      <w:r>
        <w:rPr>
          <w:rFonts w:hint="eastAsia" w:ascii="宋体" w:hAnsi="宋体"/>
          <w:color w:val="auto"/>
          <w:sz w:val="21"/>
          <w:szCs w:val="21"/>
          <w:highlight w:val="none"/>
          <w:lang w:val="en-US" w:eastAsia="zh-CN"/>
        </w:rPr>
        <w:t>具体工期以招标人要求为准</w:t>
      </w:r>
      <w:r>
        <w:rPr>
          <w:rFonts w:hint="eastAsia" w:ascii="宋体" w:hAnsi="宋体"/>
          <w:color w:val="auto"/>
          <w:sz w:val="21"/>
          <w:szCs w:val="21"/>
          <w:highlight w:val="none"/>
        </w:rPr>
        <w:t>。</w:t>
      </w:r>
    </w:p>
    <w:p w14:paraId="692D5E5B">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outlineLvl w:val="0"/>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1.11    其他事项</w:t>
      </w:r>
    </w:p>
    <w:p w14:paraId="4349AB3C">
      <w:pPr>
        <w:spacing w:line="360" w:lineRule="auto"/>
        <w:ind w:left="1027" w:hanging="898" w:hangingChars="428"/>
        <w:jc w:val="left"/>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1.11.</w:t>
      </w:r>
      <w:r>
        <w:rPr>
          <w:rFonts w:ascii="宋体" w:hAnsi="宋体"/>
          <w:color w:val="auto"/>
          <w:sz w:val="21"/>
          <w:szCs w:val="21"/>
          <w:highlight w:val="none"/>
        </w:rPr>
        <w:t>1</w:t>
      </w:r>
      <w:r>
        <w:rPr>
          <w:rFonts w:hint="eastAsia" w:ascii="宋体" w:hAnsi="宋体"/>
          <w:color w:val="auto"/>
          <w:sz w:val="21"/>
          <w:szCs w:val="21"/>
          <w:highlight w:val="none"/>
        </w:rPr>
        <w:t xml:space="preserve">  招标代理费用由招标人直接支付给招标代理机构</w:t>
      </w:r>
      <w:r>
        <w:rPr>
          <w:rFonts w:hint="eastAsia" w:ascii="宋体" w:hAnsi="宋体"/>
          <w:color w:val="auto"/>
          <w:sz w:val="21"/>
          <w:szCs w:val="21"/>
          <w:highlight w:val="none"/>
          <w:lang w:eastAsia="zh-CN"/>
        </w:rPr>
        <w:t>。</w:t>
      </w:r>
    </w:p>
    <w:p w14:paraId="61EFC5A0">
      <w:pPr>
        <w:spacing w:line="360" w:lineRule="auto"/>
        <w:ind w:left="821" w:hanging="718" w:hangingChars="342"/>
        <w:jc w:val="left"/>
        <w:rPr>
          <w:rFonts w:hint="eastAsia" w:ascii="宋体" w:hAnsi="宋体"/>
          <w:color w:val="auto"/>
          <w:sz w:val="21"/>
          <w:szCs w:val="21"/>
          <w:highlight w:val="none"/>
        </w:rPr>
      </w:pPr>
      <w:r>
        <w:rPr>
          <w:rFonts w:hint="eastAsia" w:ascii="宋体" w:hAnsi="宋体"/>
          <w:color w:val="auto"/>
          <w:sz w:val="21"/>
          <w:szCs w:val="21"/>
          <w:highlight w:val="none"/>
        </w:rPr>
        <w:t>1.11.</w:t>
      </w:r>
      <w:r>
        <w:rPr>
          <w:rFonts w:ascii="宋体" w:hAnsi="宋体"/>
          <w:color w:val="auto"/>
          <w:sz w:val="21"/>
          <w:szCs w:val="21"/>
          <w:highlight w:val="none"/>
        </w:rPr>
        <w:t>2</w:t>
      </w:r>
      <w:r>
        <w:rPr>
          <w:rFonts w:hint="eastAsia" w:ascii="宋体" w:hAnsi="宋体"/>
          <w:color w:val="auto"/>
          <w:sz w:val="21"/>
          <w:szCs w:val="21"/>
          <w:highlight w:val="none"/>
        </w:rPr>
        <w:t xml:space="preserve">  投标人可通过</w:t>
      </w:r>
      <w:r>
        <w:rPr>
          <w:rFonts w:hint="eastAsia" w:ascii="宋体" w:hAnsi="宋体"/>
          <w:color w:val="auto"/>
          <w:sz w:val="21"/>
          <w:szCs w:val="21"/>
          <w:highlight w:val="none"/>
          <w:u w:val="single"/>
        </w:rPr>
        <w:t>http://map.baidu.com选择（地球模式）</w:t>
      </w:r>
      <w:r>
        <w:rPr>
          <w:rFonts w:hint="eastAsia" w:ascii="宋体" w:hAnsi="宋体"/>
          <w:color w:val="auto"/>
          <w:sz w:val="21"/>
          <w:szCs w:val="21"/>
          <w:highlight w:val="none"/>
        </w:rPr>
        <w:t>观察本项目的周边环境</w:t>
      </w:r>
      <w:r>
        <w:rPr>
          <w:rFonts w:hint="eastAsia" w:hAnsi="宋体"/>
          <w:color w:val="auto"/>
          <w:sz w:val="21"/>
          <w:szCs w:val="21"/>
          <w:highlight w:val="none"/>
        </w:rPr>
        <w:t>。</w:t>
      </w:r>
    </w:p>
    <w:p w14:paraId="41DD3CB0">
      <w:pPr>
        <w:spacing w:line="360" w:lineRule="auto"/>
        <w:ind w:left="821" w:hanging="718" w:hangingChars="342"/>
        <w:jc w:val="left"/>
        <w:rPr>
          <w:rFonts w:hint="eastAsia" w:ascii="宋体" w:hAnsi="宋体"/>
          <w:color w:val="auto"/>
          <w:sz w:val="21"/>
          <w:szCs w:val="21"/>
          <w:highlight w:val="none"/>
        </w:rPr>
      </w:pPr>
      <w:r>
        <w:rPr>
          <w:rFonts w:hint="eastAsia" w:ascii="宋体" w:hAnsi="宋体"/>
          <w:color w:val="auto"/>
          <w:sz w:val="21"/>
          <w:szCs w:val="21"/>
          <w:highlight w:val="none"/>
        </w:rPr>
        <w:t>1.11.</w:t>
      </w:r>
      <w:r>
        <w:rPr>
          <w:rFonts w:ascii="宋体" w:hAnsi="宋体"/>
          <w:color w:val="auto"/>
          <w:sz w:val="21"/>
          <w:szCs w:val="21"/>
          <w:highlight w:val="none"/>
        </w:rPr>
        <w:t>3</w:t>
      </w:r>
      <w:r>
        <w:rPr>
          <w:rFonts w:hint="eastAsia" w:ascii="宋体" w:hAnsi="宋体"/>
          <w:color w:val="auto"/>
          <w:sz w:val="21"/>
          <w:szCs w:val="21"/>
          <w:highlight w:val="none"/>
        </w:rPr>
        <w:t xml:space="preserve">  项目的其他情况在</w:t>
      </w:r>
      <w:r>
        <w:rPr>
          <w:rFonts w:hint="eastAsia" w:ascii="宋体" w:hAnsi="宋体"/>
          <w:color w:val="auto"/>
          <w:sz w:val="21"/>
          <w:szCs w:val="21"/>
          <w:highlight w:val="none"/>
          <w:u w:val="single"/>
          <w:lang w:val="en-US" w:eastAsia="zh-CN"/>
        </w:rPr>
        <w:t>勘察及初步设计任务书</w:t>
      </w:r>
      <w:r>
        <w:rPr>
          <w:rFonts w:hint="eastAsia" w:ascii="宋体" w:hAnsi="宋体"/>
          <w:color w:val="auto"/>
          <w:sz w:val="21"/>
          <w:szCs w:val="21"/>
          <w:highlight w:val="none"/>
        </w:rPr>
        <w:t>中详细介绍。本公告为招标文件的组成部分，更详细的信息以招标文件为准。</w:t>
      </w:r>
    </w:p>
    <w:p w14:paraId="2BA965BA">
      <w:pPr>
        <w:spacing w:line="360" w:lineRule="auto"/>
        <w:ind w:left="821" w:hanging="718" w:hangingChars="342"/>
        <w:jc w:val="left"/>
        <w:rPr>
          <w:rFonts w:hint="eastAsia" w:ascii="宋体" w:hAnsi="宋体"/>
          <w:color w:val="auto"/>
          <w:sz w:val="21"/>
          <w:szCs w:val="21"/>
          <w:highlight w:val="none"/>
        </w:rPr>
      </w:pPr>
      <w:r>
        <w:rPr>
          <w:rFonts w:hint="eastAsia" w:ascii="宋体" w:hAnsi="宋体"/>
          <w:color w:val="auto"/>
          <w:sz w:val="21"/>
          <w:szCs w:val="21"/>
          <w:highlight w:val="none"/>
        </w:rPr>
        <w:t>1.11.</w:t>
      </w:r>
      <w:r>
        <w:rPr>
          <w:rFonts w:ascii="宋体" w:hAnsi="宋体"/>
          <w:color w:val="auto"/>
          <w:sz w:val="21"/>
          <w:szCs w:val="21"/>
          <w:highlight w:val="none"/>
        </w:rPr>
        <w:t>4</w:t>
      </w:r>
      <w:r>
        <w:rPr>
          <w:rFonts w:hint="eastAsia" w:ascii="宋体" w:hAnsi="宋体"/>
          <w:color w:val="auto"/>
          <w:sz w:val="21"/>
          <w:szCs w:val="21"/>
          <w:highlight w:val="none"/>
        </w:rPr>
        <w:t xml:space="preserve"> </w:t>
      </w:r>
      <w:r>
        <w:rPr>
          <w:rFonts w:ascii="宋体" w:hAnsi="宋体"/>
          <w:color w:val="auto"/>
          <w:sz w:val="21"/>
          <w:szCs w:val="21"/>
          <w:highlight w:val="none"/>
        </w:rPr>
        <w:t>交易</w:t>
      </w:r>
      <w:r>
        <w:rPr>
          <w:rFonts w:hint="eastAsia" w:ascii="宋体" w:hAnsi="宋体"/>
          <w:color w:val="auto"/>
          <w:sz w:val="21"/>
          <w:szCs w:val="21"/>
          <w:highlight w:val="none"/>
        </w:rPr>
        <w:t>电子招投标操作流程详见交易平台发布的相关操作指引。</w:t>
      </w:r>
    </w:p>
    <w:p w14:paraId="3CAA2DD5">
      <w:pPr>
        <w:shd w:val="clear" w:color="auto" w:fill="FFFFFF"/>
        <w:adjustRightInd w:val="0"/>
        <w:spacing w:line="360" w:lineRule="auto"/>
        <w:ind w:left="821" w:hanging="718" w:hangingChars="342"/>
        <w:rPr>
          <w:rFonts w:ascii="宋体" w:hAnsi="宋体"/>
          <w:color w:val="auto"/>
          <w:sz w:val="21"/>
          <w:szCs w:val="21"/>
          <w:highlight w:val="none"/>
        </w:rPr>
      </w:pPr>
      <w:r>
        <w:rPr>
          <w:rFonts w:hint="eastAsia" w:ascii="宋体" w:hAnsi="宋体"/>
          <w:color w:val="auto"/>
          <w:sz w:val="21"/>
          <w:szCs w:val="21"/>
          <w:highlight w:val="none"/>
        </w:rPr>
        <w:t>1.11.</w:t>
      </w:r>
      <w:r>
        <w:rPr>
          <w:rFonts w:ascii="宋体" w:hAnsi="宋体"/>
          <w:color w:val="auto"/>
          <w:sz w:val="21"/>
          <w:szCs w:val="21"/>
          <w:highlight w:val="none"/>
        </w:rPr>
        <w:t>5</w:t>
      </w:r>
      <w:r>
        <w:rPr>
          <w:rFonts w:hint="eastAsia" w:ascii="宋体" w:hAnsi="宋体"/>
          <w:color w:val="auto"/>
          <w:sz w:val="21"/>
          <w:szCs w:val="21"/>
          <w:highlight w:val="none"/>
        </w:rPr>
        <w:t xml:space="preserve"> </w:t>
      </w:r>
      <w:r>
        <w:rPr>
          <w:rFonts w:ascii="宋体" w:hAnsi="宋体"/>
          <w:color w:val="auto"/>
          <w:sz w:val="21"/>
          <w:szCs w:val="21"/>
          <w:highlight w:val="none"/>
        </w:rPr>
        <w:t>潜在投标人或利害关系人对本招标公告及招标文件有异议的，</w:t>
      </w:r>
      <w:r>
        <w:rPr>
          <w:rFonts w:hint="eastAsia" w:ascii="宋体" w:hAnsi="宋体"/>
          <w:color w:val="auto"/>
          <w:sz w:val="21"/>
          <w:szCs w:val="21"/>
          <w:highlight w:val="none"/>
        </w:rPr>
        <w:t>应当在投标截止时间10日前</w:t>
      </w:r>
      <w:r>
        <w:rPr>
          <w:rFonts w:ascii="宋体" w:hAnsi="宋体"/>
          <w:color w:val="auto"/>
          <w:sz w:val="21"/>
          <w:szCs w:val="21"/>
          <w:highlight w:val="none"/>
        </w:rPr>
        <w:t>向招标人书面提出。</w:t>
      </w:r>
    </w:p>
    <w:p w14:paraId="6C3AEC14">
      <w:pPr>
        <w:spacing w:line="360" w:lineRule="auto"/>
        <w:ind w:left="735" w:leftChars="350" w:firstLine="210"/>
        <w:rPr>
          <w:rFonts w:hint="eastAsia" w:ascii="宋体" w:hAnsi="宋体" w:eastAsia="宋体"/>
          <w:color w:val="auto"/>
          <w:szCs w:val="21"/>
          <w:highlight w:val="none"/>
          <w:u w:val="single"/>
          <w:lang w:eastAsia="zh-CN"/>
        </w:rPr>
      </w:pPr>
      <w:r>
        <w:rPr>
          <w:rFonts w:hint="eastAsia" w:ascii="宋体" w:hAnsi="宋体" w:cs="宋体"/>
          <w:color w:val="auto"/>
          <w:szCs w:val="21"/>
          <w:highlight w:val="none"/>
        </w:rPr>
        <w:t>异议受理部门：</w:t>
      </w:r>
      <w:r>
        <w:rPr>
          <w:rFonts w:hint="eastAsia" w:ascii="宋体" w:hAnsi="宋体" w:cs="宋体"/>
          <w:color w:val="auto"/>
          <w:szCs w:val="21"/>
          <w:highlight w:val="none"/>
          <w:u w:val="single"/>
          <w:lang w:eastAsia="zh-CN"/>
        </w:rPr>
        <w:t>广州市天投城市更新有限公司</w:t>
      </w:r>
    </w:p>
    <w:p w14:paraId="3257F7B8">
      <w:pPr>
        <w:spacing w:line="360" w:lineRule="auto"/>
        <w:ind w:left="735" w:leftChars="350" w:firstLine="210"/>
        <w:rPr>
          <w:rFonts w:hint="eastAsia" w:ascii="宋体" w:hAnsi="宋体" w:eastAsia="宋体"/>
          <w:color w:val="auto"/>
          <w:szCs w:val="21"/>
          <w:highlight w:val="none"/>
          <w:u w:val="single"/>
          <w:lang w:val="en-US" w:eastAsia="zh-CN"/>
        </w:rPr>
      </w:pPr>
      <w:r>
        <w:rPr>
          <w:rFonts w:hint="eastAsia" w:ascii="宋体" w:hAnsi="宋体" w:cs="宋体"/>
          <w:color w:val="auto"/>
          <w:szCs w:val="21"/>
          <w:highlight w:val="none"/>
        </w:rPr>
        <w:t>联系人：</w:t>
      </w:r>
      <w:r>
        <w:rPr>
          <w:rFonts w:hint="eastAsia" w:ascii="宋体" w:hAnsi="宋体" w:eastAsia="宋体" w:cs="宋体"/>
          <w:color w:val="auto"/>
          <w:szCs w:val="21"/>
          <w:highlight w:val="none"/>
          <w:u w:val="single"/>
          <w:lang w:val="en-US" w:eastAsia="zh-CN"/>
        </w:rPr>
        <w:t>胡工</w:t>
      </w:r>
    </w:p>
    <w:p w14:paraId="715D4D5C">
      <w:pPr>
        <w:spacing w:line="360" w:lineRule="auto"/>
        <w:ind w:left="735" w:leftChars="350" w:firstLine="210"/>
        <w:rPr>
          <w:rFonts w:hint="default" w:ascii="宋体" w:hAnsi="宋体" w:eastAsia="宋体"/>
          <w:color w:val="auto"/>
          <w:szCs w:val="21"/>
          <w:highlight w:val="none"/>
          <w:u w:val="single"/>
          <w:lang w:val="en-US" w:eastAsia="zh-CN"/>
        </w:rPr>
      </w:pPr>
      <w:r>
        <w:rPr>
          <w:rFonts w:hint="eastAsia" w:ascii="宋体" w:hAnsi="宋体" w:cs="宋体"/>
          <w:color w:val="auto"/>
          <w:szCs w:val="21"/>
          <w:highlight w:val="none"/>
        </w:rPr>
        <w:t>电话：</w:t>
      </w:r>
      <w:r>
        <w:rPr>
          <w:rFonts w:hint="eastAsia" w:ascii="宋体" w:hAnsi="宋体" w:eastAsia="宋体" w:cs="宋体"/>
          <w:color w:val="auto"/>
          <w:szCs w:val="21"/>
          <w:highlight w:val="none"/>
          <w:u w:val="single"/>
          <w:lang w:val="en-US" w:eastAsia="zh-CN"/>
        </w:rPr>
        <w:t>020-80922912</w:t>
      </w:r>
    </w:p>
    <w:p w14:paraId="543E39D1">
      <w:pPr>
        <w:spacing w:line="360" w:lineRule="auto"/>
        <w:ind w:left="735" w:leftChars="350" w:firstLine="210"/>
        <w:rPr>
          <w:rFonts w:hint="eastAsia" w:ascii="宋体" w:hAnsi="宋体" w:eastAsia="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val="en-US" w:eastAsia="zh-CN"/>
        </w:rPr>
        <w:t>广州市越秀区流花路117号流花展贸中心15号馆3楼</w:t>
      </w:r>
    </w:p>
    <w:p w14:paraId="5228DDB6">
      <w:pPr>
        <w:shd w:val="clear" w:color="auto" w:fill="auto"/>
        <w:adjustRightInd/>
        <w:spacing w:line="360" w:lineRule="auto"/>
        <w:ind w:left="821" w:hanging="718" w:hangingChars="342"/>
        <w:jc w:val="left"/>
        <w:rPr>
          <w:b w:val="0"/>
          <w:bCs w:val="0"/>
          <w:color w:val="auto"/>
          <w:highlight w:val="none"/>
        </w:rPr>
      </w:pPr>
      <w:r>
        <w:rPr>
          <w:rFonts w:hint="eastAsia" w:ascii="宋体" w:hAnsi="宋体" w:eastAsia="宋体" w:cs="宋体"/>
          <w:b w:val="0"/>
          <w:bCs w:val="0"/>
          <w:color w:val="auto"/>
          <w:szCs w:val="21"/>
          <w:highlight w:val="none"/>
          <w:shd w:val="clear" w:color="auto" w:fill="auto"/>
        </w:rPr>
        <w:t xml:space="preserve">   </w:t>
      </w:r>
      <w:r>
        <w:rPr>
          <w:rFonts w:hint="eastAsia" w:ascii="宋体" w:hAnsi="宋体" w:cs="宋体"/>
          <w:b w:val="0"/>
          <w:bCs w:val="0"/>
          <w:color w:val="auto"/>
          <w:szCs w:val="21"/>
          <w:highlight w:val="none"/>
          <w:shd w:val="clear" w:color="auto" w:fill="FFFFFF"/>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6A2EDD2">
      <w:pPr>
        <w:keepNext w:val="0"/>
        <w:keepLines w:val="0"/>
        <w:pageBreakBefore w:val="0"/>
        <w:widowControl w:val="0"/>
        <w:kinsoku w:val="0"/>
        <w:wordWrap w:val="0"/>
        <w:overflowPunct/>
        <w:topLinePunct w:val="0"/>
        <w:autoSpaceDE/>
        <w:autoSpaceDN/>
        <w:bidi w:val="0"/>
        <w:adjustRightInd/>
        <w:snapToGrid/>
        <w:spacing w:line="360" w:lineRule="auto"/>
        <w:ind w:left="0" w:hanging="718" w:hangingChars="342"/>
        <w:jc w:val="left"/>
        <w:textAlignment w:val="auto"/>
        <w:rPr>
          <w:rFonts w:ascii="宋体" w:hAnsi="宋体" w:eastAsia="宋体" w:cs="Times New Roman"/>
          <w:color w:val="auto"/>
          <w:sz w:val="21"/>
          <w:szCs w:val="21"/>
          <w:highlight w:val="none"/>
        </w:rPr>
      </w:pPr>
      <w:r>
        <w:rPr>
          <w:rFonts w:hint="eastAsia" w:ascii="宋体" w:hAnsi="宋体"/>
          <w:color w:val="auto"/>
          <w:sz w:val="21"/>
          <w:szCs w:val="21"/>
          <w:highlight w:val="none"/>
        </w:rPr>
        <w:t>1.11.</w:t>
      </w:r>
      <w:r>
        <w:rPr>
          <w:rFonts w:ascii="宋体" w:hAnsi="宋体"/>
          <w:color w:val="auto"/>
          <w:sz w:val="21"/>
          <w:szCs w:val="21"/>
          <w:highlight w:val="none"/>
        </w:rPr>
        <w:t>6</w:t>
      </w:r>
      <w:r>
        <w:rPr>
          <w:rFonts w:hint="eastAsia" w:ascii="宋体" w:hAnsi="宋体"/>
          <w:color w:val="auto"/>
          <w:sz w:val="21"/>
          <w:szCs w:val="21"/>
          <w:highlight w:val="none"/>
        </w:rPr>
        <w:t xml:space="preserve"> </w:t>
      </w:r>
      <w:r>
        <w:rPr>
          <w:rFonts w:hint="eastAsia" w:ascii="宋体" w:hAnsi="宋体" w:cs="宋体"/>
          <w:color w:val="auto"/>
          <w:szCs w:val="21"/>
          <w:highlight w:val="none"/>
        </w:rPr>
        <w:t>本公告在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交易平台网站（网址：http://www.gzggzy.cn）、广州国企阳光采购信息发布平台（网址：http://ygcg.gzggzy.cn/p92/index.html）</w:t>
      </w:r>
      <w:r>
        <w:rPr>
          <w:rFonts w:hint="eastAsia" w:ascii="宋体" w:hAnsi="宋体" w:cs="宋体"/>
          <w:color w:val="auto"/>
          <w:szCs w:val="21"/>
          <w:highlight w:val="none"/>
          <w:lang w:eastAsia="zh-CN"/>
        </w:rPr>
        <w:t>、</w:t>
      </w:r>
      <w:r>
        <w:rPr>
          <w:rFonts w:hint="eastAsia" w:ascii="宋体" w:hAnsi="宋体" w:cs="宋体"/>
          <w:color w:val="auto"/>
          <w:szCs w:val="21"/>
          <w:highlight w:val="none"/>
        </w:rPr>
        <w:t>广东省招标投标监管网（网址：</w:t>
      </w:r>
      <w:r>
        <w:rPr>
          <w:rFonts w:hint="eastAsia" w:ascii="宋体" w:hAnsi="宋体" w:cs="宋体"/>
          <w:color w:val="auto"/>
          <w:highlight w:val="none"/>
        </w:rPr>
        <w:t>https://www.gdzwfw.gov.cn/ztbjg-portal/#/index</w:t>
      </w:r>
      <w:r>
        <w:rPr>
          <w:rFonts w:hint="eastAsia" w:ascii="宋体" w:hAnsi="宋体"/>
          <w:color w:val="auto"/>
          <w:szCs w:val="21"/>
          <w:highlight w:val="none"/>
        </w:rPr>
        <w:t>）和中国招标投标公共服务平台（网址：http://www.cebpubservice.com/）发布，本公告的修改、补充，在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交易平台网站发布</w:t>
      </w:r>
      <w:r>
        <w:rPr>
          <w:rFonts w:ascii="宋体" w:hAnsi="宋体" w:eastAsia="宋体" w:cs="Times New Roman"/>
          <w:color w:val="auto"/>
          <w:sz w:val="21"/>
          <w:szCs w:val="21"/>
          <w:highlight w:val="none"/>
        </w:rPr>
        <w:t>。</w:t>
      </w:r>
    </w:p>
    <w:p w14:paraId="03349E4E">
      <w:pPr>
        <w:spacing w:line="360" w:lineRule="auto"/>
        <w:ind w:left="821" w:hanging="718" w:hangingChars="342"/>
        <w:jc w:val="left"/>
        <w:rPr>
          <w:rFonts w:hint="eastAsia" w:ascii="宋体" w:hAnsi="宋体"/>
          <w:color w:val="auto"/>
          <w:sz w:val="21"/>
          <w:szCs w:val="21"/>
          <w:highlight w:val="none"/>
        </w:rPr>
      </w:pPr>
      <w:r>
        <w:rPr>
          <w:rFonts w:hint="eastAsia" w:ascii="宋体" w:hAnsi="宋体"/>
          <w:color w:val="auto"/>
          <w:sz w:val="21"/>
          <w:szCs w:val="21"/>
          <w:highlight w:val="none"/>
        </w:rPr>
        <w:t>1.11.</w:t>
      </w:r>
      <w:r>
        <w:rPr>
          <w:rFonts w:ascii="宋体" w:hAnsi="宋体"/>
          <w:color w:val="auto"/>
          <w:sz w:val="21"/>
          <w:szCs w:val="21"/>
          <w:highlight w:val="none"/>
        </w:rPr>
        <w:t>7</w:t>
      </w:r>
      <w:r>
        <w:rPr>
          <w:rFonts w:hint="eastAsia" w:ascii="宋体" w:hAnsi="宋体"/>
          <w:color w:val="auto"/>
          <w:sz w:val="21"/>
          <w:szCs w:val="21"/>
          <w:highlight w:val="none"/>
        </w:rPr>
        <w:t xml:space="preserve"> </w:t>
      </w:r>
      <w:r>
        <w:rPr>
          <w:rFonts w:hint="eastAsia" w:ascii="宋体" w:hAnsi="宋体" w:eastAsia="宋体" w:cs="Times New Roman"/>
          <w:color w:val="auto"/>
          <w:sz w:val="21"/>
          <w:szCs w:val="21"/>
          <w:highlight w:val="none"/>
        </w:rPr>
        <w:t>《投诉处理决定书》和《行政处理决定书》在广州市住房和城乡建设局网站上公布的，视为送达其他与决定书有关的当事人</w:t>
      </w:r>
      <w:r>
        <w:rPr>
          <w:rFonts w:hint="eastAsia" w:ascii="宋体" w:hAnsi="宋体"/>
          <w:color w:val="auto"/>
          <w:sz w:val="21"/>
          <w:szCs w:val="21"/>
          <w:highlight w:val="none"/>
        </w:rPr>
        <w:t>。</w:t>
      </w:r>
    </w:p>
    <w:p w14:paraId="0376D5B3">
      <w:pPr>
        <w:spacing w:line="360" w:lineRule="auto"/>
        <w:ind w:left="821" w:hanging="718" w:hangingChars="34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1.11.8 特别提示：投标人在本项目招标人的工程项目中存在下列行为的，将被拒绝一定时期内参与招标人后续工程投标。（注：拒绝投标时限由招标人视严重程度确定，最低三个月起，自招标人发出通知之日起计）：</w:t>
      </w:r>
    </w:p>
    <w:p w14:paraId="53780742">
      <w:pPr>
        <w:spacing w:line="360" w:lineRule="auto"/>
        <w:ind w:left="1186" w:leftChars="270" w:hanging="619" w:hangingChars="295"/>
        <w:jc w:val="left"/>
        <w:outlineLvl w:val="9"/>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rPr>
        <w:t>（1）将中标工程转包或者违法分包的</w:t>
      </w:r>
      <w:r>
        <w:rPr>
          <w:rFonts w:hint="eastAsia" w:ascii="宋体" w:hAnsi="宋体" w:cs="宋体"/>
          <w:color w:val="auto"/>
          <w:szCs w:val="21"/>
          <w:highlight w:val="none"/>
          <w:u w:val="single"/>
          <w:lang w:eastAsia="zh-CN"/>
        </w:rPr>
        <w:t>；</w:t>
      </w:r>
    </w:p>
    <w:p w14:paraId="601C9DA7">
      <w:pPr>
        <w:spacing w:line="360" w:lineRule="auto"/>
        <w:ind w:left="1186" w:leftChars="270" w:hanging="619" w:hangingChars="295"/>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（2）出让投标资格的；</w:t>
      </w:r>
    </w:p>
    <w:p w14:paraId="5D4373DB">
      <w:pPr>
        <w:spacing w:line="360" w:lineRule="auto"/>
        <w:ind w:left="1186" w:leftChars="270" w:hanging="619" w:hangingChars="295"/>
        <w:jc w:val="left"/>
        <w:outlineLvl w:val="9"/>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rPr>
        <w:t>（3）存在围标或串通投标情形的</w:t>
      </w:r>
      <w:r>
        <w:rPr>
          <w:rFonts w:hint="eastAsia" w:ascii="宋体" w:hAnsi="宋体" w:cs="宋体"/>
          <w:color w:val="auto"/>
          <w:szCs w:val="21"/>
          <w:highlight w:val="none"/>
          <w:u w:val="single"/>
          <w:lang w:eastAsia="zh-CN"/>
        </w:rPr>
        <w:t>；</w:t>
      </w:r>
    </w:p>
    <w:p w14:paraId="5CA28DB8">
      <w:pPr>
        <w:spacing w:line="360" w:lineRule="auto"/>
        <w:ind w:left="1186" w:leftChars="270" w:hanging="619" w:hangingChars="295"/>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（4）在投标文件中提供虚假材料的；</w:t>
      </w:r>
    </w:p>
    <w:p w14:paraId="396ADBB8">
      <w:pPr>
        <w:spacing w:line="360" w:lineRule="auto"/>
        <w:ind w:left="1186" w:leftChars="270" w:hanging="619" w:hangingChars="295"/>
        <w:jc w:val="left"/>
        <w:outlineLvl w:val="9"/>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rPr>
        <w:t>（5）存在行贿情形的</w:t>
      </w:r>
      <w:r>
        <w:rPr>
          <w:rFonts w:hint="eastAsia" w:ascii="宋体" w:hAnsi="宋体" w:cs="宋体"/>
          <w:color w:val="auto"/>
          <w:szCs w:val="21"/>
          <w:highlight w:val="none"/>
          <w:u w:val="single"/>
          <w:lang w:eastAsia="zh-CN"/>
        </w:rPr>
        <w:t>；</w:t>
      </w:r>
    </w:p>
    <w:p w14:paraId="0BE63A21">
      <w:pPr>
        <w:spacing w:line="360" w:lineRule="auto"/>
        <w:ind w:left="1186" w:leftChars="270" w:hanging="619" w:hangingChars="295"/>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（6）存在少放、不放业绩、奖项等客观评审资料，减少自身竞争力情形的；</w:t>
      </w:r>
    </w:p>
    <w:p w14:paraId="66305503">
      <w:pPr>
        <w:spacing w:line="360" w:lineRule="auto"/>
        <w:ind w:left="1186" w:leftChars="270" w:hanging="619" w:hangingChars="295"/>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（7）在中标工程中不执行质量、安全生产相关规定的，造成质量或安全事故的；</w:t>
      </w:r>
    </w:p>
    <w:p w14:paraId="55FAF94A">
      <w:pPr>
        <w:spacing w:line="360" w:lineRule="auto"/>
        <w:ind w:left="1186" w:leftChars="270" w:hanging="619" w:hangingChars="295"/>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（8）存在因过错行为被生效法律文书认定承担违约或侵权责任的。</w:t>
      </w:r>
    </w:p>
    <w:p w14:paraId="36AA7F19">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outlineLvl w:val="0"/>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1.12   招标人</w:t>
      </w:r>
    </w:p>
    <w:p w14:paraId="400D7C7E">
      <w:pPr>
        <w:spacing w:line="360" w:lineRule="auto"/>
        <w:ind w:left="6" w:leftChars="0" w:hanging="6" w:firstLineChars="0"/>
        <w:outlineLvl w:val="1"/>
        <w:rPr>
          <w:rFonts w:hint="eastAsia" w:ascii="宋体" w:hAnsi="宋体" w:eastAsia="宋体"/>
          <w:color w:val="auto"/>
          <w:szCs w:val="21"/>
          <w:highlight w:val="none"/>
          <w:lang w:eastAsia="zh-CN"/>
        </w:rPr>
      </w:pPr>
      <w:r>
        <w:rPr>
          <w:rFonts w:hint="eastAsia" w:ascii="宋体" w:hAnsi="宋体" w:cs="宋体"/>
          <w:color w:val="auto"/>
          <w:szCs w:val="21"/>
          <w:highlight w:val="none"/>
        </w:rPr>
        <w:t>1.12.1 名称：</w:t>
      </w:r>
      <w:r>
        <w:rPr>
          <w:rFonts w:hint="eastAsia" w:ascii="宋体" w:hAnsi="宋体" w:cs="宋体"/>
          <w:color w:val="auto"/>
          <w:szCs w:val="21"/>
          <w:highlight w:val="none"/>
          <w:u w:val="single"/>
          <w:lang w:eastAsia="zh-CN"/>
        </w:rPr>
        <w:t>广州市天投城市更新有限公司</w:t>
      </w:r>
    </w:p>
    <w:p w14:paraId="19EAE1D1">
      <w:pPr>
        <w:spacing w:line="360" w:lineRule="auto"/>
        <w:ind w:left="6" w:leftChars="0" w:hanging="6" w:firstLineChars="0"/>
        <w:rPr>
          <w:rFonts w:ascii="宋体" w:hAnsi="宋体"/>
          <w:color w:val="auto"/>
          <w:szCs w:val="21"/>
          <w:highlight w:val="none"/>
        </w:rPr>
      </w:pPr>
      <w:r>
        <w:rPr>
          <w:rFonts w:hint="eastAsia" w:ascii="宋体" w:hAnsi="宋体" w:cs="宋体"/>
          <w:color w:val="auto"/>
          <w:szCs w:val="21"/>
          <w:highlight w:val="none"/>
        </w:rPr>
        <w:t>1.12.2 地址：</w:t>
      </w:r>
      <w:r>
        <w:rPr>
          <w:rFonts w:hint="eastAsia" w:ascii="宋体" w:hAnsi="宋体" w:cs="宋体"/>
          <w:color w:val="auto"/>
          <w:szCs w:val="21"/>
          <w:highlight w:val="none"/>
          <w:u w:val="single"/>
          <w:lang w:val="en-US" w:eastAsia="zh-CN"/>
        </w:rPr>
        <w:t>广州市越秀区流花路117号流花展贸中心15号馆3楼</w:t>
      </w:r>
    </w:p>
    <w:p w14:paraId="68E8FDF7">
      <w:pPr>
        <w:spacing w:line="360" w:lineRule="auto"/>
        <w:ind w:left="6" w:leftChars="0" w:hanging="6" w:firstLineChars="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1.12.3 电话：</w:t>
      </w:r>
      <w:r>
        <w:rPr>
          <w:rFonts w:hint="eastAsia" w:ascii="宋体" w:hAnsi="宋体" w:cs="宋体"/>
          <w:color w:val="auto"/>
          <w:szCs w:val="21"/>
          <w:highlight w:val="none"/>
          <w:u w:val="single"/>
          <w:lang w:val="en-US" w:eastAsia="zh-CN"/>
        </w:rPr>
        <w:t>020-80922912</w:t>
      </w:r>
    </w:p>
    <w:p w14:paraId="7DE5CC6A">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outlineLvl w:val="0"/>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1.13   招标代理机构</w:t>
      </w:r>
    </w:p>
    <w:p w14:paraId="3BB3EF1B">
      <w:pPr>
        <w:spacing w:line="360" w:lineRule="auto"/>
        <w:ind w:left="6" w:leftChars="0" w:hanging="6" w:firstLineChars="0"/>
        <w:outlineLvl w:val="1"/>
        <w:rPr>
          <w:rFonts w:ascii="宋体" w:hAnsi="宋体"/>
          <w:color w:val="auto"/>
          <w:szCs w:val="21"/>
          <w:highlight w:val="none"/>
        </w:rPr>
      </w:pPr>
      <w:r>
        <w:rPr>
          <w:rFonts w:hint="eastAsia" w:ascii="宋体" w:hAnsi="宋体" w:cs="宋体"/>
          <w:color w:val="auto"/>
          <w:szCs w:val="21"/>
          <w:highlight w:val="none"/>
        </w:rPr>
        <w:t>1.13.1 名称：</w:t>
      </w:r>
      <w:r>
        <w:rPr>
          <w:rFonts w:hint="eastAsia" w:ascii="宋体" w:hAnsi="宋体" w:cs="宋体"/>
          <w:color w:val="auto"/>
          <w:szCs w:val="21"/>
          <w:highlight w:val="none"/>
          <w:u w:val="single"/>
          <w:lang w:eastAsia="zh-CN"/>
        </w:rPr>
        <w:t>建成工程咨询股份有限公司</w:t>
      </w:r>
    </w:p>
    <w:p w14:paraId="34F3A254">
      <w:pPr>
        <w:spacing w:line="360" w:lineRule="auto"/>
        <w:ind w:left="6" w:leftChars="0" w:hanging="6" w:firstLineChars="0"/>
        <w:rPr>
          <w:rFonts w:ascii="宋体" w:hAnsi="宋体"/>
          <w:color w:val="auto"/>
          <w:szCs w:val="21"/>
          <w:highlight w:val="none"/>
        </w:rPr>
      </w:pPr>
      <w:r>
        <w:rPr>
          <w:rFonts w:hint="eastAsia" w:ascii="宋体" w:hAnsi="宋体" w:cs="宋体"/>
          <w:color w:val="auto"/>
          <w:szCs w:val="21"/>
          <w:highlight w:val="none"/>
        </w:rPr>
        <w:t>1.13.2 邮政编码、地址：</w:t>
      </w:r>
      <w:r>
        <w:rPr>
          <w:rFonts w:hint="eastAsia" w:ascii="宋体" w:hAnsi="宋体" w:cs="宋体"/>
          <w:color w:val="auto"/>
          <w:szCs w:val="21"/>
          <w:highlight w:val="none"/>
          <w:u w:val="single"/>
        </w:rPr>
        <w:t>510030、广州市越秀区</w:t>
      </w:r>
      <w:r>
        <w:rPr>
          <w:rFonts w:hint="eastAsia" w:ascii="宋体" w:hAnsi="宋体" w:cs="宋体"/>
          <w:color w:val="auto"/>
          <w:szCs w:val="21"/>
          <w:highlight w:val="none"/>
          <w:u w:val="single"/>
          <w:lang w:eastAsia="zh-CN"/>
        </w:rPr>
        <w:t>东风中路</w:t>
      </w:r>
      <w:r>
        <w:rPr>
          <w:rFonts w:hint="eastAsia" w:ascii="宋体" w:hAnsi="宋体" w:cs="宋体"/>
          <w:color w:val="auto"/>
          <w:szCs w:val="21"/>
          <w:highlight w:val="none"/>
          <w:u w:val="single"/>
          <w:lang w:val="en-US" w:eastAsia="zh-CN"/>
        </w:rPr>
        <w:t>318号22</w:t>
      </w:r>
      <w:r>
        <w:rPr>
          <w:rFonts w:hint="eastAsia" w:ascii="宋体" w:hAnsi="宋体" w:cs="宋体"/>
          <w:color w:val="auto"/>
          <w:szCs w:val="21"/>
          <w:highlight w:val="none"/>
          <w:u w:val="single"/>
        </w:rPr>
        <w:t>楼</w:t>
      </w:r>
    </w:p>
    <w:p w14:paraId="236DB954">
      <w:pPr>
        <w:spacing w:line="360" w:lineRule="auto"/>
        <w:ind w:left="6" w:leftChars="0" w:hanging="6" w:firstLineChars="0"/>
        <w:jc w:val="left"/>
        <w:rPr>
          <w:rFonts w:hint="default" w:ascii="宋体" w:hAnsi="宋体" w:eastAsia="宋体"/>
          <w:color w:val="auto"/>
          <w:szCs w:val="21"/>
          <w:highlight w:val="none"/>
          <w:u w:val="single"/>
          <w:lang w:val="en-US" w:eastAsia="zh-CN"/>
        </w:rPr>
      </w:pPr>
      <w:r>
        <w:rPr>
          <w:rFonts w:hint="eastAsia" w:ascii="宋体" w:hAnsi="宋体" w:cs="宋体"/>
          <w:color w:val="auto"/>
          <w:szCs w:val="21"/>
          <w:highlight w:val="none"/>
        </w:rPr>
        <w:t>1.13.3 电话（手机）号码：</w:t>
      </w:r>
      <w:r>
        <w:rPr>
          <w:rFonts w:hint="eastAsia" w:ascii="宋体" w:hAnsi="宋体" w:cs="宋体"/>
          <w:color w:val="auto"/>
          <w:szCs w:val="21"/>
          <w:highlight w:val="none"/>
          <w:u w:val="single"/>
        </w:rPr>
        <w:t>020-83</w:t>
      </w:r>
      <w:r>
        <w:rPr>
          <w:rFonts w:hint="eastAsia" w:ascii="宋体" w:hAnsi="宋体" w:cs="宋体"/>
          <w:color w:val="auto"/>
          <w:szCs w:val="21"/>
          <w:highlight w:val="none"/>
          <w:u w:val="single"/>
          <w:lang w:val="en-US" w:eastAsia="zh-CN"/>
        </w:rPr>
        <w:t>630072</w:t>
      </w:r>
    </w:p>
    <w:p w14:paraId="5FB74021">
      <w:pPr>
        <w:spacing w:line="360" w:lineRule="auto"/>
        <w:ind w:left="6" w:leftChars="0" w:hanging="6" w:firstLineChars="0"/>
        <w:rPr>
          <w:rFonts w:hint="eastAsia" w:ascii="宋体" w:hAnsi="宋体" w:eastAsia="宋体" w:cs="宋体"/>
          <w:b w:val="0"/>
          <w:color w:val="auto"/>
          <w:sz w:val="21"/>
          <w:szCs w:val="21"/>
          <w:highlight w:val="none"/>
          <w:u w:val="single"/>
        </w:rPr>
      </w:pPr>
      <w:r>
        <w:rPr>
          <w:rFonts w:hint="eastAsia" w:ascii="宋体" w:hAnsi="宋体" w:cs="宋体"/>
          <w:color w:val="auto"/>
          <w:szCs w:val="21"/>
          <w:highlight w:val="none"/>
        </w:rPr>
        <w:t>1.13.</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电子邮箱：</w:t>
      </w:r>
      <w:r>
        <w:rPr>
          <w:rFonts w:hint="eastAsia" w:ascii="宋体" w:hAnsi="宋体" w:eastAsia="宋体" w:cs="宋体"/>
          <w:color w:val="auto"/>
          <w:szCs w:val="21"/>
          <w:highlight w:val="none"/>
          <w:u w:val="single"/>
          <w:lang w:val="en-US" w:eastAsia="zh-CN"/>
        </w:rPr>
        <w:t>gzjiancheng@vip.sina</w:t>
      </w:r>
      <w:r>
        <w:rPr>
          <w:rFonts w:hint="eastAsia" w:ascii="宋体" w:hAnsi="宋体" w:eastAsia="宋体" w:cs="宋体"/>
          <w:color w:val="auto"/>
          <w:szCs w:val="21"/>
          <w:highlight w:val="none"/>
          <w:u w:val="single"/>
        </w:rPr>
        <w:t>.com</w:t>
      </w:r>
    </w:p>
    <w:p w14:paraId="72AF1A2B">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outlineLvl w:val="0"/>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1.14  交易服务机构</w:t>
      </w:r>
    </w:p>
    <w:p w14:paraId="72D262C8">
      <w:pPr>
        <w:spacing w:line="360" w:lineRule="auto"/>
        <w:ind w:left="6" w:leftChars="0" w:hanging="6" w:firstLineChars="0"/>
        <w:rPr>
          <w:rFonts w:ascii="宋体" w:hAnsi="宋体"/>
          <w:color w:val="auto"/>
          <w:szCs w:val="21"/>
          <w:highlight w:val="none"/>
        </w:rPr>
      </w:pPr>
      <w:r>
        <w:rPr>
          <w:rFonts w:hint="eastAsia" w:ascii="宋体" w:hAnsi="宋体" w:cs="宋体"/>
          <w:color w:val="auto"/>
          <w:szCs w:val="21"/>
          <w:highlight w:val="none"/>
        </w:rPr>
        <w:t>1.14.1 名称：</w:t>
      </w:r>
      <w:r>
        <w:rPr>
          <w:rFonts w:hint="eastAsia" w:ascii="宋体" w:hAnsi="宋体"/>
          <w:color w:val="auto"/>
          <w:szCs w:val="21"/>
          <w:highlight w:val="none"/>
          <w:u w:val="single"/>
        </w:rPr>
        <w:t xml:space="preserve"> 广州交易集团有限公司（广州公共资源交易中心）</w:t>
      </w:r>
    </w:p>
    <w:p w14:paraId="612C1850">
      <w:pPr>
        <w:spacing w:line="360" w:lineRule="auto"/>
        <w:ind w:left="6" w:leftChars="0" w:hanging="6" w:firstLineChars="0"/>
        <w:rPr>
          <w:rFonts w:ascii="宋体" w:hAnsi="宋体"/>
          <w:color w:val="auto"/>
          <w:szCs w:val="21"/>
          <w:highlight w:val="none"/>
        </w:rPr>
      </w:pPr>
      <w:r>
        <w:rPr>
          <w:rFonts w:hint="eastAsia" w:ascii="宋体" w:hAnsi="宋体" w:cs="宋体"/>
          <w:color w:val="auto"/>
          <w:szCs w:val="21"/>
          <w:highlight w:val="none"/>
        </w:rPr>
        <w:t>1.14.2 邮政编码、地址：</w:t>
      </w:r>
      <w:r>
        <w:rPr>
          <w:rFonts w:hint="eastAsia" w:ascii="宋体" w:hAnsi="宋体" w:cs="宋体"/>
          <w:color w:val="auto"/>
          <w:szCs w:val="21"/>
          <w:highlight w:val="none"/>
          <w:lang w:val="en-US" w:eastAsia="zh-CN"/>
        </w:rPr>
        <w:t>510000、</w:t>
      </w:r>
      <w:r>
        <w:rPr>
          <w:rFonts w:hint="eastAsia" w:ascii="宋体" w:hAnsi="宋体" w:cs="宋体"/>
          <w:color w:val="auto"/>
          <w:szCs w:val="21"/>
          <w:highlight w:val="none"/>
          <w:u w:val="single"/>
        </w:rPr>
        <w:t xml:space="preserve">广州市天河区天润路333号4楼 </w:t>
      </w:r>
    </w:p>
    <w:p w14:paraId="35DFBFA6">
      <w:pPr>
        <w:spacing w:line="360" w:lineRule="auto"/>
        <w:ind w:left="6" w:leftChars="0" w:hanging="6" w:firstLineChars="0"/>
        <w:jc w:val="left"/>
        <w:rPr>
          <w:rFonts w:ascii="宋体" w:hAnsi="宋体"/>
          <w:color w:val="auto"/>
          <w:szCs w:val="21"/>
          <w:highlight w:val="none"/>
        </w:rPr>
      </w:pPr>
      <w:r>
        <w:rPr>
          <w:rFonts w:hint="eastAsia" w:ascii="宋体" w:hAnsi="宋体" w:cs="宋体"/>
          <w:color w:val="auto"/>
          <w:szCs w:val="21"/>
          <w:highlight w:val="none"/>
        </w:rPr>
        <w:t>1.14.3 电话（手机）号码：</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 xml:space="preserve">020-28866000 </w:t>
      </w:r>
    </w:p>
    <w:p w14:paraId="783A8BAA">
      <w:pPr>
        <w:spacing w:line="360" w:lineRule="auto"/>
        <w:ind w:left="6" w:leftChars="0" w:hanging="6" w:firstLineChars="0"/>
        <w:jc w:val="left"/>
        <w:rPr>
          <w:rFonts w:ascii="宋体" w:hAnsi="宋体"/>
          <w:color w:val="auto"/>
          <w:szCs w:val="21"/>
          <w:highlight w:val="none"/>
        </w:rPr>
      </w:pPr>
      <w:r>
        <w:rPr>
          <w:rFonts w:hint="eastAsia" w:ascii="宋体" w:hAnsi="宋体" w:cs="宋体"/>
          <w:color w:val="auto"/>
          <w:szCs w:val="21"/>
          <w:highlight w:val="none"/>
        </w:rPr>
        <w:t>1.14.4 传真号码：</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 xml:space="preserve">020-28866095 </w:t>
      </w:r>
    </w:p>
    <w:p w14:paraId="3B3B4776">
      <w:pPr>
        <w:spacing w:line="360" w:lineRule="auto"/>
        <w:ind w:left="6" w:leftChars="0" w:hanging="6" w:firstLineChars="0"/>
        <w:rPr>
          <w:rFonts w:hint="eastAsia" w:ascii="宋体" w:hAnsi="宋体"/>
          <w:color w:val="auto"/>
          <w:sz w:val="21"/>
          <w:szCs w:val="21"/>
          <w:highlight w:val="none"/>
          <w:u w:val="single"/>
        </w:rPr>
      </w:pPr>
      <w:r>
        <w:rPr>
          <w:rFonts w:hint="eastAsia" w:ascii="宋体" w:hAnsi="宋体" w:cs="宋体"/>
          <w:color w:val="auto"/>
          <w:szCs w:val="21"/>
          <w:highlight w:val="none"/>
        </w:rPr>
        <w:t>1.14.5 网址：</w:t>
      </w:r>
      <w:r>
        <w:rPr>
          <w:rFonts w:hint="eastAsia" w:ascii="宋体" w:hAnsi="宋体"/>
          <w:color w:val="auto"/>
          <w:szCs w:val="21"/>
          <w:highlight w:val="none"/>
          <w:u w:val="single"/>
        </w:rPr>
        <w:t>http://www.gzggzy.c</w:t>
      </w:r>
      <w:r>
        <w:rPr>
          <w:rFonts w:ascii="宋体" w:hAnsi="宋体"/>
          <w:color w:val="auto"/>
          <w:sz w:val="21"/>
          <w:szCs w:val="21"/>
          <w:highlight w:val="none"/>
          <w:u w:val="single"/>
        </w:rPr>
        <w:t>n</w:t>
      </w:r>
    </w:p>
    <w:p w14:paraId="5EA94BA7">
      <w:pPr>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outlineLvl w:val="0"/>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1.15   招标管理机构</w:t>
      </w:r>
    </w:p>
    <w:p w14:paraId="74FD4FE1">
      <w:pPr>
        <w:spacing w:line="360" w:lineRule="auto"/>
        <w:ind w:left="6" w:leftChars="0" w:hanging="6" w:firstLineChars="0"/>
        <w:jc w:val="left"/>
        <w:outlineLvl w:val="1"/>
        <w:rPr>
          <w:rFonts w:ascii="宋体" w:hAnsi="宋体"/>
          <w:color w:val="auto"/>
          <w:szCs w:val="21"/>
          <w:highlight w:val="none"/>
        </w:rPr>
      </w:pPr>
      <w:r>
        <w:rPr>
          <w:rFonts w:hint="eastAsia" w:ascii="宋体" w:hAnsi="宋体" w:cs="宋体"/>
          <w:color w:val="auto"/>
          <w:szCs w:val="21"/>
          <w:highlight w:val="none"/>
        </w:rPr>
        <w:t>1.15.1 名称：</w:t>
      </w:r>
      <w:r>
        <w:rPr>
          <w:rFonts w:hint="eastAsia" w:ascii="宋体" w:hAnsi="宋体" w:cs="宋体"/>
          <w:color w:val="auto"/>
          <w:szCs w:val="21"/>
          <w:highlight w:val="none"/>
          <w:u w:val="single"/>
        </w:rPr>
        <w:t>广州市天河区建设工程招标管理办公室</w:t>
      </w:r>
    </w:p>
    <w:p w14:paraId="014EC035">
      <w:pPr>
        <w:spacing w:line="360" w:lineRule="auto"/>
        <w:ind w:left="6" w:leftChars="0" w:hanging="6" w:firstLineChars="0"/>
        <w:jc w:val="left"/>
        <w:rPr>
          <w:rFonts w:ascii="宋体" w:hAnsi="宋体"/>
          <w:color w:val="auto"/>
          <w:szCs w:val="21"/>
          <w:highlight w:val="none"/>
        </w:rPr>
      </w:pPr>
      <w:r>
        <w:rPr>
          <w:rFonts w:hint="eastAsia" w:ascii="宋体" w:hAnsi="宋体" w:cs="宋体"/>
          <w:color w:val="auto"/>
          <w:szCs w:val="21"/>
          <w:highlight w:val="none"/>
        </w:rPr>
        <w:t>1.15.2 邮政编码、地址：</w:t>
      </w:r>
      <w:r>
        <w:rPr>
          <w:rFonts w:hint="eastAsia" w:ascii="宋体" w:hAnsi="宋体" w:cs="宋体"/>
          <w:color w:val="auto"/>
          <w:szCs w:val="21"/>
          <w:highlight w:val="none"/>
          <w:u w:val="single"/>
        </w:rPr>
        <w:t>510000、广州市天河区黄埔大道中166号305室</w:t>
      </w:r>
    </w:p>
    <w:p w14:paraId="3B56FACE">
      <w:pPr>
        <w:spacing w:line="360" w:lineRule="auto"/>
        <w:ind w:left="6" w:leftChars="0" w:hanging="6" w:firstLineChars="0"/>
        <w:jc w:val="left"/>
        <w:rPr>
          <w:rFonts w:ascii="宋体" w:hAnsi="宋体"/>
          <w:color w:val="auto"/>
          <w:szCs w:val="21"/>
          <w:highlight w:val="none"/>
        </w:rPr>
      </w:pPr>
      <w:r>
        <w:rPr>
          <w:rFonts w:hint="eastAsia" w:ascii="宋体" w:hAnsi="宋体" w:cs="宋体"/>
          <w:color w:val="auto"/>
          <w:szCs w:val="21"/>
          <w:highlight w:val="none"/>
        </w:rPr>
        <w:t>1.15.3 电话号码：</w:t>
      </w:r>
      <w:r>
        <w:rPr>
          <w:rFonts w:ascii="宋体" w:hAnsi="宋体" w:cs="宋体"/>
          <w:color w:val="auto"/>
          <w:szCs w:val="21"/>
          <w:highlight w:val="none"/>
          <w:u w:val="single"/>
        </w:rPr>
        <w:t>020-85536908</w:t>
      </w:r>
    </w:p>
    <w:p w14:paraId="021569D7">
      <w:pPr>
        <w:spacing w:line="360" w:lineRule="auto"/>
        <w:ind w:left="6" w:leftChars="0" w:hanging="6" w:firstLineChars="0"/>
        <w:jc w:val="left"/>
        <w:rPr>
          <w:rFonts w:hint="eastAsia" w:ascii="宋体" w:hAnsi="宋体" w:eastAsia="宋体" w:cs="Times New Roman"/>
          <w:b w:val="0"/>
          <w:color w:val="auto"/>
          <w:kern w:val="2"/>
          <w:sz w:val="24"/>
          <w:szCs w:val="24"/>
          <w:highlight w:val="none"/>
          <w:lang w:val="en-US" w:eastAsia="zh-CN" w:bidi="ar-SA"/>
        </w:rPr>
      </w:pPr>
      <w:r>
        <w:rPr>
          <w:rFonts w:hint="eastAsia" w:ascii="宋体" w:hAnsi="宋体" w:cs="宋体"/>
          <w:color w:val="auto"/>
          <w:szCs w:val="21"/>
          <w:highlight w:val="none"/>
        </w:rPr>
        <w:t>1.15.4 传真号码：</w:t>
      </w:r>
      <w:r>
        <w:rPr>
          <w:rFonts w:ascii="宋体" w:hAnsi="宋体"/>
          <w:color w:val="auto"/>
          <w:szCs w:val="21"/>
          <w:highlight w:val="none"/>
          <w:u w:val="single"/>
        </w:rPr>
        <w:t>/</w:t>
      </w:r>
      <w:r>
        <w:rPr>
          <w:rFonts w:hint="eastAsia" w:ascii="宋体" w:hAnsi="宋体" w:eastAsia="宋体" w:cs="Times New Roman"/>
          <w:b w:val="0"/>
          <w:color w:val="auto"/>
          <w:kern w:val="2"/>
          <w:sz w:val="21"/>
          <w:szCs w:val="21"/>
          <w:highlight w:val="none"/>
          <w:lang w:val="en-US" w:eastAsia="zh-CN" w:bidi="ar-SA"/>
        </w:rPr>
        <w:t xml:space="preserve"> </w:t>
      </w:r>
      <w:r>
        <w:rPr>
          <w:rFonts w:hint="eastAsia" w:ascii="宋体" w:hAnsi="宋体" w:eastAsia="宋体" w:cs="Times New Roman"/>
          <w:b w:val="0"/>
          <w:color w:val="auto"/>
          <w:kern w:val="2"/>
          <w:sz w:val="24"/>
          <w:szCs w:val="24"/>
          <w:highlight w:val="none"/>
          <w:lang w:val="en-US" w:eastAsia="zh-CN" w:bidi="ar-SA"/>
        </w:rPr>
        <w:t xml:space="preserve"> </w:t>
      </w:r>
    </w:p>
    <w:sectPr>
      <w:footerReference r:id="rId8" w:type="default"/>
      <w:pgSz w:w="11906" w:h="16838"/>
      <w:pgMar w:top="1417" w:right="1417" w:bottom="1417"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0B56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2BBD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45A0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663A94">
                          <w:pPr>
                            <w:pStyle w:val="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63663A94">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E2B4B">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3D989">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3435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YmRjOWFmOWQ5MzYwY2E1YWU1YzUzZjE5NDMwYzcifQ=="/>
  </w:docVars>
  <w:rsids>
    <w:rsidRoot w:val="00172A27"/>
    <w:rsid w:val="00133F20"/>
    <w:rsid w:val="00296A3C"/>
    <w:rsid w:val="002C4909"/>
    <w:rsid w:val="00776EAA"/>
    <w:rsid w:val="0084108D"/>
    <w:rsid w:val="00847CB2"/>
    <w:rsid w:val="00B646D5"/>
    <w:rsid w:val="00EF102B"/>
    <w:rsid w:val="01225809"/>
    <w:rsid w:val="012B1455"/>
    <w:rsid w:val="014970B8"/>
    <w:rsid w:val="017A1D1B"/>
    <w:rsid w:val="01B6046E"/>
    <w:rsid w:val="01F42D45"/>
    <w:rsid w:val="02380E83"/>
    <w:rsid w:val="025D0BE7"/>
    <w:rsid w:val="027D0F8C"/>
    <w:rsid w:val="02B45657"/>
    <w:rsid w:val="02C941D1"/>
    <w:rsid w:val="02EF10E3"/>
    <w:rsid w:val="03735679"/>
    <w:rsid w:val="03E219EE"/>
    <w:rsid w:val="03F37758"/>
    <w:rsid w:val="044D1FCB"/>
    <w:rsid w:val="04AA6C42"/>
    <w:rsid w:val="04BE2A5C"/>
    <w:rsid w:val="05B42F17"/>
    <w:rsid w:val="061F697D"/>
    <w:rsid w:val="06825D88"/>
    <w:rsid w:val="07DE24CD"/>
    <w:rsid w:val="08132EF4"/>
    <w:rsid w:val="08146B69"/>
    <w:rsid w:val="087D1CE6"/>
    <w:rsid w:val="08AE723D"/>
    <w:rsid w:val="090715AF"/>
    <w:rsid w:val="090D6B4B"/>
    <w:rsid w:val="09417F40"/>
    <w:rsid w:val="098E6738"/>
    <w:rsid w:val="098F1CD1"/>
    <w:rsid w:val="09E36513"/>
    <w:rsid w:val="0A3B7763"/>
    <w:rsid w:val="0A8174BC"/>
    <w:rsid w:val="0AD55E09"/>
    <w:rsid w:val="0B3C10FB"/>
    <w:rsid w:val="0B951539"/>
    <w:rsid w:val="0BBF6171"/>
    <w:rsid w:val="0BFC233D"/>
    <w:rsid w:val="0C527AE4"/>
    <w:rsid w:val="0CAD246E"/>
    <w:rsid w:val="0D305579"/>
    <w:rsid w:val="0D483E21"/>
    <w:rsid w:val="0DCE08EE"/>
    <w:rsid w:val="0DF26CD2"/>
    <w:rsid w:val="0E6E7B28"/>
    <w:rsid w:val="0E7B540C"/>
    <w:rsid w:val="0F7D74DA"/>
    <w:rsid w:val="0F916077"/>
    <w:rsid w:val="0FAE6C29"/>
    <w:rsid w:val="1019342E"/>
    <w:rsid w:val="1024269F"/>
    <w:rsid w:val="10A823B9"/>
    <w:rsid w:val="10AD283F"/>
    <w:rsid w:val="10E329F6"/>
    <w:rsid w:val="10E95E98"/>
    <w:rsid w:val="10F863AD"/>
    <w:rsid w:val="11AE1162"/>
    <w:rsid w:val="11C8204C"/>
    <w:rsid w:val="11FC1ECD"/>
    <w:rsid w:val="12152F8F"/>
    <w:rsid w:val="12587EFA"/>
    <w:rsid w:val="1294170A"/>
    <w:rsid w:val="12BE3627"/>
    <w:rsid w:val="130A5ADD"/>
    <w:rsid w:val="131E3190"/>
    <w:rsid w:val="133B4C77"/>
    <w:rsid w:val="137361BF"/>
    <w:rsid w:val="137C3F7D"/>
    <w:rsid w:val="13934157"/>
    <w:rsid w:val="13E10C14"/>
    <w:rsid w:val="13F37300"/>
    <w:rsid w:val="13FF5CA5"/>
    <w:rsid w:val="141351DA"/>
    <w:rsid w:val="149026CA"/>
    <w:rsid w:val="149B043F"/>
    <w:rsid w:val="14C51DEA"/>
    <w:rsid w:val="155069EA"/>
    <w:rsid w:val="15FF3D3A"/>
    <w:rsid w:val="16652351"/>
    <w:rsid w:val="16826719"/>
    <w:rsid w:val="16C3120C"/>
    <w:rsid w:val="170164E9"/>
    <w:rsid w:val="17051824"/>
    <w:rsid w:val="17786D70"/>
    <w:rsid w:val="17C214C3"/>
    <w:rsid w:val="183F2B14"/>
    <w:rsid w:val="18776C3C"/>
    <w:rsid w:val="19377C8F"/>
    <w:rsid w:val="1991469E"/>
    <w:rsid w:val="19EE2A43"/>
    <w:rsid w:val="1A27385F"/>
    <w:rsid w:val="1A514583"/>
    <w:rsid w:val="1ADF7F08"/>
    <w:rsid w:val="1B0D6EF9"/>
    <w:rsid w:val="1B29610F"/>
    <w:rsid w:val="1CFA3A06"/>
    <w:rsid w:val="1D272B98"/>
    <w:rsid w:val="1DA52E33"/>
    <w:rsid w:val="1E026ABD"/>
    <w:rsid w:val="1EE75729"/>
    <w:rsid w:val="1F0E4FEE"/>
    <w:rsid w:val="1F1F3091"/>
    <w:rsid w:val="1F2C36C6"/>
    <w:rsid w:val="1F330EF8"/>
    <w:rsid w:val="1F63358C"/>
    <w:rsid w:val="201A5C54"/>
    <w:rsid w:val="201E5705"/>
    <w:rsid w:val="20650980"/>
    <w:rsid w:val="2079293B"/>
    <w:rsid w:val="20A10A1A"/>
    <w:rsid w:val="214E46AB"/>
    <w:rsid w:val="218601F2"/>
    <w:rsid w:val="21AB5CB3"/>
    <w:rsid w:val="220B3A67"/>
    <w:rsid w:val="220F4400"/>
    <w:rsid w:val="22600256"/>
    <w:rsid w:val="22AF0896"/>
    <w:rsid w:val="22D85E78"/>
    <w:rsid w:val="22E9024C"/>
    <w:rsid w:val="231B417D"/>
    <w:rsid w:val="23445482"/>
    <w:rsid w:val="23675615"/>
    <w:rsid w:val="241B57E4"/>
    <w:rsid w:val="243948BB"/>
    <w:rsid w:val="24971D74"/>
    <w:rsid w:val="24A672D8"/>
    <w:rsid w:val="24C93139"/>
    <w:rsid w:val="2538294C"/>
    <w:rsid w:val="270F4BB8"/>
    <w:rsid w:val="27247AA4"/>
    <w:rsid w:val="27425CE2"/>
    <w:rsid w:val="274E4859"/>
    <w:rsid w:val="282723BB"/>
    <w:rsid w:val="28327F9F"/>
    <w:rsid w:val="283E3293"/>
    <w:rsid w:val="285E0D94"/>
    <w:rsid w:val="292947EE"/>
    <w:rsid w:val="29412FF7"/>
    <w:rsid w:val="299E5C8F"/>
    <w:rsid w:val="2A25006E"/>
    <w:rsid w:val="2A8C6B33"/>
    <w:rsid w:val="2AB729DE"/>
    <w:rsid w:val="2AE8528D"/>
    <w:rsid w:val="2B4C1DBE"/>
    <w:rsid w:val="2B764647"/>
    <w:rsid w:val="2BAF0F6B"/>
    <w:rsid w:val="2BDC79C4"/>
    <w:rsid w:val="2C007EE6"/>
    <w:rsid w:val="2CA66852"/>
    <w:rsid w:val="2CBC5963"/>
    <w:rsid w:val="2CCD64E8"/>
    <w:rsid w:val="2D6D3827"/>
    <w:rsid w:val="2DC833C6"/>
    <w:rsid w:val="2E3603EC"/>
    <w:rsid w:val="2E400F3C"/>
    <w:rsid w:val="2E5C5D76"/>
    <w:rsid w:val="2EA80FBB"/>
    <w:rsid w:val="2EB001C3"/>
    <w:rsid w:val="2EC25944"/>
    <w:rsid w:val="300F68C3"/>
    <w:rsid w:val="300F6E18"/>
    <w:rsid w:val="301F4E51"/>
    <w:rsid w:val="307750E9"/>
    <w:rsid w:val="30CB71E3"/>
    <w:rsid w:val="31025B91"/>
    <w:rsid w:val="311A6DD3"/>
    <w:rsid w:val="313A54BF"/>
    <w:rsid w:val="317214B9"/>
    <w:rsid w:val="31A914B3"/>
    <w:rsid w:val="325D385B"/>
    <w:rsid w:val="32D3412D"/>
    <w:rsid w:val="32EC3B61"/>
    <w:rsid w:val="336B0809"/>
    <w:rsid w:val="338471E1"/>
    <w:rsid w:val="33F20F2A"/>
    <w:rsid w:val="34034EE6"/>
    <w:rsid w:val="34A614EC"/>
    <w:rsid w:val="350B4052"/>
    <w:rsid w:val="3534163E"/>
    <w:rsid w:val="35BC17F0"/>
    <w:rsid w:val="35C121F8"/>
    <w:rsid w:val="35CC54D0"/>
    <w:rsid w:val="35ED5FDA"/>
    <w:rsid w:val="36A91D74"/>
    <w:rsid w:val="37B3277F"/>
    <w:rsid w:val="37E35DDE"/>
    <w:rsid w:val="38126F39"/>
    <w:rsid w:val="38265137"/>
    <w:rsid w:val="384652FD"/>
    <w:rsid w:val="384F4255"/>
    <w:rsid w:val="38B34DA9"/>
    <w:rsid w:val="38BC2E3B"/>
    <w:rsid w:val="38C74734"/>
    <w:rsid w:val="38FA58C8"/>
    <w:rsid w:val="39344543"/>
    <w:rsid w:val="3A2D18E3"/>
    <w:rsid w:val="3A2D6380"/>
    <w:rsid w:val="3A846735"/>
    <w:rsid w:val="3AAD031B"/>
    <w:rsid w:val="3AAF465E"/>
    <w:rsid w:val="3AB40CE8"/>
    <w:rsid w:val="3B36794F"/>
    <w:rsid w:val="3BF97064"/>
    <w:rsid w:val="3C095063"/>
    <w:rsid w:val="3C291261"/>
    <w:rsid w:val="3C447E49"/>
    <w:rsid w:val="3C590F2E"/>
    <w:rsid w:val="3D2863AF"/>
    <w:rsid w:val="3D5941A8"/>
    <w:rsid w:val="3D6E72DA"/>
    <w:rsid w:val="3D886CEB"/>
    <w:rsid w:val="3DA44B3E"/>
    <w:rsid w:val="3DD86BB7"/>
    <w:rsid w:val="3E06375D"/>
    <w:rsid w:val="3EC45991"/>
    <w:rsid w:val="3FA41114"/>
    <w:rsid w:val="3FBF6165"/>
    <w:rsid w:val="3FF17FFB"/>
    <w:rsid w:val="40564CE8"/>
    <w:rsid w:val="406E7B8B"/>
    <w:rsid w:val="4105404B"/>
    <w:rsid w:val="4125636D"/>
    <w:rsid w:val="413C5593"/>
    <w:rsid w:val="4149687C"/>
    <w:rsid w:val="415006E4"/>
    <w:rsid w:val="41B8730F"/>
    <w:rsid w:val="41CA2B9F"/>
    <w:rsid w:val="4259518B"/>
    <w:rsid w:val="434D7F2B"/>
    <w:rsid w:val="436B3D98"/>
    <w:rsid w:val="438D657A"/>
    <w:rsid w:val="43CD0077"/>
    <w:rsid w:val="43EA577A"/>
    <w:rsid w:val="43F62371"/>
    <w:rsid w:val="44382BC8"/>
    <w:rsid w:val="4572682B"/>
    <w:rsid w:val="46535859"/>
    <w:rsid w:val="46BD1CD7"/>
    <w:rsid w:val="471F1BDF"/>
    <w:rsid w:val="473236C0"/>
    <w:rsid w:val="47923EAD"/>
    <w:rsid w:val="47961EA1"/>
    <w:rsid w:val="48224F6C"/>
    <w:rsid w:val="48BB1493"/>
    <w:rsid w:val="49282FCC"/>
    <w:rsid w:val="4950607F"/>
    <w:rsid w:val="49CB1BAA"/>
    <w:rsid w:val="4A2C2648"/>
    <w:rsid w:val="4A3B0ADD"/>
    <w:rsid w:val="4A3E237C"/>
    <w:rsid w:val="4A4D0811"/>
    <w:rsid w:val="4A4F4589"/>
    <w:rsid w:val="4B9E1324"/>
    <w:rsid w:val="4BBC17AA"/>
    <w:rsid w:val="4C1E4723"/>
    <w:rsid w:val="4D2923F8"/>
    <w:rsid w:val="4DB017E2"/>
    <w:rsid w:val="4E1822E7"/>
    <w:rsid w:val="4E4E4C32"/>
    <w:rsid w:val="4E915170"/>
    <w:rsid w:val="4EA07161"/>
    <w:rsid w:val="4F1638C7"/>
    <w:rsid w:val="4F3104E6"/>
    <w:rsid w:val="50462D93"/>
    <w:rsid w:val="50601F61"/>
    <w:rsid w:val="508F3B2F"/>
    <w:rsid w:val="509C1BAA"/>
    <w:rsid w:val="50AB15DC"/>
    <w:rsid w:val="50B204BF"/>
    <w:rsid w:val="50E13A61"/>
    <w:rsid w:val="50E21792"/>
    <w:rsid w:val="50ED2406"/>
    <w:rsid w:val="5112712D"/>
    <w:rsid w:val="513728CB"/>
    <w:rsid w:val="513D513B"/>
    <w:rsid w:val="51453FF0"/>
    <w:rsid w:val="515F3303"/>
    <w:rsid w:val="51BD46A9"/>
    <w:rsid w:val="523227C6"/>
    <w:rsid w:val="52415F44"/>
    <w:rsid w:val="5288301B"/>
    <w:rsid w:val="52C04E63"/>
    <w:rsid w:val="52CB49C9"/>
    <w:rsid w:val="52FB3500"/>
    <w:rsid w:val="538434F5"/>
    <w:rsid w:val="539A4AC7"/>
    <w:rsid w:val="53FC7159"/>
    <w:rsid w:val="543F166B"/>
    <w:rsid w:val="544F3B03"/>
    <w:rsid w:val="546B6463"/>
    <w:rsid w:val="554856A7"/>
    <w:rsid w:val="55CB7083"/>
    <w:rsid w:val="55E23AF4"/>
    <w:rsid w:val="562B7C58"/>
    <w:rsid w:val="565A78E7"/>
    <w:rsid w:val="57235363"/>
    <w:rsid w:val="57D63BF4"/>
    <w:rsid w:val="58690ADB"/>
    <w:rsid w:val="586A2950"/>
    <w:rsid w:val="588673C8"/>
    <w:rsid w:val="58901D2C"/>
    <w:rsid w:val="58BC103B"/>
    <w:rsid w:val="591C7D2C"/>
    <w:rsid w:val="59AD307A"/>
    <w:rsid w:val="59E7658C"/>
    <w:rsid w:val="59F97E5F"/>
    <w:rsid w:val="5A593285"/>
    <w:rsid w:val="5A8838A1"/>
    <w:rsid w:val="5AC47191"/>
    <w:rsid w:val="5B962018"/>
    <w:rsid w:val="5BD74C6E"/>
    <w:rsid w:val="5C3A6E47"/>
    <w:rsid w:val="5CD27C20"/>
    <w:rsid w:val="5DE52DE2"/>
    <w:rsid w:val="5F1B5A61"/>
    <w:rsid w:val="600446D5"/>
    <w:rsid w:val="60164CAD"/>
    <w:rsid w:val="606C5ACC"/>
    <w:rsid w:val="60BA0556"/>
    <w:rsid w:val="60BF75C9"/>
    <w:rsid w:val="60D809DC"/>
    <w:rsid w:val="60ED1694"/>
    <w:rsid w:val="6151253D"/>
    <w:rsid w:val="61BA27D8"/>
    <w:rsid w:val="620732E0"/>
    <w:rsid w:val="62636C3A"/>
    <w:rsid w:val="627F6AE9"/>
    <w:rsid w:val="62AA63A9"/>
    <w:rsid w:val="636F3F23"/>
    <w:rsid w:val="6384309D"/>
    <w:rsid w:val="63930AF2"/>
    <w:rsid w:val="639C2195"/>
    <w:rsid w:val="63DC6A36"/>
    <w:rsid w:val="63DF6526"/>
    <w:rsid w:val="63F8684C"/>
    <w:rsid w:val="64326B21"/>
    <w:rsid w:val="643E3A2C"/>
    <w:rsid w:val="64445341"/>
    <w:rsid w:val="6444598D"/>
    <w:rsid w:val="64806C6C"/>
    <w:rsid w:val="64E262CE"/>
    <w:rsid w:val="65295CAB"/>
    <w:rsid w:val="65310993"/>
    <w:rsid w:val="65A417D5"/>
    <w:rsid w:val="65A74B2E"/>
    <w:rsid w:val="65AB4911"/>
    <w:rsid w:val="65C47781"/>
    <w:rsid w:val="662925FC"/>
    <w:rsid w:val="6662574E"/>
    <w:rsid w:val="667E3DD4"/>
    <w:rsid w:val="66F00AF0"/>
    <w:rsid w:val="66FB71D3"/>
    <w:rsid w:val="670B5334"/>
    <w:rsid w:val="67190E44"/>
    <w:rsid w:val="674D09EE"/>
    <w:rsid w:val="67544B35"/>
    <w:rsid w:val="675A37A3"/>
    <w:rsid w:val="68445CA3"/>
    <w:rsid w:val="68925915"/>
    <w:rsid w:val="69323031"/>
    <w:rsid w:val="699E1CE2"/>
    <w:rsid w:val="69B55D5F"/>
    <w:rsid w:val="69BF7E17"/>
    <w:rsid w:val="69CF4329"/>
    <w:rsid w:val="6A5465FE"/>
    <w:rsid w:val="6A89114F"/>
    <w:rsid w:val="6ABC2776"/>
    <w:rsid w:val="6ACF2E50"/>
    <w:rsid w:val="6B92256C"/>
    <w:rsid w:val="6BA72B29"/>
    <w:rsid w:val="6BDD159D"/>
    <w:rsid w:val="6C134FBF"/>
    <w:rsid w:val="6C1A3B1A"/>
    <w:rsid w:val="6C316B4C"/>
    <w:rsid w:val="6C4E249B"/>
    <w:rsid w:val="6C6121CE"/>
    <w:rsid w:val="6CB322FE"/>
    <w:rsid w:val="6CD3007A"/>
    <w:rsid w:val="6D1F7E8A"/>
    <w:rsid w:val="6D2D3750"/>
    <w:rsid w:val="6D6016CB"/>
    <w:rsid w:val="6DA00AD4"/>
    <w:rsid w:val="6DA41FA4"/>
    <w:rsid w:val="6DE21A33"/>
    <w:rsid w:val="6ED71A73"/>
    <w:rsid w:val="6F127BB8"/>
    <w:rsid w:val="6FC0720B"/>
    <w:rsid w:val="70510247"/>
    <w:rsid w:val="707F0E75"/>
    <w:rsid w:val="70910BA8"/>
    <w:rsid w:val="70B52AE8"/>
    <w:rsid w:val="717C4C9D"/>
    <w:rsid w:val="71B9143A"/>
    <w:rsid w:val="71BE3C1E"/>
    <w:rsid w:val="729236A2"/>
    <w:rsid w:val="72AE5A41"/>
    <w:rsid w:val="72BF6435"/>
    <w:rsid w:val="72ED391B"/>
    <w:rsid w:val="73050880"/>
    <w:rsid w:val="731A30D6"/>
    <w:rsid w:val="732775A1"/>
    <w:rsid w:val="732A040F"/>
    <w:rsid w:val="736D76AA"/>
    <w:rsid w:val="73E3736A"/>
    <w:rsid w:val="740517D7"/>
    <w:rsid w:val="743E2DF5"/>
    <w:rsid w:val="74BB4445"/>
    <w:rsid w:val="74E03EAC"/>
    <w:rsid w:val="75110398"/>
    <w:rsid w:val="75752CA8"/>
    <w:rsid w:val="75C053AD"/>
    <w:rsid w:val="75DF4163"/>
    <w:rsid w:val="76805946"/>
    <w:rsid w:val="771B7EDA"/>
    <w:rsid w:val="771F6F0D"/>
    <w:rsid w:val="772269FE"/>
    <w:rsid w:val="77617526"/>
    <w:rsid w:val="77DB077D"/>
    <w:rsid w:val="783507EA"/>
    <w:rsid w:val="78650950"/>
    <w:rsid w:val="7879089F"/>
    <w:rsid w:val="787F20D4"/>
    <w:rsid w:val="788B6A95"/>
    <w:rsid w:val="78B11901"/>
    <w:rsid w:val="78BA7730"/>
    <w:rsid w:val="7A221BD9"/>
    <w:rsid w:val="7A4A7825"/>
    <w:rsid w:val="7A8C2B0C"/>
    <w:rsid w:val="7A8F6158"/>
    <w:rsid w:val="7AA31C03"/>
    <w:rsid w:val="7AC7389A"/>
    <w:rsid w:val="7AE244DA"/>
    <w:rsid w:val="7B342EF6"/>
    <w:rsid w:val="7B7443EA"/>
    <w:rsid w:val="7C3C2310"/>
    <w:rsid w:val="7C622B16"/>
    <w:rsid w:val="7CBC4CC6"/>
    <w:rsid w:val="7CE927DA"/>
    <w:rsid w:val="7D0D4284"/>
    <w:rsid w:val="7D5E0064"/>
    <w:rsid w:val="7D711B45"/>
    <w:rsid w:val="7DA74038"/>
    <w:rsid w:val="7DBD0EDA"/>
    <w:rsid w:val="7DC9372F"/>
    <w:rsid w:val="7E0E1A8A"/>
    <w:rsid w:val="7E156A5F"/>
    <w:rsid w:val="7EC87F1D"/>
    <w:rsid w:val="7EE24328"/>
    <w:rsid w:val="7EFC18E2"/>
    <w:rsid w:val="7F363046"/>
    <w:rsid w:val="7F591FBE"/>
    <w:rsid w:val="7F673200"/>
    <w:rsid w:val="7FB9426E"/>
    <w:rsid w:val="7FCE77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annotation text"/>
    <w:basedOn w:val="1"/>
    <w:semiHidden/>
    <w:qFormat/>
    <w:uiPriority w:val="0"/>
    <w:pPr>
      <w:jc w:val="left"/>
    </w:pPr>
  </w:style>
  <w:style w:type="paragraph" w:styleId="4">
    <w:name w:val="Body Text"/>
    <w:basedOn w:val="1"/>
    <w:semiHidden/>
    <w:qFormat/>
    <w:uiPriority w:val="0"/>
    <w:rPr>
      <w:rFonts w:ascii="宋体" w:hAnsi="宋体" w:eastAsia="宋体" w:cs="宋体"/>
      <w:sz w:val="30"/>
      <w:szCs w:val="30"/>
    </w:rPr>
  </w:style>
  <w:style w:type="paragraph" w:styleId="5">
    <w:name w:val="Body Text Indent"/>
    <w:basedOn w:val="1"/>
    <w:qFormat/>
    <w:uiPriority w:val="0"/>
    <w:pPr>
      <w:ind w:firstLine="570"/>
    </w:pPr>
    <w:rPr>
      <w:rFonts w:ascii="Times New Roman" w:hAnsi="Times New Roman"/>
      <w:kern w:val="0"/>
      <w:sz w:val="28"/>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eastAsia="宋体" w:cs="Times New Roman"/>
      <w:szCs w:val="24"/>
      <w:lang w:bidi="ar-SA"/>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qFormat/>
    <w:uiPriority w:val="39"/>
    <w:pPr>
      <w:spacing w:before="2"/>
      <w:ind w:left="240"/>
    </w:pPr>
    <w:rPr>
      <w:sz w:val="21"/>
      <w:szCs w:val="21"/>
    </w:rPr>
  </w:style>
  <w:style w:type="paragraph" w:styleId="10">
    <w:name w:val="Body Text First Indent 2"/>
    <w:basedOn w:val="5"/>
    <w:qFormat/>
    <w:uiPriority w:val="0"/>
    <w:pPr>
      <w:spacing w:after="120" w:line="240" w:lineRule="auto"/>
      <w:ind w:left="200" w:leftChars="200" w:firstLine="200" w:firstLineChars="200"/>
    </w:pPr>
    <w:rPr>
      <w:rFonts w:ascii="Calibri" w:hAnsi="Calibri"/>
      <w:kern w:val="2"/>
      <w:sz w:val="21"/>
      <w:szCs w:val="24"/>
    </w:rPr>
  </w:style>
  <w:style w:type="character" w:styleId="13">
    <w:name w:val="Hyperlink"/>
    <w:basedOn w:val="12"/>
    <w:qFormat/>
    <w:uiPriority w:val="99"/>
    <w:rPr>
      <w:color w:val="0000FF"/>
      <w:u w:val="single"/>
    </w:rPr>
  </w:style>
  <w:style w:type="character" w:customStyle="1" w:styleId="14">
    <w:name w:val="NormalCharacter"/>
    <w:semiHidden/>
    <w:qFormat/>
    <w:uiPriority w:val="0"/>
    <w:rPr>
      <w:rFonts w:eastAsia="宋体"/>
      <w:kern w:val="2"/>
      <w:sz w:val="21"/>
      <w:szCs w:val="24"/>
      <w:lang w:val="en-US" w:eastAsia="zh-CN" w:bidi="ar-SA"/>
    </w:rPr>
  </w:style>
  <w:style w:type="paragraph" w:customStyle="1" w:styleId="15">
    <w:name w:val=" Char1"/>
    <w:basedOn w:val="1"/>
    <w:qFormat/>
    <w:uiPriority w:val="0"/>
    <w:rPr>
      <w:sz w:val="30"/>
    </w:rPr>
  </w:style>
  <w:style w:type="paragraph" w:customStyle="1" w:styleId="16">
    <w:name w:val=" Char"/>
    <w:basedOn w:val="1"/>
    <w:qFormat/>
    <w:uiPriority w:val="0"/>
    <w:rPr>
      <w:sz w:val="30"/>
    </w:rPr>
  </w:style>
  <w:style w:type="paragraph" w:customStyle="1" w:styleId="17">
    <w:name w:val=" Char Char Char Char"/>
    <w:basedOn w:val="1"/>
    <w:qFormat/>
    <w:uiPriority w:val="0"/>
    <w:pPr>
      <w:widowControl/>
      <w:spacing w:before="100" w:beforeLines="0" w:beforeAutospacing="1" w:after="100" w:afterLines="0" w:afterAutospacing="1" w:line="330" w:lineRule="atLeast"/>
      <w:ind w:left="360"/>
      <w:jc w:val="left"/>
    </w:pPr>
    <w:rPr>
      <w:rFonts w:ascii="ˎ̥" w:hAnsi="ˎ̥" w:cs="宋体"/>
      <w:color w:val="51585D"/>
      <w:kern w:val="0"/>
      <w:szCs w:val="18"/>
    </w:rPr>
  </w:style>
  <w:style w:type="paragraph" w:customStyle="1" w:styleId="18">
    <w:name w:val="样式 宋体 行距: 1.5 倍行距"/>
    <w:basedOn w:val="1"/>
    <w:qFormat/>
    <w:uiPriority w:val="0"/>
    <w:pPr>
      <w:jc w:val="center"/>
    </w:pPr>
    <w:rPr>
      <w:rFonts w:ascii="Times New Roman" w:hAnsi="Times New Roman" w:eastAsia="宋体" w:cs="Times New Roman"/>
      <w:b/>
    </w:rPr>
  </w:style>
  <w:style w:type="paragraph" w:customStyle="1" w:styleId="19">
    <w:name w:val="样式 宋体 四号 首行缩进:  2 字符"/>
    <w:basedOn w:val="1"/>
    <w:qFormat/>
    <w:uiPriority w:val="0"/>
    <w:pPr>
      <w:widowControl/>
    </w:pPr>
    <w:rPr>
      <w:rFonts w:cs="宋体"/>
      <w:color w:val="000000"/>
      <w:kern w:val="0"/>
      <w:szCs w:val="20"/>
    </w:rPr>
  </w:style>
  <w:style w:type="paragraph" w:customStyle="1" w:styleId="20">
    <w:name w:val="公文正文"/>
    <w:next w:val="9"/>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10</Pages>
  <Words>6979</Words>
  <Characters>8040</Characters>
  <Lines>1</Lines>
  <Paragraphs>1</Paragraphs>
  <TotalTime>2</TotalTime>
  <ScaleCrop>false</ScaleCrop>
  <LinksUpToDate>false</LinksUpToDate>
  <CharactersWithSpaces>8321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2013-11-19T06:49:00Z</dcterms:created>
  <dc:creator>1</dc:creator>
  <cp:lastModifiedBy>1</cp:lastModifiedBy>
  <cp:lastPrinted>2025-02-18T06:20:00Z</cp:lastPrinted>
  <dcterms:modified xsi:type="dcterms:W3CDTF">2025-08-13T07:12:15Z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A9CE0FD2ED204074865A3E06B0A16DD8_13</vt:lpwstr>
  </property>
  <property fmtid="{D5CDD505-2E9C-101B-9397-08002B2CF9AE}" pid="4" name="KSOTemplateDocerSaveRecord">
    <vt:lpwstr>eyJoZGlkIjoiMDBhNTBlMjMzM2VlYWFkMzQ1ZDZhNjNlNTU2OWFjOTkiLCJ1c2VySWQiOiIxOTI5NDk1MDIifQ==</vt:lpwstr>
  </property>
</Properties>
</file>