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802E8">
      <w:pPr>
        <w:pageBreakBefore/>
        <w:widowControl/>
        <w:tabs>
          <w:tab w:val="left" w:pos="851"/>
        </w:tabs>
        <w:spacing w:line="360" w:lineRule="auto"/>
        <w:ind w:left="482"/>
        <w:jc w:val="left"/>
        <w:rPr>
          <w:rFonts w:hint="eastAsia" w:ascii="宋体" w:hAnsi="宋体"/>
          <w:color w:val="auto"/>
          <w:sz w:val="24"/>
          <w:highlight w:val="none"/>
        </w:rPr>
      </w:pPr>
    </w:p>
    <w:p w14:paraId="637596A0">
      <w:pPr>
        <w:pStyle w:val="4"/>
        <w:spacing w:line="360" w:lineRule="auto"/>
        <w:jc w:val="center"/>
        <w:rPr>
          <w:rFonts w:ascii="仿宋" w:hAnsi="仿宋" w:eastAsia="仿宋"/>
          <w:b/>
          <w:color w:val="auto"/>
          <w:sz w:val="44"/>
          <w:szCs w:val="44"/>
          <w:highlight w:val="none"/>
          <w:u w:val="none"/>
        </w:rPr>
      </w:pPr>
    </w:p>
    <w:p w14:paraId="747463B5">
      <w:pPr>
        <w:pStyle w:val="4"/>
        <w:spacing w:line="360" w:lineRule="auto"/>
        <w:jc w:val="center"/>
        <w:rPr>
          <w:rFonts w:hint="eastAsia" w:ascii="仿宋" w:hAnsi="仿宋" w:eastAsia="仿宋"/>
          <w:b/>
          <w:color w:val="auto"/>
          <w:sz w:val="44"/>
          <w:szCs w:val="44"/>
          <w:highlight w:val="none"/>
          <w:u w:val="none"/>
          <w:lang w:eastAsia="zh-CN"/>
        </w:rPr>
      </w:pPr>
      <w:bookmarkStart w:id="0" w:name="OLE_LINK62"/>
      <w:r>
        <w:rPr>
          <w:rFonts w:hint="eastAsia" w:ascii="仿宋" w:hAnsi="仿宋" w:eastAsia="仿宋"/>
          <w:b/>
          <w:color w:val="auto"/>
          <w:sz w:val="44"/>
          <w:szCs w:val="44"/>
          <w:highlight w:val="none"/>
          <w:u w:val="none"/>
          <w:lang w:eastAsia="zh-CN"/>
        </w:rPr>
        <w:t>增城区开发区下沉式污水处理厂</w:t>
      </w:r>
    </w:p>
    <w:p w14:paraId="51AA34D7">
      <w:pPr>
        <w:pStyle w:val="4"/>
        <w:spacing w:line="360" w:lineRule="auto"/>
        <w:jc w:val="center"/>
        <w:rPr>
          <w:rFonts w:hint="eastAsia" w:ascii="仿宋" w:hAnsi="仿宋" w:eastAsia="仿宋"/>
          <w:b/>
          <w:color w:val="auto"/>
          <w:sz w:val="44"/>
          <w:szCs w:val="44"/>
          <w:highlight w:val="none"/>
          <w:u w:val="none"/>
          <w:lang w:eastAsia="zh-CN"/>
        </w:rPr>
      </w:pPr>
      <w:r>
        <w:rPr>
          <w:rFonts w:hint="eastAsia" w:ascii="仿宋" w:hAnsi="仿宋" w:eastAsia="仿宋"/>
          <w:b/>
          <w:color w:val="auto"/>
          <w:sz w:val="44"/>
          <w:szCs w:val="44"/>
          <w:highlight w:val="none"/>
          <w:u w:val="none"/>
          <w:lang w:eastAsia="zh-CN"/>
        </w:rPr>
        <w:t>新装22500kVA配电工程</w:t>
      </w:r>
    </w:p>
    <w:bookmarkEnd w:id="0"/>
    <w:p w14:paraId="6DDDC1BB">
      <w:pPr>
        <w:pStyle w:val="4"/>
        <w:spacing w:line="360" w:lineRule="auto"/>
        <w:jc w:val="center"/>
        <w:rPr>
          <w:rFonts w:ascii="仿宋" w:hAnsi="仿宋" w:eastAsia="仿宋"/>
          <w:b/>
          <w:color w:val="auto"/>
          <w:sz w:val="44"/>
          <w:szCs w:val="44"/>
          <w:highlight w:val="none"/>
        </w:rPr>
      </w:pPr>
    </w:p>
    <w:p w14:paraId="6DCD0462">
      <w:pPr>
        <w:pStyle w:val="4"/>
        <w:spacing w:line="360" w:lineRule="auto"/>
        <w:jc w:val="center"/>
        <w:rPr>
          <w:rFonts w:ascii="仿宋" w:hAnsi="仿宋" w:eastAsia="仿宋"/>
          <w:b/>
          <w:color w:val="auto"/>
          <w:sz w:val="44"/>
          <w:szCs w:val="44"/>
          <w:highlight w:val="none"/>
        </w:rPr>
      </w:pPr>
    </w:p>
    <w:p w14:paraId="6C9F0660">
      <w:pPr>
        <w:pStyle w:val="4"/>
        <w:spacing w:line="360" w:lineRule="auto"/>
        <w:jc w:val="center"/>
        <w:rPr>
          <w:rFonts w:ascii="仿宋" w:hAnsi="仿宋" w:eastAsia="仿宋"/>
          <w:b/>
          <w:color w:val="auto"/>
          <w:sz w:val="44"/>
          <w:szCs w:val="44"/>
          <w:highlight w:val="none"/>
        </w:rPr>
      </w:pPr>
    </w:p>
    <w:p w14:paraId="02E7A72A">
      <w:pPr>
        <w:spacing w:line="360" w:lineRule="auto"/>
        <w:jc w:val="center"/>
        <w:rPr>
          <w:rFonts w:hint="eastAsia" w:ascii="仿宋_GB2312" w:hAnsi="宋体" w:eastAsia="仿宋_GB2312"/>
          <w:b/>
          <w:bCs/>
          <w:color w:val="auto"/>
          <w:spacing w:val="26"/>
          <w:sz w:val="110"/>
          <w:szCs w:val="110"/>
          <w:highlight w:val="none"/>
          <w:lang w:val="en-US" w:eastAsia="zh-CN"/>
        </w:rPr>
      </w:pPr>
      <w:r>
        <w:rPr>
          <w:rFonts w:hint="eastAsia" w:ascii="仿宋_GB2312" w:hAnsi="宋体" w:eastAsia="仿宋_GB2312"/>
          <w:b/>
          <w:bCs/>
          <w:color w:val="auto"/>
          <w:spacing w:val="26"/>
          <w:sz w:val="110"/>
          <w:szCs w:val="110"/>
          <w:highlight w:val="none"/>
        </w:rPr>
        <w:t>招标</w:t>
      </w:r>
      <w:r>
        <w:rPr>
          <w:rFonts w:hint="eastAsia" w:ascii="仿宋_GB2312" w:hAnsi="宋体" w:eastAsia="仿宋_GB2312"/>
          <w:b/>
          <w:bCs/>
          <w:color w:val="auto"/>
          <w:spacing w:val="26"/>
          <w:sz w:val="110"/>
          <w:szCs w:val="110"/>
          <w:highlight w:val="none"/>
          <w:lang w:eastAsia="zh-CN"/>
        </w:rPr>
        <w:t>公告</w:t>
      </w:r>
    </w:p>
    <w:p w14:paraId="085A3C24">
      <w:pPr>
        <w:pStyle w:val="4"/>
        <w:spacing w:line="360" w:lineRule="auto"/>
        <w:jc w:val="center"/>
        <w:rPr>
          <w:rFonts w:ascii="仿宋" w:hAnsi="仿宋" w:eastAsia="仿宋"/>
          <w:b/>
          <w:color w:val="auto"/>
          <w:sz w:val="44"/>
          <w:szCs w:val="44"/>
          <w:highlight w:val="none"/>
        </w:rPr>
      </w:pPr>
    </w:p>
    <w:p w14:paraId="68F7B196">
      <w:pPr>
        <w:pStyle w:val="4"/>
        <w:spacing w:line="360" w:lineRule="auto"/>
        <w:jc w:val="center"/>
        <w:rPr>
          <w:rFonts w:ascii="仿宋" w:hAnsi="仿宋" w:eastAsia="仿宋"/>
          <w:b/>
          <w:color w:val="auto"/>
          <w:sz w:val="44"/>
          <w:szCs w:val="44"/>
          <w:highlight w:val="none"/>
        </w:rPr>
      </w:pPr>
    </w:p>
    <w:p w14:paraId="2F1EC603">
      <w:pPr>
        <w:pStyle w:val="4"/>
        <w:spacing w:line="360" w:lineRule="auto"/>
        <w:jc w:val="center"/>
        <w:rPr>
          <w:rFonts w:hint="eastAsia" w:ascii="仿宋" w:hAnsi="仿宋" w:eastAsia="仿宋"/>
          <w:b/>
          <w:color w:val="auto"/>
          <w:sz w:val="44"/>
          <w:szCs w:val="44"/>
          <w:highlight w:val="none"/>
        </w:rPr>
      </w:pPr>
    </w:p>
    <w:p w14:paraId="60CB4BFE">
      <w:pPr>
        <w:widowControl/>
        <w:spacing w:after="120" w:afterLines="50" w:line="360" w:lineRule="auto"/>
        <w:ind w:firstLine="600" w:firstLineChars="200"/>
        <w:jc w:val="both"/>
        <w:rPr>
          <w:rFonts w:hint="eastAsia" w:ascii="宋体" w:hAnsi="宋体" w:eastAsia="宋体" w:cs="宋体"/>
          <w:color w:val="auto"/>
          <w:sz w:val="30"/>
          <w:szCs w:val="30"/>
          <w:highlight w:val="none"/>
          <w:lang w:bidi="ar"/>
        </w:rPr>
      </w:pPr>
      <w:r>
        <w:rPr>
          <w:rFonts w:hint="eastAsia" w:ascii="宋体" w:hAnsi="宋体" w:cs="宋体"/>
          <w:color w:val="auto"/>
          <w:sz w:val="30"/>
          <w:szCs w:val="30"/>
          <w:highlight w:val="none"/>
          <w:lang w:bidi="ar"/>
        </w:rPr>
        <w:t>招标人：</w:t>
      </w:r>
      <w:r>
        <w:rPr>
          <w:rFonts w:hint="eastAsia" w:ascii="宋体" w:hAnsi="宋体" w:cs="宋体"/>
          <w:color w:val="auto"/>
          <w:sz w:val="30"/>
          <w:szCs w:val="30"/>
          <w:highlight w:val="none"/>
          <w:u w:val="single"/>
          <w:lang w:eastAsia="zh-CN" w:bidi="ar"/>
        </w:rPr>
        <w:t>广东省源天工程有限公司</w:t>
      </w:r>
      <w:r>
        <w:rPr>
          <w:rFonts w:hint="eastAsia" w:ascii="宋体" w:hAnsi="宋体" w:cs="宋体"/>
          <w:color w:val="auto"/>
          <w:sz w:val="30"/>
          <w:szCs w:val="30"/>
          <w:highlight w:val="none"/>
          <w:lang w:bidi="ar"/>
        </w:rPr>
        <w:t>（盖单位章）</w:t>
      </w:r>
    </w:p>
    <w:p w14:paraId="69C0623A">
      <w:pPr>
        <w:widowControl/>
        <w:spacing w:after="120" w:afterLines="50" w:line="360" w:lineRule="auto"/>
        <w:ind w:firstLine="600" w:firstLineChars="200"/>
        <w:jc w:val="both"/>
        <w:rPr>
          <w:rFonts w:hint="eastAsia" w:ascii="宋体" w:hAnsi="宋体" w:cs="宋体"/>
          <w:color w:val="auto"/>
          <w:sz w:val="30"/>
          <w:szCs w:val="30"/>
          <w:highlight w:val="none"/>
        </w:rPr>
      </w:pPr>
      <w:r>
        <w:rPr>
          <w:rFonts w:hint="eastAsia" w:ascii="宋体" w:hAnsi="宋体" w:eastAsia="宋体" w:cs="宋体"/>
          <w:color w:val="auto"/>
          <w:sz w:val="30"/>
          <w:szCs w:val="30"/>
          <w:highlight w:val="none"/>
          <w:lang w:bidi="ar"/>
        </w:rPr>
        <w:t>招标</w:t>
      </w:r>
      <w:r>
        <w:rPr>
          <w:rFonts w:hint="eastAsia" w:ascii="宋体" w:hAnsi="宋体" w:cs="宋体"/>
          <w:color w:val="auto"/>
          <w:sz w:val="30"/>
          <w:szCs w:val="30"/>
          <w:highlight w:val="none"/>
          <w:lang w:bidi="ar"/>
        </w:rPr>
        <w:t>代理机构：</w:t>
      </w:r>
      <w:r>
        <w:rPr>
          <w:rFonts w:hint="eastAsia" w:ascii="宋体" w:hAnsi="宋体" w:cs="宋体"/>
          <w:color w:val="auto"/>
          <w:sz w:val="30"/>
          <w:szCs w:val="30"/>
          <w:highlight w:val="none"/>
          <w:u w:val="single"/>
          <w:lang w:eastAsia="zh-CN" w:bidi="ar"/>
        </w:rPr>
        <w:t>广东聚佳项目管理咨询有限公司</w:t>
      </w:r>
      <w:r>
        <w:rPr>
          <w:rFonts w:hint="eastAsia" w:ascii="宋体" w:hAnsi="宋体" w:cs="宋体"/>
          <w:color w:val="auto"/>
          <w:sz w:val="30"/>
          <w:szCs w:val="30"/>
          <w:highlight w:val="none"/>
          <w:lang w:bidi="ar"/>
        </w:rPr>
        <w:t>（盖单位章）</w:t>
      </w:r>
    </w:p>
    <w:p w14:paraId="15AA916F">
      <w:pPr>
        <w:widowControl/>
        <w:ind w:firstLine="640" w:firstLineChars="200"/>
        <w:rPr>
          <w:rFonts w:ascii="宋体" w:hAnsi="宋体"/>
          <w:color w:val="auto"/>
          <w:sz w:val="30"/>
          <w:szCs w:val="30"/>
          <w:highlight w:val="none"/>
        </w:rPr>
      </w:pPr>
      <w:r>
        <w:rPr>
          <w:rFonts w:hint="eastAsia" w:ascii="宋体" w:hAnsi="宋体"/>
          <w:color w:val="auto"/>
          <w:sz w:val="32"/>
          <w:szCs w:val="32"/>
          <w:highlight w:val="none"/>
        </w:rPr>
        <w:t>日       期：</w:t>
      </w:r>
      <w:r>
        <w:rPr>
          <w:rFonts w:hint="eastAsia" w:ascii="宋体" w:hAnsi="宋体"/>
          <w:color w:val="auto"/>
          <w:sz w:val="32"/>
          <w:szCs w:val="32"/>
          <w:highlight w:val="none"/>
          <w:u w:val="single"/>
        </w:rPr>
        <w:t>202</w:t>
      </w:r>
      <w:r>
        <w:rPr>
          <w:rFonts w:hint="eastAsia" w:ascii="宋体" w:hAnsi="宋体"/>
          <w:color w:val="auto"/>
          <w:sz w:val="32"/>
          <w:szCs w:val="32"/>
          <w:highlight w:val="none"/>
          <w:u w:val="single"/>
          <w:lang w:val="en-US" w:eastAsia="zh-CN"/>
        </w:rPr>
        <w:t>5</w:t>
      </w:r>
      <w:r>
        <w:rPr>
          <w:rFonts w:hint="eastAsia" w:ascii="宋体" w:hAnsi="宋体"/>
          <w:color w:val="auto"/>
          <w:sz w:val="32"/>
          <w:szCs w:val="32"/>
          <w:highlight w:val="none"/>
        </w:rPr>
        <w:t>年</w:t>
      </w:r>
      <w:r>
        <w:rPr>
          <w:rFonts w:hint="eastAsia" w:ascii="宋体" w:hAnsi="宋体"/>
          <w:color w:val="auto"/>
          <w:sz w:val="32"/>
          <w:szCs w:val="32"/>
          <w:highlight w:val="none"/>
          <w:u w:val="single"/>
          <w:lang w:val="en-US" w:eastAsia="zh-CN"/>
        </w:rPr>
        <w:t>8</w:t>
      </w:r>
      <w:r>
        <w:rPr>
          <w:rFonts w:hint="eastAsia" w:ascii="宋体" w:hAnsi="宋体"/>
          <w:color w:val="auto"/>
          <w:sz w:val="32"/>
          <w:szCs w:val="32"/>
          <w:highlight w:val="none"/>
        </w:rPr>
        <w:t>月</w:t>
      </w:r>
    </w:p>
    <w:p w14:paraId="10C3343C">
      <w:pPr>
        <w:widowControl/>
        <w:tabs>
          <w:tab w:val="left" w:pos="851"/>
        </w:tabs>
        <w:spacing w:line="360" w:lineRule="auto"/>
        <w:ind w:left="480"/>
        <w:jc w:val="left"/>
        <w:rPr>
          <w:rFonts w:hint="eastAsia" w:ascii="宋体" w:hAnsi="宋体"/>
          <w:color w:val="auto"/>
          <w:sz w:val="24"/>
          <w:highlight w:val="none"/>
        </w:rPr>
      </w:pPr>
    </w:p>
    <w:p w14:paraId="045E0591">
      <w:pPr>
        <w:widowControl/>
        <w:tabs>
          <w:tab w:val="left" w:pos="851"/>
        </w:tabs>
        <w:spacing w:line="360" w:lineRule="auto"/>
        <w:ind w:left="480"/>
        <w:jc w:val="left"/>
        <w:rPr>
          <w:rFonts w:hint="eastAsia" w:ascii="宋体" w:hAnsi="宋体"/>
          <w:color w:val="auto"/>
          <w:sz w:val="24"/>
          <w:szCs w:val="24"/>
          <w:highlight w:val="none"/>
        </w:rPr>
      </w:pPr>
    </w:p>
    <w:p w14:paraId="5B94DDF3">
      <w:pPr>
        <w:widowControl/>
        <w:tabs>
          <w:tab w:val="left" w:pos="851"/>
        </w:tabs>
        <w:spacing w:line="360" w:lineRule="auto"/>
        <w:ind w:left="482"/>
        <w:jc w:val="left"/>
        <w:rPr>
          <w:rFonts w:ascii="宋体" w:hAnsi="宋体"/>
          <w:color w:val="auto"/>
          <w:sz w:val="24"/>
          <w:szCs w:val="24"/>
          <w:highlight w:val="none"/>
        </w:rPr>
      </w:pPr>
    </w:p>
    <w:p w14:paraId="4FB4B7C6"/>
    <w:p w14:paraId="7194DF46">
      <w:pPr>
        <w:rPr>
          <w:rFonts w:hint="eastAsia" w:ascii="宋体" w:hAnsi="宋体" w:eastAsia="宋体" w:cs="宋体"/>
          <w:b/>
          <w:bCs w:val="0"/>
          <w:color w:val="auto"/>
          <w:kern w:val="0"/>
          <w:sz w:val="32"/>
          <w:szCs w:val="32"/>
          <w:highlight w:val="none"/>
          <w:u w:val="single"/>
          <w:lang w:val="en-US" w:eastAsia="zh-CN" w:bidi="ar"/>
        </w:rPr>
      </w:pPr>
      <w:r>
        <w:rPr>
          <w:rFonts w:hint="eastAsia" w:ascii="宋体" w:hAnsi="宋体" w:eastAsia="宋体" w:cs="宋体"/>
          <w:b/>
          <w:bCs w:val="0"/>
          <w:color w:val="auto"/>
          <w:kern w:val="0"/>
          <w:sz w:val="32"/>
          <w:szCs w:val="32"/>
          <w:highlight w:val="none"/>
          <w:u w:val="single"/>
          <w:lang w:val="en-US" w:eastAsia="zh-CN" w:bidi="ar"/>
        </w:rPr>
        <w:br w:type="page"/>
      </w:r>
    </w:p>
    <w:p w14:paraId="34A17F2A">
      <w:pPr>
        <w:pStyle w:val="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auto"/>
          <w:kern w:val="0"/>
          <w:sz w:val="32"/>
          <w:szCs w:val="32"/>
          <w:highlight w:val="none"/>
          <w:u w:val="single"/>
        </w:rPr>
      </w:pPr>
      <w:r>
        <w:rPr>
          <w:rFonts w:hint="eastAsia" w:ascii="宋体" w:hAnsi="宋体" w:eastAsia="宋体" w:cs="宋体"/>
          <w:b/>
          <w:bCs w:val="0"/>
          <w:color w:val="auto"/>
          <w:kern w:val="0"/>
          <w:sz w:val="32"/>
          <w:szCs w:val="32"/>
          <w:highlight w:val="none"/>
          <w:u w:val="single"/>
          <w:lang w:val="en-US" w:eastAsia="zh-CN" w:bidi="ar"/>
        </w:rPr>
        <w:t>增城区开发区下沉式污水处理厂新装22500kVA配电工程</w:t>
      </w:r>
    </w:p>
    <w:p w14:paraId="594D1472">
      <w:pPr>
        <w:pStyle w:val="5"/>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val="0"/>
          <w:color w:val="auto"/>
          <w:kern w:val="0"/>
          <w:sz w:val="32"/>
          <w:szCs w:val="32"/>
          <w:highlight w:val="none"/>
        </w:rPr>
      </w:pPr>
      <w:r>
        <w:rPr>
          <w:rFonts w:hint="eastAsia" w:ascii="宋体" w:hAnsi="宋体" w:eastAsia="宋体" w:cs="宋体"/>
          <w:b/>
          <w:bCs w:val="0"/>
          <w:color w:val="auto"/>
          <w:kern w:val="0"/>
          <w:sz w:val="32"/>
          <w:szCs w:val="32"/>
          <w:highlight w:val="none"/>
          <w:u w:val="single"/>
          <w:lang w:val="en-US" w:eastAsia="zh-CN" w:bidi="ar"/>
        </w:rPr>
        <w:t>施工招标公告</w:t>
      </w:r>
    </w:p>
    <w:p w14:paraId="402C49E5">
      <w:pPr>
        <w:keepNext w:val="0"/>
        <w:keepLines w:val="0"/>
        <w:widowControl w:val="0"/>
        <w:suppressLineNumbers w:val="0"/>
        <w:spacing w:before="0" w:beforeAutospacing="0" w:after="0" w:afterAutospacing="0" w:line="360" w:lineRule="auto"/>
        <w:ind w:left="0" w:right="0" w:firstLine="542" w:firstLineChars="225"/>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w:t>
      </w:r>
      <w:r>
        <w:rPr>
          <w:rFonts w:hint="eastAsia" w:ascii="宋体" w:hAnsi="宋体" w:eastAsia="宋体" w:cs="Times New Roman"/>
          <w:b/>
          <w:bCs w:val="0"/>
          <w:color w:val="auto"/>
          <w:kern w:val="2"/>
          <w:sz w:val="24"/>
          <w:szCs w:val="24"/>
          <w:highlight w:val="none"/>
          <w:lang w:val="en-US" w:eastAsia="zh-CN" w:bidi="ar"/>
        </w:rPr>
        <w:t>.招标</w:t>
      </w:r>
      <w:r>
        <w:rPr>
          <w:rFonts w:hint="eastAsia" w:ascii="宋体" w:hAnsi="宋体" w:eastAsia="宋体" w:cs="宋体"/>
          <w:b/>
          <w:bCs w:val="0"/>
          <w:color w:val="auto"/>
          <w:kern w:val="2"/>
          <w:sz w:val="24"/>
          <w:szCs w:val="24"/>
          <w:highlight w:val="none"/>
          <w:lang w:val="en-US" w:eastAsia="zh-CN" w:bidi="ar"/>
        </w:rPr>
        <w:t>条件</w:t>
      </w:r>
    </w:p>
    <w:p w14:paraId="2C6110D7">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本招标项目</w:t>
      </w:r>
      <w:r>
        <w:rPr>
          <w:rFonts w:hint="eastAsia" w:ascii="宋体" w:hAnsi="宋体" w:eastAsia="宋体" w:cs="宋体"/>
          <w:color w:val="auto"/>
          <w:kern w:val="2"/>
          <w:sz w:val="24"/>
          <w:szCs w:val="24"/>
          <w:highlight w:val="none"/>
          <w:u w:val="single"/>
          <w:lang w:val="en-US" w:eastAsia="zh-CN" w:bidi="ar"/>
        </w:rPr>
        <w:t>增城区开发区下沉式污水处理厂新装22500kVA配电工程属于增城区开发区下沉式污水处理厂及配套管网工程设计采购施工总承包标段二合同外电工程暂估价项目，</w:t>
      </w:r>
      <w:r>
        <w:rPr>
          <w:rFonts w:hint="eastAsia" w:ascii="宋体" w:hAnsi="宋体" w:eastAsia="宋体" w:cs="宋体"/>
          <w:color w:val="auto"/>
          <w:kern w:val="2"/>
          <w:sz w:val="24"/>
          <w:szCs w:val="24"/>
          <w:highlight w:val="none"/>
          <w:lang w:val="en-US" w:eastAsia="zh-CN" w:bidi="ar"/>
        </w:rPr>
        <w:t>已</w:t>
      </w:r>
      <w:r>
        <w:rPr>
          <w:rFonts w:hint="eastAsia" w:ascii="宋体" w:hAnsi="宋体" w:eastAsia="宋体" w:cs="宋体"/>
          <w:i w:val="0"/>
          <w:color w:val="auto"/>
          <w:kern w:val="0"/>
          <w:sz w:val="24"/>
          <w:szCs w:val="24"/>
          <w:highlight w:val="none"/>
          <w:u w:val="single"/>
          <w:lang w:val="en-US" w:eastAsia="zh-CN" w:bidi="ar"/>
        </w:rPr>
        <w:t>由</w:t>
      </w:r>
      <w:r>
        <w:rPr>
          <w:rFonts w:hint="eastAsia" w:ascii="宋体" w:hAnsi="宋体" w:cs="宋体"/>
          <w:color w:val="auto"/>
          <w:spacing w:val="-2"/>
          <w:sz w:val="24"/>
          <w:szCs w:val="24"/>
          <w:highlight w:val="none"/>
          <w:u w:val="single"/>
        </w:rPr>
        <w:t>广东省企业投资项目备案证（项目代码：</w:t>
      </w:r>
      <w:r>
        <w:rPr>
          <w:rFonts w:hint="eastAsia" w:ascii="宋体" w:hAnsi="宋体" w:cs="宋体"/>
          <w:color w:val="auto"/>
          <w:spacing w:val="-2"/>
          <w:sz w:val="24"/>
          <w:szCs w:val="24"/>
          <w:highlight w:val="none"/>
          <w:u w:val="single"/>
          <w:lang w:eastAsia="zh-CN"/>
        </w:rPr>
        <w:t>2206-440118-04-01-302759</w:t>
      </w:r>
      <w:r>
        <w:rPr>
          <w:rFonts w:hint="eastAsia" w:ascii="宋体" w:hAnsi="宋体" w:cs="宋体"/>
          <w:color w:val="auto"/>
          <w:spacing w:val="-2"/>
          <w:sz w:val="24"/>
          <w:szCs w:val="24"/>
          <w:highlight w:val="none"/>
          <w:u w:val="single"/>
        </w:rPr>
        <w:t xml:space="preserve"> ）</w:t>
      </w:r>
      <w:r>
        <w:rPr>
          <w:rFonts w:hint="eastAsia" w:ascii="宋体" w:hAnsi="宋体" w:eastAsia="宋体" w:cs="宋体"/>
          <w:color w:val="auto"/>
          <w:kern w:val="2"/>
          <w:sz w:val="24"/>
          <w:szCs w:val="24"/>
          <w:highlight w:val="none"/>
          <w:lang w:val="en-US" w:eastAsia="zh-CN" w:bidi="ar"/>
        </w:rPr>
        <w:t>批准建设，项目业主为</w:t>
      </w:r>
      <w:r>
        <w:rPr>
          <w:rFonts w:hint="eastAsia" w:ascii="宋体" w:hAnsi="宋体" w:eastAsia="宋体" w:cs="宋体"/>
          <w:i w:val="0"/>
          <w:color w:val="auto"/>
          <w:kern w:val="0"/>
          <w:sz w:val="24"/>
          <w:szCs w:val="24"/>
          <w:highlight w:val="none"/>
          <w:u w:val="single"/>
          <w:lang w:val="en-US" w:eastAsia="zh-CN" w:bidi="ar"/>
        </w:rPr>
        <w:t>广州增城经开区污水处理有限公司</w:t>
      </w:r>
      <w:r>
        <w:rPr>
          <w:rFonts w:hint="eastAsia" w:ascii="宋体" w:hAnsi="宋体" w:eastAsia="宋体" w:cs="宋体"/>
          <w:color w:val="auto"/>
          <w:kern w:val="2"/>
          <w:sz w:val="24"/>
          <w:szCs w:val="24"/>
          <w:highlight w:val="none"/>
          <w:lang w:val="en-US" w:eastAsia="zh-CN" w:bidi="ar"/>
        </w:rPr>
        <w:t>，建设资金来自</w:t>
      </w:r>
      <w:r>
        <w:rPr>
          <w:rFonts w:hint="eastAsia" w:ascii="宋体" w:hAnsi="宋体" w:eastAsia="宋体" w:cs="宋体"/>
          <w:color w:val="auto"/>
          <w:kern w:val="2"/>
          <w:sz w:val="24"/>
          <w:szCs w:val="24"/>
          <w:highlight w:val="none"/>
          <w:u w:val="single"/>
          <w:lang w:val="en-US" w:eastAsia="zh-CN" w:bidi="ar"/>
        </w:rPr>
        <w:t>企业资金</w:t>
      </w:r>
      <w:r>
        <w:rPr>
          <w:rFonts w:hint="eastAsia" w:ascii="宋体" w:hAnsi="宋体" w:eastAsia="宋体" w:cs="宋体"/>
          <w:color w:val="auto"/>
          <w:kern w:val="2"/>
          <w:sz w:val="24"/>
          <w:szCs w:val="24"/>
          <w:highlight w:val="none"/>
          <w:lang w:val="en-US" w:eastAsia="zh-CN" w:bidi="ar"/>
        </w:rPr>
        <w:t>，资金来源已落实，项目出资比例为</w:t>
      </w:r>
      <w:r>
        <w:rPr>
          <w:rFonts w:hint="eastAsia" w:ascii="宋体" w:hAnsi="宋体" w:eastAsia="宋体" w:cs="宋体"/>
          <w:color w:val="auto"/>
          <w:kern w:val="2"/>
          <w:sz w:val="24"/>
          <w:szCs w:val="24"/>
          <w:highlight w:val="none"/>
          <w:u w:val="single"/>
          <w:lang w:val="en-US" w:eastAsia="zh-CN" w:bidi="ar"/>
        </w:rPr>
        <w:t>100%</w:t>
      </w:r>
      <w:r>
        <w:rPr>
          <w:rFonts w:hint="eastAsia" w:ascii="宋体" w:hAnsi="宋体" w:eastAsia="宋体" w:cs="Times New Roman"/>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招标人为</w:t>
      </w:r>
      <w:r>
        <w:rPr>
          <w:rFonts w:hint="eastAsia" w:ascii="宋体" w:hAnsi="宋体" w:eastAsia="宋体" w:cs="宋体"/>
          <w:i w:val="0"/>
          <w:color w:val="auto"/>
          <w:kern w:val="0"/>
          <w:sz w:val="24"/>
          <w:szCs w:val="24"/>
          <w:highlight w:val="none"/>
          <w:u w:val="single"/>
          <w:lang w:val="en-US" w:eastAsia="zh-CN" w:bidi="ar"/>
        </w:rPr>
        <w:t>广东省源天工程有限公司</w:t>
      </w:r>
      <w:r>
        <w:rPr>
          <w:rFonts w:hint="eastAsia" w:ascii="宋体" w:hAnsi="宋体" w:eastAsia="宋体" w:cs="宋体"/>
          <w:color w:val="auto"/>
          <w:kern w:val="2"/>
          <w:sz w:val="24"/>
          <w:szCs w:val="24"/>
          <w:highlight w:val="none"/>
          <w:lang w:val="en-US" w:eastAsia="zh-CN" w:bidi="ar"/>
        </w:rPr>
        <w:t>。项目已具备招标条件，现对该项目施工进行公开招标。</w:t>
      </w:r>
    </w:p>
    <w:p w14:paraId="235336A1">
      <w:pPr>
        <w:keepNext w:val="0"/>
        <w:keepLines w:val="0"/>
        <w:widowControl w:val="0"/>
        <w:suppressLineNumbers w:val="0"/>
        <w:spacing w:before="0" w:beforeAutospacing="0" w:after="0" w:afterAutospacing="0" w:line="360" w:lineRule="auto"/>
        <w:ind w:left="0" w:right="0" w:firstLine="542" w:firstLineChars="225"/>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w:t>
      </w:r>
      <w:r>
        <w:rPr>
          <w:rFonts w:hint="eastAsia" w:ascii="宋体" w:hAnsi="宋体" w:eastAsia="宋体" w:cs="Times New Roman"/>
          <w:b/>
          <w:bCs w:val="0"/>
          <w:color w:val="auto"/>
          <w:kern w:val="2"/>
          <w:sz w:val="24"/>
          <w:szCs w:val="24"/>
          <w:highlight w:val="none"/>
          <w:lang w:val="en-US" w:eastAsia="zh-CN" w:bidi="ar"/>
        </w:rPr>
        <w:t>. 项目概况与招标范围</w:t>
      </w:r>
    </w:p>
    <w:p w14:paraId="620A1744">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2.1建设地点：广州市增城区。</w:t>
      </w:r>
    </w:p>
    <w:p w14:paraId="44F4AA7C">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2.2项目规模：</w:t>
      </w:r>
      <w:r>
        <w:rPr>
          <w:rFonts w:hint="eastAsia" w:ascii="宋体" w:hAnsi="宋体" w:cs="宋体"/>
          <w:color w:val="auto"/>
          <w:sz w:val="24"/>
          <w:szCs w:val="24"/>
          <w:highlight w:val="none"/>
        </w:rPr>
        <w:t>本项目位于永宁街长岗村创誉路与永和河交界的西南角，</w:t>
      </w:r>
      <w:r>
        <w:rPr>
          <w:rFonts w:hint="eastAsia" w:ascii="宋体" w:hAnsi="宋体" w:cs="宋体"/>
          <w:color w:val="auto"/>
          <w:sz w:val="24"/>
          <w:szCs w:val="24"/>
          <w:highlight w:val="none"/>
          <w:lang w:val="en-US" w:eastAsia="zh-CN"/>
        </w:rPr>
        <w:t>增城区开发区下沉式污水处理厂新装22500kVA配电工程，采用10kV电源两主一备供电方式。本次招标范围为备供电源施工专业分包工程，电源三（备供）：由110kV臻园站(原开发区站)新出一回10kV线路F20至新建1号公用开关房,由新建1号公用开关房新敷10kV电缆依次至本期新建污水厂#1高压室、至本期新建污水厂#2高压室,由本期新建1号公用开关房新敷10kV电缆至本期新建2号公用开关房,110kV臻园站(原开发区站)F4与110kV臻园站(原开发区站)F20与110kV臻园站(原开发区站)F7三个母排依次环网)。</w:t>
      </w:r>
    </w:p>
    <w:p w14:paraId="11601412">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2.3本次最高投标限价（招标控制价）：</w:t>
      </w:r>
      <w:r>
        <w:rPr>
          <w:rFonts w:hint="eastAsia" w:ascii="宋体" w:hAnsi="宋体" w:eastAsia="宋体" w:cs="宋体"/>
          <w:color w:val="auto"/>
          <w:kern w:val="2"/>
          <w:sz w:val="24"/>
          <w:szCs w:val="24"/>
          <w:highlight w:val="none"/>
          <w:u w:val="single"/>
          <w:lang w:val="en-US" w:eastAsia="zh-CN" w:bidi="ar"/>
        </w:rPr>
        <w:t xml:space="preserve"> 727.955781 </w:t>
      </w:r>
      <w:r>
        <w:rPr>
          <w:rFonts w:hint="eastAsia" w:ascii="宋体" w:hAnsi="宋体" w:eastAsia="宋体" w:cs="宋体"/>
          <w:color w:val="auto"/>
          <w:kern w:val="2"/>
          <w:sz w:val="24"/>
          <w:szCs w:val="24"/>
          <w:highlight w:val="none"/>
          <w:lang w:val="en-US" w:eastAsia="zh-CN" w:bidi="ar"/>
        </w:rPr>
        <w:t>万元。</w:t>
      </w:r>
    </w:p>
    <w:p w14:paraId="289D0716">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2.4计划工期：</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60</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日历天。</w:t>
      </w:r>
    </w:p>
    <w:p w14:paraId="40296CD7">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2.5招标内容：</w:t>
      </w:r>
      <w:r>
        <w:rPr>
          <w:rFonts w:hint="eastAsia" w:ascii="宋体" w:hAnsi="宋体" w:eastAsia="宋体" w:cs="宋体"/>
          <w:color w:val="auto"/>
          <w:kern w:val="2"/>
          <w:sz w:val="24"/>
          <w:szCs w:val="24"/>
          <w:highlight w:val="none"/>
          <w:u w:val="single"/>
          <w:lang w:val="en-US" w:eastAsia="zh-CN" w:bidi="ar"/>
        </w:rPr>
        <w:t>①110kV臻园站10kV臻园F20至新建1号公用开关房、②10kV臻园F4 1号公用开关房至110kV臻园F20 1号公用开关房、③新建1号公用开关房至新建2号公用开关房、④新建开关房备供线路部分的所有施工内容，含配合设计图纸深化、工程报规报建、管线交叉协调、土建廊道施工、光纤电缆施工、开关房设备安装、送配电装置系统调试、电气试验、电子化移交资料、启动送电验收等工作，具体内容以甲方提供的图纸及分包工程量清单为准。</w:t>
      </w:r>
    </w:p>
    <w:p w14:paraId="5860D407">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2.6标段划分：</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 xml:space="preserve">1 </w:t>
      </w:r>
      <w:r>
        <w:rPr>
          <w:rFonts w:hint="eastAsia" w:ascii="宋体" w:hAnsi="宋体" w:eastAsia="宋体" w:cs="宋体"/>
          <w:color w:val="auto"/>
          <w:kern w:val="2"/>
          <w:sz w:val="24"/>
          <w:szCs w:val="24"/>
          <w:highlight w:val="none"/>
          <w:lang w:val="en-US" w:eastAsia="zh-CN" w:bidi="ar"/>
        </w:rPr>
        <w:t>个标段。</w:t>
      </w:r>
    </w:p>
    <w:p w14:paraId="5A33B123">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2.7承包方式： </w:t>
      </w:r>
      <w:r>
        <w:rPr>
          <w:rFonts w:hint="eastAsia" w:ascii="宋体" w:hAnsi="宋体" w:eastAsia="宋体" w:cs="宋体"/>
          <w:color w:val="auto"/>
          <w:kern w:val="2"/>
          <w:sz w:val="24"/>
          <w:szCs w:val="24"/>
          <w:highlight w:val="none"/>
          <w:u w:val="single"/>
          <w:lang w:val="en-US" w:eastAsia="zh-CN" w:bidi="ar"/>
        </w:rPr>
        <w:t>综合单价承包。</w:t>
      </w:r>
    </w:p>
    <w:p w14:paraId="338AC6AB">
      <w:pPr>
        <w:pStyle w:val="5"/>
        <w:keepNext w:val="0"/>
        <w:keepLines w:val="0"/>
        <w:widowControl/>
        <w:suppressLineNumbers w:val="0"/>
        <w:spacing w:before="0" w:beforeAutospacing="0" w:after="0" w:afterAutospacing="0" w:line="360" w:lineRule="auto"/>
        <w:ind w:left="0" w:right="0" w:firstLine="540"/>
        <w:jc w:val="left"/>
        <w:rPr>
          <w:rFonts w:hint="eastAsia" w:ascii="宋体" w:hAnsi="宋体" w:eastAsia="宋体" w:cs="宋体"/>
          <w:color w:val="auto"/>
          <w:kern w:val="0"/>
          <w:sz w:val="21"/>
          <w:szCs w:val="21"/>
          <w:highlight w:val="none"/>
        </w:rPr>
      </w:pPr>
      <w:r>
        <w:rPr>
          <w:rFonts w:hint="eastAsia" w:ascii="宋体" w:hAnsi="宋体" w:eastAsia="宋体" w:cs="宋体"/>
          <w:b/>
          <w:bCs w:val="0"/>
          <w:color w:val="auto"/>
          <w:kern w:val="0"/>
          <w:sz w:val="24"/>
          <w:szCs w:val="24"/>
          <w:highlight w:val="none"/>
          <w:lang w:val="en-US" w:eastAsia="zh-CN" w:bidi="ar"/>
        </w:rPr>
        <w:t>3. 投标人资格要求</w:t>
      </w:r>
    </w:p>
    <w:p w14:paraId="0C0FAB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w:t>
      </w:r>
      <w:r>
        <w:rPr>
          <w:rFonts w:hint="eastAsia" w:ascii="宋体" w:hAnsi="宋体" w:eastAsia="宋体" w:cs="宋体"/>
          <w:bCs/>
          <w:color w:val="auto"/>
          <w:kern w:val="2"/>
          <w:sz w:val="24"/>
          <w:szCs w:val="24"/>
          <w:highlight w:val="none"/>
          <w:lang w:val="en-US" w:eastAsia="zh-CN" w:bidi="ar"/>
        </w:rPr>
        <w:t>投标人应具备承担本项目施工的资质条件、能力和信誉。</w:t>
      </w:r>
    </w:p>
    <w:p w14:paraId="2B85C9EE">
      <w:pPr>
        <w:pStyle w:val="5"/>
        <w:keepNext w:val="0"/>
        <w:keepLines w:val="0"/>
        <w:widowControl/>
        <w:suppressLineNumbers w:val="0"/>
        <w:spacing w:before="0" w:beforeAutospacing="0" w:after="0" w:afterAutospacing="0" w:line="360" w:lineRule="auto"/>
        <w:ind w:left="0" w:right="0"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3.1.1投标人是法人或其他组织，按国家法律经营，投标人具有承接本工程所需的</w:t>
      </w:r>
      <w:r>
        <w:rPr>
          <w:rFonts w:hint="eastAsia" w:ascii="宋体" w:hAnsi="宋体" w:eastAsia="宋体" w:cs="宋体"/>
          <w:i w:val="0"/>
          <w:color w:val="auto"/>
          <w:kern w:val="0"/>
          <w:sz w:val="24"/>
          <w:szCs w:val="24"/>
          <w:highlight w:val="none"/>
          <w:u w:val="single"/>
          <w:lang w:val="en-US" w:eastAsia="zh-CN" w:bidi="ar"/>
        </w:rPr>
        <w:t>电力工程施工总承包叁级或以上级别施工总承包资质；或输变电工程专业承包叁级（或以上）资质；或建筑机电安装工程专业承包贰级（或以上）资质；并且同时具备《承装（修、试）电力设施许可证》承装类五级或以上资格</w:t>
      </w:r>
      <w:r>
        <w:rPr>
          <w:rFonts w:hint="eastAsia" w:ascii="宋体" w:hAnsi="宋体" w:eastAsia="宋体" w:cs="宋体"/>
          <w:color w:val="auto"/>
          <w:kern w:val="0"/>
          <w:sz w:val="24"/>
          <w:szCs w:val="24"/>
          <w:highlight w:val="none"/>
          <w:lang w:val="en-US" w:eastAsia="zh-CN" w:bidi="ar"/>
        </w:rPr>
        <w:t>。</w:t>
      </w:r>
    </w:p>
    <w:p w14:paraId="1182C426">
      <w:pPr>
        <w:keepNext w:val="0"/>
        <w:keepLines w:val="0"/>
        <w:widowControl/>
        <w:suppressLineNumbers w:val="0"/>
        <w:spacing w:before="0" w:beforeAutospacing="0" w:after="0" w:afterAutospacing="0" w:line="360" w:lineRule="auto"/>
        <w:ind w:left="0" w:right="0" w:firstLine="540"/>
        <w:jc w:val="left"/>
        <w:rPr>
          <w:rFonts w:hint="eastAsia" w:ascii="仿宋" w:hAnsi="仿宋" w:eastAsia="仿宋" w:cs="宋体"/>
          <w:bCs/>
          <w:color w:val="auto"/>
          <w:kern w:val="0"/>
          <w:sz w:val="24"/>
          <w:szCs w:val="24"/>
          <w:highlight w:val="none"/>
        </w:rPr>
      </w:pPr>
      <w:r>
        <w:rPr>
          <w:rFonts w:hint="default" w:ascii="仿宋_GB2312" w:hAnsi="宋体" w:eastAsia="仿宋_GB2312" w:cs="仿宋_GB2312"/>
          <w:bCs w:val="0"/>
          <w:color w:val="auto"/>
          <w:kern w:val="2"/>
          <w:sz w:val="24"/>
          <w:szCs w:val="24"/>
          <w:highlight w:val="none"/>
          <w:lang w:val="en-US" w:eastAsia="zh-CN" w:bidi="ar"/>
        </w:rPr>
        <w:t>注：（1）资质内容按照建市</w:t>
      </w:r>
      <w:r>
        <w:rPr>
          <w:rFonts w:hint="eastAsia" w:ascii="宋体" w:hAnsi="宋体" w:eastAsia="宋体" w:cs="宋体"/>
          <w:color w:val="auto"/>
          <w:kern w:val="2"/>
          <w:sz w:val="24"/>
          <w:szCs w:val="24"/>
          <w:highlight w:val="none"/>
          <w:lang w:val="en-US" w:eastAsia="zh-CN" w:bidi="ar"/>
        </w:rPr>
        <w:t>〔</w:t>
      </w:r>
      <w:r>
        <w:rPr>
          <w:rFonts w:hint="default" w:ascii="仿宋_GB2312" w:hAnsi="宋体" w:eastAsia="仿宋_GB2312" w:cs="仿宋_GB2312"/>
          <w:bCs w:val="0"/>
          <w:color w:val="auto"/>
          <w:kern w:val="2"/>
          <w:sz w:val="24"/>
          <w:szCs w:val="24"/>
          <w:highlight w:val="none"/>
          <w:lang w:val="en-US" w:eastAsia="zh-CN" w:bidi="ar"/>
        </w:rPr>
        <w:t>2014</w:t>
      </w:r>
      <w:r>
        <w:rPr>
          <w:rFonts w:hint="eastAsia" w:ascii="宋体" w:hAnsi="宋体" w:eastAsia="宋体" w:cs="宋体"/>
          <w:color w:val="auto"/>
          <w:kern w:val="2"/>
          <w:sz w:val="24"/>
          <w:szCs w:val="24"/>
          <w:highlight w:val="none"/>
          <w:lang w:val="en-US" w:eastAsia="zh-CN" w:bidi="ar"/>
        </w:rPr>
        <w:t>〕</w:t>
      </w:r>
      <w:r>
        <w:rPr>
          <w:rFonts w:hint="default" w:ascii="仿宋_GB2312" w:hAnsi="宋体" w:eastAsia="仿宋_GB2312" w:cs="仿宋_GB2312"/>
          <w:bCs w:val="0"/>
          <w:color w:val="auto"/>
          <w:kern w:val="2"/>
          <w:sz w:val="24"/>
          <w:szCs w:val="24"/>
          <w:highlight w:val="none"/>
          <w:lang w:val="en-US" w:eastAsia="zh-CN" w:bidi="ar"/>
        </w:rPr>
        <w:t>159号文颁布的新版《建筑业企业资质标准》中对应的资质类别及等级的承包工程范围和《住房城乡建设部关于建筑业企业资质管理有关问题的通知》（建市</w:t>
      </w:r>
      <w:r>
        <w:rPr>
          <w:rFonts w:hint="eastAsia" w:ascii="宋体" w:hAnsi="宋体" w:eastAsia="宋体" w:cs="宋体"/>
          <w:color w:val="auto"/>
          <w:kern w:val="2"/>
          <w:sz w:val="24"/>
          <w:szCs w:val="24"/>
          <w:highlight w:val="none"/>
          <w:lang w:val="en-US" w:eastAsia="zh-CN" w:bidi="ar"/>
        </w:rPr>
        <w:t>〔</w:t>
      </w:r>
      <w:r>
        <w:rPr>
          <w:rFonts w:hint="default" w:ascii="仿宋_GB2312" w:hAnsi="宋体" w:eastAsia="仿宋_GB2312" w:cs="仿宋_GB2312"/>
          <w:bCs w:val="0"/>
          <w:color w:val="auto"/>
          <w:kern w:val="2"/>
          <w:sz w:val="24"/>
          <w:szCs w:val="24"/>
          <w:highlight w:val="none"/>
          <w:lang w:val="en-US" w:eastAsia="zh-CN" w:bidi="ar"/>
        </w:rPr>
        <w:t>2015</w:t>
      </w:r>
      <w:r>
        <w:rPr>
          <w:rFonts w:hint="eastAsia" w:ascii="宋体" w:hAnsi="宋体" w:eastAsia="宋体" w:cs="宋体"/>
          <w:color w:val="auto"/>
          <w:kern w:val="2"/>
          <w:sz w:val="24"/>
          <w:szCs w:val="24"/>
          <w:highlight w:val="none"/>
          <w:lang w:val="en-US" w:eastAsia="zh-CN" w:bidi="ar"/>
        </w:rPr>
        <w:t>〕</w:t>
      </w:r>
      <w:r>
        <w:rPr>
          <w:rFonts w:hint="default" w:ascii="仿宋_GB2312" w:hAnsi="宋体" w:eastAsia="仿宋_GB2312" w:cs="仿宋_GB2312"/>
          <w:bCs w:val="0"/>
          <w:color w:val="auto"/>
          <w:kern w:val="2"/>
          <w:sz w:val="24"/>
          <w:szCs w:val="24"/>
          <w:highlight w:val="none"/>
          <w:lang w:val="en-US" w:eastAsia="zh-CN" w:bidi="ar"/>
        </w:rPr>
        <w:t>154号）、《住房城乡建设部关于简化建筑业企业资质标准部分指标的通知》（建市</w:t>
      </w:r>
      <w:r>
        <w:rPr>
          <w:rFonts w:hint="eastAsia" w:ascii="宋体" w:hAnsi="宋体" w:eastAsia="宋体" w:cs="宋体"/>
          <w:color w:val="auto"/>
          <w:kern w:val="2"/>
          <w:sz w:val="24"/>
          <w:szCs w:val="24"/>
          <w:highlight w:val="none"/>
          <w:lang w:val="en-US" w:eastAsia="zh-CN" w:bidi="ar"/>
        </w:rPr>
        <w:t>〔</w:t>
      </w:r>
      <w:r>
        <w:rPr>
          <w:rFonts w:hint="default" w:ascii="仿宋_GB2312" w:hAnsi="宋体" w:eastAsia="仿宋_GB2312" w:cs="仿宋_GB2312"/>
          <w:bCs w:val="0"/>
          <w:color w:val="auto"/>
          <w:kern w:val="2"/>
          <w:sz w:val="24"/>
          <w:szCs w:val="24"/>
          <w:highlight w:val="none"/>
          <w:lang w:val="en-US" w:eastAsia="zh-CN" w:bidi="ar"/>
        </w:rPr>
        <w:t>2016</w:t>
      </w:r>
      <w:r>
        <w:rPr>
          <w:rFonts w:hint="eastAsia" w:ascii="宋体" w:hAnsi="宋体" w:eastAsia="宋体" w:cs="宋体"/>
          <w:color w:val="auto"/>
          <w:kern w:val="2"/>
          <w:sz w:val="24"/>
          <w:szCs w:val="24"/>
          <w:highlight w:val="none"/>
          <w:lang w:val="en-US" w:eastAsia="zh-CN" w:bidi="ar"/>
        </w:rPr>
        <w:t>〕</w:t>
      </w:r>
      <w:r>
        <w:rPr>
          <w:rFonts w:hint="default" w:ascii="仿宋_GB2312" w:hAnsi="宋体" w:eastAsia="仿宋_GB2312" w:cs="仿宋_GB2312"/>
          <w:bCs w:val="0"/>
          <w:color w:val="auto"/>
          <w:kern w:val="2"/>
          <w:sz w:val="24"/>
          <w:szCs w:val="24"/>
          <w:highlight w:val="none"/>
          <w:lang w:val="en-US" w:eastAsia="zh-CN" w:bidi="ar"/>
        </w:rPr>
        <w:t>226号）、《住房和城乡建设部关于印发建设工程企业资质管理制度改革方案的通知》（建市〔2020〕94号）、《住房和城乡建设部办公厅关于做好建筑业“证照分离”改革衔接有关工作的通知》（建办市〔2021〕30号）、</w:t>
      </w:r>
      <w:r>
        <w:rPr>
          <w:rFonts w:hint="default" w:ascii="仿宋_GB2312" w:hAnsi="宋体" w:eastAsia="仿宋_GB2312" w:cs="仿宋_GB2312"/>
          <w:b w:val="0"/>
          <w:bCs w:val="0"/>
          <w:color w:val="auto"/>
          <w:kern w:val="2"/>
          <w:sz w:val="24"/>
          <w:szCs w:val="24"/>
          <w:highlight w:val="none"/>
          <w:lang w:val="en-US" w:eastAsia="zh-CN" w:bidi="ar"/>
        </w:rPr>
        <w:t>《住房和城乡建设部办公厅关于建设工程企业资质有关事宜的通知》（建办市函〔2022〕361号）、</w:t>
      </w:r>
      <w:r>
        <w:rPr>
          <w:rFonts w:hint="default" w:ascii="仿宋_GB2312" w:hAnsi="宋体" w:eastAsia="仿宋_GB2312" w:cs="仿宋_GB2312"/>
          <w:b w:val="0"/>
          <w:color w:val="auto"/>
          <w:kern w:val="2"/>
          <w:sz w:val="24"/>
          <w:szCs w:val="24"/>
          <w:highlight w:val="none"/>
          <w:lang w:val="en-US" w:eastAsia="zh-CN" w:bidi="ar"/>
        </w:rPr>
        <w:t>《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w:t>
      </w:r>
      <w:r>
        <w:rPr>
          <w:rFonts w:hint="default" w:ascii="仿宋_GB2312" w:hAnsi="宋体" w:eastAsia="仿宋_GB2312" w:cs="仿宋_GB2312"/>
          <w:bCs w:val="0"/>
          <w:color w:val="auto"/>
          <w:kern w:val="2"/>
          <w:sz w:val="24"/>
          <w:szCs w:val="24"/>
          <w:highlight w:val="none"/>
          <w:lang w:val="en-US" w:eastAsia="zh-CN" w:bidi="ar"/>
        </w:rPr>
        <w:t>的要求设置。招标内容含有设计要求，且设计要求仅为深化设计的，在投标人的资质设置要求中，不允许设置设计资质</w:t>
      </w:r>
      <w:r>
        <w:rPr>
          <w:rFonts w:hint="eastAsia" w:ascii="仿宋" w:hAnsi="仿宋" w:eastAsia="仿宋" w:cs="仿宋"/>
          <w:bCs/>
          <w:color w:val="auto"/>
          <w:kern w:val="0"/>
          <w:sz w:val="24"/>
          <w:szCs w:val="24"/>
          <w:highlight w:val="none"/>
          <w:lang w:val="en-US" w:eastAsia="zh-CN" w:bidi="ar"/>
        </w:rPr>
        <w:t>。</w:t>
      </w:r>
    </w:p>
    <w:p w14:paraId="7B7F5E04">
      <w:pPr>
        <w:pStyle w:val="5"/>
        <w:keepNext w:val="0"/>
        <w:keepLines w:val="0"/>
        <w:widowControl w:val="0"/>
        <w:numPr>
          <w:ilvl w:val="0"/>
          <w:numId w:val="1"/>
        </w:numPr>
        <w:suppressLineNumbers w:val="0"/>
        <w:autoSpaceDE w:val="0"/>
        <w:autoSpaceDN/>
        <w:spacing w:before="0" w:beforeLines="0" w:beforeAutospacing="0" w:after="0" w:afterLines="0" w:afterAutospacing="0" w:line="360" w:lineRule="auto"/>
        <w:ind w:left="0" w:right="0" w:firstLine="480" w:firstLineChars="200"/>
        <w:jc w:val="both"/>
        <w:textAlignment w:val="baseline"/>
        <w:rPr>
          <w:rFonts w:hint="default" w:ascii="Times New Roman" w:hAnsi="Times New Roman" w:cs="Times New Roman"/>
          <w:color w:val="auto"/>
          <w:kern w:val="2"/>
          <w:sz w:val="24"/>
          <w:szCs w:val="24"/>
          <w:highlight w:val="none"/>
          <w:vertAlign w:val="baseline"/>
        </w:rPr>
      </w:pPr>
      <w:r>
        <w:rPr>
          <w:rFonts w:hint="default" w:ascii="仿宋_GB2312" w:hAnsi="宋体" w:eastAsia="仿宋_GB2312" w:cs="仿宋_GB2312"/>
          <w:bCs w:val="0"/>
          <w:color w:val="auto"/>
          <w:kern w:val="2"/>
          <w:sz w:val="24"/>
          <w:szCs w:val="24"/>
          <w:highlight w:val="none"/>
          <w:vertAlign w:val="baseline"/>
          <w:lang w:val="en-US" w:eastAsia="zh-CN" w:bidi="ar"/>
        </w:rPr>
        <w:t>同一招标人在同一时间段实施多个同类型建设项目的，可采用合并招标的方式进行招标。同类型项目是指所用资质类型、等级相同的项目。</w:t>
      </w:r>
    </w:p>
    <w:p w14:paraId="3406020D">
      <w:pPr>
        <w:pStyle w:val="5"/>
        <w:keepNext w:val="0"/>
        <w:keepLines w:val="0"/>
        <w:widowControl/>
        <w:suppressLineNumbers w:val="0"/>
        <w:spacing w:before="0" w:beforeAutospacing="0" w:after="0" w:afterAutospacing="0" w:line="360" w:lineRule="auto"/>
        <w:ind w:left="0" w:right="0"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3.1.2 安全生产许可证：投标人需具有有效的建设行政主管部门颁发的安全生产许可证。</w:t>
      </w:r>
    </w:p>
    <w:p w14:paraId="218ABAD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en-US" w:eastAsia="zh-CN" w:bidi="ar"/>
        </w:rPr>
        <w:t xml:space="preserve">3.1.3 </w:t>
      </w:r>
      <w:r>
        <w:rPr>
          <w:rFonts w:hint="eastAsia" w:ascii="宋体" w:hAnsi="宋体" w:eastAsia="宋体" w:cs="宋体"/>
          <w:bCs/>
          <w:color w:val="auto"/>
          <w:kern w:val="2"/>
          <w:sz w:val="24"/>
          <w:szCs w:val="24"/>
          <w:highlight w:val="none"/>
          <w:lang w:val="en-US" w:eastAsia="zh-CN" w:bidi="ar"/>
        </w:rPr>
        <w:t>投标人拟担任本工程项目负责人的人员须具有</w:t>
      </w:r>
      <w:r>
        <w:rPr>
          <w:rFonts w:hint="eastAsia" w:ascii="宋体" w:hAnsi="宋体" w:eastAsia="宋体" w:cs="宋体"/>
          <w:i w:val="0"/>
          <w:color w:val="auto"/>
          <w:kern w:val="0"/>
          <w:sz w:val="24"/>
          <w:szCs w:val="24"/>
          <w:highlight w:val="none"/>
          <w:u w:val="single"/>
          <w:lang w:val="en-US" w:eastAsia="zh-CN" w:bidi="ar"/>
        </w:rPr>
        <w:t>机电工程专业二级（或以上）注册建造师</w:t>
      </w:r>
      <w:r>
        <w:rPr>
          <w:rFonts w:hint="eastAsia" w:ascii="宋体" w:hAnsi="宋体" w:eastAsia="宋体" w:cs="宋体"/>
          <w:color w:val="auto"/>
          <w:kern w:val="0"/>
          <w:sz w:val="24"/>
          <w:szCs w:val="24"/>
          <w:highlight w:val="none"/>
          <w:u w:val="single"/>
          <w:lang w:val="en-US" w:eastAsia="zh-CN" w:bidi="ar"/>
        </w:rPr>
        <w:t>。</w:t>
      </w:r>
    </w:p>
    <w:p w14:paraId="669F07C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i w:val="0"/>
          <w:color w:val="auto"/>
          <w:kern w:val="0"/>
          <w:sz w:val="24"/>
          <w:szCs w:val="24"/>
          <w:highlight w:val="none"/>
          <w:lang w:val="en-US" w:eastAsia="zh-CN" w:bidi="ar"/>
        </w:rPr>
        <w:t>项目负责人持有安全生产考核合格证（B 类）或建筑施工企业项目负责人安全生产考核合格证书。</w:t>
      </w:r>
      <w:r>
        <w:rPr>
          <w:rFonts w:hint="default" w:ascii="Times New Roman" w:hAnsi="Times New Roman" w:eastAsia="宋体" w:cs="Times New Roman"/>
          <w:color w:val="auto"/>
          <w:kern w:val="2"/>
          <w:sz w:val="24"/>
          <w:szCs w:val="24"/>
          <w:highlight w:val="none"/>
          <w:lang w:val="en-US" w:eastAsia="zh-CN" w:bidi="ar"/>
        </w:rPr>
        <w:t xml:space="preserve"> </w:t>
      </w:r>
    </w:p>
    <w:p w14:paraId="4E222C2B">
      <w:pPr>
        <w:pStyle w:val="5"/>
        <w:keepNext w:val="0"/>
        <w:keepLines w:val="0"/>
        <w:widowControl/>
        <w:suppressLineNumbers w:val="0"/>
        <w:spacing w:before="0" w:beforeAutospacing="0" w:after="0" w:afterAutospacing="0" w:line="360" w:lineRule="auto"/>
        <w:ind w:left="0" w:right="0" w:firstLine="540"/>
        <w:jc w:val="left"/>
        <w:rPr>
          <w:rFonts w:hint="default" w:ascii="仿宋_GB2312" w:hAnsi="宋体" w:eastAsia="仿宋_GB2312" w:cs="宋体"/>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bidi="ar"/>
        </w:rPr>
        <w:t>注：（1）根据广东省住建厅《关于明确二级建造师注册执业有关问题的通知》（粤建市函〔</w:t>
      </w:r>
      <w:r>
        <w:rPr>
          <w:rFonts w:hint="eastAsia" w:ascii="仿宋" w:hAnsi="仿宋" w:eastAsia="仿宋" w:cs="宋体"/>
          <w:b w:val="0"/>
          <w:bCs/>
          <w:color w:val="auto"/>
          <w:kern w:val="0"/>
          <w:sz w:val="24"/>
          <w:szCs w:val="24"/>
          <w:highlight w:val="none"/>
          <w:lang w:val="en-US" w:eastAsia="zh-CN" w:bidi="ar"/>
        </w:rPr>
        <w:t>20</w:t>
      </w:r>
      <w:r>
        <w:rPr>
          <w:rFonts w:hint="eastAsia" w:ascii="仿宋" w:hAnsi="仿宋" w:eastAsia="仿宋" w:cs="仿宋"/>
          <w:b w:val="0"/>
          <w:bCs/>
          <w:color w:val="auto"/>
          <w:kern w:val="0"/>
          <w:sz w:val="24"/>
          <w:szCs w:val="24"/>
          <w:highlight w:val="none"/>
          <w:lang w:val="en-US" w:eastAsia="zh-CN" w:bidi="ar"/>
        </w:rPr>
        <w:t>23〕469号），二级建造师应在考试取得执业资格的省、自治区、直辖市申请注册，二级注册建造师可随注册企业在全国范围内执业。</w:t>
      </w:r>
      <w:r>
        <w:rPr>
          <w:rFonts w:hint="eastAsia" w:ascii="仿宋" w:hAnsi="仿宋" w:eastAsia="仿宋" w:cs="仿宋"/>
          <w:bCs/>
          <w:color w:val="auto"/>
          <w:kern w:val="0"/>
          <w:sz w:val="24"/>
          <w:szCs w:val="24"/>
          <w:highlight w:val="none"/>
          <w:lang w:val="en-US" w:eastAsia="zh-CN" w:bidi="ar"/>
        </w:rPr>
        <w:t>项目负责人在任职期间不得担任专职安全员，项目专职安全员在任职期间也不得担任项目负责人，项目负责人和</w:t>
      </w:r>
      <w:r>
        <w:rPr>
          <w:rFonts w:hint="eastAsia" w:ascii="仿宋" w:hAnsi="仿宋" w:eastAsia="仿宋" w:cs="仿宋"/>
          <w:b w:val="0"/>
          <w:bCs/>
          <w:color w:val="auto"/>
          <w:kern w:val="0"/>
          <w:sz w:val="24"/>
          <w:szCs w:val="24"/>
          <w:highlight w:val="none"/>
          <w:lang w:val="en-US" w:eastAsia="zh-CN" w:bidi="ar"/>
        </w:rPr>
        <w:t>专职</w:t>
      </w:r>
      <w:r>
        <w:rPr>
          <w:rFonts w:hint="eastAsia" w:ascii="仿宋" w:hAnsi="仿宋" w:eastAsia="仿宋" w:cs="仿宋"/>
          <w:bCs/>
          <w:color w:val="auto"/>
          <w:kern w:val="0"/>
          <w:sz w:val="24"/>
          <w:szCs w:val="24"/>
          <w:highlight w:val="none"/>
          <w:lang w:val="en-US" w:eastAsia="zh-CN" w:bidi="ar"/>
        </w:rPr>
        <w:t>安全员不为同一人。</w:t>
      </w:r>
    </w:p>
    <w:p w14:paraId="5BA59C3D">
      <w:pPr>
        <w:pStyle w:val="5"/>
        <w:keepNext w:val="0"/>
        <w:keepLines w:val="0"/>
        <w:widowControl/>
        <w:suppressLineNumbers w:val="0"/>
        <w:spacing w:before="0" w:beforeAutospacing="0" w:after="0" w:afterAutospacing="0" w:line="360" w:lineRule="auto"/>
        <w:ind w:left="0" w:right="0" w:firstLine="540"/>
        <w:jc w:val="left"/>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bidi="ar"/>
        </w:rPr>
        <w:t>（2）</w:t>
      </w:r>
      <w:r>
        <w:rPr>
          <w:rFonts w:hint="eastAsia" w:ascii="仿宋" w:hAnsi="仿宋" w:eastAsia="仿宋" w:cs="仿宋"/>
          <w:bCs w:val="0"/>
          <w:color w:val="auto"/>
          <w:kern w:val="2"/>
          <w:sz w:val="24"/>
          <w:szCs w:val="24"/>
          <w:highlight w:val="none"/>
          <w:lang w:val="en-US" w:eastAsia="zh-CN" w:bidi="ar"/>
        </w:rPr>
        <w:t>合并招标时，</w:t>
      </w:r>
      <w:r>
        <w:rPr>
          <w:rFonts w:hint="eastAsia" w:ascii="仿宋" w:hAnsi="仿宋" w:eastAsia="仿宋" w:cs="仿宋"/>
          <w:b w:val="0"/>
          <w:bCs/>
          <w:color w:val="auto"/>
          <w:kern w:val="0"/>
          <w:sz w:val="24"/>
          <w:szCs w:val="24"/>
          <w:highlight w:val="none"/>
          <w:lang w:val="en-US" w:eastAsia="zh-CN" w:bidi="ar"/>
        </w:rPr>
        <w:t>建设地点不同的多个施工项目同步实施的，招标人应要求投标人根据项目地点分别组建不同的管理机构，每个项目地点需委派各自的项目负责人及专职安全员。分期实施的施工项目，招标人可根据“注册建造师不得同时在两个及两个以上的建设工程项目上担任施工单位项目负责人”的原则确定所需项目负责人数量。招标人可要求投标人在投标时提供所有的项目负责人及专职安全员，也可由投标人承诺中标后按要求配齐所有的项目负责人及专职安全员。</w:t>
      </w:r>
    </w:p>
    <w:p w14:paraId="6296FD9F">
      <w:pPr>
        <w:pStyle w:val="5"/>
        <w:keepNext w:val="0"/>
        <w:keepLines w:val="0"/>
        <w:widowControl/>
        <w:suppressLineNumbers w:val="0"/>
        <w:spacing w:before="75" w:beforeAutospacing="0" w:after="75" w:afterAutospacing="0" w:line="360" w:lineRule="auto"/>
        <w:ind w:left="0" w:right="0" w:firstLine="540"/>
        <w:jc w:val="left"/>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bidi="ar"/>
        </w:rPr>
        <w:t>（3）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8472629">
      <w:pPr>
        <w:pStyle w:val="5"/>
        <w:keepNext w:val="0"/>
        <w:keepLines w:val="0"/>
        <w:widowControl/>
        <w:suppressLineNumbers w:val="0"/>
        <w:spacing w:before="0" w:beforeAutospacing="0" w:after="0" w:afterAutospacing="0" w:line="360" w:lineRule="auto"/>
        <w:ind w:left="0" w:right="0" w:firstLine="540"/>
        <w:jc w:val="left"/>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bidi="ar"/>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A820C00">
      <w:pPr>
        <w:pStyle w:val="5"/>
        <w:keepNext w:val="0"/>
        <w:keepLines w:val="0"/>
        <w:widowControl/>
        <w:suppressLineNumbers w:val="0"/>
        <w:spacing w:before="0" w:beforeAutospacing="0" w:after="0" w:afterAutospacing="0" w:line="360" w:lineRule="auto"/>
        <w:ind w:left="0" w:right="0" w:firstLine="540"/>
        <w:jc w:val="left"/>
        <w:rPr>
          <w:rFonts w:hint="eastAsia" w:ascii="宋体" w:hAnsi="宋体" w:eastAsia="宋体" w:cs="宋体"/>
          <w:i/>
          <w:iCs w:val="0"/>
          <w:color w:val="auto"/>
          <w:kern w:val="0"/>
          <w:sz w:val="21"/>
          <w:szCs w:val="21"/>
          <w:highlight w:val="none"/>
        </w:rPr>
      </w:pPr>
      <w:r>
        <w:rPr>
          <w:rFonts w:hint="eastAsia" w:ascii="宋体" w:hAnsi="宋体" w:eastAsia="宋体" w:cs="宋体"/>
          <w:color w:val="auto"/>
          <w:kern w:val="0"/>
          <w:sz w:val="24"/>
          <w:szCs w:val="24"/>
          <w:highlight w:val="none"/>
          <w:lang w:val="en-US" w:eastAsia="zh-CN" w:bidi="ar"/>
        </w:rPr>
        <w:t>3.1.4 专职安全员资格要求：</w:t>
      </w:r>
      <w:r>
        <w:rPr>
          <w:rFonts w:hint="eastAsia" w:ascii="宋体" w:hAnsi="宋体" w:eastAsia="宋体" w:cs="宋体"/>
          <w:i w:val="0"/>
          <w:color w:val="auto"/>
          <w:kern w:val="0"/>
          <w:sz w:val="24"/>
          <w:szCs w:val="24"/>
          <w:highlight w:val="none"/>
          <w:u w:val="single"/>
          <w:lang w:val="en-US" w:eastAsia="zh-CN" w:bidi="ar"/>
        </w:rPr>
        <w:t>专职安全员须具有安全生产考核合格证（C类）或建筑施工企业专职安全生产管理人员安全生产考核合格证书（C3类）</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r>
        <w:rPr>
          <w:rFonts w:hint="default" w:ascii="仿宋_GB2312" w:hAnsi="宋体" w:eastAsia="仿宋_GB2312" w:cs="仿宋_GB2312"/>
          <w:color w:val="auto"/>
          <w:kern w:val="0"/>
          <w:sz w:val="24"/>
          <w:szCs w:val="24"/>
          <w:highlight w:val="none"/>
          <w:lang w:val="en-US" w:eastAsia="zh-CN" w:bidi="ar"/>
        </w:rPr>
        <w:t>注：专职安全员数量不少于建质</w:t>
      </w:r>
      <w:r>
        <w:rPr>
          <w:rFonts w:hint="eastAsia" w:ascii="宋体" w:hAnsi="宋体" w:eastAsia="宋体" w:cs="宋体"/>
          <w:color w:val="auto"/>
          <w:kern w:val="0"/>
          <w:sz w:val="24"/>
          <w:szCs w:val="24"/>
          <w:highlight w:val="none"/>
          <w:lang w:val="en-US" w:eastAsia="zh-CN" w:bidi="ar"/>
        </w:rPr>
        <w:t>〔</w:t>
      </w:r>
      <w:r>
        <w:rPr>
          <w:rFonts w:hint="default" w:ascii="仿宋_GB2312" w:hAnsi="宋体" w:eastAsia="仿宋_GB2312" w:cs="仿宋_GB2312"/>
          <w:bCs w:val="0"/>
          <w:color w:val="auto"/>
          <w:kern w:val="2"/>
          <w:sz w:val="24"/>
          <w:szCs w:val="24"/>
          <w:highlight w:val="none"/>
          <w:lang w:val="en-US" w:eastAsia="zh-CN" w:bidi="ar"/>
        </w:rPr>
        <w:t>2008</w:t>
      </w:r>
      <w:r>
        <w:rPr>
          <w:rFonts w:hint="eastAsia" w:ascii="宋体" w:hAnsi="宋体" w:eastAsia="宋体" w:cs="宋体"/>
          <w:color w:val="auto"/>
          <w:kern w:val="0"/>
          <w:sz w:val="24"/>
          <w:szCs w:val="24"/>
          <w:highlight w:val="none"/>
          <w:lang w:val="en-US" w:eastAsia="zh-CN" w:bidi="ar"/>
        </w:rPr>
        <w:t>〕</w:t>
      </w:r>
      <w:r>
        <w:rPr>
          <w:rFonts w:hint="default" w:ascii="仿宋_GB2312" w:hAnsi="宋体" w:eastAsia="仿宋_GB2312" w:cs="仿宋_GB2312"/>
          <w:color w:val="auto"/>
          <w:kern w:val="0"/>
          <w:sz w:val="24"/>
          <w:szCs w:val="24"/>
          <w:highlight w:val="none"/>
          <w:lang w:val="en-US" w:eastAsia="zh-CN" w:bidi="ar"/>
        </w:rPr>
        <w:t>91号文的规定</w:t>
      </w:r>
      <w:r>
        <w:rPr>
          <w:rFonts w:hint="eastAsia" w:ascii="宋体" w:hAnsi="宋体" w:eastAsia="宋体" w:cs="宋体"/>
          <w:color w:val="auto"/>
          <w:kern w:val="0"/>
          <w:sz w:val="24"/>
          <w:szCs w:val="24"/>
          <w:highlight w:val="none"/>
          <w:lang w:val="en-US" w:eastAsia="zh-CN" w:bidi="ar"/>
        </w:rPr>
        <w:t>）</w:t>
      </w:r>
    </w:p>
    <w:p w14:paraId="03DAE26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3.1.5 类似项目业绩要求：</w:t>
      </w:r>
      <w:r>
        <w:rPr>
          <w:rFonts w:hint="eastAsia" w:ascii="宋体" w:hAnsi="宋体"/>
          <w:color w:val="auto"/>
          <w:sz w:val="24"/>
          <w:szCs w:val="24"/>
          <w:highlight w:val="none"/>
        </w:rPr>
        <w:t>投标人自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2022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 1月 1日至今完成过质量合格的类似工程业绩（类似工程是指单项合同金额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500 </w:t>
      </w:r>
      <w:r>
        <w:rPr>
          <w:rFonts w:hint="eastAsia" w:ascii="宋体" w:hAnsi="宋体"/>
          <w:color w:val="auto"/>
          <w:sz w:val="24"/>
          <w:szCs w:val="24"/>
          <w:highlight w:val="none"/>
          <w:u w:val="none"/>
          <w:lang w:val="en-US" w:eastAsia="zh-CN"/>
        </w:rPr>
        <w:t>万</w:t>
      </w:r>
      <w:r>
        <w:rPr>
          <w:rFonts w:hint="eastAsia" w:ascii="宋体" w:hAnsi="宋体"/>
          <w:color w:val="auto"/>
          <w:sz w:val="24"/>
          <w:szCs w:val="24"/>
          <w:highlight w:val="none"/>
        </w:rPr>
        <w:t>元或以上</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10KV及以上电力</w:t>
      </w:r>
      <w:r>
        <w:rPr>
          <w:rFonts w:hint="eastAsia" w:ascii="宋体" w:hAnsi="宋体" w:cs="宋体"/>
          <w:color w:val="auto"/>
          <w:sz w:val="24"/>
          <w:szCs w:val="24"/>
          <w:highlight w:val="none"/>
        </w:rPr>
        <w:t>工程，</w:t>
      </w:r>
      <w:r>
        <w:rPr>
          <w:rFonts w:hint="eastAsia" w:ascii="宋体" w:hAnsi="宋体"/>
          <w:color w:val="auto"/>
          <w:sz w:val="24"/>
          <w:szCs w:val="24"/>
          <w:highlight w:val="none"/>
        </w:rPr>
        <w:t>完成时间以竣工验收时间为准。</w:t>
      </w:r>
      <w:r>
        <w:rPr>
          <w:rFonts w:hint="eastAsia" w:ascii="宋体" w:hAnsi="宋体"/>
          <w:color w:val="auto"/>
          <w:sz w:val="24"/>
          <w:szCs w:val="24"/>
          <w:highlight w:val="none"/>
          <w:lang w:eastAsia="zh-CN"/>
        </w:rPr>
        <w:t>（</w:t>
      </w:r>
      <w:r>
        <w:rPr>
          <w:rFonts w:hint="eastAsia" w:ascii="宋体" w:hAnsi="宋体"/>
          <w:color w:val="auto"/>
          <w:kern w:val="0"/>
          <w:sz w:val="24"/>
          <w:szCs w:val="24"/>
          <w:highlight w:val="none"/>
          <w:lang w:val="en-US" w:eastAsia="zh-CN"/>
        </w:rPr>
        <w:t>注：</w:t>
      </w:r>
      <w:r>
        <w:rPr>
          <w:rFonts w:hint="eastAsia" w:ascii="宋体" w:hAnsi="宋体"/>
          <w:color w:val="auto"/>
          <w:kern w:val="0"/>
          <w:sz w:val="24"/>
          <w:szCs w:val="24"/>
          <w:highlight w:val="none"/>
          <w:lang w:eastAsia="zh-CN"/>
        </w:rPr>
        <w:t>合同金额或者相关技术指标参数应当与工程项目的具体特点和实际需要相适应。）</w:t>
      </w:r>
      <w:r>
        <w:rPr>
          <w:rFonts w:hint="eastAsia" w:ascii="宋体" w:hAnsi="宋体"/>
          <w:color w:val="auto"/>
          <w:sz w:val="24"/>
          <w:szCs w:val="24"/>
          <w:highlight w:val="none"/>
        </w:rPr>
        <w:t>需同时提供中标通知书或免招标的相关证明、施工合同、竣工验收报告或竣工验收证明。</w:t>
      </w:r>
      <w:r>
        <w:rPr>
          <w:rFonts w:hint="eastAsia" w:ascii="宋体" w:hAnsi="宋体"/>
          <w:color w:val="auto"/>
          <w:kern w:val="0"/>
          <w:sz w:val="24"/>
          <w:szCs w:val="24"/>
          <w:highlight w:val="none"/>
        </w:rPr>
        <w:t>如以上资料不能证明业绩规模的技术指标（指面积、高度、跨度、管径等）的，须另提供可证明业绩技术指标的其他资料。</w:t>
      </w:r>
      <w:r>
        <w:rPr>
          <w:rFonts w:hint="eastAsia" w:ascii="宋体" w:hAnsi="宋体" w:cs="宋体"/>
          <w:color w:val="auto"/>
          <w:sz w:val="24"/>
          <w:szCs w:val="24"/>
          <w:highlight w:val="none"/>
        </w:rPr>
        <w:t>由总承包单位依法分包的专业工程业绩，需同时提供总承包单位的中标通知书（</w:t>
      </w:r>
      <w:r>
        <w:rPr>
          <w:rFonts w:hint="eastAsia" w:ascii="宋体" w:hAnsi="宋体" w:cs="宋体"/>
          <w:color w:val="auto"/>
          <w:sz w:val="24"/>
          <w:szCs w:val="24"/>
          <w:highlight w:val="none"/>
          <w:lang w:eastAsia="zh-CN"/>
        </w:rPr>
        <w:t>扫描</w:t>
      </w:r>
      <w:r>
        <w:rPr>
          <w:rFonts w:hint="eastAsia" w:ascii="宋体" w:hAnsi="宋体" w:cs="宋体"/>
          <w:color w:val="auto"/>
          <w:sz w:val="24"/>
          <w:szCs w:val="24"/>
          <w:highlight w:val="none"/>
        </w:rPr>
        <w:t>件）、经业主和总承包单位确认的分包合同、竣工验收报告或竣工验收证明</w:t>
      </w:r>
      <w:r>
        <w:rPr>
          <w:rFonts w:hint="eastAsia" w:ascii="宋体" w:hAnsi="宋体" w:cs="宋体"/>
          <w:color w:val="auto"/>
          <w:sz w:val="24"/>
          <w:szCs w:val="24"/>
          <w:highlight w:val="none"/>
          <w:lang w:eastAsia="zh-CN"/>
        </w:rPr>
        <w:t>。</w:t>
      </w:r>
    </w:p>
    <w:p w14:paraId="7B72B5E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(1)类似业绩证明的信息须明确显示该业绩项目名称、中标价、规模（如管径、泵站提升量、水处理厂日处理量等技术指标）等信息。以上资料不能证明业绩规模的，须另提供可证明的其他资料。类似业绩在中标候选人公示期间一并进行公示。</w:t>
      </w:r>
    </w:p>
    <w:p w14:paraId="01095BAC">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金额以中标通知书为准，中标通知书上没有金额或免招标的，以施工合同（不含补充合同）为准。</w:t>
      </w:r>
    </w:p>
    <w:p w14:paraId="5E42FE60">
      <w:pPr>
        <w:widowControl/>
        <w:spacing w:line="360" w:lineRule="auto"/>
        <w:ind w:firstLine="315"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)类似工程业绩是指</w:t>
      </w:r>
      <w:r>
        <w:rPr>
          <w:rFonts w:hint="eastAsia" w:ascii="仿宋" w:hAnsi="仿宋" w:eastAsia="仿宋" w:cs="仿宋"/>
          <w:i w:val="0"/>
          <w:iCs w:val="0"/>
          <w:caps w:val="0"/>
          <w:color w:val="auto"/>
          <w:spacing w:val="0"/>
          <w:kern w:val="0"/>
          <w:sz w:val="24"/>
          <w:szCs w:val="24"/>
          <w:highlight w:val="none"/>
        </w:rPr>
        <w:t>是指按《住房城乡建设部关于印发〈建筑业企业资质标准〉的通知》（建市〔2014〕159号）等企业资质管理规定，应当采用的资质类别与招标项目应当采用的资质类别相同的工程。对于市政公用工程招标项目所设“类似工程”可以根据招标项目类型细化至给水工程、排水工程、燃气工程、热力工程、城市道路工程、城市桥梁工程、城市隧道工程、公共交通工程、轨道交通工程、环境卫生工程、照明工程</w:t>
      </w:r>
      <w:r>
        <w:rPr>
          <w:rFonts w:hint="eastAsia" w:ascii="仿宋" w:hAnsi="仿宋" w:eastAsia="仿宋" w:cs="仿宋"/>
          <w:color w:val="auto"/>
          <w:kern w:val="0"/>
          <w:sz w:val="24"/>
          <w:szCs w:val="24"/>
          <w:highlight w:val="none"/>
        </w:rPr>
        <w:t>，且不得超过招标工程本身技术、经济指标的三分之二；对于特殊性工程、复杂和大型工程的施工总承包、施工专业承包的招标工程，招标人在投标人资格条件中可设置招标项目所需企业资质级别或以上资质方能承接的工程业绩，或可在工程业绩要求中设置必要的功能或规模或金额的一个技术经济指标要求，技术经济指标要求不得超过招标工程本身技术经济指标的三分之二。</w:t>
      </w:r>
    </w:p>
    <w:p w14:paraId="30C33E95">
      <w:pPr>
        <w:pStyle w:val="5"/>
        <w:keepNext w:val="0"/>
        <w:keepLines w:val="0"/>
        <w:widowControl/>
        <w:suppressLineNumbers w:val="0"/>
        <w:spacing w:before="0" w:beforeAutospacing="0" w:after="0" w:afterAutospacing="0" w:line="360" w:lineRule="auto"/>
        <w:ind w:left="0" w:right="0" w:firstLine="540"/>
        <w:jc w:val="left"/>
        <w:rPr>
          <w:rFonts w:hint="eastAsia" w:ascii="宋体" w:hAnsi="宋体" w:eastAsia="宋体" w:cs="宋体"/>
          <w:i w:val="0"/>
          <w:color w:val="auto"/>
          <w:kern w:val="0"/>
          <w:sz w:val="24"/>
          <w:szCs w:val="24"/>
          <w:highlight w:val="none"/>
          <w:u w:val="single"/>
        </w:rPr>
      </w:pPr>
      <w:r>
        <w:rPr>
          <w:rFonts w:hint="eastAsia" w:ascii="宋体" w:hAnsi="宋体" w:eastAsia="宋体" w:cs="宋体"/>
          <w:color w:val="auto"/>
          <w:kern w:val="0"/>
          <w:sz w:val="24"/>
          <w:szCs w:val="24"/>
          <w:highlight w:val="none"/>
          <w:lang w:val="en-US" w:eastAsia="zh-CN" w:bidi="ar"/>
        </w:rPr>
        <w:t>3.1.6 提交社保文件的要求：</w:t>
      </w:r>
      <w:r>
        <w:rPr>
          <w:rFonts w:hint="eastAsia" w:ascii="宋体" w:hAnsi="宋体" w:eastAsia="宋体" w:cs="宋体"/>
          <w:i w:val="0"/>
          <w:color w:val="auto"/>
          <w:kern w:val="0"/>
          <w:sz w:val="24"/>
          <w:szCs w:val="24"/>
          <w:highlight w:val="none"/>
          <w:u w:val="single"/>
          <w:lang w:val="en-US" w:eastAsia="zh-CN" w:bidi="ar"/>
        </w:rPr>
        <w:t>投标申请人须保证授权的委托代理人及项目部主要组成人员（项目负责人、技术负责人（如有）、专职安全员）均为本单位的正式职工，必须具有离投标截止时间最近的至少1个月（时间为：2025年7月）在本单位缴纳的社保证明文件。</w:t>
      </w:r>
    </w:p>
    <w:p w14:paraId="5BE2C608">
      <w:pPr>
        <w:pStyle w:val="5"/>
        <w:keepNext w:val="0"/>
        <w:keepLines w:val="0"/>
        <w:widowControl/>
        <w:suppressLineNumbers w:val="0"/>
        <w:spacing w:before="0" w:beforeAutospacing="0" w:after="0" w:afterAutospacing="0" w:line="360" w:lineRule="auto"/>
        <w:ind w:left="0" w:right="0" w:firstLine="5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3.1.7投标人提交的《投标人声明》（格式见本公告附件一）内容及签署盖章与招标文件要求一致，</w:t>
      </w:r>
      <w:r>
        <w:rPr>
          <w:rFonts w:hint="eastAsia" w:ascii="宋体" w:hAnsi="宋体" w:eastAsia="宋体" w:cs="宋体"/>
          <w:b w:val="0"/>
          <w:bCs w:val="0"/>
          <w:color w:val="auto"/>
          <w:kern w:val="0"/>
          <w:sz w:val="24"/>
          <w:szCs w:val="24"/>
          <w:highlight w:val="none"/>
          <w:lang w:val="en-US" w:eastAsia="zh-CN" w:bidi="ar"/>
        </w:rPr>
        <w:t>法定代表人、项目负责人、技术负责人</w:t>
      </w:r>
      <w:r>
        <w:rPr>
          <w:rFonts w:hint="eastAsia" w:ascii="宋体" w:hAnsi="宋体" w:eastAsia="宋体" w:cs="宋体"/>
          <w:color w:val="auto"/>
          <w:kern w:val="0"/>
          <w:sz w:val="24"/>
          <w:szCs w:val="24"/>
          <w:highlight w:val="none"/>
          <w:lang w:val="en-US" w:eastAsia="zh-CN" w:bidi="ar"/>
        </w:rPr>
        <w:t>均必须签字，没有签字不予通过资格审查。</w:t>
      </w:r>
    </w:p>
    <w:p w14:paraId="18120332">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1.8投标人未被列入“在一定期限内依法取消参加依法必须进行招标的项目的投标资格”，具体名单以递交投标文件截止时间“信用广州”公布的“黑名单”为准。</w:t>
      </w:r>
    </w:p>
    <w:p w14:paraId="5C33E618">
      <w:pPr>
        <w:pStyle w:val="5"/>
        <w:keepNext w:val="0"/>
        <w:keepLines w:val="0"/>
        <w:widowControl/>
        <w:suppressLineNumbers w:val="0"/>
        <w:spacing w:before="0" w:beforeAutospacing="0" w:after="0" w:afterAutospacing="0" w:line="360" w:lineRule="auto"/>
        <w:ind w:left="0" w:right="0" w:firstLine="540"/>
        <w:jc w:val="left"/>
        <w:rPr>
          <w:rFonts w:hint="eastAsia" w:ascii="宋体" w:hAnsi="宋体" w:eastAsia="宋体" w:cs="宋体"/>
          <w:color w:val="auto"/>
          <w:kern w:val="0"/>
          <w:sz w:val="24"/>
          <w:szCs w:val="24"/>
          <w:highlight w:val="none"/>
        </w:rPr>
      </w:pPr>
      <w:r>
        <w:rPr>
          <w:rFonts w:hint="eastAsia" w:ascii="仿宋" w:hAnsi="仿宋" w:eastAsia="仿宋" w:cs="仿宋"/>
          <w:color w:val="auto"/>
          <w:kern w:val="0"/>
          <w:sz w:val="24"/>
          <w:szCs w:val="24"/>
          <w:highlight w:val="none"/>
          <w:lang w:val="en-US" w:eastAsia="zh-CN" w:bidi="ar"/>
        </w:rPr>
        <w:t>注：《全国失信惩戒措施清单基础清单》（2024版）</w:t>
      </w:r>
      <w:r>
        <w:rPr>
          <w:rFonts w:hint="eastAsia" w:ascii="仿宋" w:hAnsi="仿宋" w:eastAsia="仿宋" w:cs="仿宋"/>
          <w:i w:val="0"/>
          <w:iCs w:val="0"/>
          <w:caps w:val="0"/>
          <w:color w:val="auto"/>
          <w:spacing w:val="0"/>
          <w:kern w:val="0"/>
          <w:sz w:val="24"/>
          <w:szCs w:val="24"/>
          <w:highlight w:val="none"/>
          <w:lang w:val="en-US" w:eastAsia="zh-CN" w:bidi="ar"/>
        </w:rPr>
        <w:t>。</w:t>
      </w:r>
    </w:p>
    <w:p w14:paraId="7561436F">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i w:val="0"/>
          <w:color w:val="auto"/>
          <w:kern w:val="0"/>
          <w:sz w:val="24"/>
          <w:szCs w:val="24"/>
          <w:highlight w:val="none"/>
          <w:u w:val="single"/>
          <w:lang w:val="en-US" w:eastAsia="zh-CN" w:bidi="ar"/>
        </w:rPr>
        <w:t>3.2本次招标 不接受 联合体投标。</w:t>
      </w:r>
    </w:p>
    <w:p w14:paraId="2DC44F2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3.3本次招标实行资格后审，资格审查不合格的投标人投标文件将按无效投标处理被否决。</w:t>
      </w:r>
    </w:p>
    <w:p w14:paraId="1EC2221D">
      <w:pPr>
        <w:keepNext w:val="0"/>
        <w:keepLines w:val="0"/>
        <w:widowControl w:val="0"/>
        <w:suppressLineNumbers w:val="0"/>
        <w:spacing w:before="0" w:beforeAutospacing="0" w:after="0" w:afterAutospacing="0" w:line="360" w:lineRule="auto"/>
        <w:ind w:left="0" w:right="0" w:firstLine="542" w:firstLineChars="225"/>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w:t>
      </w:r>
      <w:r>
        <w:rPr>
          <w:rFonts w:hint="eastAsia" w:ascii="宋体" w:hAnsi="宋体" w:eastAsia="宋体" w:cs="Times New Roman"/>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招标公告发布和招标文件的获取</w:t>
      </w:r>
    </w:p>
    <w:p w14:paraId="450404AF">
      <w:pPr>
        <w:keepNext w:val="0"/>
        <w:keepLines w:val="0"/>
        <w:widowControl/>
        <w:suppressLineNumbers w:val="0"/>
        <w:shd w:val="clear" w:color="auto" w:fill="FFFFFF"/>
        <w:snapToGrid w:val="0"/>
        <w:spacing w:before="0" w:beforeAutospacing="0" w:after="0" w:afterAutospacing="0" w:line="360" w:lineRule="auto"/>
        <w:ind w:left="0" w:right="0" w:firstLine="480" w:firstLineChars="200"/>
        <w:jc w:val="both"/>
        <w:rPr>
          <w:rFonts w:hint="eastAsia" w:ascii="宋体" w:hAnsi="宋体" w:eastAsia="宋体" w:cs="Times New Roman"/>
          <w:bCs/>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4</w:t>
      </w:r>
      <w:r>
        <w:rPr>
          <w:rFonts w:hint="eastAsia" w:ascii="宋体" w:hAnsi="宋体" w:eastAsia="宋体" w:cs="Times New Roman"/>
          <w:color w:val="auto"/>
          <w:kern w:val="2"/>
          <w:sz w:val="24"/>
          <w:szCs w:val="24"/>
          <w:highlight w:val="none"/>
          <w:shd w:val="clear" w:color="auto" w:fill="FFFFFF"/>
          <w:lang w:val="en-US" w:eastAsia="zh-CN" w:bidi="ar"/>
        </w:rPr>
        <w:t>.1</w:t>
      </w:r>
      <w:r>
        <w:rPr>
          <w:rFonts w:hint="eastAsia" w:ascii="宋体" w:hAnsi="宋体" w:eastAsia="宋体" w:cs="宋体"/>
          <w:bCs/>
          <w:color w:val="auto"/>
          <w:kern w:val="2"/>
          <w:sz w:val="24"/>
          <w:szCs w:val="24"/>
          <w:highlight w:val="none"/>
          <w:shd w:val="clear" w:color="auto" w:fill="FFFFFF"/>
          <w:lang w:val="en-US" w:eastAsia="zh-CN" w:bidi="ar"/>
        </w:rPr>
        <w:t>招标公告发布时间</w:t>
      </w:r>
    </w:p>
    <w:p w14:paraId="079BF4EB">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宋体"/>
          <w:i w:val="0"/>
          <w:color w:val="auto"/>
          <w:kern w:val="0"/>
          <w:sz w:val="24"/>
          <w:szCs w:val="24"/>
          <w:highlight w:val="none"/>
        </w:rPr>
      </w:pPr>
      <w:r>
        <w:rPr>
          <w:rFonts w:hint="eastAsia" w:ascii="宋体" w:hAnsi="宋体" w:eastAsia="宋体" w:cs="宋体"/>
          <w:i w:val="0"/>
          <w:color w:val="auto"/>
          <w:kern w:val="0"/>
          <w:sz w:val="24"/>
          <w:szCs w:val="24"/>
          <w:highlight w:val="none"/>
          <w:lang w:val="en-US" w:eastAsia="zh-CN" w:bidi="ar"/>
        </w:rPr>
        <w:t>从2025年____月____日至2025年____月____日___时____分，凡有意参加投标者，请登录广州交易集团有限公司（广州公共资源交易中心）网站下载电子招标文件。（注：发布招标公告的时间为招标公告发出之日起至投标截止时间止）。</w:t>
      </w:r>
    </w:p>
    <w:p w14:paraId="37E92314">
      <w:pPr>
        <w:keepNext w:val="0"/>
        <w:keepLines w:val="0"/>
        <w:widowControl/>
        <w:suppressLineNumbers w:val="0"/>
        <w:shd w:val="clear" w:color="auto" w:fill="FFFFFF"/>
        <w:snapToGrid w:val="0"/>
        <w:spacing w:before="0" w:beforeAutospacing="0" w:after="0" w:afterAutospacing="0" w:line="360" w:lineRule="auto"/>
        <w:ind w:left="0" w:right="0" w:firstLine="480" w:firstLineChars="200"/>
        <w:jc w:val="both"/>
        <w:rPr>
          <w:rFonts w:hint="eastAsia" w:ascii="宋体" w:hAnsi="宋体" w:eastAsia="宋体" w:cs="Times New Roman"/>
          <w:bCs/>
          <w:color w:val="auto"/>
          <w:kern w:val="2"/>
          <w:sz w:val="24"/>
          <w:szCs w:val="24"/>
          <w:highlight w:val="none"/>
          <w:shd w:val="clear" w:color="auto" w:fill="FFFFFF"/>
        </w:rPr>
      </w:pPr>
      <w:r>
        <w:rPr>
          <w:rFonts w:hint="eastAsia" w:ascii="宋体" w:hAnsi="宋体" w:eastAsia="宋体" w:cs="宋体"/>
          <w:bCs/>
          <w:color w:val="auto"/>
          <w:kern w:val="2"/>
          <w:sz w:val="24"/>
          <w:szCs w:val="24"/>
          <w:highlight w:val="none"/>
          <w:shd w:val="clear" w:color="auto" w:fill="FFFFFF"/>
          <w:lang w:val="en-US" w:eastAsia="zh-CN" w:bidi="ar"/>
        </w:rPr>
        <w:t>4.2招标文件获取方式</w:t>
      </w:r>
    </w:p>
    <w:p w14:paraId="0D78EDFF">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本项</w:t>
      </w:r>
      <w:r>
        <w:rPr>
          <w:rFonts w:hint="eastAsia" w:ascii="宋体" w:hAnsi="宋体" w:eastAsia="宋体" w:cs="宋体"/>
          <w:color w:val="auto"/>
          <w:kern w:val="2"/>
          <w:sz w:val="24"/>
          <w:szCs w:val="24"/>
          <w:highlight w:val="none"/>
          <w:lang w:val="en-US" w:eastAsia="zh-CN" w:bidi="ar"/>
        </w:rPr>
        <w:t>目招标文件随招标公告一并在广州交易集团有限公司（广州公共资源交易中心）网站发布，由投标人自行下载。</w:t>
      </w:r>
    </w:p>
    <w:p w14:paraId="7BA39142">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4.3招标公告网上发布时，</w:t>
      </w:r>
      <w:r>
        <w:rPr>
          <w:rFonts w:hint="eastAsia" w:ascii="宋体" w:hAnsi="宋体" w:eastAsia="宋体" w:cs="宋体"/>
          <w:bCs/>
          <w:color w:val="auto"/>
          <w:kern w:val="2"/>
          <w:sz w:val="24"/>
          <w:szCs w:val="24"/>
          <w:highlight w:val="none"/>
          <w:lang w:val="en-US" w:eastAsia="zh-CN" w:bidi="ar"/>
        </w:rPr>
        <w:t>同时</w:t>
      </w:r>
      <w:r>
        <w:rPr>
          <w:rFonts w:hint="eastAsia" w:ascii="宋体" w:hAnsi="宋体" w:eastAsia="宋体" w:cs="宋体"/>
          <w:color w:val="auto"/>
          <w:kern w:val="2"/>
          <w:sz w:val="24"/>
          <w:szCs w:val="24"/>
          <w:highlight w:val="none"/>
          <w:lang w:val="en-US" w:eastAsia="zh-CN" w:bidi="ar"/>
        </w:rPr>
        <w:t>在广州交易集团有限公司（广州公共资源交易中心）网站</w:t>
      </w:r>
      <w:r>
        <w:rPr>
          <w:rFonts w:hint="eastAsia" w:ascii="宋体" w:hAnsi="宋体" w:eastAsia="宋体" w:cs="宋体"/>
          <w:bCs/>
          <w:color w:val="auto"/>
          <w:kern w:val="2"/>
          <w:sz w:val="24"/>
          <w:szCs w:val="24"/>
          <w:highlight w:val="none"/>
          <w:lang w:val="en-US" w:eastAsia="zh-CN" w:bidi="ar"/>
        </w:rPr>
        <w:t>发布招标文件、施工图纸、最高投标限价</w:t>
      </w:r>
      <w:r>
        <w:rPr>
          <w:rFonts w:hint="eastAsia" w:ascii="宋体" w:hAnsi="宋体" w:eastAsia="宋体" w:cs="宋体"/>
          <w:color w:val="auto"/>
          <w:kern w:val="2"/>
          <w:sz w:val="24"/>
          <w:szCs w:val="24"/>
          <w:highlight w:val="none"/>
          <w:lang w:val="en-US" w:eastAsia="zh-CN" w:bidi="ar"/>
        </w:rPr>
        <w:t>。</w:t>
      </w:r>
    </w:p>
    <w:p w14:paraId="1BF80E4A">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4.4如招标人需发布补充公告的，以最后发布的补充公告的时间起计算编制投标文件时间，并需在招标答疑中明确说明。</w:t>
      </w:r>
    </w:p>
    <w:p w14:paraId="796E1ADF">
      <w:pPr>
        <w:keepNext w:val="0"/>
        <w:keepLines w:val="0"/>
        <w:widowControl w:val="0"/>
        <w:suppressLineNumbers w:val="0"/>
        <w:spacing w:before="0" w:beforeAutospacing="0" w:after="0" w:afterAutospacing="0" w:line="360" w:lineRule="auto"/>
        <w:ind w:left="0" w:right="0" w:firstLine="542" w:firstLineChars="225"/>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w:t>
      </w:r>
      <w:r>
        <w:rPr>
          <w:rFonts w:hint="eastAsia" w:ascii="宋体" w:hAnsi="宋体" w:eastAsia="宋体" w:cs="Times New Roman"/>
          <w:b/>
          <w:bCs w:val="0"/>
          <w:color w:val="auto"/>
          <w:kern w:val="2"/>
          <w:sz w:val="24"/>
          <w:szCs w:val="24"/>
          <w:highlight w:val="none"/>
          <w:lang w:val="en-US" w:eastAsia="zh-CN" w:bidi="ar"/>
        </w:rPr>
        <w:t>. 投标文件的递交</w:t>
      </w:r>
    </w:p>
    <w:p w14:paraId="2AC5E11E">
      <w:pPr>
        <w:keepNext w:val="0"/>
        <w:keepLines w:val="0"/>
        <w:widowControl w:val="0"/>
        <w:numPr>
          <w:ilvl w:val="0"/>
          <w:numId w:val="2"/>
        </w:numPr>
        <w:suppressLineNumbers w:val="0"/>
        <w:spacing w:before="0" w:beforeAutospacing="0" w:after="0" w:afterAutospacing="0" w:line="360" w:lineRule="auto"/>
        <w:ind w:left="420" w:right="0" w:firstLine="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递交投标文件起始时间：</w:t>
      </w:r>
      <w:r>
        <w:rPr>
          <w:rFonts w:hint="eastAsia" w:ascii="宋体" w:hAnsi="宋体" w:eastAsia="宋体" w:cs="宋体"/>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p w14:paraId="7C1B8841">
      <w:pPr>
        <w:keepNext w:val="0"/>
        <w:keepLines w:val="0"/>
        <w:widowControl w:val="0"/>
        <w:suppressLineNumbers w:val="0"/>
        <w:spacing w:before="0" w:beforeAutospacing="0" w:after="0" w:afterAutospacing="0" w:line="360" w:lineRule="auto"/>
        <w:ind w:left="0" w:right="0" w:firstLine="2160" w:firstLineChars="90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截止时间：</w:t>
      </w:r>
      <w:r>
        <w:rPr>
          <w:rFonts w:hint="eastAsia" w:ascii="宋体" w:hAnsi="宋体" w:eastAsia="宋体" w:cs="宋体"/>
          <w:color w:val="auto"/>
          <w:kern w:val="2"/>
          <w:sz w:val="24"/>
          <w:szCs w:val="24"/>
          <w:highlight w:val="none"/>
          <w:u w:val="single"/>
          <w:lang w:val="en-US" w:eastAsia="zh-CN" w:bidi="ar"/>
        </w:rPr>
        <w:t>2025</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时</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分</w:t>
      </w:r>
    </w:p>
    <w:p w14:paraId="0783EA22">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在投标截止时间后半小时内，投标人通过</w:t>
      </w:r>
      <w:r>
        <w:rPr>
          <w:rFonts w:hint="eastAsia" w:ascii="宋体" w:hAnsi="宋体" w:eastAsia="宋体" w:cs="宋体"/>
          <w:color w:val="auto"/>
          <w:kern w:val="2"/>
          <w:sz w:val="24"/>
          <w:szCs w:val="24"/>
          <w:highlight w:val="none"/>
          <w:u w:val="single"/>
          <w:lang w:val="en-US" w:eastAsia="zh-CN" w:bidi="ar"/>
        </w:rPr>
        <w:t>广州交易集团有限公司（广州公共资源交易中心）</w:t>
      </w:r>
      <w:r>
        <w:rPr>
          <w:rFonts w:hint="eastAsia" w:ascii="宋体" w:hAnsi="宋体" w:eastAsia="宋体" w:cs="宋体"/>
          <w:color w:val="auto"/>
          <w:kern w:val="2"/>
          <w:sz w:val="24"/>
          <w:szCs w:val="24"/>
          <w:highlight w:val="none"/>
          <w:lang w:val="en-US" w:eastAsia="zh-CN" w:bidi="ar"/>
        </w:rPr>
        <w:t>网站对已递交的电子投标文件进行解密。</w:t>
      </w:r>
    </w:p>
    <w:p w14:paraId="16CD84E9">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5.2开标开始时间：2025年_</w:t>
      </w:r>
      <w:r>
        <w:rPr>
          <w:rFonts w:hint="eastAsia" w:ascii="宋体" w:hAnsi="宋体" w:eastAsia="宋体" w:cs="Times New Roman"/>
          <w:color w:val="auto"/>
          <w:kern w:val="2"/>
          <w:sz w:val="24"/>
          <w:szCs w:val="24"/>
          <w:highlight w:val="none"/>
          <w:lang w:val="en-US" w:eastAsia="zh-CN" w:bidi="ar"/>
        </w:rPr>
        <w:t>_</w:t>
      </w:r>
      <w:r>
        <w:rPr>
          <w:rFonts w:hint="eastAsia" w:ascii="宋体" w:hAnsi="宋体" w:eastAsia="宋体" w:cs="宋体"/>
          <w:color w:val="auto"/>
          <w:kern w:val="2"/>
          <w:sz w:val="24"/>
          <w:szCs w:val="24"/>
          <w:highlight w:val="none"/>
          <w:lang w:val="en-US" w:eastAsia="zh-CN" w:bidi="ar"/>
        </w:rPr>
        <w:t>_月_</w:t>
      </w:r>
      <w:r>
        <w:rPr>
          <w:rFonts w:hint="eastAsia" w:ascii="宋体" w:hAnsi="宋体" w:eastAsia="宋体" w:cs="Times New Roman"/>
          <w:color w:val="auto"/>
          <w:kern w:val="2"/>
          <w:sz w:val="24"/>
          <w:szCs w:val="24"/>
          <w:highlight w:val="none"/>
          <w:lang w:val="en-US" w:eastAsia="zh-CN" w:bidi="ar"/>
        </w:rPr>
        <w:t>_</w:t>
      </w:r>
      <w:r>
        <w:rPr>
          <w:rFonts w:hint="eastAsia" w:ascii="宋体" w:hAnsi="宋体" w:eastAsia="宋体" w:cs="宋体"/>
          <w:color w:val="auto"/>
          <w:kern w:val="2"/>
          <w:sz w:val="24"/>
          <w:szCs w:val="24"/>
          <w:highlight w:val="none"/>
          <w:lang w:val="en-US" w:eastAsia="zh-CN" w:bidi="ar"/>
        </w:rPr>
        <w:t>_日_</w:t>
      </w:r>
      <w:r>
        <w:rPr>
          <w:rFonts w:hint="eastAsia" w:ascii="宋体" w:hAnsi="宋体" w:eastAsia="宋体" w:cs="Times New Roman"/>
          <w:color w:val="auto"/>
          <w:kern w:val="2"/>
          <w:sz w:val="24"/>
          <w:szCs w:val="24"/>
          <w:highlight w:val="none"/>
          <w:lang w:val="en-US" w:eastAsia="zh-CN" w:bidi="ar"/>
        </w:rPr>
        <w:t>_</w:t>
      </w:r>
      <w:r>
        <w:rPr>
          <w:rFonts w:hint="eastAsia" w:ascii="宋体" w:hAnsi="宋体" w:eastAsia="宋体" w:cs="宋体"/>
          <w:color w:val="auto"/>
          <w:kern w:val="2"/>
          <w:sz w:val="24"/>
          <w:szCs w:val="24"/>
          <w:highlight w:val="none"/>
          <w:lang w:val="en-US" w:eastAsia="zh-CN" w:bidi="ar"/>
        </w:rPr>
        <w:t>_时_</w:t>
      </w:r>
      <w:r>
        <w:rPr>
          <w:rFonts w:hint="eastAsia" w:ascii="宋体" w:hAnsi="宋体" w:eastAsia="宋体" w:cs="Times New Roman"/>
          <w:color w:val="auto"/>
          <w:kern w:val="2"/>
          <w:sz w:val="24"/>
          <w:szCs w:val="24"/>
          <w:highlight w:val="none"/>
          <w:lang w:val="en-US" w:eastAsia="zh-CN" w:bidi="ar"/>
        </w:rPr>
        <w:t>_</w:t>
      </w:r>
      <w:r>
        <w:rPr>
          <w:rFonts w:hint="eastAsia" w:ascii="宋体" w:hAnsi="宋体" w:eastAsia="宋体" w:cs="宋体"/>
          <w:color w:val="auto"/>
          <w:kern w:val="2"/>
          <w:sz w:val="24"/>
          <w:szCs w:val="24"/>
          <w:highlight w:val="none"/>
          <w:lang w:val="en-US" w:eastAsia="zh-CN" w:bidi="ar"/>
        </w:rPr>
        <w:t>_分</w:t>
      </w:r>
    </w:p>
    <w:p w14:paraId="6FF7650C">
      <w:pPr>
        <w:keepNext w:val="0"/>
        <w:keepLines w:val="0"/>
        <w:widowControl w:val="0"/>
        <w:suppressLineNumbers w:val="0"/>
        <w:spacing w:before="0" w:beforeAutospacing="0" w:after="0" w:afterAutospacing="0" w:line="360" w:lineRule="auto"/>
        <w:ind w:left="0" w:right="0" w:firstLine="540" w:firstLineChars="22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5.3递交投标文件截止时间与开标开始时间是否有变化，请密切留意招标答疑中的相关信息。递交投标文件截止时间后，开标开始时间因故推迟的，相关评标信息仍以原递交投标文件截止时间的信息为准。</w:t>
      </w:r>
    </w:p>
    <w:p w14:paraId="6926620E">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5.4投标人通过广州交易集团有限公司（广州公共资源交易中心）网站递交电子投标文件。投标人应在递交投标文件截止时间前，登录广州交易集团有限公司（广州公共资源交易中心）网站办理网上投标登记手续。按照广州交易集团有限公司（广州公共资源交易中心）网站关于全流程电子化项目的相关指南进行操作。</w:t>
      </w:r>
    </w:p>
    <w:p w14:paraId="0194788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5.5投标人应自行检查广州交易集团有限公司（广州公共资源交易中心）信息登记中的企业基础信息扫描件（包括企业资质证书、企业营业执照、企业安全生产许可证、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5817159E">
      <w:pPr>
        <w:keepNext w:val="0"/>
        <w:keepLines w:val="0"/>
        <w:widowControl w:val="0"/>
        <w:suppressLineNumbers w:val="0"/>
        <w:spacing w:before="0" w:beforeAutospacing="0" w:after="0" w:afterAutospacing="0" w:line="360" w:lineRule="auto"/>
        <w:ind w:left="0" w:right="0" w:firstLine="542" w:firstLineChars="225"/>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6、办理企业信息登记</w:t>
      </w:r>
    </w:p>
    <w:p w14:paraId="0C4F1BE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本次招标要求投标人办理网上投标登记前，须在广州交易集团有限公司（广州公共资源交易中心）网站完成企业信息登记，及拟担任本工程项目负责人、专职安全员须是本企业信息登记中的在册人员。</w:t>
      </w:r>
      <w:r>
        <w:rPr>
          <w:rFonts w:hint="eastAsia" w:ascii="宋体" w:hAnsi="宋体" w:eastAsia="宋体" w:cs="宋体"/>
          <w:color w:val="auto"/>
          <w:kern w:val="0"/>
          <w:sz w:val="24"/>
          <w:szCs w:val="24"/>
          <w:highlight w:val="none"/>
          <w:lang w:val="en-US" w:eastAsia="zh-CN" w:bidi="ar"/>
        </w:rPr>
        <w:t>企业信息登记应按照</w:t>
      </w:r>
      <w:r>
        <w:rPr>
          <w:rFonts w:hint="eastAsia" w:ascii="宋体" w:hAnsi="宋体" w:eastAsia="宋体" w:cs="宋体"/>
          <w:color w:val="auto"/>
          <w:kern w:val="2"/>
          <w:sz w:val="24"/>
          <w:szCs w:val="24"/>
          <w:highlight w:val="none"/>
          <w:lang w:val="en-US" w:eastAsia="zh-CN" w:bidi="ar"/>
        </w:rPr>
        <w:t>广州交易集团有限公司（广州公共资源交易中心）网站</w:t>
      </w:r>
      <w:r>
        <w:rPr>
          <w:rFonts w:hint="eastAsia" w:ascii="宋体" w:hAnsi="宋体" w:eastAsia="宋体" w:cs="宋体"/>
          <w:color w:val="auto"/>
          <w:kern w:val="0"/>
          <w:sz w:val="24"/>
          <w:szCs w:val="24"/>
          <w:highlight w:val="none"/>
          <w:lang w:val="en-US" w:eastAsia="zh-CN" w:bidi="ar"/>
        </w:rPr>
        <w:t>关于企业信息登记的相关指南进行操作。</w:t>
      </w:r>
    </w:p>
    <w:p w14:paraId="6DEBCBA0">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bidi="ar"/>
        </w:rPr>
        <w:t>7. 疑问、异议和投诉处理</w:t>
      </w:r>
    </w:p>
    <w:p w14:paraId="23D11769">
      <w:pPr>
        <w:keepNext w:val="0"/>
        <w:keepLines w:val="0"/>
        <w:widowControl/>
        <w:suppressLineNumbers w:val="0"/>
        <w:spacing w:before="94" w:beforeAutospacing="0" w:after="94"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7.1</w:t>
      </w:r>
      <w:r>
        <w:rPr>
          <w:rFonts w:hint="eastAsia" w:ascii="宋体" w:hAnsi="宋体" w:eastAsia="宋体" w:cs="宋体"/>
          <w:color w:val="auto"/>
          <w:kern w:val="2"/>
          <w:sz w:val="24"/>
          <w:szCs w:val="24"/>
          <w:highlight w:val="none"/>
          <w:lang w:val="en-US" w:eastAsia="zh-CN" w:bidi="ar"/>
        </w:rPr>
        <w:t>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4EC58D93">
      <w:pPr>
        <w:keepNext w:val="0"/>
        <w:keepLines w:val="0"/>
        <w:widowControl/>
        <w:suppressLineNumbers w:val="0"/>
        <w:spacing w:before="94" w:beforeAutospacing="0" w:after="94"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7.2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27BA2EC0">
      <w:pPr>
        <w:keepNext w:val="0"/>
        <w:keepLines w:val="0"/>
        <w:widowControl/>
        <w:suppressLineNumbers w:val="0"/>
        <w:spacing w:before="94" w:beforeAutospacing="0" w:after="94"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7.3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7E92DBD9">
      <w:pPr>
        <w:keepNext w:val="0"/>
        <w:keepLines w:val="0"/>
        <w:widowControl/>
        <w:suppressLineNumbers w:val="0"/>
        <w:spacing w:before="94" w:beforeAutospacing="0" w:after="94" w:afterAutospacing="0" w:line="360" w:lineRule="auto"/>
        <w:ind w:left="0" w:right="0" w:firstLine="598"/>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379CAA7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7.4招标监管机构：</w:t>
      </w:r>
      <w:r>
        <w:rPr>
          <w:rFonts w:hint="eastAsia" w:ascii="宋体" w:hAnsi="宋体" w:eastAsia="宋体" w:cs="宋体"/>
          <w:i w:val="0"/>
          <w:color w:val="auto"/>
          <w:kern w:val="0"/>
          <w:sz w:val="24"/>
          <w:szCs w:val="24"/>
          <w:highlight w:val="none"/>
          <w:u w:val="single"/>
          <w:lang w:val="en-US" w:eastAsia="zh-CN" w:bidi="ar"/>
        </w:rPr>
        <w:t>广东省源天工程有限公司</w:t>
      </w:r>
      <w:r>
        <w:rPr>
          <w:rFonts w:hint="eastAsia" w:ascii="宋体" w:hAnsi="宋体" w:eastAsia="宋体" w:cs="宋体"/>
          <w:color w:val="auto"/>
          <w:kern w:val="0"/>
          <w:sz w:val="24"/>
          <w:szCs w:val="24"/>
          <w:highlight w:val="none"/>
          <w:u w:val="single"/>
          <w:lang w:val="en-US" w:eastAsia="zh-CN" w:bidi="ar"/>
        </w:rPr>
        <w:t>，电话：15978278677 ；</w:t>
      </w:r>
    </w:p>
    <w:p w14:paraId="2300C08C">
      <w:pPr>
        <w:keepNext w:val="0"/>
        <w:keepLines w:val="0"/>
        <w:widowControl/>
        <w:suppressLineNumbers w:val="0"/>
        <w:spacing w:before="94" w:beforeAutospacing="0" w:after="94" w:afterAutospacing="0" w:line="360" w:lineRule="auto"/>
        <w:ind w:left="0" w:right="0" w:firstLine="598"/>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D21366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lang w:val="en-US" w:eastAsia="zh-CN" w:bidi="ar"/>
        </w:rPr>
        <w:t>异议受理部门（招标人）：</w:t>
      </w:r>
      <w:r>
        <w:rPr>
          <w:rFonts w:hint="eastAsia" w:ascii="宋体" w:hAnsi="宋体" w:eastAsia="宋体" w:cs="宋体"/>
          <w:i w:val="0"/>
          <w:color w:val="auto"/>
          <w:kern w:val="0"/>
          <w:sz w:val="24"/>
          <w:szCs w:val="24"/>
          <w:highlight w:val="none"/>
          <w:u w:val="single"/>
          <w:lang w:val="en-US" w:eastAsia="zh-CN" w:bidi="ar"/>
        </w:rPr>
        <w:t>广东省源天工程有限公司</w:t>
      </w:r>
    </w:p>
    <w:p w14:paraId="176FD4CF">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i w:val="0"/>
          <w:color w:val="auto"/>
          <w:kern w:val="0"/>
          <w:sz w:val="24"/>
          <w:szCs w:val="24"/>
          <w:highlight w:val="none"/>
          <w:u w:val="single"/>
          <w:lang w:val="en-US"/>
        </w:rPr>
      </w:pPr>
      <w:r>
        <w:rPr>
          <w:rFonts w:hint="eastAsia" w:ascii="宋体" w:hAnsi="宋体" w:eastAsia="宋体" w:cs="宋体"/>
          <w:color w:val="auto"/>
          <w:kern w:val="0"/>
          <w:sz w:val="24"/>
          <w:szCs w:val="24"/>
          <w:highlight w:val="none"/>
          <w:u w:val="single"/>
          <w:lang w:val="en-US" w:eastAsia="zh-CN" w:bidi="ar"/>
        </w:rPr>
        <w:t>地址 ：</w:t>
      </w:r>
      <w:r>
        <w:rPr>
          <w:rFonts w:hint="eastAsia" w:ascii="宋体" w:hAnsi="宋体" w:eastAsia="宋体" w:cs="宋体"/>
          <w:i w:val="0"/>
          <w:color w:val="auto"/>
          <w:kern w:val="0"/>
          <w:sz w:val="24"/>
          <w:szCs w:val="24"/>
          <w:highlight w:val="none"/>
          <w:u w:val="single"/>
          <w:lang w:val="en-US" w:eastAsia="zh-CN" w:bidi="ar"/>
        </w:rPr>
        <w:t>广东省广州市增城区新塘镇广深大道中46号源天公司</w:t>
      </w:r>
    </w:p>
    <w:p w14:paraId="7E959AF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b w:val="0"/>
          <w:bCs w:val="0"/>
          <w:color w:val="auto"/>
          <w:kern w:val="2"/>
          <w:sz w:val="24"/>
          <w:szCs w:val="24"/>
          <w:highlight w:val="none"/>
          <w:u w:val="single"/>
        </w:rPr>
      </w:pPr>
      <w:r>
        <w:rPr>
          <w:rFonts w:hint="eastAsia" w:ascii="宋体" w:hAnsi="宋体" w:eastAsia="宋体" w:cs="宋体"/>
          <w:b w:val="0"/>
          <w:bCs w:val="0"/>
          <w:color w:val="auto"/>
          <w:kern w:val="2"/>
          <w:sz w:val="24"/>
          <w:szCs w:val="24"/>
          <w:highlight w:val="none"/>
          <w:u w:val="single"/>
          <w:lang w:val="en-US" w:eastAsia="zh-CN" w:bidi="ar"/>
        </w:rPr>
        <w:t>电话：</w:t>
      </w:r>
      <w:r>
        <w:rPr>
          <w:rFonts w:hint="eastAsia" w:ascii="宋体" w:hAnsi="宋体" w:eastAsia="宋体" w:cs="宋体"/>
          <w:color w:val="auto"/>
          <w:kern w:val="0"/>
          <w:sz w:val="24"/>
          <w:szCs w:val="24"/>
          <w:highlight w:val="none"/>
          <w:u w:val="single"/>
          <w:lang w:val="en-US" w:eastAsia="zh-CN" w:bidi="ar"/>
        </w:rPr>
        <w:t>15978278677</w:t>
      </w:r>
      <w:r>
        <w:rPr>
          <w:rFonts w:hint="default" w:ascii="Times New Roman" w:hAnsi="Times New Roman" w:eastAsia="宋体" w:cs="Times New Roman"/>
          <w:color w:val="auto"/>
          <w:kern w:val="2"/>
          <w:sz w:val="24"/>
          <w:szCs w:val="24"/>
          <w:highlight w:val="none"/>
          <w:lang w:val="en-US" w:eastAsia="zh-CN" w:bidi="ar"/>
        </w:rPr>
        <w:t xml:space="preserve"> </w:t>
      </w:r>
    </w:p>
    <w:p w14:paraId="6157BE0C">
      <w:pPr>
        <w:keepNext w:val="0"/>
        <w:keepLines w:val="0"/>
        <w:widowControl w:val="0"/>
        <w:suppressLineNumbers w:val="0"/>
        <w:spacing w:before="0" w:beforeAutospacing="0" w:after="0" w:afterAutospacing="0" w:line="360" w:lineRule="auto"/>
        <w:ind w:left="0" w:right="0" w:firstLine="542" w:firstLineChars="225"/>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8</w:t>
      </w:r>
      <w:r>
        <w:rPr>
          <w:rFonts w:hint="eastAsia" w:ascii="宋体" w:hAnsi="宋体" w:eastAsia="宋体" w:cs="Times New Roman"/>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发布公告的媒介</w:t>
      </w:r>
    </w:p>
    <w:p w14:paraId="384C27D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本公告在广州交易集团有限公司（广州公共资源交易中心）网（网址：http://www.gzggzy.cn）、广东省招标投标监管网（网址：</w:t>
      </w:r>
      <w:r>
        <w:rPr>
          <w:rFonts w:hint="eastAsia" w:ascii="宋体" w:hAnsi="宋体" w:eastAsia="宋体" w:cs="Times New Roman"/>
          <w:bCs/>
          <w:color w:val="auto"/>
          <w:kern w:val="2"/>
          <w:sz w:val="24"/>
          <w:szCs w:val="24"/>
          <w:highlight w:val="none"/>
          <w:lang w:val="en-US" w:eastAsia="zh-CN" w:bidi="ar"/>
        </w:rPr>
        <w:t xml:space="preserve"> http://zbtb.gd.gov.cn/login</w:t>
      </w:r>
      <w:r>
        <w:rPr>
          <w:rFonts w:hint="eastAsia" w:ascii="宋体" w:hAnsi="宋体" w:eastAsia="宋体" w:cs="宋体"/>
          <w:bCs/>
          <w:color w:val="auto"/>
          <w:kern w:val="2"/>
          <w:sz w:val="24"/>
          <w:szCs w:val="24"/>
          <w:highlight w:val="none"/>
          <w:lang w:val="en-US" w:eastAsia="zh-CN" w:bidi="ar"/>
        </w:rPr>
        <w:t>）和中国招标投标公共服务平台（网址：http://www.cebpubservice.com/）发布，本公告的修改、补充，在</w:t>
      </w:r>
      <w:r>
        <w:rPr>
          <w:rFonts w:hint="eastAsia" w:ascii="宋体" w:hAnsi="宋体" w:eastAsia="宋体" w:cs="宋体"/>
          <w:color w:val="auto"/>
          <w:kern w:val="2"/>
          <w:sz w:val="24"/>
          <w:szCs w:val="24"/>
          <w:highlight w:val="none"/>
          <w:lang w:val="en-US" w:eastAsia="zh-CN" w:bidi="ar"/>
        </w:rPr>
        <w:t>广州交易集团有限公司（广州公共资源交易中心）网站</w:t>
      </w:r>
      <w:r>
        <w:rPr>
          <w:rFonts w:hint="eastAsia" w:ascii="宋体" w:hAnsi="宋体" w:eastAsia="宋体" w:cs="宋体"/>
          <w:bCs/>
          <w:color w:val="auto"/>
          <w:kern w:val="2"/>
          <w:sz w:val="24"/>
          <w:szCs w:val="24"/>
          <w:highlight w:val="none"/>
          <w:lang w:val="en-US" w:eastAsia="zh-CN" w:bidi="ar"/>
        </w:rPr>
        <w:t>发布</w:t>
      </w:r>
      <w:r>
        <w:rPr>
          <w:rFonts w:hint="eastAsia" w:ascii="宋体" w:hAnsi="宋体" w:eastAsia="宋体" w:cs="宋体"/>
          <w:color w:val="auto"/>
          <w:kern w:val="2"/>
          <w:sz w:val="24"/>
          <w:szCs w:val="24"/>
          <w:highlight w:val="none"/>
          <w:lang w:val="en-US" w:eastAsia="zh-CN" w:bidi="ar"/>
        </w:rPr>
        <w:t>。本公告在各平台发布的文本如有不同之处，以在广东省招标投标监管网发布的文本为准。本项目相关附件具体详见广州交易集团有限公司（广州公共资源交易中心）网站。</w:t>
      </w:r>
    </w:p>
    <w:p w14:paraId="22FB24F2">
      <w:pPr>
        <w:keepNext w:val="0"/>
        <w:keepLines w:val="0"/>
        <w:widowControl w:val="0"/>
        <w:suppressLineNumbers w:val="0"/>
        <w:spacing w:before="0" w:beforeAutospacing="0" w:after="0" w:afterAutospacing="0" w:line="360" w:lineRule="auto"/>
        <w:ind w:left="0" w:right="0" w:firstLine="542" w:firstLineChars="225"/>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9.</w:t>
      </w:r>
      <w:r>
        <w:rPr>
          <w:rFonts w:hint="eastAsia" w:ascii="宋体" w:hAnsi="宋体" w:eastAsia="宋体" w:cs="宋体"/>
          <w:b w:val="0"/>
          <w:bCs w:val="0"/>
          <w:color w:val="auto"/>
          <w:kern w:val="2"/>
          <w:sz w:val="24"/>
          <w:szCs w:val="24"/>
          <w:highlight w:val="none"/>
          <w:lang w:val="en-US" w:eastAsia="zh-CN" w:bidi="ar"/>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19B790E">
      <w:pPr>
        <w:keepNext w:val="0"/>
        <w:keepLines w:val="0"/>
        <w:widowControl w:val="0"/>
        <w:suppressLineNumbers w:val="0"/>
        <w:spacing w:before="0" w:beforeAutospacing="0" w:after="0" w:afterAutospacing="0" w:line="360" w:lineRule="auto"/>
        <w:ind w:left="0" w:right="0" w:firstLine="542" w:firstLineChars="225"/>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10</w:t>
      </w:r>
      <w:r>
        <w:rPr>
          <w:rFonts w:hint="eastAsia" w:ascii="宋体" w:hAnsi="宋体" w:eastAsia="宋体" w:cs="Times New Roman"/>
          <w:b/>
          <w:bCs w:val="0"/>
          <w:color w:val="auto"/>
          <w:kern w:val="2"/>
          <w:sz w:val="24"/>
          <w:szCs w:val="24"/>
          <w:highlight w:val="none"/>
          <w:lang w:val="en-US" w:eastAsia="zh-CN" w:bidi="ar"/>
        </w:rPr>
        <w:t>. 联系方式</w:t>
      </w:r>
    </w:p>
    <w:p w14:paraId="44BE206B">
      <w:pPr>
        <w:keepNext w:val="0"/>
        <w:keepLines w:val="0"/>
        <w:widowControl w:val="0"/>
        <w:suppressLineNumbers w:val="0"/>
        <w:topLinePunct/>
        <w:spacing w:before="0" w:beforeAutospacing="0" w:after="0" w:afterAutospacing="0" w:line="400" w:lineRule="exact"/>
        <w:ind w:left="0" w:right="0"/>
        <w:jc w:val="both"/>
        <w:rPr>
          <w:rFonts w:hint="eastAsia"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招</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标</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人：</w:t>
      </w:r>
      <w:r>
        <w:rPr>
          <w:rFonts w:hint="eastAsia" w:ascii="宋体" w:hAnsi="宋体" w:eastAsia="宋体" w:cs="宋体"/>
          <w:i w:val="0"/>
          <w:color w:val="auto"/>
          <w:kern w:val="0"/>
          <w:sz w:val="24"/>
          <w:szCs w:val="24"/>
          <w:highlight w:val="none"/>
          <w:u w:val="single"/>
          <w:lang w:val="en-US" w:eastAsia="zh-CN" w:bidi="ar"/>
        </w:rPr>
        <w:t>广东省源天工程有限公司</w:t>
      </w:r>
    </w:p>
    <w:p w14:paraId="13B26542">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i w:val="0"/>
          <w:color w:val="auto"/>
          <w:kern w:val="0"/>
          <w:sz w:val="24"/>
          <w:szCs w:val="24"/>
          <w:highlight w:val="none"/>
          <w:u w:val="single"/>
          <w:lang w:val="en-US" w:eastAsia="zh-CN" w:bidi="ar"/>
        </w:rPr>
        <w:t>广东省广州市增城区新塘镇广深大道中46号源天公司</w:t>
      </w:r>
      <w:r>
        <w:rPr>
          <w:rFonts w:hint="default" w:ascii="Times New Roman" w:hAnsi="Times New Roman" w:eastAsia="宋体" w:cs="Times New Roman"/>
          <w:color w:val="auto"/>
          <w:kern w:val="2"/>
          <w:sz w:val="24"/>
          <w:szCs w:val="24"/>
          <w:highlight w:val="none"/>
          <w:lang w:val="en-US" w:eastAsia="zh-CN" w:bidi="ar"/>
        </w:rPr>
        <w:tab/>
      </w:r>
      <w:r>
        <w:rPr>
          <w:rFonts w:hint="default" w:ascii="Times New Roman" w:hAnsi="Times New Roman" w:eastAsia="宋体" w:cs="Times New Roman"/>
          <w:color w:val="auto"/>
          <w:kern w:val="2"/>
          <w:sz w:val="24"/>
          <w:szCs w:val="24"/>
          <w:highlight w:val="none"/>
          <w:lang w:val="en-US" w:eastAsia="zh-CN" w:bidi="ar"/>
        </w:rPr>
        <w:t xml:space="preserve"> </w:t>
      </w:r>
    </w:p>
    <w:p w14:paraId="23FA0E05">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编：</w:t>
      </w:r>
      <w:r>
        <w:rPr>
          <w:rFonts w:hint="default" w:ascii="Times New Roman" w:hAnsi="Times New Roman" w:eastAsia="宋体" w:cs="Times New Roman"/>
          <w:color w:val="auto"/>
          <w:kern w:val="2"/>
          <w:sz w:val="24"/>
          <w:szCs w:val="24"/>
          <w:highlight w:val="none"/>
          <w:u w:val="single"/>
          <w:lang w:val="en-US" w:eastAsia="zh-CN" w:bidi="ar"/>
        </w:rPr>
        <w:t>510000</w:t>
      </w:r>
      <w:r>
        <w:rPr>
          <w:rFonts w:hint="default" w:ascii="Times New Roman" w:hAnsi="Times New Roman" w:eastAsia="宋体" w:cs="Times New Roman"/>
          <w:color w:val="auto"/>
          <w:kern w:val="2"/>
          <w:sz w:val="24"/>
          <w:szCs w:val="24"/>
          <w:highlight w:val="none"/>
          <w:lang w:val="en-US" w:eastAsia="zh-CN" w:bidi="ar"/>
        </w:rPr>
        <w:t xml:space="preserve">     </w:t>
      </w:r>
    </w:p>
    <w:p w14:paraId="2A1A3D94">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人：</w:t>
      </w:r>
      <w:r>
        <w:rPr>
          <w:rFonts w:hint="eastAsia" w:ascii="宋体" w:hAnsi="宋体" w:eastAsia="宋体" w:cs="宋体"/>
          <w:color w:val="auto"/>
          <w:kern w:val="2"/>
          <w:sz w:val="24"/>
          <w:szCs w:val="24"/>
          <w:highlight w:val="none"/>
          <w:u w:val="single"/>
          <w:lang w:val="en-US" w:eastAsia="zh-CN" w:bidi="ar"/>
        </w:rPr>
        <w:t>荣燕华</w:t>
      </w:r>
      <w:r>
        <w:rPr>
          <w:rFonts w:hint="default" w:ascii="Times New Roman" w:hAnsi="Times New Roman" w:eastAsia="宋体" w:cs="Times New Roman"/>
          <w:color w:val="auto"/>
          <w:kern w:val="2"/>
          <w:sz w:val="24"/>
          <w:szCs w:val="24"/>
          <w:highlight w:val="none"/>
          <w:lang w:val="en-US" w:eastAsia="zh-CN" w:bidi="ar"/>
        </w:rPr>
        <w:t xml:space="preserve"> </w:t>
      </w:r>
    </w:p>
    <w:p w14:paraId="0FC60A95">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话：</w:t>
      </w:r>
      <w:r>
        <w:rPr>
          <w:rFonts w:hint="eastAsia" w:ascii="宋体" w:hAnsi="宋体" w:eastAsia="宋体" w:cs="宋体"/>
          <w:color w:val="auto"/>
          <w:kern w:val="0"/>
          <w:sz w:val="24"/>
          <w:szCs w:val="24"/>
          <w:highlight w:val="none"/>
          <w:u w:val="single"/>
          <w:lang w:val="en-US" w:eastAsia="zh-CN" w:bidi="ar"/>
        </w:rPr>
        <w:t>15978278677</w:t>
      </w:r>
      <w:r>
        <w:rPr>
          <w:rFonts w:hint="default" w:ascii="Times New Roman" w:hAnsi="Times New Roman" w:eastAsia="宋体" w:cs="Times New Roman"/>
          <w:color w:val="auto"/>
          <w:kern w:val="2"/>
          <w:sz w:val="24"/>
          <w:szCs w:val="24"/>
          <w:highlight w:val="none"/>
          <w:lang w:val="en-US" w:eastAsia="zh-CN" w:bidi="ar"/>
        </w:rPr>
        <w:t xml:space="preserve">   </w:t>
      </w:r>
    </w:p>
    <w:p w14:paraId="1334B7BE">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真：</w:t>
      </w:r>
      <w:r>
        <w:rPr>
          <w:rFonts w:hint="default" w:ascii="Times New Roman" w:hAnsi="Times New Roman" w:eastAsia="宋体" w:cs="Times New Roman"/>
          <w:color w:val="auto"/>
          <w:kern w:val="2"/>
          <w:sz w:val="24"/>
          <w:szCs w:val="24"/>
          <w:highlight w:val="none"/>
          <w:u w:val="single"/>
          <w:lang w:val="en-US" w:eastAsia="zh-CN" w:bidi="ar"/>
        </w:rPr>
        <w:t xml:space="preserve">  /         </w:t>
      </w:r>
      <w:r>
        <w:rPr>
          <w:rFonts w:hint="default" w:ascii="Times New Roman" w:hAnsi="Times New Roman" w:eastAsia="宋体" w:cs="Times New Roman"/>
          <w:color w:val="auto"/>
          <w:kern w:val="2"/>
          <w:sz w:val="24"/>
          <w:szCs w:val="24"/>
          <w:highlight w:val="none"/>
          <w:lang w:val="en-US" w:eastAsia="zh-CN" w:bidi="ar"/>
        </w:rPr>
        <w:t xml:space="preserve"> </w:t>
      </w:r>
    </w:p>
    <w:p w14:paraId="5CBE2CC1">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电子邮件：</w:t>
      </w:r>
      <w:r>
        <w:rPr>
          <w:rFonts w:hint="default" w:ascii="Times New Roman" w:hAnsi="Times New Roman" w:eastAsia="宋体" w:cs="Times New Roman"/>
          <w:color w:val="auto"/>
          <w:kern w:val="2"/>
          <w:sz w:val="24"/>
          <w:szCs w:val="24"/>
          <w:highlight w:val="none"/>
          <w:u w:val="single"/>
          <w:lang w:val="en-US" w:eastAsia="zh-CN" w:bidi="ar"/>
        </w:rPr>
        <w:t xml:space="preserve">  /         </w:t>
      </w:r>
      <w:r>
        <w:rPr>
          <w:rFonts w:hint="default" w:ascii="Times New Roman" w:hAnsi="Times New Roman" w:eastAsia="宋体" w:cs="Times New Roman"/>
          <w:color w:val="auto"/>
          <w:kern w:val="2"/>
          <w:sz w:val="24"/>
          <w:szCs w:val="24"/>
          <w:highlight w:val="none"/>
          <w:lang w:val="en-US" w:eastAsia="zh-CN" w:bidi="ar"/>
        </w:rPr>
        <w:t xml:space="preserve">                              </w:t>
      </w:r>
    </w:p>
    <w:p w14:paraId="3CE7AB4B">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FFF13E0">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招标代理机构：</w:t>
      </w:r>
      <w:r>
        <w:rPr>
          <w:rFonts w:hint="eastAsia" w:ascii="宋体" w:hAnsi="宋体" w:eastAsia="宋体" w:cs="宋体"/>
          <w:i w:val="0"/>
          <w:color w:val="auto"/>
          <w:kern w:val="0"/>
          <w:sz w:val="24"/>
          <w:szCs w:val="24"/>
          <w:highlight w:val="none"/>
          <w:u w:val="single"/>
          <w:lang w:val="en-US" w:eastAsia="zh-CN" w:bidi="ar"/>
        </w:rPr>
        <w:t>广东聚佳项目管理咨询有限公司</w:t>
      </w:r>
      <w:r>
        <w:rPr>
          <w:rFonts w:hint="default" w:ascii="Times New Roman" w:hAnsi="Times New Roman" w:eastAsia="宋体" w:cs="Times New Roman"/>
          <w:color w:val="auto"/>
          <w:kern w:val="2"/>
          <w:sz w:val="24"/>
          <w:szCs w:val="24"/>
          <w:highlight w:val="none"/>
          <w:lang w:val="en-US" w:eastAsia="zh-CN" w:bidi="ar"/>
        </w:rPr>
        <w:t xml:space="preserve">     </w:t>
      </w:r>
    </w:p>
    <w:p w14:paraId="311EEF61">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i w:val="0"/>
          <w:color w:val="auto"/>
          <w:kern w:val="0"/>
          <w:sz w:val="24"/>
          <w:szCs w:val="24"/>
          <w:highlight w:val="none"/>
          <w:u w:val="single"/>
          <w:lang w:val="en-US" w:eastAsia="zh-CN" w:bidi="ar"/>
        </w:rPr>
        <w:t>广州市天河区元岗横路35号2层B3208房</w:t>
      </w:r>
      <w:r>
        <w:rPr>
          <w:rFonts w:hint="default" w:ascii="Times New Roman" w:hAnsi="Times New Roman" w:eastAsia="宋体" w:cs="Times New Roman"/>
          <w:color w:val="auto"/>
          <w:kern w:val="2"/>
          <w:sz w:val="24"/>
          <w:szCs w:val="24"/>
          <w:highlight w:val="none"/>
          <w:lang w:val="en-US" w:eastAsia="zh-CN" w:bidi="ar"/>
        </w:rPr>
        <w:t xml:space="preserve">                    </w:t>
      </w:r>
    </w:p>
    <w:p w14:paraId="26705448">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编：</w:t>
      </w:r>
      <w:r>
        <w:rPr>
          <w:rFonts w:hint="eastAsia" w:ascii="宋体" w:hAnsi="宋体" w:eastAsia="宋体" w:cs="宋体"/>
          <w:color w:val="auto"/>
          <w:kern w:val="2"/>
          <w:sz w:val="24"/>
          <w:szCs w:val="24"/>
          <w:highlight w:val="none"/>
          <w:u w:val="single"/>
          <w:lang w:val="en-US" w:eastAsia="zh-CN" w:bidi="ar"/>
        </w:rPr>
        <w:t>510000</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0B72062">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人：</w:t>
      </w:r>
      <w:r>
        <w:rPr>
          <w:rFonts w:hint="eastAsia" w:ascii="宋体" w:hAnsi="宋体" w:eastAsia="宋体" w:cs="宋体"/>
          <w:i w:val="0"/>
          <w:color w:val="auto"/>
          <w:kern w:val="0"/>
          <w:sz w:val="24"/>
          <w:szCs w:val="24"/>
          <w:highlight w:val="none"/>
          <w:u w:val="single"/>
          <w:lang w:val="en-US" w:eastAsia="zh-CN" w:bidi="ar"/>
        </w:rPr>
        <w:t>赵工</w:t>
      </w:r>
      <w:r>
        <w:rPr>
          <w:rFonts w:hint="default" w:ascii="Times New Roman" w:hAnsi="Times New Roman" w:eastAsia="宋体" w:cs="Times New Roman"/>
          <w:color w:val="auto"/>
          <w:kern w:val="2"/>
          <w:sz w:val="24"/>
          <w:szCs w:val="24"/>
          <w:highlight w:val="none"/>
          <w:lang w:val="en-US" w:eastAsia="zh-CN" w:bidi="ar"/>
        </w:rPr>
        <w:t xml:space="preserve">                  </w:t>
      </w:r>
    </w:p>
    <w:p w14:paraId="26ACDB38">
      <w:pPr>
        <w:keepNext w:val="0"/>
        <w:keepLines w:val="0"/>
        <w:widowControl w:val="0"/>
        <w:suppressLineNumbers w:val="0"/>
        <w:spacing w:before="0" w:beforeAutospacing="0" w:after="0" w:afterAutospacing="0" w:line="360" w:lineRule="auto"/>
        <w:ind w:left="0" w:right="48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话：</w:t>
      </w:r>
      <w:r>
        <w:rPr>
          <w:rFonts w:hint="eastAsia" w:ascii="宋体" w:hAnsi="宋体" w:eastAsia="宋体" w:cs="宋体"/>
          <w:i w:val="0"/>
          <w:color w:val="auto"/>
          <w:kern w:val="0"/>
          <w:sz w:val="24"/>
          <w:szCs w:val="24"/>
          <w:highlight w:val="none"/>
          <w:u w:val="single"/>
          <w:lang w:val="en-US" w:eastAsia="zh-CN" w:bidi="ar"/>
        </w:rPr>
        <w:t>020-31567964</w:t>
      </w:r>
      <w:r>
        <w:rPr>
          <w:rFonts w:hint="default" w:ascii="Times New Roman" w:hAnsi="Times New Roman" w:eastAsia="宋体" w:cs="Times New Roman"/>
          <w:color w:val="auto"/>
          <w:kern w:val="2"/>
          <w:sz w:val="24"/>
          <w:szCs w:val="24"/>
          <w:highlight w:val="none"/>
          <w:lang w:val="en-US" w:eastAsia="zh-CN" w:bidi="ar"/>
        </w:rPr>
        <w:t xml:space="preserve">         </w:t>
      </w:r>
    </w:p>
    <w:p w14:paraId="5B1F27EF">
      <w:pPr>
        <w:keepNext w:val="0"/>
        <w:keepLines w:val="0"/>
        <w:widowControl w:val="0"/>
        <w:suppressLineNumbers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真：</w:t>
      </w:r>
      <w:r>
        <w:rPr>
          <w:rFonts w:hint="default" w:ascii="Times New Roman" w:hAnsi="Times New Roman" w:eastAsia="宋体" w:cs="Times New Roman"/>
          <w:color w:val="auto"/>
          <w:kern w:val="2"/>
          <w:sz w:val="24"/>
          <w:szCs w:val="24"/>
          <w:highlight w:val="none"/>
          <w:u w:val="single"/>
          <w:lang w:val="en-US" w:eastAsia="zh-CN" w:bidi="ar"/>
        </w:rPr>
        <w:t xml:space="preserve">     /      </w:t>
      </w:r>
      <w:r>
        <w:rPr>
          <w:rFonts w:hint="default" w:ascii="Times New Roman" w:hAnsi="Times New Roman" w:eastAsia="宋体" w:cs="Times New Roman"/>
          <w:color w:val="auto"/>
          <w:kern w:val="2"/>
          <w:sz w:val="24"/>
          <w:szCs w:val="24"/>
          <w:highlight w:val="none"/>
          <w:lang w:val="en-US" w:eastAsia="zh-CN" w:bidi="ar"/>
        </w:rPr>
        <w:t xml:space="preserve">                   </w:t>
      </w:r>
    </w:p>
    <w:p w14:paraId="2BC765D4">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电子邮件：</w:t>
      </w:r>
      <w:r>
        <w:rPr>
          <w:rFonts w:hint="default" w:ascii="Times New Roman" w:hAnsi="Times New Roman" w:eastAsia="宋体" w:cs="Times New Roman"/>
          <w:color w:val="auto"/>
          <w:kern w:val="2"/>
          <w:sz w:val="24"/>
          <w:szCs w:val="24"/>
          <w:highlight w:val="none"/>
          <w:u w:val="single"/>
          <w:lang w:val="en-US" w:eastAsia="zh-CN" w:bidi="ar"/>
        </w:rPr>
        <w:t xml:space="preserve">    /       </w:t>
      </w:r>
      <w:r>
        <w:rPr>
          <w:rFonts w:hint="default" w:ascii="Times New Roman" w:hAnsi="Times New Roman" w:eastAsia="宋体" w:cs="Times New Roman"/>
          <w:color w:val="auto"/>
          <w:kern w:val="2"/>
          <w:sz w:val="24"/>
          <w:szCs w:val="24"/>
          <w:highlight w:val="none"/>
          <w:lang w:val="en-US" w:eastAsia="zh-CN" w:bidi="ar"/>
        </w:rPr>
        <w:t xml:space="preserve">   </w:t>
      </w:r>
    </w:p>
    <w:p w14:paraId="2F3E2328">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p w14:paraId="08C744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kern w:val="2"/>
          <w:sz w:val="24"/>
          <w:szCs w:val="24"/>
          <w:highlight w:val="none"/>
        </w:rPr>
      </w:pPr>
      <w:bookmarkStart w:id="1" w:name="_GoBack"/>
      <w:bookmarkEnd w:id="1"/>
      <w:r>
        <w:rPr>
          <w:rFonts w:hint="eastAsia" w:ascii="宋体" w:hAnsi="宋体" w:eastAsia="宋体" w:cs="宋体"/>
          <w:color w:val="auto"/>
          <w:kern w:val="2"/>
          <w:sz w:val="24"/>
          <w:szCs w:val="24"/>
          <w:highlight w:val="none"/>
          <w:lang w:val="en-US" w:eastAsia="zh-CN" w:bidi="ar"/>
        </w:rPr>
        <w:br w:type="page"/>
      </w:r>
      <w:r>
        <w:rPr>
          <w:rFonts w:hint="eastAsia" w:ascii="宋体" w:hAnsi="宋体" w:eastAsia="宋体" w:cs="宋体"/>
          <w:color w:val="auto"/>
          <w:kern w:val="2"/>
          <w:sz w:val="24"/>
          <w:szCs w:val="24"/>
          <w:highlight w:val="none"/>
          <w:lang w:val="en-US" w:eastAsia="zh-CN" w:bidi="ar"/>
        </w:rPr>
        <w:t>附件一：</w:t>
      </w:r>
    </w:p>
    <w:p w14:paraId="7AD6099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kern w:val="2"/>
          <w:sz w:val="24"/>
          <w:szCs w:val="24"/>
          <w:highlight w:val="none"/>
        </w:rPr>
      </w:pPr>
      <w:r>
        <w:rPr>
          <w:rFonts w:hint="eastAsia" w:ascii="宋体" w:hAnsi="宋体" w:eastAsia="宋体" w:cs="宋体"/>
          <w:b/>
          <w:bCs w:val="0"/>
          <w:color w:val="auto"/>
          <w:kern w:val="0"/>
          <w:sz w:val="44"/>
          <w:szCs w:val="44"/>
          <w:highlight w:val="none"/>
          <w:lang w:val="en-US" w:eastAsia="zh-CN" w:bidi="ar"/>
        </w:rPr>
        <w:t>投标人</w:t>
      </w:r>
      <w:r>
        <w:rPr>
          <w:rFonts w:hint="eastAsia" w:ascii="宋体" w:hAnsi="宋体" w:eastAsia="宋体" w:cs="宋体"/>
          <w:b/>
          <w:bCs w:val="0"/>
          <w:color w:val="auto"/>
          <w:kern w:val="2"/>
          <w:sz w:val="44"/>
          <w:szCs w:val="44"/>
          <w:highlight w:val="none"/>
          <w:lang w:val="en-US" w:eastAsia="zh-CN" w:bidi="ar"/>
        </w:rPr>
        <w:t>声明</w:t>
      </w:r>
    </w:p>
    <w:p w14:paraId="2398F82B">
      <w:pPr>
        <w:pStyle w:val="5"/>
        <w:keepNext w:val="0"/>
        <w:keepLines w:val="0"/>
        <w:widowControl w:val="0"/>
        <w:suppressLineNumbers w:val="0"/>
        <w:spacing w:before="0" w:beforeAutospacing="0" w:after="0" w:afterAutospacing="0" w:line="360" w:lineRule="auto"/>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w:t>
      </w:r>
    </w:p>
    <w:p w14:paraId="13AFFBF9">
      <w:pPr>
        <w:pStyle w:val="5"/>
        <w:keepNext w:val="0"/>
        <w:keepLines w:val="0"/>
        <w:widowControl w:val="0"/>
        <w:suppressLineNumbers w:val="0"/>
        <w:spacing w:before="0" w:beforeAutospacing="0" w:after="0" w:afterAutospacing="0" w:line="360" w:lineRule="auto"/>
        <w:ind w:left="0" w:right="0" w:firstLine="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本招标项目招标人及招标监管机构：</w:t>
      </w:r>
    </w:p>
    <w:p w14:paraId="6090E8AD">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本公司就参加</w:t>
      </w:r>
      <w:r>
        <w:rPr>
          <w:rFonts w:hint="eastAsia" w:ascii="宋体" w:hAnsi="宋体"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投标工作，作出郑重声明：</w:t>
      </w:r>
    </w:p>
    <w:p w14:paraId="4E563D05">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一、本公司保证投标文件及其后提供的一切材料都是真实的。如我司成为本项目中标候选人，我司同意并授权招标人将我司投标文件商务部分的人员、业绩、奖项等资料进行公开。</w:t>
      </w:r>
    </w:p>
    <w:p w14:paraId="14A5EA83">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二、本公司保证在本项目投标中不与其他单位围标、串标，不出让投标资格，不向招标人或评标委员会成员行贿。</w:t>
      </w:r>
    </w:p>
    <w:p w14:paraId="10480CF8">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三、本公司不存在下列情形之一：</w:t>
      </w:r>
    </w:p>
    <w:p w14:paraId="2E35FD2B">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（1）为招标人不具有独立法人资格的附属机构（单位）；</w:t>
      </w:r>
    </w:p>
    <w:p w14:paraId="4335C6D0">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（2）为本标段前期准备提供设计或咨询服务或者与本项目设计人或提供咨询服务的机构存在附属关系的；</w:t>
      </w:r>
    </w:p>
    <w:p w14:paraId="5F88E063">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（3）为本项目监理人或者与本项目监理人存在隶属关系或者其他利害关系；</w:t>
      </w:r>
    </w:p>
    <w:p w14:paraId="3B124366">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（4）为本标段的代建人；</w:t>
      </w:r>
    </w:p>
    <w:p w14:paraId="1F11D819">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（5）为本标段提供招标代理服务的；</w:t>
      </w:r>
    </w:p>
    <w:p w14:paraId="32C052B2">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（6）与本标段的监理人或代建人或招标代理机构同为一个法定代表人的；</w:t>
      </w:r>
    </w:p>
    <w:p w14:paraId="464BFA31">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（7）与本标段的监理人或代建人或招标代理机构互相控股或参股的；</w:t>
      </w:r>
    </w:p>
    <w:p w14:paraId="54EF2A4C">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（8）与本标段的监理人或代建人或招标代理机构相互任职或工作的；</w:t>
      </w:r>
    </w:p>
    <w:p w14:paraId="70ADF28E">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（9）与本标段的检测机构、建设、监理单位以及建筑材料、建筑构配件和设备供应商有隶属关系或者其他利害关系；</w:t>
      </w:r>
    </w:p>
    <w:p w14:paraId="262284F6">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（10）与招标人存在利害关系且可能影响招标公正性；</w:t>
      </w:r>
    </w:p>
    <w:p w14:paraId="327879B6">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BFB56FE">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（12）被责令停产停业、暂扣或者吊销许可证、暂扣或者吊销执照的（本项事实应当以根据《中华人民共和国行政处罚法》依法作出并已经生效的行政处罚决定为认定依据。）；</w:t>
      </w:r>
    </w:p>
    <w:p w14:paraId="0F5A8509">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（13）进入清算程序，或被宣布破产，或其他丧失履约能力的情形；</w:t>
      </w:r>
    </w:p>
    <w:p w14:paraId="45D42103">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8EE4EAE">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（15）法律法规规定的其他情形。</w:t>
      </w:r>
    </w:p>
    <w:p w14:paraId="0FC2FE6C">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四、本公司保证：本项目拟派的项目负责人没有在其他在建项目中任施工单位项目负责人，本项目拟派的专职安全员没有在其他在建项目中任职。</w:t>
      </w:r>
    </w:p>
    <w:p w14:paraId="22467F67">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D8E2DAB">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C56F32A">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七、本公司承诺，切实落实《</w:t>
      </w:r>
      <w:r>
        <w:rPr>
          <w:rFonts w:hint="eastAsia" w:ascii="宋体" w:hAnsi="宋体" w:eastAsia="宋体" w:cs="宋体"/>
          <w:b w:val="0"/>
          <w:bCs w:val="0"/>
          <w:i w:val="0"/>
          <w:iCs w:val="0"/>
          <w:caps w:val="0"/>
          <w:color w:val="auto"/>
          <w:spacing w:val="0"/>
          <w:kern w:val="0"/>
          <w:sz w:val="24"/>
          <w:szCs w:val="24"/>
          <w:highlight w:val="none"/>
          <w:lang w:val="en-US" w:eastAsia="zh-CN" w:bidi="ar"/>
        </w:rPr>
        <w:t>住房和城乡建设部人力资源社会保障部关于修改</w:t>
      </w:r>
      <w:r>
        <w:rPr>
          <w:rFonts w:hint="eastAsia" w:ascii="宋体" w:hAnsi="宋体" w:eastAsia="宋体" w:cs="宋体"/>
          <w:color w:val="auto"/>
          <w:kern w:val="0"/>
          <w:sz w:val="24"/>
          <w:szCs w:val="24"/>
          <w:highlight w:val="none"/>
          <w:lang w:val="en-US" w:eastAsia="zh-CN" w:bidi="ar"/>
        </w:rPr>
        <w:t>&lt;</w:t>
      </w:r>
      <w:r>
        <w:rPr>
          <w:rFonts w:hint="eastAsia" w:ascii="宋体" w:hAnsi="宋体" w:eastAsia="宋体" w:cs="宋体"/>
          <w:b w:val="0"/>
          <w:bCs w:val="0"/>
          <w:i w:val="0"/>
          <w:iCs w:val="0"/>
          <w:caps w:val="0"/>
          <w:color w:val="auto"/>
          <w:spacing w:val="0"/>
          <w:kern w:val="0"/>
          <w:sz w:val="24"/>
          <w:szCs w:val="24"/>
          <w:highlight w:val="none"/>
          <w:lang w:val="en-US" w:eastAsia="zh-CN" w:bidi="ar"/>
        </w:rPr>
        <w:t>建筑工人实名制管理办法（试行）</w:t>
      </w:r>
      <w:r>
        <w:rPr>
          <w:rFonts w:hint="eastAsia" w:ascii="宋体" w:hAnsi="宋体" w:eastAsia="宋体" w:cs="宋体"/>
          <w:color w:val="auto"/>
          <w:kern w:val="0"/>
          <w:sz w:val="24"/>
          <w:szCs w:val="24"/>
          <w:highlight w:val="none"/>
          <w:lang w:val="en-US" w:eastAsia="zh-CN" w:bidi="ar"/>
        </w:rPr>
        <w:t>&gt;</w:t>
      </w:r>
      <w:r>
        <w:rPr>
          <w:rFonts w:hint="eastAsia" w:ascii="宋体" w:hAnsi="宋体" w:eastAsia="宋体" w:cs="宋体"/>
          <w:b w:val="0"/>
          <w:bCs w:val="0"/>
          <w:i w:val="0"/>
          <w:iCs w:val="0"/>
          <w:caps w:val="0"/>
          <w:color w:val="auto"/>
          <w:spacing w:val="0"/>
          <w:kern w:val="0"/>
          <w:sz w:val="24"/>
          <w:szCs w:val="24"/>
          <w:highlight w:val="none"/>
          <w:lang w:val="en-US" w:eastAsia="zh-CN" w:bidi="ar"/>
        </w:rPr>
        <w:t>的通知》</w:t>
      </w:r>
      <w:r>
        <w:rPr>
          <w:rFonts w:hint="eastAsia" w:ascii="宋体" w:hAnsi="宋体" w:eastAsia="宋体" w:cs="宋体"/>
          <w:i w:val="0"/>
          <w:iCs w:val="0"/>
          <w:caps w:val="0"/>
          <w:color w:val="auto"/>
          <w:spacing w:val="0"/>
          <w:kern w:val="0"/>
          <w:sz w:val="24"/>
          <w:szCs w:val="24"/>
          <w:highlight w:val="none"/>
          <w:lang w:val="en-US" w:eastAsia="zh-CN" w:bidi="ar"/>
        </w:rPr>
        <w:t>建市〔2022〕59号、</w:t>
      </w:r>
      <w:r>
        <w:rPr>
          <w:rFonts w:hint="eastAsia" w:ascii="宋体" w:hAnsi="宋体" w:eastAsia="宋体" w:cs="宋体"/>
          <w:color w:val="auto"/>
          <w:kern w:val="0"/>
          <w:sz w:val="24"/>
          <w:szCs w:val="24"/>
          <w:highlight w:val="none"/>
          <w:lang w:val="en-US" w:eastAsia="zh-CN" w:bidi="ar"/>
        </w:rPr>
        <w:t>《住房城乡建设部</w:t>
      </w:r>
      <w:r>
        <w:rPr>
          <w:rFonts w:hint="eastAsia" w:ascii="宋体" w:hAnsi="宋体"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14:paraId="3B85422E">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八、与本公司单位负责人为同一人或者与本公司存在控股、管理关系的其他单位包括：</w:t>
      </w:r>
      <w:r>
        <w:rPr>
          <w:rFonts w:hint="eastAsia" w:ascii="宋体" w:hAnsi="宋体"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。（注：本条由投标人如实填写，如有，应列出全部满足招标公告资质要求的相关单位的名称；如无，则填写“无”。）</w:t>
      </w:r>
    </w:p>
    <w:p w14:paraId="6B6CE21F">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九、本公司拟委派专职安全员兼任本工程的工地余泥渣土运输与排放管理员，严格遵守建设工程余泥渣土运输与排放管理制度，执行“一不准进、三不准出”规定，选择合法的余泥渣土运输单位及排放点。</w:t>
      </w:r>
    </w:p>
    <w:p w14:paraId="6D320B8E">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CD15CC8">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B606E84">
      <w:pPr>
        <w:pStyle w:val="5"/>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十二、本公司积极响应广州市关于投身“百千万工程”的号召，主动参与政府投资类建设工程施工项目的建筑业结对帮扶等活动（市属国有企业投资项目参照执行），具体帮扶事项由双方协商确定。</w:t>
      </w:r>
    </w:p>
    <w:p w14:paraId="4455F6B4">
      <w:pPr>
        <w:keepNext w:val="0"/>
        <w:keepLines w:val="0"/>
        <w:widowControl w:val="0"/>
        <w:suppressLineNumbers w:val="0"/>
        <w:spacing w:before="0" w:beforeAutospacing="0" w:after="0" w:afterAutospacing="0" w:line="360" w:lineRule="auto"/>
        <w:ind w:left="0" w:right="0"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特此声明。</w:t>
      </w:r>
    </w:p>
    <w:p w14:paraId="337CFB18">
      <w:pPr>
        <w:keepNext w:val="0"/>
        <w:keepLines w:val="0"/>
        <w:widowControl w:val="0"/>
        <w:suppressLineNumbers w:val="0"/>
        <w:spacing w:before="0" w:beforeAutospacing="0" w:after="0" w:afterAutospacing="0" w:line="360" w:lineRule="auto"/>
        <w:ind w:left="0" w:right="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声明企业：</w:t>
      </w:r>
    </w:p>
    <w:p w14:paraId="0D840B36">
      <w:pPr>
        <w:pStyle w:val="5"/>
        <w:keepNext w:val="0"/>
        <w:keepLines w:val="0"/>
        <w:widowControl w:val="0"/>
        <w:suppressLineNumbers w:val="0"/>
        <w:spacing w:before="0" w:beforeAutospacing="0" w:after="0" w:afterAutospacing="0" w:line="360" w:lineRule="auto"/>
        <w:ind w:left="0" w:right="1179" w:firstLine="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法定代表人签字：</w:t>
      </w:r>
    </w:p>
    <w:p w14:paraId="140B941F">
      <w:pPr>
        <w:pStyle w:val="5"/>
        <w:keepNext w:val="0"/>
        <w:keepLines w:val="0"/>
        <w:widowControl w:val="0"/>
        <w:suppressLineNumbers w:val="0"/>
        <w:spacing w:before="0" w:beforeAutospacing="0" w:after="0" w:afterAutospacing="0" w:line="360" w:lineRule="auto"/>
        <w:ind w:left="0" w:right="1179" w:firstLine="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项目负责人签字：</w:t>
      </w:r>
    </w:p>
    <w:p w14:paraId="4E869D39">
      <w:pPr>
        <w:pStyle w:val="5"/>
        <w:keepNext w:val="0"/>
        <w:keepLines w:val="0"/>
        <w:widowControl w:val="0"/>
        <w:suppressLineNumbers w:val="0"/>
        <w:spacing w:before="0" w:beforeAutospacing="0" w:after="0" w:afterAutospacing="0" w:line="360" w:lineRule="auto"/>
        <w:ind w:left="0"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技术负责人签字：</w:t>
      </w:r>
    </w:p>
    <w:p w14:paraId="7D26272F">
      <w:pPr>
        <w:pStyle w:val="5"/>
        <w:keepNext w:val="0"/>
        <w:keepLines w:val="0"/>
        <w:widowControl w:val="0"/>
        <w:suppressLineNumbers w:val="0"/>
        <w:spacing w:before="0" w:beforeAutospacing="0" w:after="0" w:afterAutospacing="0" w:line="360" w:lineRule="auto"/>
        <w:ind w:left="0"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年   月   日</w:t>
      </w:r>
    </w:p>
    <w:p w14:paraId="2F1354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2BFC4F3">
      <w:pPr>
        <w:keepNext w:val="0"/>
        <w:keepLines w:val="0"/>
        <w:widowControl w:val="0"/>
        <w:suppressLineNumbers w:val="0"/>
        <w:spacing w:before="0" w:beforeAutospacing="0" w:after="0" w:afterAutospacing="0"/>
        <w:ind w:left="0" w:right="0"/>
        <w:jc w:val="both"/>
      </w:pPr>
      <w:r>
        <w:rPr>
          <w:rFonts w:hint="eastAsia" w:ascii="宋体" w:hAnsi="宋体" w:eastAsia="宋体" w:cs="宋体"/>
          <w:color w:val="auto"/>
          <w:kern w:val="2"/>
          <w:sz w:val="24"/>
          <w:szCs w:val="24"/>
          <w:highlight w:val="none"/>
          <w:lang w:val="en-US" w:eastAsia="zh-CN" w:bidi="ar"/>
        </w:rPr>
        <w:t>注：招标人应当要求投标人的项目负责人和技术负责人签字。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7465E"/>
    <w:multiLevelType w:val="multilevel"/>
    <w:tmpl w:val="86A7465E"/>
    <w:lvl w:ilvl="0" w:tentative="0">
      <w:start w:val="1"/>
      <w:numFmt w:val="decimal"/>
      <w:lvlText w:val="5.%1"/>
      <w:lvlJc w:val="left"/>
      <w:pPr>
        <w:ind w:left="846" w:hanging="420"/>
      </w:pPr>
      <w:rPr>
        <w:rFonts w:hint="eastAsia" w:ascii="宋体" w:hAnsi="宋体" w:eastAsia="宋体" w:cs="宋体"/>
      </w:rPr>
    </w:lvl>
    <w:lvl w:ilvl="1" w:tentative="0">
      <w:start w:val="1"/>
      <w:numFmt w:val="lowerLetter"/>
      <w:lvlText w:val="%2)"/>
      <w:lvlJc w:val="left"/>
      <w:pPr>
        <w:ind w:left="726" w:hanging="420"/>
      </w:pPr>
      <w:rPr>
        <w:rFonts w:hint="default" w:ascii="Times New Roman" w:hAnsi="Times New Roman" w:cs="Times New Roman"/>
      </w:rPr>
    </w:lvl>
    <w:lvl w:ilvl="2" w:tentative="0">
      <w:start w:val="1"/>
      <w:numFmt w:val="lowerRoman"/>
      <w:lvlText w:val="%3."/>
      <w:lvlJc w:val="right"/>
      <w:pPr>
        <w:ind w:left="1146" w:hanging="420"/>
      </w:pPr>
      <w:rPr>
        <w:rFonts w:hint="default" w:ascii="Times New Roman" w:hAnsi="Times New Roman" w:cs="Times New Roman"/>
      </w:rPr>
    </w:lvl>
    <w:lvl w:ilvl="3" w:tentative="0">
      <w:start w:val="1"/>
      <w:numFmt w:val="decimal"/>
      <w:lvlText w:val="%4."/>
      <w:lvlJc w:val="left"/>
      <w:pPr>
        <w:ind w:left="1566" w:hanging="420"/>
      </w:pPr>
      <w:rPr>
        <w:rFonts w:hint="default" w:ascii="Times New Roman" w:hAnsi="Times New Roman" w:cs="Times New Roman"/>
      </w:rPr>
    </w:lvl>
    <w:lvl w:ilvl="4" w:tentative="0">
      <w:start w:val="1"/>
      <w:numFmt w:val="lowerLetter"/>
      <w:lvlText w:val="%5)"/>
      <w:lvlJc w:val="left"/>
      <w:pPr>
        <w:ind w:left="1986" w:hanging="420"/>
      </w:pPr>
      <w:rPr>
        <w:rFonts w:hint="default" w:ascii="Times New Roman" w:hAnsi="Times New Roman" w:cs="Times New Roman"/>
      </w:rPr>
    </w:lvl>
    <w:lvl w:ilvl="5" w:tentative="0">
      <w:start w:val="1"/>
      <w:numFmt w:val="lowerRoman"/>
      <w:lvlText w:val="%6."/>
      <w:lvlJc w:val="right"/>
      <w:pPr>
        <w:ind w:left="2406" w:hanging="420"/>
      </w:pPr>
      <w:rPr>
        <w:rFonts w:hint="default" w:ascii="Times New Roman" w:hAnsi="Times New Roman" w:cs="Times New Roman"/>
      </w:rPr>
    </w:lvl>
    <w:lvl w:ilvl="6" w:tentative="0">
      <w:start w:val="1"/>
      <w:numFmt w:val="decimal"/>
      <w:lvlText w:val="%7."/>
      <w:lvlJc w:val="left"/>
      <w:pPr>
        <w:ind w:left="2826" w:hanging="420"/>
      </w:pPr>
      <w:rPr>
        <w:rFonts w:hint="default" w:ascii="Times New Roman" w:hAnsi="Times New Roman" w:cs="Times New Roman"/>
      </w:rPr>
    </w:lvl>
    <w:lvl w:ilvl="7" w:tentative="0">
      <w:start w:val="1"/>
      <w:numFmt w:val="lowerLetter"/>
      <w:lvlText w:val="%8)"/>
      <w:lvlJc w:val="left"/>
      <w:pPr>
        <w:ind w:left="3246" w:hanging="420"/>
      </w:pPr>
      <w:rPr>
        <w:rFonts w:hint="default" w:ascii="Times New Roman" w:hAnsi="Times New Roman" w:cs="Times New Roman"/>
      </w:rPr>
    </w:lvl>
    <w:lvl w:ilvl="8" w:tentative="0">
      <w:start w:val="1"/>
      <w:numFmt w:val="lowerRoman"/>
      <w:lvlText w:val="%9."/>
      <w:lvlJc w:val="right"/>
      <w:pPr>
        <w:ind w:left="3666" w:hanging="420"/>
      </w:pPr>
      <w:rPr>
        <w:rFonts w:hint="default" w:ascii="Times New Roman" w:hAnsi="Times New Roman" w:cs="Times New Roman"/>
      </w:rPr>
    </w:lvl>
  </w:abstractNum>
  <w:abstractNum w:abstractNumId="1">
    <w:nsid w:val="E07F542F"/>
    <w:multiLevelType w:val="multilevel"/>
    <w:tmpl w:val="E07F542F"/>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01691"/>
    <w:rsid w:val="02B01691"/>
    <w:rsid w:val="1924104A"/>
    <w:rsid w:val="21473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Plain Text"/>
    <w:basedOn w:val="1"/>
    <w:qFormat/>
    <w:uiPriority w:val="99"/>
    <w:rPr>
      <w:rFonts w:ascii="宋体" w:hAnsi="Courier New" w:eastAsia="楷体_GB2312"/>
      <w:kern w:val="0"/>
      <w:sz w:val="20"/>
      <w:szCs w:val="24"/>
    </w:rPr>
  </w:style>
  <w:style w:type="paragraph" w:styleId="4">
    <w:name w:val="Body Text 2"/>
    <w:basedOn w:val="1"/>
    <w:unhideWhenUsed/>
    <w:qFormat/>
    <w:uiPriority w:val="0"/>
    <w:rPr>
      <w:rFonts w:ascii="宋体" w:hAnsi="宋体" w:eastAsia="楷体_GB2312"/>
      <w:kern w:val="0"/>
      <w:sz w:val="20"/>
      <w:szCs w:val="24"/>
      <w:u w:val="single"/>
    </w:rPr>
  </w:style>
  <w:style w:type="paragraph" w:styleId="5">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8474</Words>
  <Characters>8988</Characters>
  <Lines>0</Lines>
  <Paragraphs>0</Paragraphs>
  <TotalTime>0</TotalTime>
  <ScaleCrop>false</ScaleCrop>
  <LinksUpToDate>false</LinksUpToDate>
  <CharactersWithSpaces>9484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2025-08-11T07:03:00Z</dcterms:created>
  <dc:creator>Administrator</dc:creator>
  <cp:lastModifiedBy>赵万旭</cp:lastModifiedBy>
  <dcterms:modified xsi:type="dcterms:W3CDTF">2025-08-13T06:55:51Z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8189E59DB0254E11A9A93941665E8F63_11</vt:lpwstr>
  </property>
  <property fmtid="{D5CDD505-2E9C-101B-9397-08002B2CF9AE}" pid="4" name="KSOTemplateDocerSaveRecord">
    <vt:lpwstr>eyJoZGlkIjoiOTczNDFkNWIyMzdmODI2NjVjMDBiODMyODAyYTk0ZWQiLCJ1c2VySWQiOiI0MjAyNjAyNDMifQ==</vt:lpwstr>
  </property>
</Properties>
</file>