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4116">
      <w:pPr>
        <w:spacing w:before="48" w:line="360" w:lineRule="auto"/>
        <w:rPr>
          <w:rFonts w:ascii="宋体" w:hAnsi="宋体" w:eastAsia="宋体" w:cs="Times New Roman"/>
          <w:bCs/>
          <w:sz w:val="28"/>
          <w:szCs w:val="28"/>
        </w:rPr>
      </w:pPr>
      <w:bookmarkStart w:id="0" w:name="_Toc521425573"/>
      <w:r>
        <w:rPr>
          <w:rFonts w:hint="eastAsia" w:ascii="宋体" w:hAnsi="宋体" w:eastAsia="宋体" w:cs="Times New Roman"/>
          <w:bCs/>
          <w:sz w:val="28"/>
          <w:szCs w:val="28"/>
        </w:rPr>
        <w:t>甲方合同编号：</w:t>
      </w:r>
    </w:p>
    <w:p w14:paraId="433AFD60">
      <w:pPr>
        <w:spacing w:before="48" w:line="360" w:lineRule="auto"/>
        <w:rPr>
          <w:rFonts w:ascii="宋体" w:hAnsi="宋体" w:eastAsia="宋体" w:cs="Times New Roman"/>
          <w:bCs/>
          <w:sz w:val="28"/>
          <w:szCs w:val="28"/>
        </w:rPr>
      </w:pPr>
      <w:r>
        <w:rPr>
          <w:rFonts w:hint="eastAsia" w:ascii="宋体" w:hAnsi="宋体" w:eastAsia="宋体" w:cs="Times New Roman"/>
          <w:bCs/>
          <w:sz w:val="28"/>
          <w:szCs w:val="28"/>
        </w:rPr>
        <w:t>乙方合同编号：</w:t>
      </w:r>
    </w:p>
    <w:p w14:paraId="75B53C7B">
      <w:pPr>
        <w:spacing w:before="48" w:line="360" w:lineRule="auto"/>
        <w:rPr>
          <w:rFonts w:ascii="宋体" w:hAnsi="宋体" w:eastAsia="宋体" w:cs="Times New Roman"/>
          <w:b/>
          <w:sz w:val="28"/>
          <w:szCs w:val="28"/>
        </w:rPr>
      </w:pPr>
    </w:p>
    <w:p w14:paraId="56E46C6D">
      <w:pPr>
        <w:spacing w:before="48" w:line="360" w:lineRule="auto"/>
        <w:rPr>
          <w:rFonts w:ascii="宋体" w:hAnsi="宋体" w:eastAsia="宋体" w:cs="Times New Roman"/>
          <w:b/>
          <w:sz w:val="28"/>
          <w:szCs w:val="28"/>
        </w:rPr>
      </w:pPr>
    </w:p>
    <w:p w14:paraId="49797A75">
      <w:pPr>
        <w:spacing w:before="48" w:line="360" w:lineRule="auto"/>
        <w:ind w:firstLine="3092" w:firstLineChars="700"/>
        <w:rPr>
          <w:rFonts w:ascii="宋体" w:hAnsi="宋体" w:eastAsia="宋体" w:cs="Times New Roman"/>
          <w:b/>
          <w:sz w:val="28"/>
          <w:szCs w:val="28"/>
        </w:rPr>
      </w:pPr>
      <w:r>
        <w:rPr>
          <w:rFonts w:hint="eastAsia" w:ascii="宋体" w:hAnsi="宋体" w:eastAsia="宋体" w:cs="Times New Roman"/>
          <w:b/>
          <w:bCs/>
          <w:kern w:val="0"/>
          <w:sz w:val="44"/>
          <w:szCs w:val="44"/>
        </w:rPr>
        <w:t>技术服务</w:t>
      </w:r>
      <w:r>
        <w:rPr>
          <w:rFonts w:ascii="宋体" w:hAnsi="宋体" w:eastAsia="宋体" w:cs="Times New Roman"/>
          <w:b/>
          <w:bCs/>
          <w:kern w:val="0"/>
          <w:sz w:val="44"/>
          <w:szCs w:val="44"/>
        </w:rPr>
        <w:t>合同</w:t>
      </w:r>
      <w:bookmarkEnd w:id="0"/>
    </w:p>
    <w:p w14:paraId="43AA91A0">
      <w:pPr>
        <w:widowControl/>
        <w:jc w:val="center"/>
        <w:rPr>
          <w:rFonts w:ascii="宋体" w:hAnsi="宋体" w:eastAsia="宋体" w:cs="Times New Roman"/>
          <w:kern w:val="0"/>
          <w:sz w:val="36"/>
        </w:rPr>
      </w:pPr>
    </w:p>
    <w:p w14:paraId="15CBAFE5">
      <w:pPr>
        <w:widowControl/>
        <w:jc w:val="center"/>
        <w:rPr>
          <w:rFonts w:ascii="宋体" w:hAnsi="宋体" w:eastAsia="宋体" w:cs="Times New Roman"/>
          <w:kern w:val="0"/>
          <w:sz w:val="36"/>
        </w:rPr>
      </w:pPr>
    </w:p>
    <w:p w14:paraId="18DFB68D">
      <w:pPr>
        <w:widowControl/>
        <w:jc w:val="center"/>
        <w:rPr>
          <w:rFonts w:ascii="宋体" w:hAnsi="宋体" w:eastAsia="宋体" w:cs="Times New Roman"/>
          <w:kern w:val="0"/>
          <w:sz w:val="36"/>
        </w:rPr>
      </w:pPr>
    </w:p>
    <w:p w14:paraId="601C6C7F">
      <w:pPr>
        <w:widowControl/>
        <w:rPr>
          <w:rFonts w:ascii="宋体" w:hAnsi="宋体" w:eastAsia="宋体" w:cs="Times New Roman"/>
          <w:kern w:val="0"/>
          <w:sz w:val="36"/>
        </w:rPr>
      </w:pPr>
    </w:p>
    <w:p w14:paraId="39C83C56">
      <w:pPr>
        <w:spacing w:line="360" w:lineRule="auto"/>
        <w:ind w:left="1600" w:hanging="1600" w:hangingChars="500"/>
        <w:rPr>
          <w:rFonts w:hint="eastAsia" w:ascii="宋体" w:hAnsi="宋体" w:eastAsiaTheme="minorEastAsia"/>
          <w:sz w:val="30"/>
          <w:szCs w:val="30"/>
          <w:u w:val="single"/>
          <w:lang w:eastAsia="zh-CN"/>
        </w:rPr>
      </w:pPr>
      <w:r>
        <w:rPr>
          <w:rFonts w:ascii="宋体" w:hAnsi="宋体"/>
          <w:sz w:val="32"/>
          <w:szCs w:val="32"/>
        </w:rPr>
        <w:t>项目名称：</w:t>
      </w:r>
      <w:r>
        <w:rPr>
          <w:rFonts w:hint="eastAsia" w:ascii="宋体" w:hAnsi="宋体"/>
          <w:sz w:val="32"/>
          <w:szCs w:val="32"/>
          <w:u w:val="single"/>
          <w:lang w:eastAsia="zh-CN"/>
        </w:rPr>
        <w:t>石滩大围达标加固工程测绘及用地报批组卷服务项目</w:t>
      </w:r>
    </w:p>
    <w:p w14:paraId="1A654430">
      <w:pPr>
        <w:spacing w:line="360" w:lineRule="auto"/>
        <w:rPr>
          <w:rFonts w:ascii="宋体" w:hAnsi="宋体"/>
          <w:sz w:val="32"/>
          <w:szCs w:val="32"/>
        </w:rPr>
      </w:pPr>
      <w:r>
        <w:rPr>
          <w:rFonts w:hint="eastAsia" w:ascii="宋体" w:hAnsi="宋体"/>
          <w:sz w:val="32"/>
          <w:szCs w:val="32"/>
        </w:rPr>
        <w:t>委托方（</w:t>
      </w:r>
      <w:r>
        <w:rPr>
          <w:rFonts w:ascii="宋体" w:hAnsi="宋体"/>
          <w:sz w:val="32"/>
          <w:szCs w:val="32"/>
        </w:rPr>
        <w:t>甲方</w:t>
      </w:r>
      <w:r>
        <w:rPr>
          <w:rFonts w:hint="eastAsia" w:ascii="宋体" w:hAnsi="宋体"/>
          <w:sz w:val="32"/>
          <w:szCs w:val="32"/>
        </w:rPr>
        <w:t>）：</w:t>
      </w:r>
      <w:r>
        <w:rPr>
          <w:rFonts w:hint="eastAsia" w:ascii="宋体" w:hAnsi="宋体"/>
          <w:sz w:val="32"/>
          <w:szCs w:val="32"/>
          <w:u w:val="single"/>
        </w:rPr>
        <w:t>广州市增城区石滩镇</w:t>
      </w:r>
      <w:r>
        <w:rPr>
          <w:rFonts w:hint="eastAsia" w:ascii="宋体" w:hAnsi="宋体"/>
          <w:sz w:val="32"/>
          <w:szCs w:val="32"/>
          <w:u w:val="single"/>
          <w:lang w:val="en-US" w:eastAsia="zh-CN"/>
        </w:rPr>
        <w:t>农业农村技术服务中心</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p>
    <w:p w14:paraId="78D3278E">
      <w:pPr>
        <w:spacing w:line="360" w:lineRule="auto"/>
        <w:rPr>
          <w:rFonts w:ascii="宋体" w:hAnsi="宋体" w:eastAsia="宋体" w:cs="Times New Roman"/>
          <w:kern w:val="0"/>
          <w:sz w:val="32"/>
          <w:szCs w:val="32"/>
          <w:u w:val="single"/>
        </w:rPr>
      </w:pPr>
      <w:r>
        <w:rPr>
          <w:rFonts w:hint="eastAsia" w:ascii="宋体" w:hAnsi="宋体"/>
          <w:sz w:val="32"/>
          <w:szCs w:val="32"/>
        </w:rPr>
        <w:t>受托方（</w:t>
      </w:r>
      <w:r>
        <w:rPr>
          <w:rFonts w:ascii="宋体" w:hAnsi="宋体"/>
          <w:sz w:val="32"/>
          <w:szCs w:val="32"/>
        </w:rPr>
        <w:t>乙方</w:t>
      </w:r>
      <w:r>
        <w:rPr>
          <w:rFonts w:hint="eastAsia" w:ascii="宋体" w:hAnsi="宋体"/>
          <w:sz w:val="32"/>
          <w:szCs w:val="32"/>
        </w:rPr>
        <w:t>）</w:t>
      </w:r>
      <w:r>
        <w:rPr>
          <w:rFonts w:ascii="宋体" w:hAnsi="宋体"/>
          <w:sz w:val="32"/>
          <w:szCs w:val="32"/>
        </w:rPr>
        <w:t>：</w:t>
      </w:r>
      <w:r>
        <w:rPr>
          <w:rFonts w:hint="eastAsia" w:ascii="宋体" w:hAnsi="宋体"/>
          <w:sz w:val="32"/>
          <w:szCs w:val="32"/>
          <w:u w:val="single"/>
          <w:lang w:val="en-US" w:eastAsia="zh-CN"/>
        </w:rPr>
        <w:t xml:space="preserve">                     </w:t>
      </w:r>
      <w:r>
        <w:rPr>
          <w:rFonts w:hint="eastAsia" w:ascii="宋体" w:hAnsi="宋体" w:eastAsia="宋体" w:cs="Times New Roman"/>
          <w:kern w:val="0"/>
          <w:sz w:val="32"/>
          <w:szCs w:val="32"/>
          <w:u w:val="single"/>
        </w:rPr>
        <w:t xml:space="preserve"> </w:t>
      </w:r>
      <w:r>
        <w:rPr>
          <w:rFonts w:ascii="宋体" w:hAnsi="宋体" w:eastAsia="宋体" w:cs="Times New Roman"/>
          <w:kern w:val="0"/>
          <w:sz w:val="32"/>
          <w:szCs w:val="32"/>
          <w:u w:val="single"/>
        </w:rPr>
        <w:t xml:space="preserve">                </w:t>
      </w:r>
    </w:p>
    <w:p w14:paraId="460D71C7">
      <w:pPr>
        <w:spacing w:line="360" w:lineRule="auto"/>
        <w:rPr>
          <w:rFonts w:ascii="宋体" w:hAnsi="宋体"/>
          <w:sz w:val="32"/>
          <w:szCs w:val="32"/>
        </w:rPr>
      </w:pPr>
      <w:r>
        <w:rPr>
          <w:rFonts w:hint="eastAsia" w:ascii="宋体" w:hAnsi="宋体"/>
          <w:sz w:val="32"/>
          <w:szCs w:val="32"/>
        </w:rPr>
        <w:t>签约地点</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广州市</w:t>
      </w:r>
      <w:r>
        <w:rPr>
          <w:rFonts w:hint="eastAsia" w:ascii="宋体" w:hAnsi="宋体"/>
          <w:sz w:val="32"/>
          <w:szCs w:val="32"/>
          <w:u w:val="single"/>
        </w:rPr>
        <w:t>增城区石滩镇</w:t>
      </w:r>
      <w:r>
        <w:rPr>
          <w:rFonts w:ascii="宋体" w:hAnsi="宋体"/>
          <w:sz w:val="32"/>
          <w:szCs w:val="32"/>
          <w:u w:val="single"/>
        </w:rPr>
        <w:t xml:space="preserve">                 </w:t>
      </w:r>
    </w:p>
    <w:p w14:paraId="26D9B68D">
      <w:pPr>
        <w:spacing w:line="360" w:lineRule="auto"/>
        <w:rPr>
          <w:rFonts w:ascii="宋体" w:hAnsi="宋体"/>
          <w:sz w:val="32"/>
          <w:szCs w:val="32"/>
          <w:u w:val="single"/>
        </w:rPr>
      </w:pPr>
      <w:r>
        <w:rPr>
          <w:rFonts w:hint="eastAsia" w:ascii="宋体" w:hAnsi="宋体"/>
          <w:sz w:val="32"/>
          <w:szCs w:val="32"/>
        </w:rPr>
        <w:t>签订时间：</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年   月   日 </w:t>
      </w:r>
      <w:r>
        <w:rPr>
          <w:rFonts w:ascii="宋体" w:hAnsi="宋体"/>
          <w:sz w:val="32"/>
          <w:szCs w:val="32"/>
          <w:u w:val="single"/>
        </w:rPr>
        <w:t xml:space="preserve">                    </w:t>
      </w:r>
    </w:p>
    <w:p w14:paraId="776901E0">
      <w:pPr>
        <w:spacing w:line="360" w:lineRule="auto"/>
        <w:ind w:left="1600" w:hanging="1600" w:hangingChars="500"/>
        <w:rPr>
          <w:rFonts w:hint="default" w:ascii="宋体" w:hAnsi="宋体" w:eastAsiaTheme="minorEastAsia"/>
          <w:sz w:val="24"/>
          <w:szCs w:val="24"/>
          <w:lang w:val="en-US" w:eastAsia="zh-CN"/>
        </w:rPr>
      </w:pPr>
      <w:r>
        <w:rPr>
          <w:rFonts w:hint="eastAsia" w:ascii="宋体" w:hAnsi="宋体"/>
          <w:sz w:val="32"/>
          <w:szCs w:val="32"/>
        </w:rPr>
        <w:t>有效期限：</w:t>
      </w:r>
      <w:r>
        <w:rPr>
          <w:rFonts w:hint="eastAsia" w:ascii="宋体" w:hAnsi="宋体"/>
          <w:sz w:val="32"/>
          <w:szCs w:val="32"/>
          <w:u w:val="single"/>
          <w:lang w:val="en-US" w:eastAsia="zh-CN"/>
        </w:rPr>
        <w:t xml:space="preserve">                                            </w:t>
      </w:r>
    </w:p>
    <w:p w14:paraId="352020B1">
      <w:pPr>
        <w:spacing w:line="360" w:lineRule="auto"/>
        <w:ind w:firstLine="120" w:firstLineChars="50"/>
        <w:jc w:val="center"/>
        <w:rPr>
          <w:rFonts w:ascii="宋体" w:hAnsi="宋体"/>
          <w:sz w:val="24"/>
          <w:szCs w:val="24"/>
        </w:rPr>
      </w:pPr>
    </w:p>
    <w:p w14:paraId="6F34B750">
      <w:pPr>
        <w:spacing w:line="360" w:lineRule="auto"/>
        <w:ind w:firstLine="120" w:firstLineChars="50"/>
        <w:jc w:val="center"/>
        <w:rPr>
          <w:rFonts w:ascii="宋体" w:hAnsi="宋体"/>
          <w:sz w:val="24"/>
          <w:szCs w:val="24"/>
        </w:rPr>
      </w:pPr>
    </w:p>
    <w:p w14:paraId="5E9191A4">
      <w:pPr>
        <w:spacing w:line="360" w:lineRule="auto"/>
        <w:ind w:firstLine="120" w:firstLineChars="50"/>
        <w:jc w:val="center"/>
        <w:rPr>
          <w:rFonts w:ascii="宋体" w:hAnsi="宋体"/>
          <w:sz w:val="24"/>
          <w:szCs w:val="24"/>
        </w:rPr>
      </w:pPr>
    </w:p>
    <w:p w14:paraId="6C654428">
      <w:pPr>
        <w:spacing w:line="360" w:lineRule="auto"/>
        <w:ind w:firstLine="120" w:firstLineChars="50"/>
        <w:jc w:val="center"/>
        <w:rPr>
          <w:rFonts w:ascii="宋体" w:hAnsi="宋体"/>
          <w:sz w:val="24"/>
          <w:szCs w:val="24"/>
        </w:rPr>
      </w:pPr>
    </w:p>
    <w:p w14:paraId="01042CE3">
      <w:pPr>
        <w:widowControl/>
        <w:jc w:val="left"/>
        <w:rPr>
          <w:rFonts w:eastAsia="黑体"/>
          <w:sz w:val="36"/>
        </w:rPr>
      </w:pPr>
      <w:r>
        <w:rPr>
          <w:rFonts w:eastAsia="黑体"/>
          <w:sz w:val="36"/>
        </w:rPr>
        <w:br w:type="page"/>
      </w:r>
    </w:p>
    <w:p w14:paraId="048FA04E">
      <w:pPr>
        <w:jc w:val="center"/>
        <w:rPr>
          <w:rFonts w:eastAsia="黑体"/>
          <w:sz w:val="36"/>
        </w:rPr>
      </w:pPr>
      <w:r>
        <w:rPr>
          <w:rFonts w:eastAsia="黑体"/>
          <w:sz w:val="36"/>
        </w:rPr>
        <w:t>填 写 说 明</w:t>
      </w:r>
    </w:p>
    <w:p w14:paraId="7084A45F">
      <w:pPr>
        <w:rPr>
          <w:sz w:val="13"/>
        </w:rPr>
      </w:pPr>
    </w:p>
    <w:p w14:paraId="2DE8B3D4">
      <w:pPr>
        <w:spacing w:line="312" w:lineRule="auto"/>
        <w:ind w:firstLine="555"/>
        <w:rPr>
          <w:rFonts w:eastAsia="KaiTi_GB2312"/>
          <w:sz w:val="28"/>
        </w:rPr>
      </w:pPr>
      <w:r>
        <w:rPr>
          <w:rFonts w:eastAsia="KaiTi_GB2312"/>
          <w:sz w:val="28"/>
        </w:rPr>
        <w:t>一、本合同为中华人民共和国科学技术部印制的技术服务合同示范文本，各技术合同登记机构可推介技术合同当事人参照使用。</w:t>
      </w:r>
    </w:p>
    <w:p w14:paraId="16F4BA15">
      <w:pPr>
        <w:spacing w:line="312" w:lineRule="auto"/>
        <w:ind w:firstLine="555"/>
        <w:rPr>
          <w:rFonts w:eastAsia="KaiTi_GB2312"/>
          <w:sz w:val="28"/>
        </w:rPr>
      </w:pPr>
      <w:r>
        <w:rPr>
          <w:rFonts w:eastAsia="KaiTi_GB2312"/>
          <w:sz w:val="28"/>
        </w:rPr>
        <w:t>二、本合同书适用于一方当事人（受托方）以技术知识为另一方（委托方）解决特定技术问题所订立的合同。</w:t>
      </w:r>
    </w:p>
    <w:p w14:paraId="080CE455">
      <w:pPr>
        <w:spacing w:line="312" w:lineRule="auto"/>
        <w:ind w:firstLine="555"/>
        <w:rPr>
          <w:rFonts w:eastAsia="KaiTi_GB2312"/>
          <w:sz w:val="28"/>
        </w:rPr>
      </w:pPr>
      <w:r>
        <w:rPr>
          <w:rFonts w:eastAsia="KaiTi_GB2312"/>
          <w:sz w:val="28"/>
        </w:rPr>
        <w:t>三、</w:t>
      </w:r>
      <w:r>
        <w:rPr>
          <w:rFonts w:eastAsia="KaiTi_GB2312"/>
          <w:spacing w:val="6"/>
          <w:sz w:val="28"/>
        </w:rPr>
        <w:t>签约一方为多个当事人的，可按各自在合同关系中的作用等，</w:t>
      </w:r>
      <w:r>
        <w:rPr>
          <w:rFonts w:eastAsia="KaiTi_GB2312"/>
          <w:sz w:val="28"/>
        </w:rPr>
        <w:t>在“委托方”、“受托方”项下（增页）分别排列为共同委托人或共同受托人。</w:t>
      </w:r>
    </w:p>
    <w:p w14:paraId="38D15022">
      <w:pPr>
        <w:spacing w:line="312" w:lineRule="auto"/>
        <w:ind w:firstLine="555"/>
        <w:rPr>
          <w:rFonts w:eastAsia="KaiTi_GB2312"/>
          <w:sz w:val="28"/>
        </w:rPr>
      </w:pPr>
      <w:r>
        <w:rPr>
          <w:rFonts w:eastAsia="KaiTi_GB2312"/>
          <w:sz w:val="28"/>
        </w:rPr>
        <w:t>四、本合同书未尽事项，可由当事人附页另行约定，并作为本合同的组成部分。</w:t>
      </w:r>
    </w:p>
    <w:p w14:paraId="59046199">
      <w:pPr>
        <w:spacing w:line="312" w:lineRule="auto"/>
        <w:ind w:firstLine="555"/>
        <w:rPr>
          <w:sz w:val="28"/>
          <w:szCs w:val="28"/>
        </w:rPr>
      </w:pPr>
      <w:r>
        <w:rPr>
          <w:rFonts w:eastAsia="KaiTi_GB2312"/>
          <w:sz w:val="28"/>
        </w:rPr>
        <w:t>五、当事人使用本合同书时约定无需填写的条款，应在该条款处注明“无”等字样。</w:t>
      </w:r>
    </w:p>
    <w:p w14:paraId="34C04151">
      <w:pPr>
        <w:spacing w:line="360" w:lineRule="auto"/>
        <w:ind w:firstLine="480" w:firstLineChars="200"/>
        <w:rPr>
          <w:sz w:val="24"/>
          <w:szCs w:val="24"/>
        </w:rPr>
      </w:pPr>
    </w:p>
    <w:p w14:paraId="4F92BFE1">
      <w:pPr>
        <w:spacing w:line="360" w:lineRule="auto"/>
        <w:ind w:firstLine="480" w:firstLineChars="200"/>
        <w:rPr>
          <w:sz w:val="24"/>
          <w:szCs w:val="24"/>
        </w:rPr>
      </w:pPr>
    </w:p>
    <w:p w14:paraId="18EB67B9">
      <w:pPr>
        <w:spacing w:line="360" w:lineRule="auto"/>
        <w:ind w:firstLine="480" w:firstLineChars="200"/>
        <w:rPr>
          <w:sz w:val="24"/>
          <w:szCs w:val="24"/>
        </w:rPr>
      </w:pPr>
    </w:p>
    <w:p w14:paraId="1A71431D">
      <w:pPr>
        <w:spacing w:line="360" w:lineRule="auto"/>
        <w:ind w:firstLine="480" w:firstLineChars="200"/>
        <w:rPr>
          <w:sz w:val="24"/>
          <w:szCs w:val="24"/>
        </w:rPr>
      </w:pPr>
    </w:p>
    <w:p w14:paraId="3347A5E9">
      <w:pPr>
        <w:spacing w:line="360" w:lineRule="auto"/>
        <w:ind w:firstLine="480" w:firstLineChars="200"/>
        <w:rPr>
          <w:sz w:val="24"/>
          <w:szCs w:val="24"/>
        </w:rPr>
      </w:pPr>
    </w:p>
    <w:p w14:paraId="07D8F6AA">
      <w:pPr>
        <w:spacing w:line="360" w:lineRule="auto"/>
        <w:ind w:firstLine="480" w:firstLineChars="200"/>
        <w:rPr>
          <w:sz w:val="24"/>
          <w:szCs w:val="24"/>
        </w:rPr>
      </w:pPr>
    </w:p>
    <w:p w14:paraId="191B2070">
      <w:pPr>
        <w:spacing w:line="360" w:lineRule="auto"/>
        <w:ind w:firstLine="480" w:firstLineChars="200"/>
        <w:rPr>
          <w:sz w:val="24"/>
          <w:szCs w:val="24"/>
        </w:rPr>
      </w:pPr>
    </w:p>
    <w:p w14:paraId="7E94BB33">
      <w:pPr>
        <w:spacing w:line="360" w:lineRule="auto"/>
        <w:ind w:firstLine="480" w:firstLineChars="200"/>
        <w:rPr>
          <w:sz w:val="24"/>
          <w:szCs w:val="24"/>
        </w:rPr>
      </w:pPr>
    </w:p>
    <w:p w14:paraId="0CEA9332">
      <w:pPr>
        <w:spacing w:line="360" w:lineRule="auto"/>
        <w:ind w:firstLine="480" w:firstLineChars="200"/>
        <w:rPr>
          <w:sz w:val="24"/>
          <w:szCs w:val="24"/>
        </w:rPr>
      </w:pPr>
    </w:p>
    <w:p w14:paraId="079AFAE3">
      <w:pPr>
        <w:spacing w:line="360" w:lineRule="auto"/>
        <w:ind w:firstLine="480" w:firstLineChars="200"/>
        <w:rPr>
          <w:sz w:val="24"/>
          <w:szCs w:val="24"/>
        </w:rPr>
      </w:pPr>
    </w:p>
    <w:p w14:paraId="3AD03B4D">
      <w:pPr>
        <w:spacing w:line="360" w:lineRule="auto"/>
        <w:ind w:firstLine="480" w:firstLineChars="200"/>
        <w:rPr>
          <w:sz w:val="24"/>
          <w:szCs w:val="24"/>
        </w:rPr>
      </w:pPr>
    </w:p>
    <w:p w14:paraId="5EE24F6F">
      <w:pPr>
        <w:spacing w:line="360" w:lineRule="auto"/>
        <w:ind w:firstLine="480" w:firstLineChars="200"/>
        <w:rPr>
          <w:sz w:val="24"/>
          <w:szCs w:val="24"/>
        </w:rPr>
      </w:pPr>
    </w:p>
    <w:p w14:paraId="75FD845D">
      <w:pPr>
        <w:spacing w:line="360" w:lineRule="auto"/>
        <w:ind w:firstLine="480" w:firstLineChars="200"/>
        <w:rPr>
          <w:sz w:val="24"/>
          <w:szCs w:val="24"/>
        </w:rPr>
      </w:pPr>
    </w:p>
    <w:p w14:paraId="19525865">
      <w:pPr>
        <w:spacing w:line="360" w:lineRule="auto"/>
        <w:ind w:firstLine="480" w:firstLineChars="200"/>
        <w:rPr>
          <w:sz w:val="24"/>
          <w:szCs w:val="24"/>
        </w:rPr>
      </w:pPr>
    </w:p>
    <w:p w14:paraId="53B8DFEC">
      <w:pPr>
        <w:jc w:val="center"/>
        <w:rPr>
          <w:rFonts w:eastAsia="黑体"/>
          <w:sz w:val="44"/>
        </w:rPr>
      </w:pPr>
      <w:r>
        <w:rPr>
          <w:rFonts w:hint="eastAsia" w:eastAsia="黑体"/>
          <w:sz w:val="44"/>
        </w:rPr>
        <w:t>技术服务合同</w:t>
      </w:r>
    </w:p>
    <w:p w14:paraId="5A3897A3">
      <w:pPr>
        <w:spacing w:line="360" w:lineRule="auto"/>
        <w:ind w:firstLine="480" w:firstLineChars="200"/>
        <w:rPr>
          <w:sz w:val="24"/>
          <w:szCs w:val="24"/>
        </w:rPr>
      </w:pPr>
    </w:p>
    <w:p w14:paraId="15772D77">
      <w:pPr>
        <w:spacing w:line="360" w:lineRule="auto"/>
        <w:ind w:firstLine="480" w:firstLineChars="200"/>
        <w:rPr>
          <w:sz w:val="24"/>
          <w:szCs w:val="24"/>
        </w:rPr>
      </w:pPr>
      <w:r>
        <w:rPr>
          <w:rFonts w:hint="eastAsia"/>
          <w:sz w:val="24"/>
          <w:szCs w:val="24"/>
        </w:rPr>
        <w:t>委托方（甲方）：</w:t>
      </w:r>
      <w:r>
        <w:rPr>
          <w:rFonts w:hint="eastAsia"/>
          <w:sz w:val="24"/>
          <w:szCs w:val="24"/>
          <w:u w:val="single"/>
        </w:rPr>
        <w:t>广州市增城区石滩镇</w:t>
      </w:r>
      <w:r>
        <w:rPr>
          <w:rFonts w:hint="eastAsia"/>
          <w:sz w:val="24"/>
          <w:szCs w:val="24"/>
          <w:u w:val="single"/>
          <w:lang w:val="en-US" w:eastAsia="zh-CN"/>
        </w:rPr>
        <w:t>农业农村技术服务中心</w:t>
      </w:r>
      <w:r>
        <w:rPr>
          <w:rFonts w:hint="eastAsia"/>
          <w:sz w:val="24"/>
          <w:szCs w:val="24"/>
          <w:u w:val="single"/>
        </w:rPr>
        <w:t xml:space="preserve"> </w:t>
      </w:r>
      <w:r>
        <w:rPr>
          <w:sz w:val="24"/>
          <w:szCs w:val="24"/>
          <w:u w:val="single"/>
        </w:rPr>
        <w:t xml:space="preserve">  </w:t>
      </w:r>
    </w:p>
    <w:p w14:paraId="1A9132BD">
      <w:pPr>
        <w:spacing w:line="360" w:lineRule="auto"/>
        <w:ind w:firstLine="480" w:firstLineChars="200"/>
        <w:rPr>
          <w:sz w:val="24"/>
          <w:szCs w:val="24"/>
        </w:rPr>
      </w:pPr>
      <w:r>
        <w:rPr>
          <w:rFonts w:hint="eastAsia"/>
          <w:sz w:val="24"/>
          <w:szCs w:val="24"/>
        </w:rPr>
        <w:t>住  所  地：</w:t>
      </w:r>
      <w:r>
        <w:rPr>
          <w:rFonts w:hint="eastAsia"/>
          <w:sz w:val="24"/>
          <w:szCs w:val="24"/>
          <w:u w:val="single"/>
        </w:rPr>
        <w:t>广州市增城区石滩</w:t>
      </w:r>
      <w:r>
        <w:rPr>
          <w:rFonts w:hint="eastAsia"/>
          <w:sz w:val="24"/>
          <w:szCs w:val="24"/>
          <w:u w:val="single"/>
          <w:lang w:val="en-US" w:eastAsia="zh-CN"/>
        </w:rPr>
        <w:t>镇石顺大道政务中心8号楼302室</w:t>
      </w:r>
    </w:p>
    <w:p w14:paraId="6A5EC9CE">
      <w:pPr>
        <w:spacing w:line="360" w:lineRule="auto"/>
        <w:ind w:firstLine="480" w:firstLineChars="200"/>
        <w:rPr>
          <w:sz w:val="24"/>
          <w:szCs w:val="24"/>
        </w:rPr>
      </w:pPr>
      <w:r>
        <w:rPr>
          <w:rFonts w:hint="eastAsia"/>
          <w:sz w:val="24"/>
          <w:szCs w:val="24"/>
        </w:rPr>
        <w:t>法定代表人：</w:t>
      </w:r>
      <w:r>
        <w:rPr>
          <w:rFonts w:hint="eastAsia"/>
          <w:sz w:val="24"/>
          <w:szCs w:val="24"/>
          <w:u w:val="single"/>
        </w:rPr>
        <w:t xml:space="preserve">           </w:t>
      </w:r>
      <w:r>
        <w:rPr>
          <w:sz w:val="24"/>
          <w:szCs w:val="24"/>
          <w:u w:val="single"/>
        </w:rPr>
        <w:t xml:space="preserve">    </w:t>
      </w:r>
      <w:r>
        <w:rPr>
          <w:rFonts w:hint="eastAsia"/>
          <w:sz w:val="24"/>
          <w:szCs w:val="24"/>
          <w:u w:val="single"/>
          <w:lang w:val="en-US" w:eastAsia="zh-CN"/>
        </w:rPr>
        <w:t>单艺锋</w:t>
      </w:r>
      <w:r>
        <w:rPr>
          <w:rFonts w:hint="eastAsia"/>
          <w:sz w:val="24"/>
          <w:szCs w:val="24"/>
          <w:u w:val="single"/>
        </w:rPr>
        <w:t xml:space="preserve">                </w:t>
      </w:r>
      <w:r>
        <w:rPr>
          <w:sz w:val="24"/>
          <w:szCs w:val="24"/>
          <w:u w:val="single"/>
        </w:rPr>
        <w:t xml:space="preserve">       </w:t>
      </w:r>
    </w:p>
    <w:p w14:paraId="076C4D33">
      <w:pPr>
        <w:spacing w:line="360" w:lineRule="auto"/>
        <w:ind w:firstLine="480" w:firstLineChars="200"/>
        <w:rPr>
          <w:sz w:val="24"/>
          <w:szCs w:val="24"/>
        </w:rPr>
      </w:pPr>
      <w:r>
        <w:rPr>
          <w:rFonts w:hint="eastAsia"/>
          <w:sz w:val="24"/>
          <w:szCs w:val="24"/>
        </w:rPr>
        <w:t>项目联系人：</w:t>
      </w:r>
      <w:r>
        <w:rPr>
          <w:rFonts w:hint="eastAsia"/>
          <w:sz w:val="24"/>
          <w:szCs w:val="24"/>
          <w:u w:val="single"/>
        </w:rPr>
        <w:t xml:space="preserve">              </w:t>
      </w:r>
      <w:r>
        <w:rPr>
          <w:sz w:val="24"/>
          <w:szCs w:val="24"/>
          <w:u w:val="single"/>
        </w:rPr>
        <w:t xml:space="preserve"> </w:t>
      </w:r>
      <w:r>
        <w:rPr>
          <w:rFonts w:hint="eastAsia"/>
          <w:sz w:val="24"/>
          <w:szCs w:val="24"/>
          <w:u w:val="single"/>
        </w:rPr>
        <w:t xml:space="preserve"> 孙田                       </w:t>
      </w:r>
    </w:p>
    <w:p w14:paraId="5E370309">
      <w:pPr>
        <w:spacing w:line="360" w:lineRule="auto"/>
        <w:ind w:firstLine="480" w:firstLineChars="200"/>
        <w:rPr>
          <w:sz w:val="24"/>
          <w:szCs w:val="24"/>
        </w:rPr>
      </w:pPr>
      <w:r>
        <w:rPr>
          <w:rFonts w:hint="eastAsia"/>
          <w:sz w:val="24"/>
          <w:szCs w:val="24"/>
        </w:rPr>
        <w:t>通讯地址：</w:t>
      </w:r>
      <w:r>
        <w:rPr>
          <w:rFonts w:hint="eastAsia"/>
          <w:sz w:val="24"/>
          <w:szCs w:val="24"/>
          <w:u w:val="single"/>
        </w:rPr>
        <w:t xml:space="preserve">广州市增城区石滩解放南路38号           </w:t>
      </w:r>
      <w:r>
        <w:rPr>
          <w:sz w:val="24"/>
          <w:szCs w:val="24"/>
          <w:u w:val="single"/>
        </w:rPr>
        <w:t xml:space="preserve">     </w:t>
      </w:r>
      <w:r>
        <w:rPr>
          <w:rFonts w:hint="eastAsia"/>
          <w:sz w:val="24"/>
          <w:szCs w:val="24"/>
          <w:u w:val="single"/>
        </w:rPr>
        <w:t xml:space="preserve"> </w:t>
      </w:r>
    </w:p>
    <w:p w14:paraId="7D7817A1">
      <w:pPr>
        <w:spacing w:line="360" w:lineRule="auto"/>
        <w:ind w:firstLine="480" w:firstLineChars="200"/>
        <w:rPr>
          <w:sz w:val="24"/>
          <w:szCs w:val="24"/>
        </w:rPr>
      </w:pPr>
      <w:r>
        <w:rPr>
          <w:rFonts w:hint="eastAsia"/>
          <w:sz w:val="24"/>
          <w:szCs w:val="24"/>
        </w:rPr>
        <w:t xml:space="preserve">电 </w:t>
      </w:r>
      <w:r>
        <w:rPr>
          <w:sz w:val="24"/>
          <w:szCs w:val="24"/>
        </w:rPr>
        <w:t xml:space="preserve">   </w:t>
      </w:r>
      <w:r>
        <w:rPr>
          <w:rFonts w:hint="eastAsia"/>
          <w:sz w:val="24"/>
          <w:szCs w:val="24"/>
        </w:rPr>
        <w:t>话：</w:t>
      </w:r>
      <w:r>
        <w:rPr>
          <w:rFonts w:hint="eastAsia"/>
          <w:sz w:val="24"/>
          <w:szCs w:val="24"/>
          <w:u w:val="single"/>
        </w:rPr>
        <w:t xml:space="preserve">         </w:t>
      </w:r>
      <w:r>
        <w:rPr>
          <w:sz w:val="24"/>
          <w:szCs w:val="24"/>
          <w:u w:val="single"/>
        </w:rPr>
        <w:t xml:space="preserve">   </w:t>
      </w:r>
      <w:r>
        <w:rPr>
          <w:rFonts w:hint="eastAsia"/>
          <w:sz w:val="24"/>
          <w:szCs w:val="24"/>
          <w:u w:val="single"/>
        </w:rPr>
        <w:t xml:space="preserve">  020-82996116</w:t>
      </w:r>
      <w:r>
        <w:rPr>
          <w:sz w:val="24"/>
          <w:szCs w:val="24"/>
          <w:u w:val="single"/>
        </w:rPr>
        <w:t xml:space="preserve"> </w:t>
      </w:r>
      <w:r>
        <w:rPr>
          <w:rFonts w:hint="eastAsia"/>
          <w:sz w:val="24"/>
          <w:szCs w:val="24"/>
          <w:u w:val="single"/>
        </w:rPr>
        <w:t xml:space="preserve">                    </w:t>
      </w:r>
    </w:p>
    <w:p w14:paraId="0C116EA5">
      <w:pPr>
        <w:spacing w:line="360" w:lineRule="auto"/>
        <w:ind w:firstLine="480" w:firstLineChars="200"/>
        <w:rPr>
          <w:sz w:val="24"/>
          <w:szCs w:val="24"/>
        </w:rPr>
      </w:pPr>
      <w:r>
        <w:rPr>
          <w:rFonts w:hint="eastAsia"/>
          <w:sz w:val="24"/>
          <w:szCs w:val="24"/>
        </w:rPr>
        <w:t>电子信箱：</w:t>
      </w:r>
      <w:r>
        <w:rPr>
          <w:rFonts w:hint="eastAsia"/>
          <w:sz w:val="24"/>
          <w:szCs w:val="24"/>
          <w:u w:val="single"/>
        </w:rPr>
        <w:t xml:space="preserve">                   </w:t>
      </w:r>
      <w:r>
        <w:rPr>
          <w:sz w:val="24"/>
          <w:szCs w:val="24"/>
          <w:u w:val="single"/>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FFA775E">
      <w:pPr>
        <w:spacing w:line="360" w:lineRule="auto"/>
        <w:ind w:firstLine="480" w:firstLineChars="200"/>
        <w:rPr>
          <w:sz w:val="24"/>
          <w:szCs w:val="24"/>
        </w:rPr>
      </w:pPr>
    </w:p>
    <w:p w14:paraId="5FD5A9E5">
      <w:pPr>
        <w:spacing w:line="360" w:lineRule="auto"/>
        <w:ind w:firstLine="480" w:firstLineChars="200"/>
        <w:rPr>
          <w:sz w:val="24"/>
          <w:szCs w:val="24"/>
        </w:rPr>
      </w:pPr>
      <w:r>
        <w:rPr>
          <w:rFonts w:hint="eastAsia"/>
          <w:sz w:val="24"/>
          <w:szCs w:val="24"/>
        </w:rPr>
        <w:t>受托方（乙方）：</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6F76D53">
      <w:pPr>
        <w:spacing w:line="360" w:lineRule="auto"/>
        <w:ind w:firstLine="480" w:firstLineChars="200"/>
        <w:rPr>
          <w:sz w:val="24"/>
          <w:szCs w:val="24"/>
        </w:rPr>
      </w:pPr>
      <w:r>
        <w:rPr>
          <w:rFonts w:hint="eastAsia"/>
          <w:sz w:val="24"/>
          <w:szCs w:val="24"/>
        </w:rPr>
        <w:t>住  所  地：</w:t>
      </w:r>
      <w:r>
        <w:rPr>
          <w:rFonts w:hint="eastAsia"/>
          <w:sz w:val="24"/>
          <w:szCs w:val="24"/>
          <w:u w:val="single"/>
        </w:rPr>
        <w:t xml:space="preserve">                </w:t>
      </w:r>
    </w:p>
    <w:p w14:paraId="3C4196EE">
      <w:pPr>
        <w:spacing w:line="360" w:lineRule="auto"/>
        <w:ind w:firstLine="480" w:firstLineChars="200"/>
        <w:rPr>
          <w:sz w:val="24"/>
          <w:szCs w:val="24"/>
        </w:rPr>
      </w:pPr>
      <w:r>
        <w:rPr>
          <w:rFonts w:hint="eastAsia"/>
          <w:sz w:val="24"/>
          <w:szCs w:val="24"/>
        </w:rPr>
        <w:t>法定代表人：</w:t>
      </w:r>
      <w:r>
        <w:rPr>
          <w:rFonts w:hint="eastAsia"/>
          <w:sz w:val="24"/>
          <w:szCs w:val="24"/>
          <w:u w:val="single"/>
        </w:rPr>
        <w:t xml:space="preserve">                                      </w:t>
      </w:r>
    </w:p>
    <w:p w14:paraId="7D003F26">
      <w:pPr>
        <w:spacing w:line="360" w:lineRule="auto"/>
        <w:ind w:firstLine="480" w:firstLineChars="200"/>
        <w:rPr>
          <w:sz w:val="24"/>
          <w:szCs w:val="24"/>
        </w:rPr>
      </w:pPr>
      <w:r>
        <w:rPr>
          <w:rFonts w:hint="eastAsia"/>
          <w:sz w:val="24"/>
          <w:szCs w:val="24"/>
        </w:rPr>
        <w:t>项目联系人：</w:t>
      </w:r>
      <w:r>
        <w:rPr>
          <w:rFonts w:hint="eastAsia"/>
          <w:sz w:val="24"/>
          <w:szCs w:val="24"/>
          <w:u w:val="single"/>
        </w:rPr>
        <w:t xml:space="preserve">                                     </w:t>
      </w:r>
    </w:p>
    <w:p w14:paraId="25C08637">
      <w:pPr>
        <w:spacing w:line="360" w:lineRule="auto"/>
        <w:ind w:firstLine="480" w:firstLineChars="200"/>
        <w:rPr>
          <w:sz w:val="24"/>
          <w:szCs w:val="24"/>
        </w:rPr>
      </w:pPr>
      <w:r>
        <w:rPr>
          <w:rFonts w:hint="eastAsia"/>
          <w:sz w:val="24"/>
          <w:szCs w:val="24"/>
        </w:rPr>
        <w:t>通讯地址：</w:t>
      </w:r>
      <w:r>
        <w:rPr>
          <w:rFonts w:hint="eastAsia"/>
          <w:sz w:val="24"/>
          <w:szCs w:val="24"/>
          <w:u w:val="single"/>
        </w:rPr>
        <w:t xml:space="preserve">                  </w:t>
      </w:r>
    </w:p>
    <w:p w14:paraId="4C256C79">
      <w:pPr>
        <w:spacing w:line="360" w:lineRule="auto"/>
        <w:ind w:firstLine="480" w:firstLineChars="200"/>
        <w:rPr>
          <w:sz w:val="24"/>
          <w:szCs w:val="24"/>
        </w:rPr>
      </w:pPr>
      <w:r>
        <w:rPr>
          <w:rFonts w:hint="eastAsia"/>
          <w:sz w:val="24"/>
          <w:szCs w:val="24"/>
        </w:rPr>
        <w:t xml:space="preserve">电 </w:t>
      </w:r>
      <w:r>
        <w:rPr>
          <w:sz w:val="24"/>
          <w:szCs w:val="24"/>
        </w:rPr>
        <w:t xml:space="preserve">   </w:t>
      </w:r>
      <w:r>
        <w:rPr>
          <w:rFonts w:hint="eastAsia"/>
          <w:sz w:val="24"/>
          <w:szCs w:val="24"/>
        </w:rPr>
        <w:t>话：</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3245D8C">
      <w:pPr>
        <w:spacing w:line="360" w:lineRule="auto"/>
        <w:ind w:firstLine="480" w:firstLineChars="200"/>
        <w:rPr>
          <w:sz w:val="24"/>
          <w:szCs w:val="24"/>
          <w:u w:val="single"/>
        </w:rPr>
      </w:pPr>
      <w:r>
        <w:rPr>
          <w:rFonts w:hint="eastAsia"/>
          <w:sz w:val="24"/>
          <w:szCs w:val="24"/>
        </w:rPr>
        <w:t>电子信箱：</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2FC228A0">
      <w:pPr>
        <w:spacing w:line="360" w:lineRule="auto"/>
        <w:ind w:firstLine="480" w:firstLineChars="200"/>
        <w:rPr>
          <w:sz w:val="24"/>
          <w:szCs w:val="24"/>
        </w:rPr>
      </w:pPr>
    </w:p>
    <w:p w14:paraId="48CB47B9">
      <w:pPr>
        <w:widowControl/>
        <w:jc w:val="left"/>
        <w:rPr>
          <w:sz w:val="24"/>
          <w:szCs w:val="24"/>
        </w:rPr>
      </w:pPr>
      <w:r>
        <w:rPr>
          <w:sz w:val="24"/>
          <w:szCs w:val="24"/>
        </w:rPr>
        <w:br w:type="page"/>
      </w:r>
    </w:p>
    <w:p w14:paraId="19A0763C">
      <w:pPr>
        <w:spacing w:line="360" w:lineRule="auto"/>
        <w:ind w:firstLine="480" w:firstLineChars="200"/>
        <w:rPr>
          <w:sz w:val="24"/>
          <w:szCs w:val="24"/>
        </w:rPr>
      </w:pPr>
      <w:r>
        <w:rPr>
          <w:rFonts w:hint="eastAsia"/>
          <w:sz w:val="24"/>
          <w:szCs w:val="24"/>
        </w:rPr>
        <w:t>就甲方委托乙方为</w:t>
      </w:r>
      <w:r>
        <w:rPr>
          <w:rFonts w:hint="eastAsia"/>
          <w:sz w:val="24"/>
          <w:szCs w:val="24"/>
          <w:u w:val="single"/>
        </w:rPr>
        <w:t xml:space="preserve"> </w:t>
      </w:r>
      <w:r>
        <w:rPr>
          <w:rFonts w:hint="eastAsia"/>
          <w:sz w:val="24"/>
          <w:szCs w:val="24"/>
          <w:u w:val="single"/>
          <w:lang w:eastAsia="zh-CN"/>
        </w:rPr>
        <w:t>石滩大围达标加固工程测绘及用地报批组卷服务项目</w:t>
      </w:r>
      <w:r>
        <w:rPr>
          <w:rFonts w:hint="eastAsia"/>
          <w:sz w:val="24"/>
          <w:szCs w:val="24"/>
          <w:u w:val="single"/>
        </w:rPr>
        <w:t xml:space="preserve"> </w:t>
      </w:r>
      <w:r>
        <w:rPr>
          <w:rFonts w:hint="eastAsia"/>
          <w:sz w:val="24"/>
          <w:szCs w:val="24"/>
        </w:rPr>
        <w:t>提供技术服务的相关事宜，双方经过平等协商，在真实、充分地表达各自意愿的基础上，根据《中华人民共和国民法典》及相关法律法规的有关规定，达成如下协议，以资双方共同遵守。</w:t>
      </w:r>
    </w:p>
    <w:p w14:paraId="1BFA44CC">
      <w:pPr>
        <w:spacing w:line="360" w:lineRule="auto"/>
        <w:rPr>
          <w:b/>
          <w:bCs/>
          <w:sz w:val="28"/>
          <w:szCs w:val="28"/>
        </w:rPr>
      </w:pPr>
      <w:r>
        <w:rPr>
          <w:b/>
          <w:bCs/>
          <w:sz w:val="28"/>
          <w:szCs w:val="28"/>
        </w:rPr>
        <w:t>第</w:t>
      </w:r>
      <w:r>
        <w:rPr>
          <w:rFonts w:hint="eastAsia"/>
          <w:b/>
          <w:bCs/>
          <w:sz w:val="28"/>
          <w:szCs w:val="28"/>
        </w:rPr>
        <w:t>一</w:t>
      </w:r>
      <w:r>
        <w:rPr>
          <w:b/>
          <w:bCs/>
          <w:sz w:val="28"/>
          <w:szCs w:val="28"/>
        </w:rPr>
        <w:t>条</w:t>
      </w:r>
      <w:r>
        <w:rPr>
          <w:rFonts w:hint="eastAsia"/>
          <w:b/>
          <w:bCs/>
          <w:sz w:val="28"/>
          <w:szCs w:val="28"/>
        </w:rPr>
        <w:t xml:space="preserve"> 技术服务内容</w:t>
      </w:r>
    </w:p>
    <w:p w14:paraId="7AA6202A">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（一）服务范围</w:t>
      </w:r>
    </w:p>
    <w:p w14:paraId="7E778AC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石滩大围达标加固工程测绘及用地报批组卷服务项目，整治堤防全长12.477km，按100年一遇防洪标准达标设计，堤围起点位于沙尾村广深铁路桥（ST0+000.0），终点为石厦村铁路桥（ST12+477.0），与铁路衔接形成防洪闭合体系，其中斜坡式土堤12.191km，直墙式堤防0.286km（ST6+021.1-ST6+307.4），清障区域总面积 42.98万平方米。</w:t>
      </w:r>
    </w:p>
    <w:p w14:paraId="5174554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为保障该项目顺利实施，对该项目范围内地籍、用地、监察、矿产、开垦、闲置等方面的土地测绘及勘测定界。包括但不限于界定土地使用范围、征用地测绘、地籍测量、房屋详查、房屋面积测算、调绘土地利用现状、计算用地面积、编制各类图表及勘测定界技术成果报告书等。</w:t>
      </w:r>
    </w:p>
    <w:p w14:paraId="01D85DBB">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（二）取得工作所需的数据资料</w:t>
      </w:r>
    </w:p>
    <w:p w14:paraId="578935D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开展工作前，中标人必须自行申请取得测区控制测量所需的高精度平面和高程控制点起算数据，勘测定界工作所需的增城区测区范围内历年土地利用现状图和最新土地利用规划地类数据1：10000地形图数据，以及完成工作所需的其它资料。</w:t>
      </w:r>
    </w:p>
    <w:p w14:paraId="30860DA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（三）工作依据</w:t>
      </w:r>
    </w:p>
    <w:p w14:paraId="7DD824C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1、《关于进一步加快农村地籍调查推进集体土地确权登记发证工作的通知》（国土资发[2013]97号）；</w:t>
      </w:r>
    </w:p>
    <w:p w14:paraId="152B773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2、《关于全面深化农村改革加快推进农业现代化的若干意见》（中发[2014]1号）；</w:t>
      </w:r>
    </w:p>
    <w:p w14:paraId="6A71086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3、《广东省国土资源厅关于确定农村地籍调查工作试点单位的通知》（粤国土资登记函[2016]2661号）；</w:t>
      </w:r>
    </w:p>
    <w:p w14:paraId="358745A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4、《国土资源部 财政部 住房和城乡建设部 农业部 国家林业局关于进一步加快推进宅基地和集体建设用地使用权确权登记发证工作的通知》（国土资发[2014]101号）；</w:t>
      </w:r>
    </w:p>
    <w:p w14:paraId="77301F9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5、《广东省国土资源厅关于印发&lt;关于加快推进广东省农村地籍调查工作实施方案的通知&gt;》（粤国土资地籍发[2015]1号）；</w:t>
      </w:r>
    </w:p>
    <w:p w14:paraId="731F8A5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6、《广州市国土资源和规划委员会关于印发&lt;广州市农村地籍调查工作方案&gt;的通知》（穗国房字[2015]690号）；</w:t>
      </w:r>
    </w:p>
    <w:p w14:paraId="63B4801A">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7、《广东省城乡一体化地籍数据库建库标准》（粤国土资地籍发[2015]194号）；</w:t>
      </w:r>
    </w:p>
    <w:p w14:paraId="70D761F1">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8、《国土资源部关于做好不动产权籍调查工作的通知》（国土资发[2015]41号）；</w:t>
      </w:r>
    </w:p>
    <w:p w14:paraId="7AD43BD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9、《广东省国土资源厅关于印发&lt;广东省农村地籍调查作业细则&gt;的通知》（粤国土资登记发[2017]5号）；</w:t>
      </w:r>
    </w:p>
    <w:p w14:paraId="04EF39F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10、《广州市门楼号牌管理规定》（广州市人民政府令第 147 号）；</w:t>
      </w:r>
    </w:p>
    <w:p w14:paraId="551F551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11、《广州市实有房屋单元号编列工作指引》，穗深规办[2017]39 号。</w:t>
      </w:r>
    </w:p>
    <w:p w14:paraId="634E30C9">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（四）技术依据</w:t>
      </w:r>
    </w:p>
    <w:p w14:paraId="2C0DEA8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1、《广州市土地基础数据库技术规范》；</w:t>
      </w:r>
    </w:p>
    <w:p w14:paraId="6CE9A84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2、《土地利用现状分类》（GB/T 21010-2017）；</w:t>
      </w:r>
    </w:p>
    <w:p w14:paraId="5FD159F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3、《城市测量规范》（CJJ/T 8-2011）；</w:t>
      </w:r>
    </w:p>
    <w:p w14:paraId="0792B2F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4、《国家基本比例尺地图图式第1部分：1:500、1:1000、1:2000地形图图式》（GB/T20257.1-2017）；</w:t>
      </w:r>
    </w:p>
    <w:p w14:paraId="62B17F5B">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5、《土地勘测定界规程》（TD/T 1008-2007）；</w:t>
      </w:r>
    </w:p>
    <w:p w14:paraId="6A45D253">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6、《地籍调查规程》（DB4401/T 2-2018）；</w:t>
      </w:r>
    </w:p>
    <w:p w14:paraId="6F947FBA">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7、《全球定位系统（GPS）测量规范》GB/T 18314-2009；</w:t>
      </w:r>
    </w:p>
    <w:p w14:paraId="7B782B8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8、《卫星定位城市测量技术标准》CJJ/T 73-2019；</w:t>
      </w:r>
    </w:p>
    <w:p w14:paraId="095545F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9、《1：500，1：1000，1：2000外业数字测图技术规程》GB/T 14912-2017；</w:t>
      </w:r>
    </w:p>
    <w:p w14:paraId="3D57F0A3">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10、《国家三、四等水准测量规范》GB/T 12898-2009；</w:t>
      </w:r>
    </w:p>
    <w:p w14:paraId="3605907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11、《房产测量规范 第1单元:房产测量规定》GB/T 17986.1-2000；</w:t>
      </w:r>
    </w:p>
    <w:p w14:paraId="0353FD8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12、《房产测量规范 第2单元:房产图图式》GB/T 17986.2-2000；</w:t>
      </w:r>
    </w:p>
    <w:p w14:paraId="4F15878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13、《中华人民共和国行政区划代码大全》GB/T 2260-2007；</w:t>
      </w:r>
    </w:p>
    <w:p w14:paraId="3A1040AB">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14、《信息分类和编码的基本原则与方法》GB/T 7027-2002；</w:t>
      </w:r>
    </w:p>
    <w:p w14:paraId="25840BF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15、《民用建筑设计术语标准》GB/T 50504-2009；</w:t>
      </w:r>
    </w:p>
    <w:p w14:paraId="736A5B2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16、《地下空间产权测绘技术规范》DB4401/T 54-2020；</w:t>
      </w:r>
    </w:p>
    <w:p w14:paraId="00B155E9">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17、《房屋面积测算规范》DB4401/T 5-2018；</w:t>
      </w:r>
    </w:p>
    <w:p w14:paraId="7F443F8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18、《工程测量规范》GB 50026-2020；</w:t>
      </w:r>
    </w:p>
    <w:p w14:paraId="4B8BB52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19、《测绘成果质量检查与验收》GB/T 24356-2023；</w:t>
      </w:r>
    </w:p>
    <w:p w14:paraId="2D1F30B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（五）主要技术指标</w:t>
      </w:r>
    </w:p>
    <w:p w14:paraId="1A7B6C69">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测图成果统一采用1：500比例尺，按40cm×50cm分幅；2000国家大地坐标系；1985国家高程基准，基本等高距1m；高斯-克吕格投影，中央子午线为114°，3°分带。</w:t>
      </w:r>
    </w:p>
    <w:p w14:paraId="45C5F55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（六）进行征用地测绘</w:t>
      </w:r>
    </w:p>
    <w:p w14:paraId="45EE64F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1、控制测量：根据征用地范围大小布设相应平面和高程控制网，点位密度不少于相关规范要求；</w:t>
      </w:r>
    </w:p>
    <w:p w14:paraId="0362F369">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2、1：500数字化地形测量：按拟征用地红线内及红线外10米范围内进行测量，外业数据采集时应确保主要地貌表示清楚，重要地物不得遗漏，内业成果整理时要确保地面建筑物及地下、地面管线在图上表示清楚。</w:t>
      </w:r>
    </w:p>
    <w:p w14:paraId="5B0F49C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3、成果和资料提交：</w:t>
      </w:r>
    </w:p>
    <w:p w14:paraId="3F29095E">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（1）技术设计书；</w:t>
      </w:r>
    </w:p>
    <w:p w14:paraId="1ACB1D41">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（2）技术总结；</w:t>
      </w:r>
    </w:p>
    <w:p w14:paraId="4307D1CF">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（3）质检报告；</w:t>
      </w:r>
    </w:p>
    <w:p w14:paraId="01BBDADB">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（4）测绘仪器检定证书；</w:t>
      </w:r>
    </w:p>
    <w:p w14:paraId="79C4956E">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（5）地形图块图和分幅图。</w:t>
      </w:r>
    </w:p>
    <w:p w14:paraId="543DF54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（七）进行勘测定界</w:t>
      </w:r>
    </w:p>
    <w:p w14:paraId="1B3C7FC9">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1、按拟征用地红线实地埋设界桩，界桩按各转角点放样、埋设，直线段每150m设点，界桩样式按采购人要求制造；编制《国土界桩放样表》，含界址点坐标表、界址点实测坐标表、界址点点之记（实地拍照）。</w:t>
      </w:r>
    </w:p>
    <w:p w14:paraId="3BB6AA11">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在征地范围和分割地块范围，进行行政村、自然村及合作社的地类面积量算统计和权属调查、明确界址；权属调查按需要细分到户，权属界线一般情况下须镇政府（街道办）、各村及合作社盖章确认；采集勘测数据为征地图、宗地图、土地测绘成果报告书和土地勘测定界技术报告书的编制提供外业数据。</w:t>
      </w:r>
    </w:p>
    <w:p w14:paraId="0B3DDCF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（八）房屋详查测绘工作内容</w:t>
      </w:r>
    </w:p>
    <w:p w14:paraId="55F3097F">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1、房屋测量；</w:t>
      </w:r>
    </w:p>
    <w:p w14:paraId="73D8F32E">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2、房产调查（含权属、装修及附属物等详细调查）；</w:t>
      </w:r>
    </w:p>
    <w:p w14:paraId="59139D2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3、编制房产图；</w:t>
      </w:r>
    </w:p>
    <w:p w14:paraId="2193D1FA">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4、数据处理和统计；</w:t>
      </w:r>
    </w:p>
    <w:p w14:paraId="7E38FD8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5、制作详查成果报告书。</w:t>
      </w:r>
    </w:p>
    <w:p w14:paraId="62105DF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（九）权属调查</w:t>
      </w:r>
    </w:p>
    <w:p w14:paraId="747310C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对现有房地产登记资料无法落地或缺少权属资料的宗地，需进行权属资料收集，严格按照地籍调查有关规程规范的要求开展，以满足登记发证的需求，完成实地补充权属调查；填写《权籍调查表》，落实指界人签名，实地界址难以明确的，由镇街国土所加意见，编制指界图。</w:t>
      </w:r>
    </w:p>
    <w:p w14:paraId="64C378BB">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2、农村集体土地所有权发证登记调查</w:t>
      </w:r>
    </w:p>
    <w:p w14:paraId="7DEC1201">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用地报批时，个别因缺少权属资料，需按照地籍调查有关规程规范的要求开展权属调查，以满足登记发证的需求。农村集体土地所有权存在争议时，需按照地籍调查有关规程规范的要求开展权属调查。受采购人委托后,完成实地权属调查、通过通过广州市不动产统一登记信息平台进行权籍信息录入、宗地图的制作，完成盖章进行公示、落实指界人签名及周边权利人盖章等权属调查和入库相关工作。</w:t>
      </w:r>
    </w:p>
    <w:p w14:paraId="5589742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（十）制作征地报批中涉及违法用地图斑报告</w:t>
      </w:r>
    </w:p>
    <w:p w14:paraId="274BB61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在征地报批时，如征地红线范围内的建设用地有1999年1月1日之后发生变化且未办理用地手续的，须把发生变化的地类范围制作违法用地图斑报告。</w:t>
      </w:r>
    </w:p>
    <w:p w14:paraId="7DDC853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违法用地图斑报告按有关行政主管部门的最新要求编制，一并装订成册提交给采购人。</w:t>
      </w:r>
    </w:p>
    <w:p w14:paraId="175BB6B1">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（十一）内业成图工作</w:t>
      </w:r>
    </w:p>
    <w:p w14:paraId="0582F46F">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1、编制征地图、宗地图</w:t>
      </w:r>
    </w:p>
    <w:p w14:paraId="14AFC29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在取得土地测绘成果的基础上，根据采购人提供的项目红线以及增城区历年的土地利用现状图等资料，按规范及采购人相关要求编制图件资料成果。</w:t>
      </w:r>
    </w:p>
    <w:p w14:paraId="0EB46263">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（1）征地图主要内容和要求：</w:t>
      </w:r>
    </w:p>
    <w:p w14:paraId="435498A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征地红线需权属清晰，界址清楚，面积准确。图件符合征用地报批要求，如采购人有特殊要求，则按采购人需求制作征地图件资料。</w:t>
      </w:r>
    </w:p>
    <w:p w14:paraId="78EB491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（2）宗地图主要内容和要求：</w:t>
      </w:r>
    </w:p>
    <w:p w14:paraId="7400461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宗地红线需权属清晰，界址清楚，面积准确，出具的地籍调查成果资料需符合办理不动产确权登记的要求。</w:t>
      </w:r>
    </w:p>
    <w:p w14:paraId="298CDFD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2、数字化数据入库</w:t>
      </w:r>
    </w:p>
    <w:p w14:paraId="29D0631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根据采购人要求，对数字化测图成果进行格式转换、属性录入等数字化入库处理，最终输出shape格式或gdb格式数据，并以刻录光盘形式提交采购人。</w:t>
      </w:r>
    </w:p>
    <w:p w14:paraId="72EE216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3、彩色复印、黑白复印及蓝图复印</w:t>
      </w:r>
    </w:p>
    <w:p w14:paraId="7A2C9D4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按照采购人的使用需求进行图件、报告的彩色复印、黑白复印及蓝图复印工作。</w:t>
      </w:r>
    </w:p>
    <w:p w14:paraId="1ACB6643">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4、专题图制作</w:t>
      </w:r>
    </w:p>
    <w:p w14:paraId="26F00CB3">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根据采购人的要求，基于最新影像、数字线划图和规划底图（总规、土规、控规等），叠加专题数据（项目红线、用地数据、规划数据等）和采购人个性化需求，编制专题图。主要工作包括无人机低空摄影测量、数据处理（采集、获取、整理和矢量化入库），内业制图，最终出具专题图成果。</w:t>
      </w:r>
    </w:p>
    <w:p w14:paraId="2B91A69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（十二）组卷报批服务</w:t>
      </w:r>
    </w:p>
    <w:p w14:paraId="616C85C3">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1、协助完成项目用地预审工作，取得用地预审与选址意见书。</w:t>
      </w:r>
    </w:p>
    <w:p w14:paraId="4DAA8DBE">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协助组卷建设用地报批材料，编制补偿登记表、征地补偿安置听证材料、留用地安置材料、征地补偿安置方案、征地协议及征地相关证明等签字盖章材料，经相关部门审核后，下发给镇街经办人执行签字盖章工作。</w:t>
      </w:r>
    </w:p>
    <w:p w14:paraId="31D2A13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3、收集并梳理用地报批材料，对组件过程资料进行合规性和完整性检查。资料包括但不限于：建设用地电子化格式的界址 点坐标表和2000国家大地坐标电子红线、建设用地项目呈报材料“一书三方案”、各类签字盖章材料、各类收发函等。</w:t>
      </w:r>
    </w:p>
    <w:p w14:paraId="790FF1C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4、用地组卷报批沟通协调及进度跟进工作。主要沟通工作内容如下：</w:t>
      </w:r>
    </w:p>
    <w:p w14:paraId="12A890C9">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（1）沟通协调完成违法用地情况处理（违法用地处罚决定书，违法用地缴款、责任人处理决定、督促 违法占用单位组织复绿等）。</w:t>
      </w:r>
    </w:p>
    <w:p w14:paraId="6BC0D0A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（2）沟通协调完成集体所有权、集体使用权等权属的补登记和注销工作中。</w:t>
      </w:r>
    </w:p>
    <w:p w14:paraId="0D34A42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（3）沟通协调完善用地组卷报批材料，查漏补缺。</w:t>
      </w:r>
    </w:p>
    <w:p w14:paraId="2833523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（4）跟进整个组卷项目的进度，参与报批项目相关的会议并汇报相关进度。</w:t>
      </w:r>
    </w:p>
    <w:p w14:paraId="1673AE6E">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（十三）组卷相关报告编制服务</w:t>
      </w:r>
    </w:p>
    <w:p w14:paraId="701D4CDB">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1、耕作层剥离再利用方案编制及专家评审；</w:t>
      </w:r>
    </w:p>
    <w:p w14:paraId="3526D19A">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2、节地专章编制及专家评审；</w:t>
      </w:r>
    </w:p>
    <w:p w14:paraId="6FF9655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3、社会稳定风险分析报告编制及专家评审；</w:t>
      </w:r>
    </w:p>
    <w:p w14:paraId="641ED51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4、地质灾害危险性评估报告编制及专家评审。</w:t>
      </w:r>
    </w:p>
    <w:p w14:paraId="405B4C5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（十四）勘测定界报告书编辑及报批相关图件编制服务</w:t>
      </w:r>
    </w:p>
    <w:p w14:paraId="09E20B7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（十五）其他服务</w:t>
      </w:r>
    </w:p>
    <w:p w14:paraId="0425739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根据采购人需求提供中标人业务范围内的其他测绘服务。</w:t>
      </w:r>
    </w:p>
    <w:p w14:paraId="48AED4F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二、项目工作要求</w:t>
      </w:r>
    </w:p>
    <w:p w14:paraId="72A09E76">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（一）作业人员管理要求</w:t>
      </w:r>
    </w:p>
    <w:p w14:paraId="205439A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1、中标人必须按投标文件承诺的人员名单落实作业与管理人员。拟投入的项目实施人员（技术人员）应具有测绘相关专业中级或以上职称及注册测绘师，具有涉密及档案归档能力的人员。</w:t>
      </w:r>
    </w:p>
    <w:p w14:paraId="0B93CBD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2、自中标通知书发出之日起，采购人将按照程序尽快与中标人签订合同，中标人也应迅速组织工作人员进场。</w:t>
      </w:r>
    </w:p>
    <w:p w14:paraId="0C3BFA5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在项目执行期间，中标人应严格按照投标文件承诺进行考勤管理，中标人在投标文件中填报的项目负责人、技术负责人及质量负责人未经采购人同意，若非不可抗拒因素不得更换；且中标人在投标文件中填报的常驻技术人员不得随意变动，如确需更改须征得采购人的同意，并且在项目执行期间变动数量不超过技术人员总数的20％。</w:t>
      </w:r>
    </w:p>
    <w:p w14:paraId="2306A23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（二）仪器设备管理要求</w:t>
      </w:r>
    </w:p>
    <w:p w14:paraId="58C562D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1、投标人应按照项目全面质量检查检验的要求配备必要的设备仪器、计算机（包含涉密计算机）、车辆等，采购人有权进行检查和监督。</w:t>
      </w:r>
    </w:p>
    <w:p w14:paraId="32F5788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2、在测区使用的仪器设备须由法定测绘计量检定机构出具检定合格证书，不得使用未经年检或检验不合格的设备用于作业，否则将扣除合同款5%。</w:t>
      </w:r>
    </w:p>
    <w:p w14:paraId="7C8C2520">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（三）其它管理要求</w:t>
      </w:r>
    </w:p>
    <w:p w14:paraId="54DA524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1、中标人必须实事求是地进行调查、测绘工作，不得弄虚作假、伪造数据。</w:t>
      </w:r>
    </w:p>
    <w:p w14:paraId="583B6E5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2、中标人应该确保成果的保密与安全。适当安排相应资质的人员对档案进行管理，对涉密的数据必须根据保密的相关要求进行处理和存储，如造成作业成果或采购人提供资料外泄，中标人必须承担法律和经济赔偿责任。</w:t>
      </w:r>
    </w:p>
    <w:p w14:paraId="07CE27D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3、中标人的作业人员应根据采购人的要求进行调度，作业的高峰期适当增加工作人员。</w:t>
      </w:r>
    </w:p>
    <w:p w14:paraId="1B0CCFDC">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4、中标人应自觉接受采购人的要求，配合相关工作。无正当理由不配合者，采购人有权终止合同。</w:t>
      </w:r>
    </w:p>
    <w:p w14:paraId="72F39BD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三、成果提交要求</w:t>
      </w:r>
    </w:p>
    <w:p w14:paraId="0E5316D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本次招标项目的阶段性成果将根据采购人需求及工作进展情况分阶段提交。每阶段成果将集中汇交的方式，成果汇交产生的费用由中标人自理。</w:t>
      </w:r>
    </w:p>
    <w:p w14:paraId="41A5113F">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四、项目完成时间</w:t>
      </w:r>
    </w:p>
    <w:p w14:paraId="717518A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自合同签订之日起至累计结算额度达到合同金额止。</w:t>
      </w:r>
    </w:p>
    <w:p w14:paraId="2D26DE74">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五、项目管理</w:t>
      </w:r>
    </w:p>
    <w:p w14:paraId="04FF05BD">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投标人必须针对本项目招标要求，制订具体详细的、可操作性强的项目管理方案，详细列明承诺参与的各专业人员和仪器设备的配备情况，项目实施阶段将对承诺投入的人员和设备状况进行检查，如达不到承诺的要求，将进行处罚或终止合同。</w:t>
      </w:r>
    </w:p>
    <w:p w14:paraId="664A7A22">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六、质量保证</w:t>
      </w:r>
    </w:p>
    <w:p w14:paraId="3BA48F77">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投标人必须针对本项目招标要求，提供完整的质量保证体系，确保调查成果达到相关技术标准的要求，并对质量保证的措施进行详细描述。</w:t>
      </w:r>
    </w:p>
    <w:p w14:paraId="5CB1DD4E">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七、服务</w:t>
      </w:r>
    </w:p>
    <w:p w14:paraId="348783E5">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投标人必须根据本项目招标要求提供完整的服务，并有针对性地进行详细描述，此外，还包括保障服务和配合采购人接受验收服务等。</w:t>
      </w:r>
    </w:p>
    <w:p w14:paraId="22298851">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八、采购人配合的内容</w:t>
      </w:r>
    </w:p>
    <w:p w14:paraId="56313B3A">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为配合实施本项目的各阶段工作，投标人应列明需采购人配合的工作内容（包括资料提供、相关服务、验收等）和具体要求。</w:t>
      </w:r>
    </w:p>
    <w:p w14:paraId="38D0B882">
      <w:pPr>
        <w:pStyle w:val="6"/>
        <w:adjustRightInd w:val="0"/>
        <w:snapToGrid w:val="0"/>
        <w:spacing w:line="360" w:lineRule="auto"/>
        <w:ind w:firstLine="480" w:firstLineChars="200"/>
        <w:jc w:val="left"/>
        <w:rPr>
          <w:rFonts w:hint="eastAsia" w:hAnsi="宋体" w:cstheme="minorBidi"/>
          <w:color w:val="000000" w:themeColor="text1"/>
          <w:kern w:val="2"/>
          <w:sz w:val="24"/>
          <w:szCs w:val="22"/>
          <w:lang w:val="en-US"/>
          <w14:textFill>
            <w14:solidFill>
              <w14:schemeClr w14:val="tx1"/>
            </w14:solidFill>
          </w14:textFill>
        </w:rPr>
      </w:pPr>
      <w:r>
        <w:rPr>
          <w:rFonts w:hint="eastAsia" w:hAnsi="宋体" w:cstheme="minorBidi"/>
          <w:kern w:val="2"/>
          <w:sz w:val="24"/>
          <w:szCs w:val="22"/>
          <w:lang w:val="en-US"/>
        </w:rPr>
        <w:t>九、付款</w:t>
      </w:r>
      <w:r>
        <w:rPr>
          <w:rFonts w:hint="eastAsia" w:hAnsi="宋体" w:cstheme="minorBidi"/>
          <w:color w:val="000000" w:themeColor="text1"/>
          <w:kern w:val="2"/>
          <w:sz w:val="24"/>
          <w:szCs w:val="22"/>
          <w:lang w:val="en-US"/>
          <w14:textFill>
            <w14:solidFill>
              <w14:schemeClr w14:val="tx1"/>
            </w14:solidFill>
          </w14:textFill>
        </w:rPr>
        <w:t>方式</w:t>
      </w:r>
    </w:p>
    <w:p w14:paraId="07AD7ED4">
      <w:pPr>
        <w:pStyle w:val="6"/>
        <w:adjustRightInd w:val="0"/>
        <w:snapToGrid w:val="0"/>
        <w:spacing w:line="360" w:lineRule="auto"/>
        <w:ind w:firstLine="480" w:firstLineChars="200"/>
        <w:jc w:val="left"/>
        <w:rPr>
          <w:rFonts w:hint="eastAsia" w:hAnsi="宋体" w:cstheme="minorBidi"/>
          <w:color w:val="000000" w:themeColor="text1"/>
          <w:kern w:val="2"/>
          <w:sz w:val="24"/>
          <w:szCs w:val="22"/>
          <w:lang w:val="en-US"/>
          <w14:textFill>
            <w14:solidFill>
              <w14:schemeClr w14:val="tx1"/>
            </w14:solidFill>
          </w14:textFill>
        </w:rPr>
      </w:pPr>
      <w:r>
        <w:rPr>
          <w:rFonts w:hint="eastAsia" w:hAnsi="宋体" w:cstheme="minorBidi"/>
          <w:color w:val="000000" w:themeColor="text1"/>
          <w:kern w:val="2"/>
          <w:sz w:val="24"/>
          <w:szCs w:val="22"/>
          <w:lang w:val="en-US"/>
          <w14:textFill>
            <w14:solidFill>
              <w14:schemeClr w14:val="tx1"/>
            </w14:solidFill>
          </w14:textFill>
        </w:rPr>
        <w:t>（一）</w:t>
      </w:r>
      <w:r>
        <w:rPr>
          <w:rFonts w:hint="eastAsia" w:hAnsi="宋体" w:cstheme="minorBidi"/>
          <w:color w:val="000000" w:themeColor="text1"/>
          <w:kern w:val="2"/>
          <w:sz w:val="24"/>
          <w:szCs w:val="22"/>
          <w:lang w:val="en-US" w:eastAsia="zh-CN"/>
          <w14:textFill>
            <w14:solidFill>
              <w14:schemeClr w14:val="tx1"/>
            </w14:solidFill>
          </w14:textFill>
        </w:rPr>
        <w:t>结算</w:t>
      </w:r>
      <w:r>
        <w:rPr>
          <w:rFonts w:hint="eastAsia" w:hAnsi="宋体" w:cstheme="minorBidi"/>
          <w:color w:val="000000" w:themeColor="text1"/>
          <w:kern w:val="2"/>
          <w:sz w:val="24"/>
          <w:szCs w:val="22"/>
          <w:lang w:val="en-US"/>
          <w14:textFill>
            <w14:solidFill>
              <w14:schemeClr w14:val="tx1"/>
            </w14:solidFill>
          </w14:textFill>
        </w:rPr>
        <w:t>依据</w:t>
      </w:r>
    </w:p>
    <w:p w14:paraId="244448C8">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color w:val="000000" w:themeColor="text1"/>
          <w:kern w:val="2"/>
          <w:sz w:val="24"/>
          <w:szCs w:val="22"/>
          <w:lang w:val="en-US" w:eastAsia="zh-CN"/>
          <w14:textFill>
            <w14:solidFill>
              <w14:schemeClr w14:val="tx1"/>
            </w14:solidFill>
          </w14:textFill>
        </w:rPr>
        <w:t>结算</w:t>
      </w:r>
      <w:r>
        <w:rPr>
          <w:rFonts w:hint="eastAsia" w:hAnsi="宋体" w:cstheme="minorBidi"/>
          <w:color w:val="000000" w:themeColor="text1"/>
          <w:kern w:val="2"/>
          <w:sz w:val="24"/>
          <w:szCs w:val="22"/>
          <w:lang w:val="en-US"/>
          <w14:textFill>
            <w14:solidFill>
              <w14:schemeClr w14:val="tx1"/>
            </w14:solidFill>
          </w14:textFill>
        </w:rPr>
        <w:t>依据为</w:t>
      </w:r>
      <w:r>
        <w:rPr>
          <w:rFonts w:hint="eastAsia" w:hAnsi="宋体" w:cstheme="minorBidi"/>
          <w:kern w:val="2"/>
          <w:sz w:val="24"/>
          <w:szCs w:val="22"/>
          <w:lang w:val="en-US"/>
        </w:rPr>
        <w:t>国家测绘局2002年颁布的《国测财字(2002)3号》，财政部、国家测绘局2009年2月颁布的《测绘生产成本费用定额》、计价格（1999）1283号的收费标准。同时，根据《广东省发展改革委关于放开取消转移部分商品和服务价格有关事项的通知》（粤发改发电［2015］87号）的规定，房屋、土地测绘收费可实行市场调节价。</w:t>
      </w:r>
    </w:p>
    <w:p w14:paraId="115D982F">
      <w:pPr>
        <w:pStyle w:val="6"/>
        <w:adjustRightInd w:val="0"/>
        <w:snapToGrid w:val="0"/>
        <w:spacing w:line="360" w:lineRule="auto"/>
        <w:ind w:firstLine="480" w:firstLineChars="200"/>
        <w:jc w:val="left"/>
        <w:rPr>
          <w:rFonts w:hint="eastAsia" w:hAnsi="宋体" w:cstheme="minorBidi"/>
          <w:kern w:val="2"/>
          <w:sz w:val="24"/>
          <w:szCs w:val="22"/>
          <w:lang w:val="en-US"/>
        </w:rPr>
      </w:pPr>
      <w:r>
        <w:rPr>
          <w:rFonts w:hint="eastAsia" w:hAnsi="宋体" w:cstheme="minorBidi"/>
          <w:kern w:val="2"/>
          <w:sz w:val="24"/>
          <w:szCs w:val="22"/>
          <w:lang w:val="en-US"/>
        </w:rPr>
        <w:t>本项目根据上述依据的相关规定，</w:t>
      </w:r>
      <w:r>
        <w:rPr>
          <w:rFonts w:hint="eastAsia" w:hAnsi="宋体" w:cstheme="minorBidi"/>
          <w:kern w:val="2"/>
          <w:sz w:val="24"/>
          <w:szCs w:val="22"/>
          <w:lang w:val="en-US" w:eastAsia="zh-CN"/>
        </w:rPr>
        <w:t>最终</w:t>
      </w:r>
      <w:r>
        <w:rPr>
          <w:rFonts w:hint="eastAsia" w:hAnsi="宋体" w:cstheme="minorBidi"/>
          <w:kern w:val="2"/>
          <w:sz w:val="24"/>
          <w:szCs w:val="22"/>
          <w:lang w:val="en-US"/>
        </w:rPr>
        <w:t>按实际发生服务费用进行结算，结算累计额度不超过合同金额</w:t>
      </w:r>
      <w:r>
        <w:rPr>
          <w:rFonts w:hint="eastAsia" w:hAnsi="宋体" w:cstheme="minorBidi"/>
          <w:kern w:val="2"/>
          <w:sz w:val="24"/>
          <w:szCs w:val="22"/>
          <w:lang w:val="en-US" w:eastAsia="zh-CN"/>
        </w:rPr>
        <w:t>；</w:t>
      </w:r>
      <w:r>
        <w:rPr>
          <w:rFonts w:hint="eastAsia" w:hAnsi="宋体" w:cstheme="minorBidi"/>
          <w:kern w:val="2"/>
          <w:sz w:val="24"/>
          <w:szCs w:val="22"/>
          <w:lang w:val="en-US"/>
        </w:rPr>
        <w:t>实际结算价=项目采购限价*（1-</w:t>
      </w:r>
      <w:r>
        <w:rPr>
          <w:rFonts w:hint="eastAsia" w:hAnsi="宋体" w:cstheme="minorBidi"/>
          <w:kern w:val="2"/>
          <w:sz w:val="24"/>
          <w:szCs w:val="22"/>
          <w:lang w:val="en-US" w:eastAsia="zh-CN"/>
        </w:rPr>
        <w:t>中标</w:t>
      </w:r>
      <w:r>
        <w:rPr>
          <w:rFonts w:hint="eastAsia" w:hAnsi="宋体" w:cstheme="minorBidi"/>
          <w:kern w:val="2"/>
          <w:sz w:val="24"/>
          <w:szCs w:val="22"/>
          <w:lang w:val="en-US"/>
        </w:rPr>
        <w:t>下浮率），按实际发生服务数量按实结算。</w:t>
      </w:r>
    </w:p>
    <w:p w14:paraId="2C75B1F8">
      <w:pPr>
        <w:spacing w:before="156" w:beforeLines="50" w:line="360" w:lineRule="auto"/>
        <w:rPr>
          <w:rFonts w:ascii="宋体" w:hAnsi="宋体"/>
          <w:b/>
          <w:bCs/>
          <w:sz w:val="28"/>
          <w:szCs w:val="28"/>
        </w:rPr>
      </w:pPr>
      <w:r>
        <w:rPr>
          <w:rFonts w:ascii="宋体" w:hAnsi="宋体"/>
          <w:b/>
          <w:bCs/>
          <w:sz w:val="28"/>
          <w:szCs w:val="28"/>
        </w:rPr>
        <w:t>第</w:t>
      </w:r>
      <w:r>
        <w:rPr>
          <w:rFonts w:hint="eastAsia" w:ascii="宋体" w:hAnsi="宋体"/>
          <w:b/>
          <w:bCs/>
          <w:sz w:val="28"/>
          <w:szCs w:val="28"/>
        </w:rPr>
        <w:t>四</w:t>
      </w:r>
      <w:r>
        <w:rPr>
          <w:rFonts w:ascii="宋体" w:hAnsi="宋体"/>
          <w:b/>
          <w:bCs/>
          <w:sz w:val="28"/>
          <w:szCs w:val="28"/>
        </w:rPr>
        <w:t>条</w:t>
      </w:r>
      <w:r>
        <w:rPr>
          <w:rFonts w:hint="eastAsia" w:ascii="宋体" w:hAnsi="宋体"/>
          <w:b/>
          <w:bCs/>
          <w:sz w:val="28"/>
          <w:szCs w:val="28"/>
        </w:rPr>
        <w:t>：</w:t>
      </w:r>
      <w:r>
        <w:rPr>
          <w:rFonts w:ascii="宋体" w:hAnsi="宋体"/>
          <w:b/>
          <w:bCs/>
          <w:sz w:val="28"/>
          <w:szCs w:val="28"/>
        </w:rPr>
        <w:t>收费标准、付费方式</w:t>
      </w:r>
    </w:p>
    <w:p w14:paraId="6561827E">
      <w:pPr>
        <w:spacing w:line="360" w:lineRule="auto"/>
        <w:ind w:firstLine="482" w:firstLineChars="200"/>
        <w:rPr>
          <w:rFonts w:ascii="宋体" w:hAnsi="宋体"/>
          <w:b/>
          <w:sz w:val="24"/>
          <w:szCs w:val="24"/>
        </w:rPr>
      </w:pPr>
      <w:r>
        <w:rPr>
          <w:rFonts w:hint="eastAsia" w:ascii="宋体" w:hAnsi="宋体"/>
          <w:b/>
          <w:sz w:val="24"/>
          <w:szCs w:val="24"/>
        </w:rPr>
        <w:t>一、</w:t>
      </w:r>
      <w:r>
        <w:rPr>
          <w:rFonts w:ascii="宋体" w:hAnsi="宋体"/>
          <w:b/>
          <w:sz w:val="24"/>
          <w:szCs w:val="24"/>
        </w:rPr>
        <w:t>合同价款</w:t>
      </w:r>
    </w:p>
    <w:p w14:paraId="0515E6CF">
      <w:pPr>
        <w:pStyle w:val="6"/>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本合同技术服务费总额</w:t>
      </w:r>
      <w:r>
        <w:rPr>
          <w:rFonts w:hint="eastAsia" w:ascii="宋体" w:hAnsi="宋体"/>
          <w:sz w:val="24"/>
          <w:szCs w:val="24"/>
          <w:lang w:val="en-US" w:eastAsia="zh-CN"/>
        </w:rPr>
        <w:t>暂定</w:t>
      </w:r>
      <w:r>
        <w:rPr>
          <w:rFonts w:hint="eastAsia" w:ascii="宋体" w:hAnsi="宋体"/>
          <w:sz w:val="24"/>
          <w:szCs w:val="24"/>
        </w:rPr>
        <w:t>为（含税）：</w:t>
      </w:r>
      <w:r>
        <w:rPr>
          <w:rFonts w:hint="eastAsia" w:ascii="宋体" w:hAnsi="宋体"/>
          <w:sz w:val="24"/>
          <w:szCs w:val="24"/>
          <w:u w:val="single"/>
          <w:lang w:val="en-US" w:eastAsia="zh-CN"/>
        </w:rPr>
        <w:t xml:space="preserve">          </w:t>
      </w:r>
      <w:r>
        <w:rPr>
          <w:rFonts w:hint="eastAsia" w:ascii="宋体" w:hAnsi="宋体"/>
          <w:sz w:val="24"/>
          <w:szCs w:val="24"/>
        </w:rPr>
        <w:t>人民币（小写：</w:t>
      </w:r>
      <w:r>
        <w:rPr>
          <w:rFonts w:hint="eastAsia" w:ascii="宋体" w:hAnsi="宋体"/>
          <w:sz w:val="24"/>
          <w:szCs w:val="24"/>
          <w:u w:val="none"/>
        </w:rPr>
        <w:t>￥</w:t>
      </w:r>
      <w:r>
        <w:rPr>
          <w:rFonts w:hint="eastAsia" w:ascii="宋体" w:hAnsi="宋体"/>
          <w:sz w:val="24"/>
          <w:szCs w:val="24"/>
          <w:u w:val="single"/>
          <w:lang w:val="en-US" w:eastAsia="zh-CN"/>
        </w:rPr>
        <w:t xml:space="preserve">      </w:t>
      </w:r>
      <w:r>
        <w:rPr>
          <w:rFonts w:hint="eastAsia" w:ascii="宋体" w:hAnsi="宋体"/>
          <w:sz w:val="24"/>
          <w:szCs w:val="24"/>
        </w:rPr>
        <w:t>元）</w:t>
      </w:r>
      <w:r>
        <w:rPr>
          <w:rFonts w:hint="eastAsia" w:ascii="宋体" w:hAnsi="宋体"/>
          <w:sz w:val="24"/>
          <w:szCs w:val="24"/>
          <w:lang w:eastAsia="zh-CN"/>
        </w:rPr>
        <w:t>，</w:t>
      </w:r>
      <w:r>
        <w:rPr>
          <w:rFonts w:hint="eastAsia" w:hAnsi="宋体" w:cstheme="minorBidi"/>
          <w:kern w:val="2"/>
          <w:sz w:val="24"/>
          <w:szCs w:val="22"/>
          <w:lang w:val="en-US" w:eastAsia="zh-CN"/>
        </w:rPr>
        <w:t>中标</w:t>
      </w:r>
      <w:r>
        <w:rPr>
          <w:rFonts w:hint="eastAsia" w:hAnsi="宋体" w:cstheme="minorBidi"/>
          <w:kern w:val="2"/>
          <w:sz w:val="24"/>
          <w:szCs w:val="22"/>
          <w:lang w:val="en-US"/>
        </w:rPr>
        <w:t>下浮率</w:t>
      </w:r>
      <w:r>
        <w:rPr>
          <w:rFonts w:hint="eastAsia" w:hAnsi="宋体" w:cstheme="minorBidi"/>
          <w:kern w:val="2"/>
          <w:sz w:val="24"/>
          <w:szCs w:val="22"/>
          <w:u w:val="single"/>
          <w:lang w:val="en-US" w:eastAsia="zh-CN"/>
        </w:rPr>
        <w:t xml:space="preserve">     </w:t>
      </w:r>
      <w:r>
        <w:rPr>
          <w:rFonts w:hint="eastAsia" w:ascii="宋体" w:hAnsi="宋体"/>
          <w:sz w:val="24"/>
          <w:szCs w:val="24"/>
        </w:rPr>
        <w:t>。</w:t>
      </w:r>
      <w:r>
        <w:rPr>
          <w:rFonts w:hint="eastAsia" w:ascii="宋体" w:hAnsi="宋体"/>
          <w:sz w:val="24"/>
          <w:szCs w:val="24"/>
          <w:lang w:val="en-US" w:eastAsia="zh-CN"/>
        </w:rPr>
        <w:t>合同费用按实结算，</w:t>
      </w:r>
      <w:r>
        <w:rPr>
          <w:rFonts w:hint="eastAsia" w:hAnsi="宋体" w:cstheme="minorBidi"/>
          <w:kern w:val="2"/>
          <w:sz w:val="24"/>
          <w:szCs w:val="22"/>
          <w:lang w:val="en-US"/>
        </w:rPr>
        <w:t>实际结算价=项目采购限价*（1-</w:t>
      </w:r>
      <w:r>
        <w:rPr>
          <w:rFonts w:hint="eastAsia" w:hAnsi="宋体" w:cstheme="minorBidi"/>
          <w:kern w:val="2"/>
          <w:sz w:val="24"/>
          <w:szCs w:val="22"/>
          <w:lang w:val="en-US" w:eastAsia="zh-CN"/>
        </w:rPr>
        <w:t>中标</w:t>
      </w:r>
      <w:r>
        <w:rPr>
          <w:rFonts w:hint="eastAsia" w:hAnsi="宋体" w:cstheme="minorBidi"/>
          <w:kern w:val="2"/>
          <w:sz w:val="24"/>
          <w:szCs w:val="22"/>
          <w:lang w:val="en-US"/>
        </w:rPr>
        <w:t>下浮率），按实际发生服务数量按实结算。</w:t>
      </w:r>
      <w:r>
        <w:rPr>
          <w:rFonts w:hint="eastAsia" w:ascii="宋体" w:hAnsi="宋体"/>
          <w:sz w:val="24"/>
          <w:szCs w:val="24"/>
        </w:rPr>
        <w:t>若合同实际结算金额超过本合同金额，</w:t>
      </w:r>
      <w:r>
        <w:rPr>
          <w:rFonts w:hint="eastAsia" w:ascii="宋体" w:hAnsi="宋体"/>
          <w:sz w:val="24"/>
          <w:szCs w:val="24"/>
          <w:lang w:val="en-US" w:eastAsia="zh-CN"/>
        </w:rPr>
        <w:t>以合同价作为结算价</w:t>
      </w:r>
      <w:r>
        <w:rPr>
          <w:rFonts w:hint="eastAsia" w:ascii="宋体" w:hAnsi="宋体"/>
          <w:sz w:val="24"/>
          <w:szCs w:val="24"/>
        </w:rPr>
        <w:t>。</w:t>
      </w:r>
      <w:bookmarkStart w:id="2" w:name="_GoBack"/>
      <w:bookmarkEnd w:id="2"/>
    </w:p>
    <w:p w14:paraId="4918D144">
      <w:pPr>
        <w:spacing w:line="360" w:lineRule="auto"/>
        <w:ind w:firstLine="480" w:firstLineChars="200"/>
        <w:rPr>
          <w:rFonts w:hint="eastAsia" w:ascii="宋体" w:hAnsi="宋体"/>
          <w:sz w:val="24"/>
          <w:szCs w:val="24"/>
        </w:rPr>
      </w:pPr>
      <w:r>
        <w:rPr>
          <w:rFonts w:hint="eastAsia" w:ascii="宋体" w:hAnsi="宋体"/>
          <w:sz w:val="24"/>
          <w:szCs w:val="24"/>
        </w:rPr>
        <w:t>各单项工作明细如下表：</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1"/>
        <w:gridCol w:w="2766"/>
        <w:gridCol w:w="2054"/>
        <w:gridCol w:w="1246"/>
        <w:gridCol w:w="1204"/>
        <w:gridCol w:w="636"/>
      </w:tblGrid>
      <w:tr w14:paraId="15673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0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3560832">
            <w:pPr>
              <w:pStyle w:val="6"/>
              <w:adjustRightInd w:val="0"/>
              <w:snapToGrid w:val="0"/>
              <w:spacing w:line="360" w:lineRule="auto"/>
              <w:jc w:val="center"/>
              <w:rPr>
                <w:rFonts w:hAnsi="宋体" w:cs="宋体"/>
                <w:lang w:val="hr-HR"/>
              </w:rPr>
            </w:pPr>
            <w:r>
              <w:rPr>
                <w:rFonts w:hint="eastAsia" w:hAnsi="宋体" w:cs="宋体"/>
                <w:lang w:val="hr-HR"/>
              </w:rPr>
              <w:t>序号</w:t>
            </w:r>
          </w:p>
        </w:tc>
        <w:tc>
          <w:tcPr>
            <w:tcW w:w="4820" w:type="dxa"/>
            <w:gridSpan w:val="2"/>
            <w:tcBorders>
              <w:top w:val="single" w:color="000000" w:sz="4" w:space="0"/>
              <w:left w:val="nil"/>
              <w:bottom w:val="single" w:color="000000" w:sz="4" w:space="0"/>
              <w:right w:val="single" w:color="000000" w:sz="4" w:space="0"/>
            </w:tcBorders>
            <w:shd w:val="clear" w:color="auto" w:fill="BFBFBF"/>
            <w:vAlign w:val="center"/>
          </w:tcPr>
          <w:p w14:paraId="6727DEB7">
            <w:pPr>
              <w:pStyle w:val="6"/>
              <w:adjustRightInd w:val="0"/>
              <w:snapToGrid w:val="0"/>
              <w:spacing w:line="360" w:lineRule="auto"/>
              <w:jc w:val="center"/>
              <w:rPr>
                <w:rFonts w:hAnsi="宋体" w:cs="宋体"/>
                <w:lang w:val="hr-HR"/>
              </w:rPr>
            </w:pPr>
            <w:r>
              <w:rPr>
                <w:rFonts w:hint="eastAsia" w:hAnsi="宋体" w:cs="宋体"/>
                <w:lang w:val="hr-HR"/>
              </w:rPr>
              <w:t>项目</w:t>
            </w:r>
          </w:p>
        </w:tc>
        <w:tc>
          <w:tcPr>
            <w:tcW w:w="1246" w:type="dxa"/>
            <w:tcBorders>
              <w:top w:val="single" w:color="000000" w:sz="4" w:space="0"/>
              <w:left w:val="nil"/>
              <w:bottom w:val="single" w:color="000000" w:sz="4" w:space="0"/>
              <w:right w:val="single" w:color="000000" w:sz="4" w:space="0"/>
            </w:tcBorders>
            <w:shd w:val="clear" w:color="auto" w:fill="BFBFBF"/>
            <w:vAlign w:val="center"/>
          </w:tcPr>
          <w:p w14:paraId="77F3C091">
            <w:pPr>
              <w:pStyle w:val="6"/>
              <w:adjustRightInd w:val="0"/>
              <w:snapToGrid w:val="0"/>
              <w:spacing w:line="360" w:lineRule="auto"/>
              <w:jc w:val="center"/>
              <w:rPr>
                <w:rFonts w:hAnsi="宋体" w:cs="宋体"/>
                <w:lang w:val="hr-HR"/>
              </w:rPr>
            </w:pPr>
            <w:r>
              <w:rPr>
                <w:rFonts w:hint="eastAsia" w:hAnsi="宋体" w:cs="宋体"/>
                <w:lang w:val="hr-HR"/>
              </w:rPr>
              <w:t>单位</w:t>
            </w:r>
          </w:p>
        </w:tc>
        <w:tc>
          <w:tcPr>
            <w:tcW w:w="1204" w:type="dxa"/>
            <w:tcBorders>
              <w:top w:val="single" w:color="000000" w:sz="4" w:space="0"/>
              <w:left w:val="nil"/>
              <w:bottom w:val="single" w:color="000000" w:sz="4" w:space="0"/>
              <w:right w:val="single" w:color="000000" w:sz="4" w:space="0"/>
            </w:tcBorders>
            <w:shd w:val="clear" w:color="auto" w:fill="BFBFBF"/>
            <w:vAlign w:val="center"/>
          </w:tcPr>
          <w:p w14:paraId="61720ACB">
            <w:pPr>
              <w:pStyle w:val="6"/>
              <w:adjustRightInd w:val="0"/>
              <w:snapToGrid w:val="0"/>
              <w:spacing w:line="360" w:lineRule="auto"/>
              <w:jc w:val="center"/>
              <w:rPr>
                <w:rFonts w:hAnsi="宋体" w:cs="宋体"/>
                <w:lang w:val="hr-HR"/>
              </w:rPr>
            </w:pPr>
            <w:r>
              <w:rPr>
                <w:rFonts w:hint="eastAsia" w:hAnsi="宋体" w:cs="宋体"/>
                <w:lang w:val="hr-HR"/>
              </w:rPr>
              <w:t>单价（元）</w:t>
            </w:r>
          </w:p>
        </w:tc>
        <w:tc>
          <w:tcPr>
            <w:tcW w:w="0" w:type="auto"/>
            <w:tcBorders>
              <w:top w:val="single" w:color="000000" w:sz="4" w:space="0"/>
              <w:left w:val="nil"/>
              <w:bottom w:val="single" w:color="000000" w:sz="4" w:space="0"/>
              <w:right w:val="single" w:color="000000" w:sz="4" w:space="0"/>
            </w:tcBorders>
            <w:shd w:val="clear" w:color="auto" w:fill="BFBFBF"/>
            <w:vAlign w:val="center"/>
          </w:tcPr>
          <w:p w14:paraId="47133422">
            <w:pPr>
              <w:pStyle w:val="6"/>
              <w:adjustRightInd w:val="0"/>
              <w:snapToGrid w:val="0"/>
              <w:spacing w:line="360" w:lineRule="auto"/>
              <w:jc w:val="center"/>
              <w:rPr>
                <w:rFonts w:hAnsi="宋体" w:cs="宋体"/>
                <w:lang w:val="hr-HR"/>
              </w:rPr>
            </w:pPr>
            <w:r>
              <w:rPr>
                <w:rFonts w:hint="eastAsia" w:hAnsi="宋体" w:cs="宋体"/>
                <w:lang w:val="hr-HR"/>
              </w:rPr>
              <w:t>备注</w:t>
            </w:r>
          </w:p>
        </w:tc>
      </w:tr>
      <w:tr w14:paraId="59226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3BC23251">
            <w:pPr>
              <w:pStyle w:val="6"/>
              <w:adjustRightInd w:val="0"/>
              <w:snapToGrid w:val="0"/>
              <w:spacing w:line="360" w:lineRule="auto"/>
              <w:jc w:val="center"/>
              <w:rPr>
                <w:rFonts w:hAnsi="宋体" w:cs="宋体"/>
                <w:lang w:val="hr-HR"/>
              </w:rPr>
            </w:pPr>
            <w:r>
              <w:rPr>
                <w:rFonts w:hint="eastAsia" w:hAnsi="宋体" w:cs="宋体"/>
                <w:lang w:val="hr-HR"/>
              </w:rPr>
              <w:t>1</w:t>
            </w:r>
          </w:p>
        </w:tc>
        <w:tc>
          <w:tcPr>
            <w:tcW w:w="4820" w:type="dxa"/>
            <w:gridSpan w:val="2"/>
            <w:tcBorders>
              <w:top w:val="nil"/>
              <w:left w:val="nil"/>
              <w:bottom w:val="single" w:color="000000" w:sz="4" w:space="0"/>
              <w:right w:val="single" w:color="000000" w:sz="4" w:space="0"/>
            </w:tcBorders>
            <w:vAlign w:val="center"/>
          </w:tcPr>
          <w:p w14:paraId="09DCD042">
            <w:pPr>
              <w:pStyle w:val="6"/>
              <w:adjustRightInd w:val="0"/>
              <w:snapToGrid w:val="0"/>
              <w:spacing w:line="360" w:lineRule="auto"/>
              <w:jc w:val="center"/>
              <w:rPr>
                <w:rFonts w:hAnsi="宋体" w:cs="宋体"/>
                <w:lang w:val="hr-HR"/>
              </w:rPr>
            </w:pPr>
            <w:r>
              <w:rPr>
                <w:rFonts w:hint="eastAsia" w:hAnsi="宋体" w:cs="宋体"/>
                <w:lang w:val="hr-HR"/>
              </w:rPr>
              <w:t>野外地形数据采集及成图（1:500）Ⅱ类</w:t>
            </w:r>
          </w:p>
        </w:tc>
        <w:tc>
          <w:tcPr>
            <w:tcW w:w="1246" w:type="dxa"/>
            <w:tcBorders>
              <w:top w:val="nil"/>
              <w:left w:val="nil"/>
              <w:bottom w:val="single" w:color="000000" w:sz="4" w:space="0"/>
              <w:right w:val="single" w:color="000000" w:sz="4" w:space="0"/>
            </w:tcBorders>
            <w:vAlign w:val="center"/>
          </w:tcPr>
          <w:p w14:paraId="2ED0F92E">
            <w:pPr>
              <w:pStyle w:val="6"/>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23C1B930">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719610AC">
            <w:pPr>
              <w:pStyle w:val="6"/>
              <w:adjustRightInd w:val="0"/>
              <w:snapToGrid w:val="0"/>
              <w:spacing w:line="360" w:lineRule="auto"/>
              <w:ind w:firstLine="420" w:firstLineChars="200"/>
              <w:jc w:val="center"/>
              <w:rPr>
                <w:rFonts w:hAnsi="宋体" w:cs="宋体"/>
                <w:lang w:val="hr-HR"/>
              </w:rPr>
            </w:pPr>
          </w:p>
        </w:tc>
      </w:tr>
      <w:tr w14:paraId="4E671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5783739E">
            <w:pPr>
              <w:pStyle w:val="6"/>
              <w:adjustRightInd w:val="0"/>
              <w:snapToGrid w:val="0"/>
              <w:spacing w:line="360" w:lineRule="auto"/>
              <w:jc w:val="center"/>
              <w:rPr>
                <w:rFonts w:hAnsi="宋体" w:cs="宋体"/>
                <w:lang w:val="hr-HR"/>
              </w:rPr>
            </w:pPr>
            <w:r>
              <w:rPr>
                <w:rFonts w:hint="eastAsia" w:hAnsi="宋体" w:cs="宋体"/>
                <w:lang w:val="hr-HR"/>
              </w:rPr>
              <w:t>2</w:t>
            </w:r>
          </w:p>
        </w:tc>
        <w:tc>
          <w:tcPr>
            <w:tcW w:w="4820" w:type="dxa"/>
            <w:gridSpan w:val="2"/>
            <w:tcBorders>
              <w:top w:val="nil"/>
              <w:left w:val="nil"/>
              <w:bottom w:val="single" w:color="000000" w:sz="4" w:space="0"/>
              <w:right w:val="single" w:color="000000" w:sz="4" w:space="0"/>
            </w:tcBorders>
            <w:vAlign w:val="center"/>
          </w:tcPr>
          <w:p w14:paraId="62F044DF">
            <w:pPr>
              <w:pStyle w:val="6"/>
              <w:adjustRightInd w:val="0"/>
              <w:snapToGrid w:val="0"/>
              <w:spacing w:line="360" w:lineRule="auto"/>
              <w:jc w:val="center"/>
              <w:rPr>
                <w:rFonts w:hAnsi="宋体" w:cs="宋体"/>
                <w:lang w:val="hr-HR"/>
              </w:rPr>
            </w:pPr>
            <w:r>
              <w:rPr>
                <w:rFonts w:hint="eastAsia" w:hAnsi="宋体" w:cs="宋体"/>
                <w:lang w:val="hr-HR"/>
              </w:rPr>
              <w:t>野外地形数据采集及成图（1:500）Ⅲ类</w:t>
            </w:r>
          </w:p>
        </w:tc>
        <w:tc>
          <w:tcPr>
            <w:tcW w:w="1246" w:type="dxa"/>
            <w:tcBorders>
              <w:top w:val="nil"/>
              <w:left w:val="nil"/>
              <w:bottom w:val="single" w:color="000000" w:sz="4" w:space="0"/>
              <w:right w:val="single" w:color="000000" w:sz="4" w:space="0"/>
            </w:tcBorders>
            <w:vAlign w:val="center"/>
          </w:tcPr>
          <w:p w14:paraId="5E22FF89">
            <w:pPr>
              <w:pStyle w:val="6"/>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7E25AD88">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4FFF1F6D">
            <w:pPr>
              <w:pStyle w:val="6"/>
              <w:adjustRightInd w:val="0"/>
              <w:snapToGrid w:val="0"/>
              <w:spacing w:line="360" w:lineRule="auto"/>
              <w:ind w:firstLine="420" w:firstLineChars="200"/>
              <w:jc w:val="center"/>
              <w:rPr>
                <w:rFonts w:hAnsi="宋体" w:cs="宋体"/>
                <w:lang w:val="hr-HR"/>
              </w:rPr>
            </w:pPr>
          </w:p>
        </w:tc>
      </w:tr>
      <w:tr w14:paraId="4D9CB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vMerge w:val="restart"/>
            <w:tcBorders>
              <w:top w:val="nil"/>
              <w:left w:val="single" w:color="000000" w:sz="4" w:space="0"/>
              <w:bottom w:val="single" w:color="000000" w:sz="4" w:space="0"/>
              <w:right w:val="single" w:color="000000" w:sz="4" w:space="0"/>
            </w:tcBorders>
            <w:vAlign w:val="center"/>
          </w:tcPr>
          <w:p w14:paraId="5901CA6F">
            <w:pPr>
              <w:pStyle w:val="6"/>
              <w:adjustRightInd w:val="0"/>
              <w:snapToGrid w:val="0"/>
              <w:spacing w:line="360" w:lineRule="auto"/>
              <w:jc w:val="center"/>
              <w:rPr>
                <w:rFonts w:hAnsi="宋体" w:cs="宋体"/>
                <w:lang w:val="hr-HR"/>
              </w:rPr>
            </w:pPr>
            <w:r>
              <w:rPr>
                <w:rFonts w:hint="eastAsia" w:hAnsi="宋体" w:cs="宋体"/>
                <w:lang w:val="hr-HR"/>
              </w:rPr>
              <w:t>3</w:t>
            </w:r>
          </w:p>
        </w:tc>
        <w:tc>
          <w:tcPr>
            <w:tcW w:w="2766" w:type="dxa"/>
            <w:vMerge w:val="restart"/>
            <w:tcBorders>
              <w:top w:val="nil"/>
              <w:left w:val="nil"/>
              <w:bottom w:val="single" w:color="000000" w:sz="4" w:space="0"/>
              <w:right w:val="single" w:color="000000" w:sz="4" w:space="0"/>
            </w:tcBorders>
            <w:vAlign w:val="center"/>
          </w:tcPr>
          <w:p w14:paraId="1918DFDD">
            <w:pPr>
              <w:pStyle w:val="6"/>
              <w:adjustRightInd w:val="0"/>
              <w:snapToGrid w:val="0"/>
              <w:spacing w:line="360" w:lineRule="auto"/>
              <w:jc w:val="center"/>
              <w:rPr>
                <w:rFonts w:hAnsi="宋体" w:cs="宋体"/>
                <w:lang w:val="hr-HR"/>
              </w:rPr>
            </w:pPr>
            <w:r>
              <w:rPr>
                <w:rFonts w:hint="eastAsia" w:hAnsi="宋体" w:cs="宋体"/>
                <w:lang w:val="hr-HR"/>
              </w:rPr>
              <w:t>地籍测绘</w:t>
            </w:r>
          </w:p>
        </w:tc>
        <w:tc>
          <w:tcPr>
            <w:tcW w:w="2054" w:type="dxa"/>
            <w:tcBorders>
              <w:top w:val="nil"/>
              <w:left w:val="nil"/>
              <w:bottom w:val="single" w:color="000000" w:sz="4" w:space="0"/>
              <w:right w:val="single" w:color="000000" w:sz="4" w:space="0"/>
            </w:tcBorders>
            <w:vAlign w:val="center"/>
          </w:tcPr>
          <w:p w14:paraId="4B89544B">
            <w:pPr>
              <w:pStyle w:val="6"/>
              <w:adjustRightInd w:val="0"/>
              <w:snapToGrid w:val="0"/>
              <w:spacing w:line="360" w:lineRule="auto"/>
              <w:jc w:val="center"/>
              <w:rPr>
                <w:rFonts w:hAnsi="宋体" w:cs="宋体"/>
                <w:lang w:val="hr-HR"/>
              </w:rPr>
            </w:pPr>
            <w:r>
              <w:rPr>
                <w:rFonts w:hint="eastAsia" w:hAnsi="宋体" w:cs="宋体"/>
                <w:lang w:val="hr-HR"/>
              </w:rPr>
              <w:t>村界</w:t>
            </w:r>
          </w:p>
        </w:tc>
        <w:tc>
          <w:tcPr>
            <w:tcW w:w="1246" w:type="dxa"/>
            <w:tcBorders>
              <w:top w:val="nil"/>
              <w:left w:val="nil"/>
              <w:bottom w:val="single" w:color="000000" w:sz="4" w:space="0"/>
              <w:right w:val="single" w:color="000000" w:sz="4" w:space="0"/>
            </w:tcBorders>
            <w:vAlign w:val="center"/>
          </w:tcPr>
          <w:p w14:paraId="50A51F87">
            <w:pPr>
              <w:pStyle w:val="6"/>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075048A5">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54A99FF0">
            <w:pPr>
              <w:pStyle w:val="6"/>
              <w:adjustRightInd w:val="0"/>
              <w:snapToGrid w:val="0"/>
              <w:spacing w:line="360" w:lineRule="auto"/>
              <w:ind w:firstLine="420" w:firstLineChars="200"/>
              <w:jc w:val="center"/>
              <w:rPr>
                <w:rFonts w:hAnsi="宋体" w:cs="宋体"/>
                <w:lang w:val="hr-HR"/>
              </w:rPr>
            </w:pPr>
          </w:p>
        </w:tc>
      </w:tr>
      <w:tr w14:paraId="028081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vMerge w:val="continue"/>
            <w:tcBorders>
              <w:top w:val="nil"/>
              <w:left w:val="single" w:color="000000" w:sz="4" w:space="0"/>
              <w:bottom w:val="single" w:color="000000" w:sz="4" w:space="0"/>
              <w:right w:val="single" w:color="000000" w:sz="4" w:space="0"/>
            </w:tcBorders>
            <w:vAlign w:val="center"/>
          </w:tcPr>
          <w:p w14:paraId="3C503048">
            <w:pPr>
              <w:pStyle w:val="6"/>
              <w:adjustRightInd w:val="0"/>
              <w:snapToGrid w:val="0"/>
              <w:spacing w:line="360" w:lineRule="auto"/>
              <w:ind w:firstLine="420" w:firstLineChars="200"/>
              <w:jc w:val="center"/>
              <w:rPr>
                <w:rFonts w:hAnsi="宋体" w:cs="宋体"/>
                <w:lang w:val="hr-HR"/>
              </w:rPr>
            </w:pPr>
          </w:p>
        </w:tc>
        <w:tc>
          <w:tcPr>
            <w:tcW w:w="2766" w:type="dxa"/>
            <w:vMerge w:val="continue"/>
            <w:tcBorders>
              <w:top w:val="nil"/>
              <w:left w:val="nil"/>
              <w:bottom w:val="single" w:color="000000" w:sz="4" w:space="0"/>
              <w:right w:val="single" w:color="000000" w:sz="4" w:space="0"/>
            </w:tcBorders>
            <w:vAlign w:val="center"/>
          </w:tcPr>
          <w:p w14:paraId="2E12EB15">
            <w:pPr>
              <w:pStyle w:val="6"/>
              <w:adjustRightInd w:val="0"/>
              <w:snapToGrid w:val="0"/>
              <w:spacing w:line="360" w:lineRule="auto"/>
              <w:ind w:firstLine="420" w:firstLineChars="200"/>
              <w:jc w:val="center"/>
              <w:rPr>
                <w:rFonts w:hAnsi="宋体" w:cs="宋体"/>
                <w:lang w:val="hr-HR"/>
              </w:rPr>
            </w:pPr>
          </w:p>
        </w:tc>
        <w:tc>
          <w:tcPr>
            <w:tcW w:w="2054" w:type="dxa"/>
            <w:tcBorders>
              <w:top w:val="nil"/>
              <w:left w:val="nil"/>
              <w:bottom w:val="single" w:color="000000" w:sz="4" w:space="0"/>
              <w:right w:val="single" w:color="000000" w:sz="4" w:space="0"/>
            </w:tcBorders>
            <w:vAlign w:val="center"/>
          </w:tcPr>
          <w:p w14:paraId="60B5BCAC">
            <w:pPr>
              <w:pStyle w:val="6"/>
              <w:adjustRightInd w:val="0"/>
              <w:snapToGrid w:val="0"/>
              <w:spacing w:line="360" w:lineRule="auto"/>
              <w:jc w:val="center"/>
              <w:rPr>
                <w:rFonts w:hAnsi="宋体" w:cs="宋体"/>
                <w:lang w:val="hr-HR"/>
              </w:rPr>
            </w:pPr>
            <w:r>
              <w:rPr>
                <w:rFonts w:hint="eastAsia" w:hAnsi="宋体" w:cs="宋体"/>
                <w:lang w:val="hr-HR"/>
              </w:rPr>
              <w:t>社界</w:t>
            </w:r>
          </w:p>
        </w:tc>
        <w:tc>
          <w:tcPr>
            <w:tcW w:w="1246" w:type="dxa"/>
            <w:tcBorders>
              <w:top w:val="nil"/>
              <w:left w:val="nil"/>
              <w:bottom w:val="single" w:color="000000" w:sz="4" w:space="0"/>
              <w:right w:val="single" w:color="000000" w:sz="4" w:space="0"/>
            </w:tcBorders>
            <w:vAlign w:val="center"/>
          </w:tcPr>
          <w:p w14:paraId="1A81FC96">
            <w:pPr>
              <w:pStyle w:val="6"/>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0300A918">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577DCBA1">
            <w:pPr>
              <w:pStyle w:val="6"/>
              <w:adjustRightInd w:val="0"/>
              <w:snapToGrid w:val="0"/>
              <w:spacing w:line="360" w:lineRule="auto"/>
              <w:ind w:firstLine="420" w:firstLineChars="200"/>
              <w:jc w:val="center"/>
              <w:rPr>
                <w:rFonts w:hAnsi="宋体" w:cs="宋体"/>
                <w:lang w:val="hr-HR"/>
              </w:rPr>
            </w:pPr>
          </w:p>
        </w:tc>
      </w:tr>
      <w:tr w14:paraId="25BBC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vMerge w:val="continue"/>
            <w:tcBorders>
              <w:top w:val="nil"/>
              <w:left w:val="single" w:color="000000" w:sz="4" w:space="0"/>
              <w:bottom w:val="single" w:color="000000" w:sz="4" w:space="0"/>
              <w:right w:val="single" w:color="000000" w:sz="4" w:space="0"/>
            </w:tcBorders>
            <w:vAlign w:val="center"/>
          </w:tcPr>
          <w:p w14:paraId="578CC80A">
            <w:pPr>
              <w:pStyle w:val="6"/>
              <w:adjustRightInd w:val="0"/>
              <w:snapToGrid w:val="0"/>
              <w:spacing w:line="360" w:lineRule="auto"/>
              <w:ind w:firstLine="420" w:firstLineChars="200"/>
              <w:jc w:val="center"/>
              <w:rPr>
                <w:rFonts w:hAnsi="宋体" w:cs="宋体"/>
                <w:lang w:val="hr-HR"/>
              </w:rPr>
            </w:pPr>
          </w:p>
        </w:tc>
        <w:tc>
          <w:tcPr>
            <w:tcW w:w="2766" w:type="dxa"/>
            <w:vMerge w:val="continue"/>
            <w:tcBorders>
              <w:top w:val="nil"/>
              <w:left w:val="nil"/>
              <w:bottom w:val="single" w:color="000000" w:sz="4" w:space="0"/>
              <w:right w:val="single" w:color="000000" w:sz="4" w:space="0"/>
            </w:tcBorders>
            <w:vAlign w:val="center"/>
          </w:tcPr>
          <w:p w14:paraId="2118A332">
            <w:pPr>
              <w:pStyle w:val="6"/>
              <w:adjustRightInd w:val="0"/>
              <w:snapToGrid w:val="0"/>
              <w:spacing w:line="360" w:lineRule="auto"/>
              <w:ind w:firstLine="420" w:firstLineChars="200"/>
              <w:jc w:val="center"/>
              <w:rPr>
                <w:rFonts w:hAnsi="宋体" w:cs="宋体"/>
                <w:lang w:val="hr-HR"/>
              </w:rPr>
            </w:pPr>
          </w:p>
        </w:tc>
        <w:tc>
          <w:tcPr>
            <w:tcW w:w="2054" w:type="dxa"/>
            <w:tcBorders>
              <w:top w:val="nil"/>
              <w:left w:val="nil"/>
              <w:bottom w:val="single" w:color="000000" w:sz="4" w:space="0"/>
              <w:right w:val="single" w:color="000000" w:sz="4" w:space="0"/>
            </w:tcBorders>
            <w:vAlign w:val="center"/>
          </w:tcPr>
          <w:p w14:paraId="55482B3C">
            <w:pPr>
              <w:pStyle w:val="6"/>
              <w:adjustRightInd w:val="0"/>
              <w:snapToGrid w:val="0"/>
              <w:spacing w:line="360" w:lineRule="auto"/>
              <w:jc w:val="center"/>
              <w:rPr>
                <w:rFonts w:hAnsi="宋体" w:cs="宋体"/>
                <w:lang w:val="hr-HR"/>
              </w:rPr>
            </w:pPr>
            <w:r>
              <w:rPr>
                <w:rFonts w:hint="eastAsia" w:hAnsi="宋体" w:cs="宋体"/>
                <w:lang w:val="hr-HR"/>
              </w:rPr>
              <w:t>户界</w:t>
            </w:r>
          </w:p>
        </w:tc>
        <w:tc>
          <w:tcPr>
            <w:tcW w:w="1246" w:type="dxa"/>
            <w:tcBorders>
              <w:top w:val="nil"/>
              <w:left w:val="nil"/>
              <w:bottom w:val="single" w:color="000000" w:sz="4" w:space="0"/>
              <w:right w:val="single" w:color="000000" w:sz="4" w:space="0"/>
            </w:tcBorders>
            <w:vAlign w:val="center"/>
          </w:tcPr>
          <w:p w14:paraId="4C327098">
            <w:pPr>
              <w:pStyle w:val="6"/>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nil"/>
              <w:left w:val="nil"/>
              <w:bottom w:val="single" w:color="000000" w:sz="4" w:space="0"/>
              <w:right w:val="single" w:color="000000" w:sz="4" w:space="0"/>
            </w:tcBorders>
            <w:vAlign w:val="center"/>
          </w:tcPr>
          <w:p w14:paraId="686FA84F">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0818765A">
            <w:pPr>
              <w:pStyle w:val="6"/>
              <w:adjustRightInd w:val="0"/>
              <w:snapToGrid w:val="0"/>
              <w:spacing w:line="360" w:lineRule="auto"/>
              <w:ind w:firstLine="420" w:firstLineChars="200"/>
              <w:jc w:val="center"/>
              <w:rPr>
                <w:rFonts w:hAnsi="宋体" w:cs="宋体"/>
                <w:lang w:val="hr-HR"/>
              </w:rPr>
            </w:pPr>
          </w:p>
        </w:tc>
      </w:tr>
      <w:tr w14:paraId="0ADB1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603F60C4">
            <w:pPr>
              <w:pStyle w:val="6"/>
              <w:adjustRightInd w:val="0"/>
              <w:snapToGrid w:val="0"/>
              <w:spacing w:line="360" w:lineRule="auto"/>
              <w:jc w:val="center"/>
              <w:rPr>
                <w:rFonts w:hAnsi="宋体" w:cs="宋体"/>
                <w:lang w:val="hr-HR"/>
              </w:rPr>
            </w:pPr>
            <w:r>
              <w:rPr>
                <w:rFonts w:hint="eastAsia" w:hAnsi="宋体" w:cs="宋体"/>
                <w:lang w:val="hr-HR"/>
              </w:rPr>
              <w:t>4</w:t>
            </w:r>
          </w:p>
        </w:tc>
        <w:tc>
          <w:tcPr>
            <w:tcW w:w="4820" w:type="dxa"/>
            <w:gridSpan w:val="2"/>
            <w:tcBorders>
              <w:top w:val="nil"/>
              <w:left w:val="nil"/>
              <w:bottom w:val="single" w:color="000000" w:sz="4" w:space="0"/>
              <w:right w:val="single" w:color="000000" w:sz="4" w:space="0"/>
            </w:tcBorders>
            <w:vAlign w:val="center"/>
          </w:tcPr>
          <w:p w14:paraId="4EB9AAC0">
            <w:pPr>
              <w:pStyle w:val="6"/>
              <w:adjustRightInd w:val="0"/>
              <w:snapToGrid w:val="0"/>
              <w:spacing w:line="360" w:lineRule="auto"/>
              <w:jc w:val="center"/>
              <w:rPr>
                <w:rFonts w:hAnsi="宋体" w:cs="宋体"/>
                <w:lang w:val="hr-HR"/>
              </w:rPr>
            </w:pPr>
            <w:r>
              <w:rPr>
                <w:rFonts w:hint="eastAsia" w:hAnsi="宋体" w:cs="宋体"/>
                <w:lang w:val="hr-HR"/>
              </w:rPr>
              <w:t>工程测量用地拔地定桩</w:t>
            </w:r>
          </w:p>
        </w:tc>
        <w:tc>
          <w:tcPr>
            <w:tcW w:w="1246" w:type="dxa"/>
            <w:tcBorders>
              <w:top w:val="nil"/>
              <w:left w:val="nil"/>
              <w:bottom w:val="single" w:color="000000" w:sz="4" w:space="0"/>
              <w:right w:val="single" w:color="000000" w:sz="4" w:space="0"/>
            </w:tcBorders>
            <w:vAlign w:val="center"/>
          </w:tcPr>
          <w:p w14:paraId="200CD6A9">
            <w:pPr>
              <w:pStyle w:val="6"/>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000000" w:sz="4" w:space="0"/>
              <w:right w:val="single" w:color="000000" w:sz="4" w:space="0"/>
            </w:tcBorders>
            <w:vAlign w:val="center"/>
          </w:tcPr>
          <w:p w14:paraId="4F53C501">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1D06FCA6">
            <w:pPr>
              <w:pStyle w:val="6"/>
              <w:adjustRightInd w:val="0"/>
              <w:snapToGrid w:val="0"/>
              <w:spacing w:line="360" w:lineRule="auto"/>
              <w:ind w:firstLine="420" w:firstLineChars="200"/>
              <w:jc w:val="center"/>
              <w:rPr>
                <w:rFonts w:hAnsi="宋体" w:cs="宋体"/>
                <w:lang w:val="hr-HR"/>
              </w:rPr>
            </w:pPr>
          </w:p>
        </w:tc>
      </w:tr>
      <w:tr w14:paraId="42A2F6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10E7A0AB">
            <w:pPr>
              <w:pStyle w:val="6"/>
              <w:adjustRightInd w:val="0"/>
              <w:snapToGrid w:val="0"/>
              <w:spacing w:line="360" w:lineRule="auto"/>
              <w:jc w:val="center"/>
              <w:rPr>
                <w:rFonts w:hAnsi="宋体" w:cs="宋体"/>
                <w:lang w:val="hr-HR"/>
              </w:rPr>
            </w:pPr>
            <w:r>
              <w:rPr>
                <w:rFonts w:hint="eastAsia" w:hAnsi="宋体" w:cs="宋体"/>
                <w:lang w:val="hr-HR"/>
              </w:rPr>
              <w:t>5</w:t>
            </w:r>
          </w:p>
        </w:tc>
        <w:tc>
          <w:tcPr>
            <w:tcW w:w="4820" w:type="dxa"/>
            <w:gridSpan w:val="2"/>
            <w:tcBorders>
              <w:top w:val="nil"/>
              <w:left w:val="nil"/>
              <w:bottom w:val="single" w:color="000000" w:sz="4" w:space="0"/>
              <w:right w:val="single" w:color="000000" w:sz="4" w:space="0"/>
            </w:tcBorders>
            <w:vAlign w:val="center"/>
          </w:tcPr>
          <w:p w14:paraId="1F999934">
            <w:pPr>
              <w:pStyle w:val="6"/>
              <w:adjustRightInd w:val="0"/>
              <w:snapToGrid w:val="0"/>
              <w:spacing w:line="360" w:lineRule="auto"/>
              <w:jc w:val="center"/>
              <w:rPr>
                <w:rFonts w:hAnsi="宋体" w:cs="宋体"/>
                <w:lang w:val="hr-HR"/>
              </w:rPr>
            </w:pPr>
            <w:r>
              <w:rPr>
                <w:rFonts w:hint="eastAsia" w:hAnsi="宋体" w:cs="宋体"/>
                <w:lang w:val="hr-HR"/>
              </w:rPr>
              <w:t>房屋面积测算</w:t>
            </w:r>
          </w:p>
        </w:tc>
        <w:tc>
          <w:tcPr>
            <w:tcW w:w="1246" w:type="dxa"/>
            <w:tcBorders>
              <w:top w:val="nil"/>
              <w:left w:val="nil"/>
              <w:bottom w:val="single" w:color="000000" w:sz="4" w:space="0"/>
              <w:right w:val="single" w:color="000000" w:sz="4" w:space="0"/>
            </w:tcBorders>
            <w:vAlign w:val="center"/>
          </w:tcPr>
          <w:p w14:paraId="01EAA9B7">
            <w:pPr>
              <w:pStyle w:val="6"/>
              <w:adjustRightInd w:val="0"/>
              <w:snapToGrid w:val="0"/>
              <w:spacing w:line="360" w:lineRule="auto"/>
              <w:jc w:val="center"/>
              <w:rPr>
                <w:rFonts w:hAnsi="宋体" w:cs="宋体"/>
                <w:lang w:val="hr-HR"/>
              </w:rPr>
            </w:pPr>
            <w:r>
              <w:rPr>
                <w:rFonts w:hint="eastAsia" w:hAnsi="宋体" w:cs="宋体"/>
                <w:lang w:val="hr-HR"/>
              </w:rPr>
              <w:t>平方米</w:t>
            </w:r>
          </w:p>
        </w:tc>
        <w:tc>
          <w:tcPr>
            <w:tcW w:w="1204" w:type="dxa"/>
            <w:tcBorders>
              <w:top w:val="nil"/>
              <w:left w:val="nil"/>
              <w:bottom w:val="single" w:color="000000" w:sz="4" w:space="0"/>
              <w:right w:val="single" w:color="000000" w:sz="4" w:space="0"/>
            </w:tcBorders>
            <w:vAlign w:val="center"/>
          </w:tcPr>
          <w:p w14:paraId="6DBADA57">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64F819C5">
            <w:pPr>
              <w:pStyle w:val="6"/>
              <w:adjustRightInd w:val="0"/>
              <w:snapToGrid w:val="0"/>
              <w:spacing w:line="360" w:lineRule="auto"/>
              <w:ind w:firstLine="420" w:firstLineChars="200"/>
              <w:jc w:val="center"/>
              <w:rPr>
                <w:rFonts w:hAnsi="宋体" w:cs="宋体"/>
                <w:lang w:val="hr-HR"/>
              </w:rPr>
            </w:pPr>
          </w:p>
        </w:tc>
      </w:tr>
      <w:tr w14:paraId="1F6DF2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0AA37FC1">
            <w:pPr>
              <w:pStyle w:val="6"/>
              <w:adjustRightInd w:val="0"/>
              <w:snapToGrid w:val="0"/>
              <w:spacing w:line="360" w:lineRule="auto"/>
              <w:jc w:val="center"/>
              <w:rPr>
                <w:rFonts w:hAnsi="宋体" w:cs="宋体"/>
                <w:lang w:val="hr-HR"/>
              </w:rPr>
            </w:pPr>
            <w:r>
              <w:rPr>
                <w:rFonts w:hint="eastAsia" w:hAnsi="宋体" w:cs="宋体"/>
                <w:lang w:val="hr-HR"/>
              </w:rPr>
              <w:t>6</w:t>
            </w:r>
          </w:p>
        </w:tc>
        <w:tc>
          <w:tcPr>
            <w:tcW w:w="4820" w:type="dxa"/>
            <w:gridSpan w:val="2"/>
            <w:tcBorders>
              <w:top w:val="nil"/>
              <w:left w:val="nil"/>
              <w:bottom w:val="single" w:color="000000" w:sz="4" w:space="0"/>
              <w:right w:val="single" w:color="000000" w:sz="4" w:space="0"/>
            </w:tcBorders>
            <w:vAlign w:val="center"/>
          </w:tcPr>
          <w:p w14:paraId="7D289D77">
            <w:pPr>
              <w:pStyle w:val="6"/>
              <w:adjustRightInd w:val="0"/>
              <w:snapToGrid w:val="0"/>
              <w:spacing w:line="360" w:lineRule="auto"/>
              <w:jc w:val="center"/>
              <w:rPr>
                <w:rFonts w:hAnsi="宋体" w:cs="宋体"/>
                <w:lang w:val="hr-HR"/>
              </w:rPr>
            </w:pPr>
            <w:r>
              <w:rPr>
                <w:rFonts w:hint="eastAsia" w:hAnsi="宋体" w:cs="宋体"/>
                <w:lang w:val="hr-HR"/>
              </w:rPr>
              <w:t>附属物面积测算</w:t>
            </w:r>
          </w:p>
        </w:tc>
        <w:tc>
          <w:tcPr>
            <w:tcW w:w="1246" w:type="dxa"/>
            <w:tcBorders>
              <w:top w:val="nil"/>
              <w:left w:val="nil"/>
              <w:bottom w:val="single" w:color="000000" w:sz="4" w:space="0"/>
              <w:right w:val="single" w:color="000000" w:sz="4" w:space="0"/>
            </w:tcBorders>
            <w:vAlign w:val="center"/>
          </w:tcPr>
          <w:p w14:paraId="73877501">
            <w:pPr>
              <w:pStyle w:val="6"/>
              <w:adjustRightInd w:val="0"/>
              <w:snapToGrid w:val="0"/>
              <w:spacing w:line="360" w:lineRule="auto"/>
              <w:jc w:val="center"/>
              <w:rPr>
                <w:rFonts w:hAnsi="宋体" w:cs="宋体"/>
                <w:lang w:val="hr-HR"/>
              </w:rPr>
            </w:pPr>
            <w:r>
              <w:rPr>
                <w:rFonts w:hint="eastAsia" w:hAnsi="宋体" w:cs="宋体"/>
                <w:lang w:val="hr-HR"/>
              </w:rPr>
              <w:t>平方米</w:t>
            </w:r>
          </w:p>
        </w:tc>
        <w:tc>
          <w:tcPr>
            <w:tcW w:w="1204" w:type="dxa"/>
            <w:tcBorders>
              <w:top w:val="nil"/>
              <w:left w:val="nil"/>
              <w:bottom w:val="single" w:color="000000" w:sz="4" w:space="0"/>
              <w:right w:val="single" w:color="000000" w:sz="4" w:space="0"/>
            </w:tcBorders>
            <w:vAlign w:val="center"/>
          </w:tcPr>
          <w:p w14:paraId="12A3DCF0">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4752075F">
            <w:pPr>
              <w:pStyle w:val="6"/>
              <w:adjustRightInd w:val="0"/>
              <w:snapToGrid w:val="0"/>
              <w:spacing w:line="360" w:lineRule="auto"/>
              <w:ind w:firstLine="420" w:firstLineChars="200"/>
              <w:jc w:val="center"/>
              <w:rPr>
                <w:rFonts w:hAnsi="宋体" w:cs="宋体"/>
                <w:lang w:val="hr-HR"/>
              </w:rPr>
            </w:pPr>
          </w:p>
        </w:tc>
      </w:tr>
      <w:tr w14:paraId="03F09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27E065A8">
            <w:pPr>
              <w:pStyle w:val="6"/>
              <w:adjustRightInd w:val="0"/>
              <w:snapToGrid w:val="0"/>
              <w:spacing w:line="360" w:lineRule="auto"/>
              <w:jc w:val="center"/>
              <w:rPr>
                <w:rFonts w:hAnsi="宋体" w:cs="宋体"/>
                <w:lang w:val="hr-HR"/>
              </w:rPr>
            </w:pPr>
            <w:r>
              <w:rPr>
                <w:rFonts w:hint="eastAsia" w:hAnsi="宋体" w:cs="宋体"/>
                <w:lang w:val="hr-HR"/>
              </w:rPr>
              <w:t>7</w:t>
            </w:r>
          </w:p>
        </w:tc>
        <w:tc>
          <w:tcPr>
            <w:tcW w:w="4820" w:type="dxa"/>
            <w:gridSpan w:val="2"/>
            <w:tcBorders>
              <w:top w:val="nil"/>
              <w:left w:val="nil"/>
              <w:bottom w:val="single" w:color="000000" w:sz="4" w:space="0"/>
              <w:right w:val="single" w:color="000000" w:sz="4" w:space="0"/>
            </w:tcBorders>
            <w:vAlign w:val="center"/>
          </w:tcPr>
          <w:p w14:paraId="3D7789F4">
            <w:pPr>
              <w:pStyle w:val="6"/>
              <w:adjustRightInd w:val="0"/>
              <w:snapToGrid w:val="0"/>
              <w:spacing w:line="360" w:lineRule="auto"/>
              <w:jc w:val="center"/>
              <w:rPr>
                <w:rFonts w:hAnsi="宋体" w:cs="宋体"/>
                <w:lang w:val="hr-HR"/>
              </w:rPr>
            </w:pPr>
            <w:r>
              <w:rPr>
                <w:rFonts w:hint="eastAsia" w:hAnsi="宋体" w:cs="宋体"/>
                <w:lang w:val="hr-HR"/>
              </w:rPr>
              <w:t>极坐标细部点测量</w:t>
            </w:r>
          </w:p>
        </w:tc>
        <w:tc>
          <w:tcPr>
            <w:tcW w:w="1246" w:type="dxa"/>
            <w:tcBorders>
              <w:top w:val="nil"/>
              <w:left w:val="nil"/>
              <w:bottom w:val="single" w:color="000000" w:sz="4" w:space="0"/>
              <w:right w:val="single" w:color="000000" w:sz="4" w:space="0"/>
            </w:tcBorders>
            <w:vAlign w:val="center"/>
          </w:tcPr>
          <w:p w14:paraId="2F296590">
            <w:pPr>
              <w:pStyle w:val="6"/>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000000" w:sz="4" w:space="0"/>
              <w:right w:val="single" w:color="000000" w:sz="4" w:space="0"/>
            </w:tcBorders>
            <w:vAlign w:val="center"/>
          </w:tcPr>
          <w:p w14:paraId="01323A88">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1C65EE25">
            <w:pPr>
              <w:pStyle w:val="6"/>
              <w:adjustRightInd w:val="0"/>
              <w:snapToGrid w:val="0"/>
              <w:spacing w:line="360" w:lineRule="auto"/>
              <w:ind w:firstLine="420" w:firstLineChars="200"/>
              <w:jc w:val="center"/>
              <w:rPr>
                <w:rFonts w:hAnsi="宋体" w:cs="宋体"/>
                <w:lang w:val="hr-HR"/>
              </w:rPr>
            </w:pPr>
          </w:p>
        </w:tc>
      </w:tr>
      <w:tr w14:paraId="52400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71E308C7">
            <w:pPr>
              <w:pStyle w:val="6"/>
              <w:adjustRightInd w:val="0"/>
              <w:snapToGrid w:val="0"/>
              <w:spacing w:line="360" w:lineRule="auto"/>
              <w:jc w:val="center"/>
              <w:rPr>
                <w:rFonts w:hAnsi="宋体" w:cs="宋体"/>
                <w:lang w:val="hr-HR"/>
              </w:rPr>
            </w:pPr>
            <w:r>
              <w:rPr>
                <w:rFonts w:hint="eastAsia" w:hAnsi="宋体" w:cs="宋体"/>
                <w:lang w:val="hr-HR"/>
              </w:rPr>
              <w:t>8</w:t>
            </w:r>
          </w:p>
        </w:tc>
        <w:tc>
          <w:tcPr>
            <w:tcW w:w="4820" w:type="dxa"/>
            <w:gridSpan w:val="2"/>
            <w:tcBorders>
              <w:top w:val="nil"/>
              <w:left w:val="nil"/>
              <w:bottom w:val="single" w:color="000000" w:sz="4" w:space="0"/>
              <w:right w:val="single" w:color="000000" w:sz="4" w:space="0"/>
            </w:tcBorders>
            <w:vAlign w:val="center"/>
          </w:tcPr>
          <w:p w14:paraId="7C555479">
            <w:pPr>
              <w:pStyle w:val="6"/>
              <w:adjustRightInd w:val="0"/>
              <w:snapToGrid w:val="0"/>
              <w:spacing w:line="360" w:lineRule="auto"/>
              <w:jc w:val="center"/>
              <w:rPr>
                <w:rFonts w:hAnsi="宋体" w:cs="宋体"/>
                <w:lang w:val="hr-HR"/>
              </w:rPr>
            </w:pPr>
            <w:r>
              <w:rPr>
                <w:rFonts w:hint="eastAsia" w:hAnsi="宋体" w:cs="宋体"/>
                <w:lang w:val="hr-HR"/>
              </w:rPr>
              <w:t>征地违法图斑</w:t>
            </w:r>
          </w:p>
        </w:tc>
        <w:tc>
          <w:tcPr>
            <w:tcW w:w="1246" w:type="dxa"/>
            <w:tcBorders>
              <w:top w:val="nil"/>
              <w:left w:val="nil"/>
              <w:bottom w:val="single" w:color="000000" w:sz="4" w:space="0"/>
              <w:right w:val="single" w:color="000000" w:sz="4" w:space="0"/>
            </w:tcBorders>
            <w:vAlign w:val="center"/>
          </w:tcPr>
          <w:p w14:paraId="0E88D6FA">
            <w:pPr>
              <w:pStyle w:val="6"/>
              <w:adjustRightInd w:val="0"/>
              <w:snapToGrid w:val="0"/>
              <w:spacing w:line="360" w:lineRule="auto"/>
              <w:jc w:val="center"/>
              <w:rPr>
                <w:rFonts w:hAnsi="宋体" w:cs="宋体"/>
                <w:lang w:val="hr-HR"/>
              </w:rPr>
            </w:pPr>
            <w:r>
              <w:rPr>
                <w:rFonts w:hint="eastAsia" w:hAnsi="宋体" w:cs="宋体"/>
                <w:lang w:val="hr-HR"/>
              </w:rPr>
              <w:t>宗</w:t>
            </w:r>
          </w:p>
        </w:tc>
        <w:tc>
          <w:tcPr>
            <w:tcW w:w="1204" w:type="dxa"/>
            <w:tcBorders>
              <w:top w:val="nil"/>
              <w:left w:val="nil"/>
              <w:bottom w:val="single" w:color="000000" w:sz="4" w:space="0"/>
              <w:right w:val="single" w:color="000000" w:sz="4" w:space="0"/>
            </w:tcBorders>
            <w:vAlign w:val="center"/>
          </w:tcPr>
          <w:p w14:paraId="250B9D00">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38DFAC53">
            <w:pPr>
              <w:pStyle w:val="6"/>
              <w:adjustRightInd w:val="0"/>
              <w:snapToGrid w:val="0"/>
              <w:spacing w:line="360" w:lineRule="auto"/>
              <w:ind w:firstLine="420" w:firstLineChars="200"/>
              <w:jc w:val="center"/>
              <w:rPr>
                <w:rFonts w:hAnsi="宋体" w:cs="宋体"/>
                <w:lang w:val="hr-HR"/>
              </w:rPr>
            </w:pPr>
          </w:p>
        </w:tc>
      </w:tr>
      <w:tr w14:paraId="4F388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064D027F">
            <w:pPr>
              <w:pStyle w:val="6"/>
              <w:adjustRightInd w:val="0"/>
              <w:snapToGrid w:val="0"/>
              <w:spacing w:line="360" w:lineRule="auto"/>
              <w:jc w:val="center"/>
              <w:rPr>
                <w:rFonts w:hAnsi="宋体" w:cs="宋体"/>
                <w:lang w:val="hr-HR"/>
              </w:rPr>
            </w:pPr>
            <w:r>
              <w:rPr>
                <w:rFonts w:hint="eastAsia" w:hAnsi="宋体" w:cs="宋体"/>
                <w:lang w:val="hr-HR"/>
              </w:rPr>
              <w:t>9</w:t>
            </w:r>
          </w:p>
        </w:tc>
        <w:tc>
          <w:tcPr>
            <w:tcW w:w="4820" w:type="dxa"/>
            <w:gridSpan w:val="2"/>
            <w:tcBorders>
              <w:top w:val="nil"/>
              <w:left w:val="nil"/>
              <w:bottom w:val="single" w:color="000000" w:sz="4" w:space="0"/>
              <w:right w:val="single" w:color="000000" w:sz="4" w:space="0"/>
            </w:tcBorders>
            <w:vAlign w:val="center"/>
          </w:tcPr>
          <w:p w14:paraId="7A97FF16">
            <w:pPr>
              <w:pStyle w:val="6"/>
              <w:adjustRightInd w:val="0"/>
              <w:snapToGrid w:val="0"/>
              <w:spacing w:line="360" w:lineRule="auto"/>
              <w:jc w:val="center"/>
              <w:rPr>
                <w:rFonts w:hAnsi="宋体" w:cs="宋体"/>
                <w:lang w:val="hr-HR"/>
              </w:rPr>
            </w:pPr>
            <w:r>
              <w:rPr>
                <w:rFonts w:hint="eastAsia" w:hAnsi="宋体" w:cs="宋体"/>
                <w:lang w:val="hr-HR"/>
              </w:rPr>
              <w:t>勘测定界技术报告书</w:t>
            </w:r>
          </w:p>
        </w:tc>
        <w:tc>
          <w:tcPr>
            <w:tcW w:w="1246" w:type="dxa"/>
            <w:tcBorders>
              <w:top w:val="nil"/>
              <w:left w:val="nil"/>
              <w:bottom w:val="single" w:color="000000" w:sz="4" w:space="0"/>
              <w:right w:val="single" w:color="000000" w:sz="4" w:space="0"/>
            </w:tcBorders>
            <w:vAlign w:val="center"/>
          </w:tcPr>
          <w:p w14:paraId="56EBAE3C">
            <w:pPr>
              <w:pStyle w:val="6"/>
              <w:adjustRightInd w:val="0"/>
              <w:snapToGrid w:val="0"/>
              <w:spacing w:line="360" w:lineRule="auto"/>
              <w:jc w:val="center"/>
              <w:rPr>
                <w:rFonts w:hAnsi="宋体" w:cs="宋体"/>
                <w:lang w:val="hr-HR"/>
              </w:rPr>
            </w:pPr>
            <w:r>
              <w:rPr>
                <w:rFonts w:hint="eastAsia" w:hAnsi="宋体" w:cs="宋体"/>
                <w:lang w:val="hr-HR"/>
              </w:rPr>
              <w:t>宗</w:t>
            </w:r>
          </w:p>
        </w:tc>
        <w:tc>
          <w:tcPr>
            <w:tcW w:w="1204" w:type="dxa"/>
            <w:tcBorders>
              <w:top w:val="nil"/>
              <w:left w:val="nil"/>
              <w:bottom w:val="single" w:color="000000" w:sz="4" w:space="0"/>
              <w:right w:val="single" w:color="000000" w:sz="4" w:space="0"/>
            </w:tcBorders>
            <w:vAlign w:val="center"/>
          </w:tcPr>
          <w:p w14:paraId="2F49570C">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6F038ED4">
            <w:pPr>
              <w:pStyle w:val="6"/>
              <w:adjustRightInd w:val="0"/>
              <w:snapToGrid w:val="0"/>
              <w:spacing w:line="360" w:lineRule="auto"/>
              <w:ind w:firstLine="420" w:firstLineChars="200"/>
              <w:jc w:val="center"/>
              <w:rPr>
                <w:rFonts w:hAnsi="宋体" w:cs="宋体"/>
                <w:lang w:val="hr-HR"/>
              </w:rPr>
            </w:pPr>
          </w:p>
        </w:tc>
      </w:tr>
      <w:tr w14:paraId="3255A7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000000" w:sz="4" w:space="0"/>
              <w:right w:val="single" w:color="000000" w:sz="4" w:space="0"/>
            </w:tcBorders>
            <w:vAlign w:val="center"/>
          </w:tcPr>
          <w:p w14:paraId="09999F8B">
            <w:pPr>
              <w:pStyle w:val="6"/>
              <w:adjustRightInd w:val="0"/>
              <w:snapToGrid w:val="0"/>
              <w:spacing w:line="360" w:lineRule="auto"/>
              <w:jc w:val="center"/>
              <w:rPr>
                <w:rFonts w:hAnsi="宋体" w:cs="宋体"/>
                <w:lang w:val="hr-HR"/>
              </w:rPr>
            </w:pPr>
            <w:r>
              <w:rPr>
                <w:rFonts w:hint="eastAsia" w:hAnsi="宋体" w:cs="宋体"/>
                <w:lang w:val="hr-HR"/>
              </w:rPr>
              <w:t>10</w:t>
            </w:r>
          </w:p>
        </w:tc>
        <w:tc>
          <w:tcPr>
            <w:tcW w:w="4820" w:type="dxa"/>
            <w:gridSpan w:val="2"/>
            <w:tcBorders>
              <w:top w:val="nil"/>
              <w:left w:val="nil"/>
              <w:bottom w:val="single" w:color="000000" w:sz="4" w:space="0"/>
              <w:right w:val="single" w:color="000000" w:sz="4" w:space="0"/>
            </w:tcBorders>
            <w:vAlign w:val="center"/>
          </w:tcPr>
          <w:p w14:paraId="794CCEFD">
            <w:pPr>
              <w:pStyle w:val="6"/>
              <w:adjustRightInd w:val="0"/>
              <w:snapToGrid w:val="0"/>
              <w:spacing w:line="360" w:lineRule="auto"/>
              <w:jc w:val="center"/>
              <w:rPr>
                <w:rFonts w:hAnsi="宋体" w:cs="宋体"/>
                <w:lang w:val="hr-HR"/>
              </w:rPr>
            </w:pPr>
            <w:r>
              <w:rPr>
                <w:rFonts w:hint="eastAsia" w:hAnsi="宋体" w:cs="宋体"/>
                <w:lang w:val="hr-HR"/>
              </w:rPr>
              <w:t>控制测量（GPS E级）</w:t>
            </w:r>
          </w:p>
        </w:tc>
        <w:tc>
          <w:tcPr>
            <w:tcW w:w="1246" w:type="dxa"/>
            <w:tcBorders>
              <w:top w:val="nil"/>
              <w:left w:val="nil"/>
              <w:bottom w:val="single" w:color="000000" w:sz="4" w:space="0"/>
              <w:right w:val="single" w:color="000000" w:sz="4" w:space="0"/>
            </w:tcBorders>
            <w:vAlign w:val="center"/>
          </w:tcPr>
          <w:p w14:paraId="04B5FE92">
            <w:pPr>
              <w:pStyle w:val="6"/>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000000" w:sz="4" w:space="0"/>
              <w:right w:val="single" w:color="000000" w:sz="4" w:space="0"/>
            </w:tcBorders>
            <w:vAlign w:val="center"/>
          </w:tcPr>
          <w:p w14:paraId="0CE8E29E">
            <w:pPr>
              <w:pStyle w:val="6"/>
              <w:adjustRightInd w:val="0"/>
              <w:snapToGrid w:val="0"/>
              <w:spacing w:line="360" w:lineRule="auto"/>
              <w:jc w:val="center"/>
              <w:rPr>
                <w:rFonts w:hAnsi="宋体" w:cs="宋体"/>
                <w:lang w:val="hr-HR"/>
              </w:rPr>
            </w:pPr>
          </w:p>
        </w:tc>
        <w:tc>
          <w:tcPr>
            <w:tcW w:w="0" w:type="auto"/>
            <w:tcBorders>
              <w:top w:val="nil"/>
              <w:left w:val="nil"/>
              <w:bottom w:val="single" w:color="000000" w:sz="4" w:space="0"/>
              <w:right w:val="single" w:color="000000" w:sz="4" w:space="0"/>
            </w:tcBorders>
            <w:vAlign w:val="center"/>
          </w:tcPr>
          <w:p w14:paraId="3C4E6F5C">
            <w:pPr>
              <w:pStyle w:val="6"/>
              <w:adjustRightInd w:val="0"/>
              <w:snapToGrid w:val="0"/>
              <w:spacing w:line="360" w:lineRule="auto"/>
              <w:ind w:firstLine="420" w:firstLineChars="200"/>
              <w:jc w:val="center"/>
              <w:rPr>
                <w:rFonts w:hAnsi="宋体" w:cs="宋体"/>
                <w:lang w:val="hr-HR"/>
              </w:rPr>
            </w:pPr>
          </w:p>
        </w:tc>
      </w:tr>
      <w:tr w14:paraId="5E5411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nil"/>
              <w:left w:val="single" w:color="000000" w:sz="4" w:space="0"/>
              <w:bottom w:val="single" w:color="auto" w:sz="4" w:space="0"/>
              <w:right w:val="single" w:color="000000" w:sz="4" w:space="0"/>
            </w:tcBorders>
            <w:vAlign w:val="center"/>
          </w:tcPr>
          <w:p w14:paraId="0B249751">
            <w:pPr>
              <w:pStyle w:val="6"/>
              <w:adjustRightInd w:val="0"/>
              <w:snapToGrid w:val="0"/>
              <w:spacing w:line="360" w:lineRule="auto"/>
              <w:jc w:val="center"/>
              <w:rPr>
                <w:rFonts w:hAnsi="宋体" w:cs="宋体"/>
                <w:lang w:val="hr-HR"/>
              </w:rPr>
            </w:pPr>
            <w:r>
              <w:rPr>
                <w:rFonts w:hint="eastAsia" w:hAnsi="宋体" w:cs="宋体"/>
                <w:lang w:val="hr-HR"/>
              </w:rPr>
              <w:t>11</w:t>
            </w:r>
          </w:p>
        </w:tc>
        <w:tc>
          <w:tcPr>
            <w:tcW w:w="4820" w:type="dxa"/>
            <w:gridSpan w:val="2"/>
            <w:tcBorders>
              <w:top w:val="nil"/>
              <w:left w:val="nil"/>
              <w:bottom w:val="single" w:color="auto" w:sz="4" w:space="0"/>
              <w:right w:val="single" w:color="000000" w:sz="4" w:space="0"/>
            </w:tcBorders>
            <w:vAlign w:val="center"/>
          </w:tcPr>
          <w:p w14:paraId="062EAC96">
            <w:pPr>
              <w:pStyle w:val="6"/>
              <w:adjustRightInd w:val="0"/>
              <w:snapToGrid w:val="0"/>
              <w:spacing w:line="360" w:lineRule="auto"/>
              <w:jc w:val="center"/>
              <w:rPr>
                <w:rFonts w:hAnsi="宋体" w:cs="宋体"/>
                <w:lang w:val="hr-HR"/>
              </w:rPr>
            </w:pPr>
            <w:r>
              <w:rPr>
                <w:rFonts w:hint="eastAsia" w:hAnsi="宋体" w:cs="宋体"/>
                <w:lang w:val="hr-HR"/>
              </w:rPr>
              <w:t>建筑物放线</w:t>
            </w:r>
          </w:p>
        </w:tc>
        <w:tc>
          <w:tcPr>
            <w:tcW w:w="1246" w:type="dxa"/>
            <w:tcBorders>
              <w:top w:val="nil"/>
              <w:left w:val="nil"/>
              <w:bottom w:val="single" w:color="auto" w:sz="4" w:space="0"/>
              <w:right w:val="single" w:color="000000" w:sz="4" w:space="0"/>
            </w:tcBorders>
            <w:vAlign w:val="center"/>
          </w:tcPr>
          <w:p w14:paraId="0ACDEA8F">
            <w:pPr>
              <w:pStyle w:val="6"/>
              <w:adjustRightInd w:val="0"/>
              <w:snapToGrid w:val="0"/>
              <w:spacing w:line="360" w:lineRule="auto"/>
              <w:jc w:val="center"/>
              <w:rPr>
                <w:rFonts w:hAnsi="宋体" w:cs="宋体"/>
                <w:lang w:val="hr-HR"/>
              </w:rPr>
            </w:pPr>
            <w:r>
              <w:rPr>
                <w:rFonts w:hint="eastAsia" w:hAnsi="宋体" w:cs="宋体"/>
                <w:lang w:val="hr-HR"/>
              </w:rPr>
              <w:t>点</w:t>
            </w:r>
          </w:p>
        </w:tc>
        <w:tc>
          <w:tcPr>
            <w:tcW w:w="1204" w:type="dxa"/>
            <w:tcBorders>
              <w:top w:val="nil"/>
              <w:left w:val="nil"/>
              <w:bottom w:val="single" w:color="auto" w:sz="4" w:space="0"/>
              <w:right w:val="single" w:color="000000" w:sz="4" w:space="0"/>
            </w:tcBorders>
            <w:vAlign w:val="center"/>
          </w:tcPr>
          <w:p w14:paraId="434BBE95">
            <w:pPr>
              <w:pStyle w:val="6"/>
              <w:adjustRightInd w:val="0"/>
              <w:snapToGrid w:val="0"/>
              <w:spacing w:line="360" w:lineRule="auto"/>
              <w:jc w:val="center"/>
              <w:rPr>
                <w:rFonts w:hAnsi="宋体" w:cs="宋体"/>
                <w:lang w:val="hr-HR"/>
              </w:rPr>
            </w:pPr>
          </w:p>
        </w:tc>
        <w:tc>
          <w:tcPr>
            <w:tcW w:w="0" w:type="auto"/>
            <w:tcBorders>
              <w:top w:val="nil"/>
              <w:left w:val="nil"/>
              <w:bottom w:val="single" w:color="auto" w:sz="4" w:space="0"/>
              <w:right w:val="single" w:color="000000" w:sz="4" w:space="0"/>
            </w:tcBorders>
            <w:vAlign w:val="center"/>
          </w:tcPr>
          <w:p w14:paraId="2FB28B0D">
            <w:pPr>
              <w:pStyle w:val="6"/>
              <w:adjustRightInd w:val="0"/>
              <w:snapToGrid w:val="0"/>
              <w:spacing w:line="360" w:lineRule="auto"/>
              <w:ind w:firstLine="420" w:firstLineChars="200"/>
              <w:jc w:val="center"/>
              <w:rPr>
                <w:rFonts w:hAnsi="宋体" w:cs="宋体"/>
                <w:lang w:val="hr-HR"/>
              </w:rPr>
            </w:pPr>
          </w:p>
        </w:tc>
      </w:tr>
      <w:tr w14:paraId="576F0C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46FBED0A">
            <w:pPr>
              <w:pStyle w:val="6"/>
              <w:adjustRightInd w:val="0"/>
              <w:snapToGrid w:val="0"/>
              <w:spacing w:line="360" w:lineRule="auto"/>
              <w:jc w:val="center"/>
              <w:rPr>
                <w:rFonts w:hAnsi="宋体" w:cs="宋体"/>
                <w:lang w:val="hr-HR"/>
              </w:rPr>
            </w:pPr>
            <w:r>
              <w:rPr>
                <w:rFonts w:hint="eastAsia" w:hAnsi="宋体" w:cs="宋体"/>
                <w:lang w:val="hr-HR"/>
              </w:rPr>
              <w:t>12</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039A7F8C">
            <w:pPr>
              <w:pStyle w:val="6"/>
              <w:adjustRightInd w:val="0"/>
              <w:snapToGrid w:val="0"/>
              <w:spacing w:line="360" w:lineRule="auto"/>
              <w:jc w:val="center"/>
              <w:rPr>
                <w:rFonts w:hAnsi="宋体" w:cs="宋体"/>
                <w:lang w:val="hr-HR"/>
              </w:rPr>
            </w:pPr>
            <w:r>
              <w:rPr>
                <w:rFonts w:hint="eastAsia" w:hAnsi="宋体" w:cs="宋体"/>
                <w:lang w:val="hr-HR"/>
              </w:rPr>
              <w:t>规划面积测量</w:t>
            </w:r>
          </w:p>
        </w:tc>
        <w:tc>
          <w:tcPr>
            <w:tcW w:w="1246" w:type="dxa"/>
            <w:tcBorders>
              <w:top w:val="single" w:color="auto" w:sz="4" w:space="0"/>
              <w:left w:val="single" w:color="auto" w:sz="4" w:space="0"/>
              <w:bottom w:val="single" w:color="auto" w:sz="4" w:space="0"/>
              <w:right w:val="single" w:color="auto" w:sz="4" w:space="0"/>
            </w:tcBorders>
            <w:vAlign w:val="center"/>
          </w:tcPr>
          <w:p w14:paraId="060E742B">
            <w:pPr>
              <w:pStyle w:val="6"/>
              <w:adjustRightInd w:val="0"/>
              <w:snapToGrid w:val="0"/>
              <w:spacing w:line="360" w:lineRule="auto"/>
              <w:jc w:val="center"/>
              <w:rPr>
                <w:rFonts w:hAnsi="宋体" w:cs="宋体"/>
                <w:lang w:val="hr-HR"/>
              </w:rPr>
            </w:pPr>
            <w:r>
              <w:rPr>
                <w:rFonts w:hint="eastAsia" w:hAnsi="宋体" w:cs="宋体"/>
                <w:lang w:val="hr-HR"/>
              </w:rPr>
              <w:t>平方米</w:t>
            </w:r>
          </w:p>
        </w:tc>
        <w:tc>
          <w:tcPr>
            <w:tcW w:w="1204" w:type="dxa"/>
            <w:tcBorders>
              <w:top w:val="single" w:color="auto" w:sz="4" w:space="0"/>
              <w:left w:val="single" w:color="auto" w:sz="4" w:space="0"/>
              <w:bottom w:val="single" w:color="auto" w:sz="4" w:space="0"/>
              <w:right w:val="single" w:color="auto" w:sz="4" w:space="0"/>
            </w:tcBorders>
            <w:vAlign w:val="center"/>
          </w:tcPr>
          <w:p w14:paraId="5AD3CCF3">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0D8D2809">
            <w:pPr>
              <w:pStyle w:val="6"/>
              <w:adjustRightInd w:val="0"/>
              <w:snapToGrid w:val="0"/>
              <w:spacing w:line="360" w:lineRule="auto"/>
              <w:ind w:firstLine="420" w:firstLineChars="200"/>
              <w:jc w:val="center"/>
              <w:rPr>
                <w:rFonts w:hAnsi="宋体" w:cs="宋体"/>
                <w:lang w:val="hr-HR"/>
              </w:rPr>
            </w:pPr>
          </w:p>
        </w:tc>
      </w:tr>
      <w:tr w14:paraId="58EDA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01" w:type="dxa"/>
            <w:tcBorders>
              <w:top w:val="single" w:color="auto" w:sz="4" w:space="0"/>
              <w:left w:val="single" w:color="auto" w:sz="4" w:space="0"/>
              <w:bottom w:val="single" w:color="auto" w:sz="4" w:space="0"/>
              <w:right w:val="single" w:color="auto" w:sz="4" w:space="0"/>
            </w:tcBorders>
            <w:vAlign w:val="center"/>
          </w:tcPr>
          <w:p w14:paraId="74F06CE5">
            <w:pPr>
              <w:pStyle w:val="6"/>
              <w:adjustRightInd w:val="0"/>
              <w:snapToGrid w:val="0"/>
              <w:spacing w:line="360" w:lineRule="auto"/>
              <w:jc w:val="center"/>
              <w:rPr>
                <w:rFonts w:hAnsi="宋体" w:cs="宋体"/>
                <w:lang w:val="hr-HR"/>
              </w:rPr>
            </w:pPr>
            <w:r>
              <w:rPr>
                <w:rFonts w:hint="eastAsia" w:hAnsi="宋体" w:cs="宋体"/>
                <w:lang w:val="hr-HR"/>
              </w:rPr>
              <w:t>13</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7F8CCE1F">
            <w:pPr>
              <w:pStyle w:val="6"/>
              <w:adjustRightInd w:val="0"/>
              <w:snapToGrid w:val="0"/>
              <w:spacing w:line="360" w:lineRule="auto"/>
              <w:jc w:val="center"/>
              <w:rPr>
                <w:rFonts w:hAnsi="宋体" w:cs="宋体"/>
                <w:lang w:val="hr-HR"/>
              </w:rPr>
            </w:pPr>
            <w:r>
              <w:rPr>
                <w:rFonts w:hint="eastAsia" w:hAnsi="宋体" w:cs="宋体"/>
                <w:lang w:val="hr-HR"/>
              </w:rPr>
              <w:t>零星测量</w:t>
            </w:r>
          </w:p>
        </w:tc>
        <w:tc>
          <w:tcPr>
            <w:tcW w:w="1246" w:type="dxa"/>
            <w:tcBorders>
              <w:top w:val="single" w:color="auto" w:sz="4" w:space="0"/>
              <w:left w:val="single" w:color="auto" w:sz="4" w:space="0"/>
              <w:bottom w:val="single" w:color="auto" w:sz="4" w:space="0"/>
              <w:right w:val="single" w:color="auto" w:sz="4" w:space="0"/>
            </w:tcBorders>
            <w:vAlign w:val="center"/>
          </w:tcPr>
          <w:p w14:paraId="4F750E14">
            <w:pPr>
              <w:pStyle w:val="6"/>
              <w:adjustRightInd w:val="0"/>
              <w:snapToGrid w:val="0"/>
              <w:spacing w:line="360" w:lineRule="auto"/>
              <w:jc w:val="center"/>
              <w:rPr>
                <w:rFonts w:hAnsi="宋体" w:cs="宋体"/>
                <w:lang w:val="hr-HR"/>
              </w:rPr>
            </w:pPr>
            <w:r>
              <w:rPr>
                <w:rFonts w:hint="eastAsia" w:hAnsi="宋体" w:cs="宋体"/>
                <w:lang w:val="hr-HR"/>
              </w:rPr>
              <w:t>人工日（组）</w:t>
            </w:r>
          </w:p>
        </w:tc>
        <w:tc>
          <w:tcPr>
            <w:tcW w:w="1204" w:type="dxa"/>
            <w:tcBorders>
              <w:top w:val="single" w:color="auto" w:sz="4" w:space="0"/>
              <w:left w:val="single" w:color="auto" w:sz="4" w:space="0"/>
              <w:bottom w:val="single" w:color="auto" w:sz="4" w:space="0"/>
              <w:right w:val="single" w:color="auto" w:sz="4" w:space="0"/>
            </w:tcBorders>
            <w:vAlign w:val="center"/>
          </w:tcPr>
          <w:p w14:paraId="59355C29">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4ED0DC7E">
            <w:pPr>
              <w:pStyle w:val="6"/>
              <w:adjustRightInd w:val="0"/>
              <w:snapToGrid w:val="0"/>
              <w:spacing w:line="360" w:lineRule="auto"/>
              <w:ind w:firstLine="420" w:firstLineChars="200"/>
              <w:jc w:val="center"/>
              <w:rPr>
                <w:rFonts w:hAnsi="宋体" w:cs="宋体"/>
                <w:lang w:val="hr-HR"/>
              </w:rPr>
            </w:pPr>
          </w:p>
        </w:tc>
      </w:tr>
      <w:tr w14:paraId="5B758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6160FC08">
            <w:pPr>
              <w:pStyle w:val="6"/>
              <w:adjustRightInd w:val="0"/>
              <w:snapToGrid w:val="0"/>
              <w:spacing w:line="360" w:lineRule="auto"/>
              <w:jc w:val="center"/>
              <w:rPr>
                <w:rFonts w:hAnsi="宋体" w:cs="宋体"/>
                <w:lang w:val="hr-HR"/>
              </w:rPr>
            </w:pPr>
            <w:r>
              <w:rPr>
                <w:rFonts w:hint="eastAsia" w:hAnsi="宋体" w:cs="宋体"/>
                <w:lang w:val="hr-HR"/>
              </w:rPr>
              <w:t>14</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6ADC65DF">
            <w:pPr>
              <w:pStyle w:val="6"/>
              <w:adjustRightInd w:val="0"/>
              <w:snapToGrid w:val="0"/>
              <w:spacing w:line="360" w:lineRule="auto"/>
              <w:jc w:val="center"/>
              <w:rPr>
                <w:rFonts w:hAnsi="宋体" w:cs="宋体"/>
                <w:lang w:val="hr-HR"/>
              </w:rPr>
            </w:pPr>
            <w:r>
              <w:rPr>
                <w:rFonts w:hint="eastAsia" w:hAnsi="宋体" w:cs="宋体"/>
                <w:lang w:val="hr-HR"/>
              </w:rPr>
              <w:t>现状地类量算</w:t>
            </w:r>
          </w:p>
        </w:tc>
        <w:tc>
          <w:tcPr>
            <w:tcW w:w="1246" w:type="dxa"/>
            <w:tcBorders>
              <w:top w:val="single" w:color="auto" w:sz="4" w:space="0"/>
              <w:left w:val="single" w:color="auto" w:sz="4" w:space="0"/>
              <w:bottom w:val="single" w:color="auto" w:sz="4" w:space="0"/>
              <w:right w:val="single" w:color="auto" w:sz="4" w:space="0"/>
            </w:tcBorders>
            <w:vAlign w:val="center"/>
          </w:tcPr>
          <w:p w14:paraId="596B7E23">
            <w:pPr>
              <w:pStyle w:val="6"/>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single" w:color="auto" w:sz="4" w:space="0"/>
              <w:left w:val="single" w:color="auto" w:sz="4" w:space="0"/>
              <w:bottom w:val="single" w:color="auto" w:sz="4" w:space="0"/>
              <w:right w:val="single" w:color="auto" w:sz="4" w:space="0"/>
            </w:tcBorders>
            <w:vAlign w:val="center"/>
          </w:tcPr>
          <w:p w14:paraId="68F0411E">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1ED2D053">
            <w:pPr>
              <w:pStyle w:val="6"/>
              <w:adjustRightInd w:val="0"/>
              <w:snapToGrid w:val="0"/>
              <w:spacing w:line="360" w:lineRule="auto"/>
              <w:ind w:firstLine="420" w:firstLineChars="200"/>
              <w:jc w:val="center"/>
              <w:rPr>
                <w:rFonts w:hAnsi="宋体" w:cs="宋体"/>
                <w:lang w:val="hr-HR"/>
              </w:rPr>
            </w:pPr>
          </w:p>
        </w:tc>
      </w:tr>
      <w:tr w14:paraId="3BEC6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38E311FF">
            <w:pPr>
              <w:pStyle w:val="6"/>
              <w:adjustRightInd w:val="0"/>
              <w:snapToGrid w:val="0"/>
              <w:spacing w:line="360" w:lineRule="auto"/>
              <w:jc w:val="center"/>
              <w:rPr>
                <w:rFonts w:hAnsi="宋体" w:cs="宋体"/>
                <w:lang w:val="hr-HR"/>
              </w:rPr>
            </w:pPr>
            <w:r>
              <w:rPr>
                <w:rFonts w:hint="eastAsia" w:hAnsi="宋体" w:cs="宋体"/>
                <w:lang w:val="hr-HR"/>
              </w:rPr>
              <w:t>15</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6A5899F">
            <w:pPr>
              <w:pStyle w:val="6"/>
              <w:adjustRightInd w:val="0"/>
              <w:snapToGrid w:val="0"/>
              <w:spacing w:line="360" w:lineRule="auto"/>
              <w:jc w:val="center"/>
              <w:rPr>
                <w:rFonts w:hAnsi="宋体" w:cs="宋体"/>
                <w:lang w:val="hr-HR"/>
              </w:rPr>
            </w:pPr>
            <w:r>
              <w:rPr>
                <w:rFonts w:hint="eastAsia" w:hAnsi="宋体" w:cs="宋体"/>
                <w:lang w:val="hr-HR"/>
              </w:rPr>
              <w:t>土规地类量算</w:t>
            </w:r>
          </w:p>
        </w:tc>
        <w:tc>
          <w:tcPr>
            <w:tcW w:w="1246" w:type="dxa"/>
            <w:tcBorders>
              <w:top w:val="single" w:color="auto" w:sz="4" w:space="0"/>
              <w:left w:val="single" w:color="auto" w:sz="4" w:space="0"/>
              <w:bottom w:val="single" w:color="auto" w:sz="4" w:space="0"/>
              <w:right w:val="single" w:color="auto" w:sz="4" w:space="0"/>
            </w:tcBorders>
            <w:vAlign w:val="center"/>
          </w:tcPr>
          <w:p w14:paraId="6E09C008">
            <w:pPr>
              <w:pStyle w:val="6"/>
              <w:adjustRightInd w:val="0"/>
              <w:snapToGrid w:val="0"/>
              <w:spacing w:line="360" w:lineRule="auto"/>
              <w:jc w:val="center"/>
              <w:rPr>
                <w:rFonts w:hAnsi="宋体" w:cs="宋体"/>
                <w:lang w:val="hr-HR"/>
              </w:rPr>
            </w:pPr>
            <w:r>
              <w:rPr>
                <w:rFonts w:hint="eastAsia" w:hAnsi="宋体" w:cs="宋体"/>
                <w:lang w:val="hr-HR"/>
              </w:rPr>
              <w:t>亩</w:t>
            </w:r>
          </w:p>
        </w:tc>
        <w:tc>
          <w:tcPr>
            <w:tcW w:w="1204" w:type="dxa"/>
            <w:tcBorders>
              <w:top w:val="single" w:color="auto" w:sz="4" w:space="0"/>
              <w:left w:val="single" w:color="auto" w:sz="4" w:space="0"/>
              <w:bottom w:val="single" w:color="auto" w:sz="4" w:space="0"/>
              <w:right w:val="single" w:color="auto" w:sz="4" w:space="0"/>
            </w:tcBorders>
            <w:vAlign w:val="center"/>
          </w:tcPr>
          <w:p w14:paraId="54ED9D0C">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0F461699">
            <w:pPr>
              <w:pStyle w:val="6"/>
              <w:adjustRightInd w:val="0"/>
              <w:snapToGrid w:val="0"/>
              <w:spacing w:line="360" w:lineRule="auto"/>
              <w:ind w:firstLine="420" w:firstLineChars="200"/>
              <w:jc w:val="center"/>
              <w:rPr>
                <w:rFonts w:hAnsi="宋体" w:cs="宋体"/>
                <w:lang w:val="hr-HR"/>
              </w:rPr>
            </w:pPr>
          </w:p>
        </w:tc>
      </w:tr>
      <w:tr w14:paraId="6934F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651DB915">
            <w:pPr>
              <w:pStyle w:val="6"/>
              <w:adjustRightInd w:val="0"/>
              <w:snapToGrid w:val="0"/>
              <w:spacing w:line="360" w:lineRule="auto"/>
              <w:jc w:val="center"/>
              <w:rPr>
                <w:rFonts w:hAnsi="宋体" w:cs="宋体"/>
                <w:lang w:val="hr-HR"/>
              </w:rPr>
            </w:pPr>
            <w:r>
              <w:rPr>
                <w:rFonts w:hint="eastAsia" w:hAnsi="宋体" w:cs="宋体"/>
                <w:lang w:val="hr-HR"/>
              </w:rPr>
              <w:t>16</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0CF32414">
            <w:pPr>
              <w:pStyle w:val="6"/>
              <w:adjustRightInd w:val="0"/>
              <w:snapToGrid w:val="0"/>
              <w:spacing w:line="360" w:lineRule="auto"/>
              <w:jc w:val="center"/>
              <w:rPr>
                <w:rFonts w:hAnsi="宋体" w:cs="宋体"/>
                <w:lang w:val="hr-HR"/>
              </w:rPr>
            </w:pPr>
            <w:r>
              <w:rPr>
                <w:rFonts w:hint="eastAsia" w:hAnsi="宋体" w:cs="宋体"/>
                <w:lang w:val="hr-HR"/>
              </w:rPr>
              <w:t>组卷报批服务</w:t>
            </w:r>
          </w:p>
        </w:tc>
        <w:tc>
          <w:tcPr>
            <w:tcW w:w="1246" w:type="dxa"/>
            <w:tcBorders>
              <w:top w:val="single" w:color="auto" w:sz="4" w:space="0"/>
              <w:left w:val="single" w:color="auto" w:sz="4" w:space="0"/>
              <w:bottom w:val="single" w:color="auto" w:sz="4" w:space="0"/>
              <w:right w:val="single" w:color="auto" w:sz="4" w:space="0"/>
            </w:tcBorders>
            <w:vAlign w:val="center"/>
          </w:tcPr>
          <w:p w14:paraId="0B17DB0A">
            <w:pPr>
              <w:pStyle w:val="6"/>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2A453FAD">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5E8C0728">
            <w:pPr>
              <w:pStyle w:val="6"/>
              <w:adjustRightInd w:val="0"/>
              <w:snapToGrid w:val="0"/>
              <w:spacing w:line="360" w:lineRule="auto"/>
              <w:ind w:firstLine="420" w:firstLineChars="200"/>
              <w:jc w:val="center"/>
              <w:rPr>
                <w:rFonts w:hAnsi="宋体" w:cs="宋体"/>
                <w:lang w:val="hr-HR"/>
              </w:rPr>
            </w:pPr>
          </w:p>
        </w:tc>
      </w:tr>
      <w:tr w14:paraId="21706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014F547C">
            <w:pPr>
              <w:pStyle w:val="6"/>
              <w:adjustRightInd w:val="0"/>
              <w:snapToGrid w:val="0"/>
              <w:spacing w:line="360" w:lineRule="auto"/>
              <w:jc w:val="center"/>
              <w:rPr>
                <w:rFonts w:hAnsi="宋体" w:cs="宋体"/>
                <w:lang w:val="hr-HR"/>
              </w:rPr>
            </w:pPr>
            <w:r>
              <w:rPr>
                <w:rFonts w:hint="eastAsia" w:hAnsi="宋体" w:cs="宋体"/>
                <w:lang w:val="hr-HR"/>
              </w:rPr>
              <w:t>17</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06227875">
            <w:pPr>
              <w:pStyle w:val="6"/>
              <w:adjustRightInd w:val="0"/>
              <w:snapToGrid w:val="0"/>
              <w:spacing w:line="360" w:lineRule="auto"/>
              <w:jc w:val="center"/>
              <w:rPr>
                <w:rFonts w:hAnsi="宋体" w:cs="宋体"/>
                <w:lang w:val="hr-HR"/>
              </w:rPr>
            </w:pPr>
            <w:r>
              <w:rPr>
                <w:rFonts w:hint="eastAsia" w:hAnsi="宋体" w:cs="宋体"/>
                <w:lang w:val="hr-HR"/>
              </w:rPr>
              <w:t>耕作层剥离再利用方案编制及专家评审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4B2DA4C7">
            <w:pPr>
              <w:pStyle w:val="6"/>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28BDE380">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357FA026">
            <w:pPr>
              <w:pStyle w:val="6"/>
              <w:adjustRightInd w:val="0"/>
              <w:snapToGrid w:val="0"/>
              <w:spacing w:line="360" w:lineRule="auto"/>
              <w:ind w:firstLine="420" w:firstLineChars="200"/>
              <w:jc w:val="center"/>
              <w:rPr>
                <w:rFonts w:hAnsi="宋体" w:cs="宋体"/>
                <w:lang w:val="hr-HR"/>
              </w:rPr>
            </w:pPr>
          </w:p>
        </w:tc>
      </w:tr>
      <w:tr w14:paraId="0FEA8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0CDF76BE">
            <w:pPr>
              <w:pStyle w:val="6"/>
              <w:adjustRightInd w:val="0"/>
              <w:snapToGrid w:val="0"/>
              <w:spacing w:line="360" w:lineRule="auto"/>
              <w:jc w:val="center"/>
              <w:rPr>
                <w:rFonts w:hAnsi="宋体" w:cs="宋体"/>
                <w:lang w:val="hr-HR"/>
              </w:rPr>
            </w:pPr>
            <w:r>
              <w:rPr>
                <w:rFonts w:hint="eastAsia" w:hAnsi="宋体" w:cs="宋体"/>
                <w:lang w:val="hr-HR"/>
              </w:rPr>
              <w:t>18</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60E1708">
            <w:pPr>
              <w:pStyle w:val="6"/>
              <w:adjustRightInd w:val="0"/>
              <w:snapToGrid w:val="0"/>
              <w:spacing w:line="360" w:lineRule="auto"/>
              <w:jc w:val="center"/>
              <w:rPr>
                <w:rFonts w:hAnsi="宋体" w:cs="宋体"/>
                <w:lang w:val="hr-HR"/>
              </w:rPr>
            </w:pPr>
            <w:r>
              <w:rPr>
                <w:rFonts w:hint="eastAsia" w:hAnsi="宋体" w:cs="宋体"/>
                <w:lang w:val="hr-HR"/>
              </w:rPr>
              <w:t>节地专章编制及专家评审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2BECBCDA">
            <w:pPr>
              <w:pStyle w:val="6"/>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70C31FCB">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250F87C6">
            <w:pPr>
              <w:pStyle w:val="6"/>
              <w:adjustRightInd w:val="0"/>
              <w:snapToGrid w:val="0"/>
              <w:spacing w:line="360" w:lineRule="auto"/>
              <w:ind w:firstLine="420" w:firstLineChars="200"/>
              <w:jc w:val="center"/>
              <w:rPr>
                <w:rFonts w:hAnsi="宋体" w:cs="宋体"/>
                <w:lang w:val="hr-HR"/>
              </w:rPr>
            </w:pPr>
          </w:p>
        </w:tc>
      </w:tr>
      <w:tr w14:paraId="7DB84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2D3E2ACA">
            <w:pPr>
              <w:pStyle w:val="6"/>
              <w:adjustRightInd w:val="0"/>
              <w:snapToGrid w:val="0"/>
              <w:spacing w:line="360" w:lineRule="auto"/>
              <w:jc w:val="center"/>
              <w:rPr>
                <w:rFonts w:hAnsi="宋体" w:cs="宋体"/>
                <w:lang w:val="hr-HR"/>
              </w:rPr>
            </w:pPr>
            <w:r>
              <w:rPr>
                <w:rFonts w:hint="eastAsia" w:hAnsi="宋体" w:cs="宋体"/>
                <w:lang w:val="hr-HR"/>
              </w:rPr>
              <w:t>19</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7C81CD4">
            <w:pPr>
              <w:pStyle w:val="6"/>
              <w:adjustRightInd w:val="0"/>
              <w:snapToGrid w:val="0"/>
              <w:spacing w:line="360" w:lineRule="auto"/>
              <w:jc w:val="center"/>
              <w:rPr>
                <w:rFonts w:hAnsi="宋体" w:cs="宋体"/>
                <w:lang w:val="hr-HR"/>
              </w:rPr>
            </w:pPr>
            <w:r>
              <w:rPr>
                <w:rFonts w:hint="eastAsia" w:hAnsi="宋体" w:cs="宋体"/>
                <w:lang w:val="hr-HR"/>
              </w:rPr>
              <w:t>社会稳定风险分析报告编制及专家评审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405BC509">
            <w:pPr>
              <w:pStyle w:val="6"/>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3AF307C9">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354B8635">
            <w:pPr>
              <w:pStyle w:val="6"/>
              <w:adjustRightInd w:val="0"/>
              <w:snapToGrid w:val="0"/>
              <w:spacing w:line="360" w:lineRule="auto"/>
              <w:ind w:firstLine="420" w:firstLineChars="200"/>
              <w:jc w:val="center"/>
              <w:rPr>
                <w:rFonts w:hAnsi="宋体" w:cs="宋体"/>
                <w:lang w:val="hr-HR"/>
              </w:rPr>
            </w:pPr>
          </w:p>
        </w:tc>
      </w:tr>
      <w:tr w14:paraId="0797C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1" w:type="dxa"/>
            <w:tcBorders>
              <w:top w:val="single" w:color="auto" w:sz="4" w:space="0"/>
              <w:left w:val="single" w:color="auto" w:sz="4" w:space="0"/>
              <w:bottom w:val="single" w:color="auto" w:sz="4" w:space="0"/>
              <w:right w:val="single" w:color="auto" w:sz="4" w:space="0"/>
            </w:tcBorders>
            <w:vAlign w:val="center"/>
          </w:tcPr>
          <w:p w14:paraId="52360AAF">
            <w:pPr>
              <w:pStyle w:val="6"/>
              <w:adjustRightInd w:val="0"/>
              <w:snapToGrid w:val="0"/>
              <w:spacing w:line="360" w:lineRule="auto"/>
              <w:jc w:val="center"/>
              <w:rPr>
                <w:rFonts w:hAnsi="宋体" w:cs="宋体"/>
                <w:lang w:val="hr-HR"/>
              </w:rPr>
            </w:pPr>
            <w:r>
              <w:rPr>
                <w:rFonts w:hint="eastAsia" w:hAnsi="宋体" w:cs="宋体"/>
                <w:lang w:val="hr-HR"/>
              </w:rPr>
              <w:t>20</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34653D1E">
            <w:pPr>
              <w:pStyle w:val="6"/>
              <w:adjustRightInd w:val="0"/>
              <w:snapToGrid w:val="0"/>
              <w:spacing w:line="360" w:lineRule="auto"/>
              <w:jc w:val="center"/>
              <w:rPr>
                <w:rFonts w:hAnsi="宋体" w:cs="宋体"/>
                <w:lang w:val="hr-HR"/>
              </w:rPr>
            </w:pPr>
            <w:r>
              <w:rPr>
                <w:rFonts w:hint="eastAsia" w:hAnsi="宋体" w:cs="宋体"/>
                <w:lang w:val="hr-HR"/>
              </w:rPr>
              <w:t>地质灾害危险性评估报告编制及专家评审</w:t>
            </w:r>
          </w:p>
        </w:tc>
        <w:tc>
          <w:tcPr>
            <w:tcW w:w="1246" w:type="dxa"/>
            <w:tcBorders>
              <w:top w:val="single" w:color="auto" w:sz="4" w:space="0"/>
              <w:left w:val="single" w:color="auto" w:sz="4" w:space="0"/>
              <w:bottom w:val="single" w:color="auto" w:sz="4" w:space="0"/>
              <w:right w:val="single" w:color="auto" w:sz="4" w:space="0"/>
            </w:tcBorders>
            <w:vAlign w:val="center"/>
          </w:tcPr>
          <w:p w14:paraId="732B0C0D">
            <w:pPr>
              <w:pStyle w:val="6"/>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vAlign w:val="center"/>
          </w:tcPr>
          <w:p w14:paraId="1414416C">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0C48341F">
            <w:pPr>
              <w:pStyle w:val="6"/>
              <w:adjustRightInd w:val="0"/>
              <w:snapToGrid w:val="0"/>
              <w:spacing w:line="360" w:lineRule="auto"/>
              <w:ind w:firstLine="420" w:firstLineChars="200"/>
              <w:jc w:val="center"/>
              <w:rPr>
                <w:rFonts w:hAnsi="宋体" w:cs="宋体"/>
                <w:lang w:val="hr-HR"/>
              </w:rPr>
            </w:pPr>
          </w:p>
        </w:tc>
      </w:tr>
      <w:tr w14:paraId="47DFF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1" w:type="dxa"/>
            <w:tcBorders>
              <w:top w:val="single" w:color="auto" w:sz="4" w:space="0"/>
              <w:left w:val="single" w:color="auto" w:sz="4" w:space="0"/>
              <w:bottom w:val="single" w:color="auto" w:sz="4" w:space="0"/>
              <w:right w:val="single" w:color="auto" w:sz="4" w:space="0"/>
            </w:tcBorders>
            <w:vAlign w:val="center"/>
          </w:tcPr>
          <w:p w14:paraId="13158C55">
            <w:pPr>
              <w:pStyle w:val="6"/>
              <w:adjustRightInd w:val="0"/>
              <w:snapToGrid w:val="0"/>
              <w:spacing w:line="360" w:lineRule="auto"/>
              <w:jc w:val="center"/>
              <w:rPr>
                <w:rFonts w:hAnsi="宋体" w:cs="宋体"/>
                <w:lang w:val="hr-HR"/>
              </w:rPr>
            </w:pPr>
            <w:r>
              <w:rPr>
                <w:rFonts w:hint="eastAsia" w:hAnsi="宋体" w:cs="宋体"/>
                <w:lang w:val="hr-HR"/>
              </w:rPr>
              <w:t>21</w:t>
            </w:r>
          </w:p>
        </w:tc>
        <w:tc>
          <w:tcPr>
            <w:tcW w:w="4820" w:type="dxa"/>
            <w:gridSpan w:val="2"/>
            <w:tcBorders>
              <w:top w:val="single" w:color="auto" w:sz="4" w:space="0"/>
              <w:left w:val="single" w:color="auto" w:sz="4" w:space="0"/>
              <w:bottom w:val="single" w:color="auto" w:sz="4" w:space="0"/>
              <w:right w:val="single" w:color="auto" w:sz="4" w:space="0"/>
            </w:tcBorders>
            <w:vAlign w:val="center"/>
          </w:tcPr>
          <w:p w14:paraId="18906D06">
            <w:pPr>
              <w:pStyle w:val="6"/>
              <w:adjustRightInd w:val="0"/>
              <w:snapToGrid w:val="0"/>
              <w:spacing w:line="360" w:lineRule="auto"/>
              <w:jc w:val="center"/>
              <w:rPr>
                <w:rFonts w:hAnsi="宋体" w:cs="宋体"/>
                <w:lang w:val="hr-HR"/>
              </w:rPr>
            </w:pPr>
            <w:r>
              <w:rPr>
                <w:rFonts w:hint="eastAsia" w:hAnsi="宋体" w:cs="宋体"/>
                <w:lang w:val="hr-HR"/>
              </w:rPr>
              <w:t>勘测定界报告书及相关报批图件</w:t>
            </w:r>
          </w:p>
        </w:tc>
        <w:tc>
          <w:tcPr>
            <w:tcW w:w="1246" w:type="dxa"/>
            <w:tcBorders>
              <w:top w:val="single" w:color="auto" w:sz="4" w:space="0"/>
              <w:left w:val="single" w:color="auto" w:sz="4" w:space="0"/>
              <w:bottom w:val="single" w:color="auto" w:sz="4" w:space="0"/>
              <w:right w:val="single" w:color="auto" w:sz="4" w:space="0"/>
            </w:tcBorders>
            <w:vAlign w:val="center"/>
          </w:tcPr>
          <w:p w14:paraId="53AAF6C7">
            <w:pPr>
              <w:pStyle w:val="6"/>
              <w:adjustRightInd w:val="0"/>
              <w:snapToGrid w:val="0"/>
              <w:spacing w:line="360" w:lineRule="auto"/>
              <w:jc w:val="center"/>
              <w:rPr>
                <w:rFonts w:hAnsi="宋体" w:cs="宋体"/>
                <w:lang w:val="hr-HR"/>
              </w:rPr>
            </w:pPr>
            <w:r>
              <w:rPr>
                <w:rFonts w:hint="eastAsia" w:hAnsi="宋体" w:cs="宋体"/>
                <w:lang w:val="hr-H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14:paraId="0F434771">
            <w:pPr>
              <w:pStyle w:val="6"/>
              <w:adjustRightInd w:val="0"/>
              <w:snapToGrid w:val="0"/>
              <w:spacing w:line="360" w:lineRule="auto"/>
              <w:jc w:val="center"/>
              <w:rPr>
                <w:rFonts w:hAnsi="宋体" w:cs="宋体"/>
                <w:lang w:val="hr-HR"/>
              </w:rPr>
            </w:pPr>
          </w:p>
        </w:tc>
        <w:tc>
          <w:tcPr>
            <w:tcW w:w="0" w:type="auto"/>
            <w:tcBorders>
              <w:top w:val="single" w:color="auto" w:sz="4" w:space="0"/>
              <w:left w:val="single" w:color="auto" w:sz="4" w:space="0"/>
              <w:bottom w:val="single" w:color="auto" w:sz="4" w:space="0"/>
              <w:right w:val="single" w:color="auto" w:sz="4" w:space="0"/>
            </w:tcBorders>
            <w:vAlign w:val="center"/>
          </w:tcPr>
          <w:p w14:paraId="591017D9">
            <w:pPr>
              <w:pStyle w:val="6"/>
              <w:adjustRightInd w:val="0"/>
              <w:snapToGrid w:val="0"/>
              <w:spacing w:line="360" w:lineRule="auto"/>
              <w:ind w:firstLine="420" w:firstLineChars="200"/>
              <w:jc w:val="center"/>
              <w:rPr>
                <w:rFonts w:hAnsi="宋体" w:cs="宋体"/>
                <w:lang w:val="hr-HR"/>
              </w:rPr>
            </w:pPr>
          </w:p>
        </w:tc>
      </w:tr>
    </w:tbl>
    <w:p w14:paraId="16D5A3D0">
      <w:pPr>
        <w:spacing w:line="360" w:lineRule="auto"/>
        <w:ind w:firstLine="0" w:firstLineChars="0"/>
        <w:rPr>
          <w:rFonts w:hint="eastAsia" w:ascii="宋体" w:hAnsi="宋体"/>
          <w:sz w:val="24"/>
          <w:szCs w:val="24"/>
        </w:rPr>
      </w:pPr>
    </w:p>
    <w:p w14:paraId="2E8E1C3F">
      <w:pPr>
        <w:spacing w:line="360" w:lineRule="auto"/>
        <w:ind w:firstLine="482" w:firstLineChars="200"/>
        <w:rPr>
          <w:rFonts w:ascii="宋体" w:hAnsi="宋体"/>
          <w:b/>
          <w:sz w:val="24"/>
          <w:szCs w:val="24"/>
        </w:rPr>
      </w:pPr>
      <w:r>
        <w:rPr>
          <w:rFonts w:hint="eastAsia" w:ascii="宋体" w:hAnsi="宋体"/>
          <w:b/>
          <w:sz w:val="24"/>
          <w:szCs w:val="24"/>
        </w:rPr>
        <w:t>二、技术服务报酬支付方式和时间：</w:t>
      </w:r>
    </w:p>
    <w:p w14:paraId="72645CB1">
      <w:pPr>
        <w:adjustRightInd w:val="0"/>
        <w:snapToGrid w:val="0"/>
        <w:spacing w:line="360" w:lineRule="auto"/>
        <w:ind w:firstLine="480" w:firstLineChars="200"/>
        <w:rPr>
          <w:rFonts w:ascii="宋体" w:hAnsi="宋体"/>
          <w:sz w:val="24"/>
        </w:rPr>
      </w:pPr>
      <w:r>
        <w:rPr>
          <w:rFonts w:hint="eastAsia" w:ascii="宋体" w:hAnsi="宋体"/>
          <w:sz w:val="24"/>
        </w:rPr>
        <w:t>（1）合同签订生效后的25个工作日内，甲方向乙方支付合同总金额的30%，即</w:t>
      </w:r>
      <w:r>
        <w:rPr>
          <w:rFonts w:hint="eastAsia" w:ascii="宋体" w:hAnsi="宋体"/>
          <w:sz w:val="24"/>
          <w:u w:val="single"/>
        </w:rPr>
        <w:t>人民币</w:t>
      </w:r>
      <w:r>
        <w:rPr>
          <w:rFonts w:hint="eastAsia" w:ascii="宋体" w:hAnsi="宋体"/>
          <w:sz w:val="24"/>
          <w:u w:val="single"/>
          <w:lang w:val="en-US" w:eastAsia="zh-CN"/>
        </w:rPr>
        <w:t xml:space="preserve">             </w:t>
      </w:r>
      <w:r>
        <w:rPr>
          <w:rFonts w:hint="eastAsia" w:ascii="宋体" w:hAnsi="宋体"/>
          <w:sz w:val="24"/>
          <w:u w:val="single"/>
        </w:rPr>
        <w:t>整（小写：￥</w:t>
      </w:r>
      <w:r>
        <w:rPr>
          <w:rFonts w:hint="eastAsia" w:ascii="宋体" w:hAnsi="宋体"/>
          <w:sz w:val="24"/>
          <w:u w:val="single"/>
          <w:lang w:val="en-US" w:eastAsia="zh-CN"/>
        </w:rPr>
        <w:t xml:space="preserve">        </w:t>
      </w:r>
      <w:r>
        <w:rPr>
          <w:rFonts w:hint="eastAsia" w:ascii="宋体" w:hAnsi="宋体"/>
          <w:sz w:val="24"/>
          <w:u w:val="single"/>
        </w:rPr>
        <w:t>元）</w:t>
      </w:r>
      <w:r>
        <w:rPr>
          <w:rFonts w:hint="eastAsia" w:ascii="宋体" w:hAnsi="宋体"/>
          <w:sz w:val="24"/>
        </w:rPr>
        <w:t>；</w:t>
      </w:r>
    </w:p>
    <w:p w14:paraId="57A2690A">
      <w:pPr>
        <w:adjustRightInd w:val="0"/>
        <w:snapToGrid w:val="0"/>
        <w:spacing w:line="360" w:lineRule="auto"/>
        <w:ind w:firstLine="480" w:firstLineChars="200"/>
        <w:rPr>
          <w:rFonts w:ascii="宋体" w:hAnsi="宋体"/>
          <w:sz w:val="24"/>
        </w:rPr>
      </w:pPr>
      <w:r>
        <w:rPr>
          <w:rFonts w:hint="eastAsia" w:ascii="宋体" w:hAnsi="宋体"/>
          <w:sz w:val="24"/>
        </w:rPr>
        <w:t>（2）乙方向甲方提交用地报批组卷材料</w:t>
      </w:r>
      <w:r>
        <w:rPr>
          <w:rFonts w:hint="eastAsia" w:ascii="宋体" w:hAnsi="宋体"/>
          <w:sz w:val="24"/>
          <w:lang w:val="en-US" w:eastAsia="zh-CN"/>
        </w:rPr>
        <w:t>成果并</w:t>
      </w:r>
      <w:r>
        <w:rPr>
          <w:rFonts w:hint="eastAsia" w:ascii="宋体" w:hAnsi="宋体"/>
          <w:sz w:val="24"/>
        </w:rPr>
        <w:t>上报至广州市级部门</w:t>
      </w:r>
      <w:r>
        <w:rPr>
          <w:rFonts w:hint="eastAsia" w:ascii="宋体" w:hAnsi="宋体"/>
          <w:sz w:val="24"/>
          <w:lang w:val="en-US" w:eastAsia="zh-CN"/>
        </w:rPr>
        <w:t>预</w:t>
      </w:r>
      <w:r>
        <w:rPr>
          <w:rFonts w:hint="eastAsia" w:ascii="宋体" w:hAnsi="宋体"/>
          <w:sz w:val="24"/>
        </w:rPr>
        <w:t>审核通过后，甲方应在25个工作日内甲方向乙方支付合同总金额的</w:t>
      </w:r>
      <w:r>
        <w:rPr>
          <w:rFonts w:hint="eastAsia" w:ascii="宋体" w:hAnsi="宋体"/>
          <w:sz w:val="24"/>
          <w:lang w:val="en-US" w:eastAsia="zh-CN"/>
        </w:rPr>
        <w:t>5</w:t>
      </w:r>
      <w:r>
        <w:rPr>
          <w:rFonts w:hint="eastAsia" w:ascii="宋体" w:hAnsi="宋体"/>
          <w:sz w:val="24"/>
        </w:rPr>
        <w:t>0%，即</w:t>
      </w:r>
      <w:r>
        <w:rPr>
          <w:rFonts w:hint="eastAsia" w:ascii="宋体" w:hAnsi="宋体"/>
          <w:sz w:val="24"/>
          <w:u w:val="single"/>
        </w:rPr>
        <w:t>人民币</w:t>
      </w:r>
      <w:r>
        <w:rPr>
          <w:rFonts w:hint="eastAsia" w:ascii="宋体" w:hAnsi="宋体"/>
          <w:sz w:val="24"/>
          <w:u w:val="single"/>
          <w:lang w:val="en-US" w:eastAsia="zh-CN"/>
        </w:rPr>
        <w:t xml:space="preserve">     </w:t>
      </w:r>
      <w:r>
        <w:rPr>
          <w:rFonts w:hint="eastAsia" w:ascii="宋体" w:hAnsi="宋体"/>
          <w:sz w:val="24"/>
          <w:u w:val="single"/>
        </w:rPr>
        <w:t>（小写：￥</w:t>
      </w:r>
      <w:r>
        <w:rPr>
          <w:rFonts w:hint="eastAsia" w:ascii="宋体" w:hAnsi="宋体"/>
          <w:sz w:val="24"/>
          <w:u w:val="single"/>
          <w:lang w:val="en-US" w:eastAsia="zh-CN"/>
        </w:rPr>
        <w:t xml:space="preserve">     </w:t>
      </w:r>
      <w:r>
        <w:rPr>
          <w:rFonts w:hint="eastAsia" w:ascii="宋体" w:hAnsi="宋体"/>
          <w:sz w:val="24"/>
          <w:u w:val="single"/>
        </w:rPr>
        <w:t>元）</w:t>
      </w:r>
      <w:r>
        <w:rPr>
          <w:rFonts w:hint="eastAsia" w:ascii="宋体" w:hAnsi="宋体"/>
          <w:sz w:val="24"/>
          <w:u w:val="single"/>
          <w:lang w:eastAsia="zh-CN"/>
        </w:rPr>
        <w:t>；</w:t>
      </w:r>
    </w:p>
    <w:p w14:paraId="5C99C34E">
      <w:pPr>
        <w:adjustRightInd w:val="0"/>
        <w:snapToGrid w:val="0"/>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甲方取得项目</w:t>
      </w:r>
      <w:r>
        <w:rPr>
          <w:rFonts w:hint="eastAsia" w:ascii="宋体" w:hAnsi="宋体"/>
          <w:sz w:val="24"/>
        </w:rPr>
        <w:t>相关</w:t>
      </w:r>
      <w:r>
        <w:rPr>
          <w:rFonts w:hint="eastAsia" w:ascii="宋体" w:hAnsi="宋体"/>
          <w:sz w:val="24"/>
          <w:lang w:val="en-US" w:eastAsia="zh-CN"/>
        </w:rPr>
        <w:t>用地</w:t>
      </w:r>
      <w:r>
        <w:rPr>
          <w:rFonts w:hint="eastAsia" w:ascii="宋体" w:hAnsi="宋体"/>
          <w:sz w:val="24"/>
        </w:rPr>
        <w:t>批复之日起25个工作日内</w:t>
      </w:r>
      <w:r>
        <w:rPr>
          <w:rFonts w:hint="eastAsia" w:ascii="宋体" w:hAnsi="宋体"/>
          <w:sz w:val="24"/>
          <w:lang w:eastAsia="zh-CN"/>
        </w:rPr>
        <w:t>，</w:t>
      </w:r>
      <w:r>
        <w:rPr>
          <w:rFonts w:hint="eastAsia" w:ascii="宋体" w:hAnsi="宋体"/>
          <w:sz w:val="24"/>
          <w:lang w:val="en-US" w:eastAsia="zh-CN"/>
        </w:rPr>
        <w:t>按实际工作量</w:t>
      </w:r>
      <w:r>
        <w:rPr>
          <w:rFonts w:hint="eastAsia" w:ascii="宋体" w:hAnsi="宋体"/>
          <w:sz w:val="24"/>
        </w:rPr>
        <w:t>向乙方支付至合同</w:t>
      </w:r>
      <w:r>
        <w:rPr>
          <w:rFonts w:hint="eastAsia" w:ascii="宋体" w:hAnsi="宋体"/>
          <w:sz w:val="24"/>
          <w:lang w:val="en-US" w:eastAsia="zh-CN"/>
        </w:rPr>
        <w:t>实际结算价</w:t>
      </w:r>
      <w:r>
        <w:rPr>
          <w:rFonts w:hint="eastAsia" w:ascii="宋体" w:hAnsi="宋体"/>
          <w:sz w:val="24"/>
        </w:rPr>
        <w:t>的100%。</w:t>
      </w:r>
    </w:p>
    <w:p w14:paraId="3A907B6C">
      <w:pPr>
        <w:spacing w:line="360" w:lineRule="auto"/>
        <w:ind w:firstLine="482" w:firstLineChars="200"/>
        <w:rPr>
          <w:rFonts w:ascii="宋体" w:hAnsi="宋体"/>
          <w:b/>
          <w:sz w:val="24"/>
          <w:szCs w:val="24"/>
        </w:rPr>
      </w:pPr>
      <w:r>
        <w:rPr>
          <w:rFonts w:hint="eastAsia" w:ascii="宋体" w:hAnsi="宋体"/>
          <w:b/>
          <w:sz w:val="24"/>
          <w:szCs w:val="24"/>
        </w:rPr>
        <w:t>三、乙方收款账户信息如下：</w:t>
      </w:r>
    </w:p>
    <w:p w14:paraId="4F5580F5">
      <w:pPr>
        <w:adjustRightInd w:val="0"/>
        <w:snapToGrid w:val="0"/>
        <w:spacing w:line="360" w:lineRule="auto"/>
        <w:ind w:firstLine="480" w:firstLineChars="200"/>
        <w:rPr>
          <w:rFonts w:ascii="宋体" w:hAnsi="宋体"/>
          <w:sz w:val="24"/>
        </w:rPr>
      </w:pPr>
      <w:r>
        <w:rPr>
          <w:rFonts w:hint="eastAsia" w:ascii="宋体" w:hAnsi="宋体"/>
          <w:sz w:val="24"/>
        </w:rPr>
        <w:t>账户名称：</w:t>
      </w:r>
      <w:r>
        <w:rPr>
          <w:rFonts w:hint="eastAsia" w:ascii="宋体" w:hAnsi="宋体"/>
          <w:sz w:val="24"/>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225E14BD">
      <w:pPr>
        <w:adjustRightInd w:val="0"/>
        <w:snapToGrid w:val="0"/>
        <w:spacing w:line="360" w:lineRule="auto"/>
        <w:ind w:firstLine="480" w:firstLineChars="200"/>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64D53AED">
      <w:pPr>
        <w:adjustRightInd w:val="0"/>
        <w:snapToGrid w:val="0"/>
        <w:spacing w:line="360" w:lineRule="auto"/>
        <w:ind w:firstLine="480" w:firstLineChars="200"/>
        <w:rPr>
          <w:rFonts w:ascii="宋体" w:hAnsi="宋体"/>
          <w:sz w:val="24"/>
        </w:rPr>
      </w:pPr>
      <w:r>
        <w:rPr>
          <w:rFonts w:hint="eastAsia" w:ascii="宋体" w:hAnsi="宋体"/>
          <w:sz w:val="24"/>
        </w:rPr>
        <w:t>银行账号：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4725960C">
      <w:pPr>
        <w:adjustRightInd w:val="0"/>
        <w:snapToGrid w:val="0"/>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b/>
          <w:sz w:val="24"/>
          <w:szCs w:val="24"/>
        </w:rPr>
        <w:t>四、</w:t>
      </w:r>
      <w:r>
        <w:rPr>
          <w:rFonts w:hint="eastAsia" w:ascii="宋体" w:hAnsi="宋体"/>
          <w:sz w:val="24"/>
        </w:rPr>
        <w:t>乙方在收取每期合同价款前须向甲方开具等额、有效、合法的增值税普通发票，否则，甲方有权顺延付款且不承担任何责任。</w:t>
      </w:r>
    </w:p>
    <w:p w14:paraId="41B35772">
      <w:pPr>
        <w:spacing w:line="360" w:lineRule="auto"/>
        <w:rPr>
          <w:rFonts w:ascii="宋体" w:hAnsi="宋体"/>
          <w:b/>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b/>
          <w:bCs/>
          <w:sz w:val="24"/>
          <w:szCs w:val="24"/>
        </w:rPr>
        <w:t>五</w:t>
      </w:r>
      <w:r>
        <w:rPr>
          <w:rFonts w:hint="eastAsia" w:ascii="宋体" w:hAnsi="宋体"/>
          <w:b/>
          <w:bCs/>
          <w:sz w:val="24"/>
          <w:szCs w:val="24"/>
        </w:rPr>
        <w:t>、</w:t>
      </w:r>
      <w:r>
        <w:rPr>
          <w:rFonts w:hint="eastAsia" w:ascii="宋体" w:hAnsi="宋体"/>
          <w:b/>
          <w:sz w:val="24"/>
          <w:szCs w:val="24"/>
        </w:rPr>
        <w:t>乙方凭以下文件与甲方结算款项</w:t>
      </w:r>
    </w:p>
    <w:p w14:paraId="1792774B">
      <w:pPr>
        <w:spacing w:line="360" w:lineRule="auto"/>
        <w:ind w:firstLine="480" w:firstLineChars="200"/>
        <w:rPr>
          <w:rFonts w:ascii="宋体" w:hAnsi="宋体"/>
          <w:sz w:val="24"/>
          <w:szCs w:val="24"/>
        </w:rPr>
      </w:pPr>
      <w:r>
        <w:rPr>
          <w:rFonts w:hint="eastAsia" w:ascii="宋体" w:hAnsi="宋体"/>
          <w:sz w:val="24"/>
          <w:szCs w:val="24"/>
        </w:rPr>
        <w:t>1.合同；</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2</w:t>
      </w:r>
      <w:r>
        <w:rPr>
          <w:rFonts w:hint="eastAsia" w:ascii="宋体" w:hAnsi="宋体"/>
          <w:sz w:val="24"/>
          <w:szCs w:val="24"/>
        </w:rPr>
        <w:t>.请款函；</w:t>
      </w:r>
    </w:p>
    <w:p w14:paraId="01B5D761">
      <w:pPr>
        <w:spacing w:line="360" w:lineRule="auto"/>
        <w:ind w:firstLine="480" w:firstLineChars="200"/>
        <w:rPr>
          <w:rFonts w:ascii="宋体" w:hAnsi="宋体"/>
          <w:sz w:val="24"/>
          <w:szCs w:val="24"/>
        </w:rPr>
      </w:pPr>
      <w:r>
        <w:rPr>
          <w:rFonts w:hint="eastAsia" w:ascii="宋体" w:hAnsi="宋体"/>
          <w:sz w:val="24"/>
          <w:szCs w:val="24"/>
        </w:rPr>
        <w:t xml:space="preserve">3.结算清单；   </w:t>
      </w:r>
      <w:r>
        <w:rPr>
          <w:rFonts w:ascii="宋体" w:hAnsi="宋体"/>
          <w:sz w:val="24"/>
          <w:szCs w:val="24"/>
        </w:rPr>
        <w:tab/>
      </w:r>
      <w:r>
        <w:rPr>
          <w:rFonts w:hint="eastAsia" w:ascii="宋体" w:hAnsi="宋体"/>
          <w:sz w:val="24"/>
          <w:szCs w:val="24"/>
        </w:rPr>
        <w:t>4.发票及其他文件（按财政部门要求）。</w:t>
      </w:r>
    </w:p>
    <w:p w14:paraId="299119FC">
      <w:pPr>
        <w:spacing w:line="360" w:lineRule="auto"/>
        <w:ind w:firstLine="482" w:firstLineChars="200"/>
        <w:rPr>
          <w:rFonts w:ascii="宋体" w:hAnsi="宋体"/>
          <w:b/>
          <w:sz w:val="24"/>
          <w:szCs w:val="24"/>
        </w:rPr>
      </w:pPr>
      <w:r>
        <w:rPr>
          <w:rFonts w:hint="eastAsia" w:ascii="宋体" w:hAnsi="宋体"/>
          <w:b/>
          <w:sz w:val="24"/>
          <w:szCs w:val="24"/>
        </w:rPr>
        <w:t>六、</w:t>
      </w:r>
      <w:r>
        <w:rPr>
          <w:rFonts w:ascii="宋体" w:hAnsi="宋体"/>
          <w:b/>
          <w:sz w:val="24"/>
          <w:szCs w:val="24"/>
        </w:rPr>
        <w:t>税费</w:t>
      </w:r>
    </w:p>
    <w:p w14:paraId="1A11EF5D">
      <w:pPr>
        <w:tabs>
          <w:tab w:val="left" w:pos="720"/>
        </w:tabs>
        <w:spacing w:line="360" w:lineRule="auto"/>
        <w:ind w:firstLine="480" w:firstLineChars="200"/>
        <w:rPr>
          <w:rFonts w:ascii="宋体" w:hAnsi="宋体" w:cs="Arial"/>
          <w:sz w:val="24"/>
          <w:szCs w:val="24"/>
        </w:rPr>
      </w:pPr>
      <w:r>
        <w:rPr>
          <w:rFonts w:hint="eastAsia" w:ascii="宋体" w:hAnsi="宋体" w:cs="Arial"/>
          <w:sz w:val="24"/>
          <w:szCs w:val="24"/>
        </w:rPr>
        <w:t>本合同项下税费由甲乙双方根据中国现行税法规定各自承担。</w:t>
      </w:r>
      <w:r>
        <w:rPr>
          <w:rFonts w:ascii="宋体" w:hAnsi="宋体" w:cs="Arial"/>
          <w:sz w:val="24"/>
          <w:szCs w:val="24"/>
        </w:rPr>
        <w:t>。</w:t>
      </w:r>
      <w:r>
        <w:rPr>
          <w:rFonts w:hint="eastAsia" w:ascii="宋体" w:hAnsi="宋体" w:cs="Arial"/>
          <w:sz w:val="24"/>
          <w:szCs w:val="24"/>
        </w:rPr>
        <w:t xml:space="preserve"> </w:t>
      </w:r>
      <w:r>
        <w:rPr>
          <w:rFonts w:ascii="宋体" w:hAnsi="宋体" w:cs="Arial"/>
          <w:sz w:val="24"/>
          <w:szCs w:val="24"/>
        </w:rPr>
        <w:t xml:space="preserve">                                                </w:t>
      </w:r>
    </w:p>
    <w:p w14:paraId="3D0538B6">
      <w:pPr>
        <w:tabs>
          <w:tab w:val="left" w:pos="720"/>
        </w:tabs>
        <w:spacing w:line="360" w:lineRule="auto"/>
        <w:rPr>
          <w:rFonts w:ascii="宋体" w:hAnsi="宋体"/>
          <w:b/>
          <w:bCs/>
          <w:sz w:val="28"/>
          <w:szCs w:val="28"/>
        </w:rPr>
      </w:pPr>
      <w:r>
        <w:rPr>
          <w:rFonts w:ascii="宋体" w:hAnsi="宋体"/>
          <w:b/>
          <w:bCs/>
          <w:sz w:val="28"/>
          <w:szCs w:val="28"/>
        </w:rPr>
        <w:t>第</w:t>
      </w:r>
      <w:r>
        <w:rPr>
          <w:rFonts w:hint="eastAsia" w:ascii="宋体" w:hAnsi="宋体"/>
          <w:b/>
          <w:bCs/>
          <w:sz w:val="28"/>
          <w:szCs w:val="28"/>
        </w:rPr>
        <w:t>五</w:t>
      </w:r>
      <w:r>
        <w:rPr>
          <w:rFonts w:ascii="宋体" w:hAnsi="宋体"/>
          <w:b/>
          <w:bCs/>
          <w:sz w:val="28"/>
          <w:szCs w:val="28"/>
        </w:rPr>
        <w:t>条：双方责任</w:t>
      </w:r>
    </w:p>
    <w:p w14:paraId="426E0CFD">
      <w:pPr>
        <w:spacing w:line="360" w:lineRule="auto"/>
        <w:ind w:firstLine="482" w:firstLineChars="200"/>
        <w:rPr>
          <w:rFonts w:ascii="宋体" w:hAnsi="宋体"/>
          <w:b/>
          <w:sz w:val="24"/>
          <w:szCs w:val="24"/>
        </w:rPr>
      </w:pPr>
      <w:r>
        <w:rPr>
          <w:rFonts w:hint="eastAsia" w:ascii="宋体" w:hAnsi="宋体"/>
          <w:b/>
          <w:sz w:val="24"/>
          <w:szCs w:val="24"/>
        </w:rPr>
        <w:t>一、</w:t>
      </w:r>
      <w:r>
        <w:rPr>
          <w:rFonts w:ascii="宋体" w:hAnsi="宋体"/>
          <w:b/>
          <w:sz w:val="24"/>
          <w:szCs w:val="24"/>
        </w:rPr>
        <w:t>甲方责任</w:t>
      </w:r>
    </w:p>
    <w:p w14:paraId="1F7782BC">
      <w:pPr>
        <w:spacing w:line="360" w:lineRule="auto"/>
        <w:ind w:firstLine="480" w:firstLineChars="200"/>
        <w:rPr>
          <w:rFonts w:ascii="宋体" w:hAnsi="宋体"/>
          <w:sz w:val="24"/>
          <w:szCs w:val="24"/>
        </w:rPr>
      </w:pPr>
      <w:r>
        <w:rPr>
          <w:rFonts w:hint="eastAsia" w:ascii="宋体" w:hAnsi="宋体"/>
          <w:sz w:val="24"/>
          <w:szCs w:val="24"/>
        </w:rPr>
        <w:t>1.甲方委托任务时，必须以书面形式向乙方明确任务内容及技术要求，并按向乙方提供本项目开展必要的基础资料。</w:t>
      </w:r>
    </w:p>
    <w:p w14:paraId="5922C614">
      <w:pPr>
        <w:spacing w:line="360" w:lineRule="auto"/>
        <w:ind w:firstLine="480" w:firstLineChars="200"/>
        <w:rPr>
          <w:rFonts w:ascii="宋体" w:hAnsi="宋体"/>
          <w:sz w:val="24"/>
          <w:szCs w:val="24"/>
        </w:rPr>
      </w:pPr>
      <w:r>
        <w:rPr>
          <w:rFonts w:hint="eastAsia" w:ascii="宋体" w:hAnsi="宋体"/>
          <w:sz w:val="24"/>
          <w:szCs w:val="24"/>
        </w:rPr>
        <w:t>2.按照本合同第四条的约定向乙方支付工作款。</w:t>
      </w:r>
    </w:p>
    <w:p w14:paraId="653A3AC1">
      <w:pPr>
        <w:spacing w:line="360" w:lineRule="auto"/>
        <w:ind w:firstLine="480" w:firstLineChars="200"/>
        <w:rPr>
          <w:rFonts w:ascii="宋体" w:hAnsi="宋体"/>
          <w:sz w:val="24"/>
          <w:szCs w:val="24"/>
        </w:rPr>
      </w:pPr>
      <w:r>
        <w:rPr>
          <w:rFonts w:hint="eastAsia" w:ascii="宋体" w:hAnsi="宋体"/>
          <w:sz w:val="24"/>
          <w:szCs w:val="24"/>
        </w:rPr>
        <w:t>3.甲方不得要求乙方违反国家、地方有关标准进行测绘工作。</w:t>
      </w:r>
    </w:p>
    <w:p w14:paraId="18D57997">
      <w:pPr>
        <w:spacing w:line="360" w:lineRule="auto"/>
        <w:ind w:firstLine="480" w:firstLineChars="200"/>
        <w:rPr>
          <w:rFonts w:ascii="宋体" w:hAnsi="宋体"/>
          <w:sz w:val="24"/>
          <w:szCs w:val="24"/>
        </w:rPr>
      </w:pPr>
      <w:r>
        <w:rPr>
          <w:rFonts w:hint="eastAsia" w:ascii="宋体" w:hAnsi="宋体"/>
          <w:sz w:val="24"/>
          <w:szCs w:val="24"/>
        </w:rPr>
        <w:t>4.甲方应配合乙方完成工作量书面确认工作。</w:t>
      </w:r>
    </w:p>
    <w:p w14:paraId="6329A831">
      <w:pPr>
        <w:spacing w:line="360" w:lineRule="auto"/>
        <w:ind w:firstLine="482" w:firstLineChars="200"/>
        <w:rPr>
          <w:rFonts w:ascii="宋体" w:hAnsi="宋体"/>
          <w:b/>
          <w:sz w:val="24"/>
          <w:szCs w:val="24"/>
        </w:rPr>
      </w:pPr>
      <w:r>
        <w:rPr>
          <w:rFonts w:hint="eastAsia" w:ascii="宋体" w:hAnsi="宋体"/>
          <w:b/>
          <w:sz w:val="24"/>
          <w:szCs w:val="24"/>
        </w:rPr>
        <w:t>二、</w:t>
      </w:r>
      <w:r>
        <w:rPr>
          <w:rFonts w:ascii="宋体" w:hAnsi="宋体"/>
          <w:b/>
          <w:sz w:val="24"/>
          <w:szCs w:val="24"/>
        </w:rPr>
        <w:t xml:space="preserve"> 乙方责任</w:t>
      </w:r>
    </w:p>
    <w:p w14:paraId="1A1F09B8">
      <w:pPr>
        <w:spacing w:line="360" w:lineRule="auto"/>
        <w:ind w:firstLine="424" w:firstLineChars="177"/>
        <w:rPr>
          <w:rFonts w:ascii="宋体" w:hAnsi="宋体"/>
          <w:sz w:val="24"/>
          <w:szCs w:val="24"/>
        </w:rPr>
      </w:pPr>
      <w:r>
        <w:rPr>
          <w:rFonts w:hint="eastAsia" w:ascii="宋体" w:hAnsi="宋体"/>
          <w:sz w:val="24"/>
          <w:szCs w:val="24"/>
        </w:rPr>
        <w:t>1.负责本项目的具体实施工作，具体工作内容按合同第二条要求执行。</w:t>
      </w:r>
    </w:p>
    <w:p w14:paraId="61C19485">
      <w:pPr>
        <w:spacing w:line="360" w:lineRule="auto"/>
        <w:ind w:firstLine="424" w:firstLineChars="177"/>
        <w:rPr>
          <w:rFonts w:ascii="宋体" w:hAnsi="宋体"/>
          <w:sz w:val="24"/>
          <w:szCs w:val="24"/>
        </w:rPr>
      </w:pPr>
      <w:r>
        <w:rPr>
          <w:rFonts w:hint="eastAsia" w:ascii="宋体" w:hAnsi="宋体"/>
          <w:sz w:val="24"/>
          <w:szCs w:val="24"/>
        </w:rPr>
        <w:t>2.按照合同的工期要求按时提交成果，并对成果质量负责。</w:t>
      </w:r>
    </w:p>
    <w:p w14:paraId="71C353E7">
      <w:pPr>
        <w:spacing w:line="360" w:lineRule="auto"/>
        <w:ind w:firstLine="424" w:firstLineChars="177"/>
        <w:rPr>
          <w:rFonts w:ascii="宋体" w:hAnsi="宋体"/>
          <w:sz w:val="24"/>
          <w:szCs w:val="24"/>
        </w:rPr>
      </w:pPr>
      <w:r>
        <w:rPr>
          <w:rFonts w:hint="eastAsia" w:ascii="宋体" w:hAnsi="宋体"/>
          <w:sz w:val="24"/>
          <w:szCs w:val="24"/>
        </w:rPr>
        <w:t>3.接受并配合甲方或甲方委托的检测单位对成果文件进行质量检查，对成果文件出现的质量问题应及时免费修改更正至合格为止。</w:t>
      </w:r>
    </w:p>
    <w:p w14:paraId="467724C0">
      <w:pPr>
        <w:spacing w:line="360" w:lineRule="auto"/>
        <w:ind w:firstLine="424" w:firstLineChars="177"/>
        <w:rPr>
          <w:rFonts w:ascii="宋体" w:hAnsi="宋体"/>
          <w:sz w:val="24"/>
          <w:szCs w:val="24"/>
        </w:rPr>
      </w:pPr>
      <w:r>
        <w:rPr>
          <w:rFonts w:hint="eastAsia" w:ascii="宋体" w:hAnsi="宋体"/>
          <w:sz w:val="24"/>
          <w:szCs w:val="24"/>
        </w:rPr>
        <w:t>4.乙方自行承担现场勘查、勘测、测绘等作业过程中发生的人员伤亡，财产损失及其他风险与法律责任。</w:t>
      </w:r>
    </w:p>
    <w:p w14:paraId="06711EE4">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六</w:t>
      </w:r>
      <w:r>
        <w:rPr>
          <w:rFonts w:ascii="宋体" w:hAnsi="宋体"/>
          <w:b/>
          <w:bCs/>
          <w:sz w:val="28"/>
          <w:szCs w:val="28"/>
        </w:rPr>
        <w:t>条：</w:t>
      </w:r>
      <w:r>
        <w:rPr>
          <w:rFonts w:hint="eastAsia" w:ascii="宋体" w:hAnsi="宋体"/>
          <w:b/>
          <w:sz w:val="28"/>
          <w:szCs w:val="28"/>
        </w:rPr>
        <w:t>知识产权产权归属</w:t>
      </w:r>
    </w:p>
    <w:p w14:paraId="6D9E8756">
      <w:pPr>
        <w:spacing w:line="360" w:lineRule="auto"/>
        <w:ind w:firstLine="480" w:firstLineChars="200"/>
        <w:rPr>
          <w:rFonts w:ascii="宋体" w:hAnsi="宋体" w:cs="宋体"/>
          <w:sz w:val="24"/>
          <w:szCs w:val="24"/>
        </w:rPr>
      </w:pPr>
      <w:r>
        <w:rPr>
          <w:rFonts w:hint="eastAsia" w:ascii="宋体" w:hAnsi="宋体" w:cs="宋体"/>
          <w:sz w:val="24"/>
          <w:szCs w:val="24"/>
        </w:rPr>
        <w:t>甲方支付相应测绘成果费用后，本合同乙方向甲方提交的成果的知识产权归甲方所有，署名权归乙方所有，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431B2806">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七</w:t>
      </w:r>
      <w:r>
        <w:rPr>
          <w:rFonts w:ascii="宋体" w:hAnsi="宋体"/>
          <w:b/>
          <w:bCs/>
          <w:sz w:val="28"/>
          <w:szCs w:val="28"/>
        </w:rPr>
        <w:t>条：</w:t>
      </w:r>
      <w:r>
        <w:rPr>
          <w:rFonts w:hint="eastAsia" w:ascii="宋体" w:hAnsi="宋体"/>
          <w:b/>
          <w:sz w:val="28"/>
          <w:szCs w:val="28"/>
        </w:rPr>
        <w:t>保密</w:t>
      </w:r>
    </w:p>
    <w:p w14:paraId="34A9F9C2">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乙方必须采取措施对本项目实施过程中的技术资料保密，否则，由于乙方过错导致的上述资料泄密的，乙方必须承担一切责任。项目完成后，甲、乙双方均有责任对本项目的技术保密承担责任。</w:t>
      </w:r>
    </w:p>
    <w:p w14:paraId="4FC7244A">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1.对甲方提供的各种数据、资料等，乙方应该按照国家或者省市有关数据保密要求做好保密工作，必要时可补充签订保密协议。</w:t>
      </w:r>
    </w:p>
    <w:p w14:paraId="2C244EDE">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2.如果甲方有要求，乙方在完成合同后应将有关资料还给甲方。</w:t>
      </w:r>
    </w:p>
    <w:p w14:paraId="2286E89B">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3.如涉及地理信息数据、未获允许公开的专题图、项目用图等乙方提供的项目成果资料，仅供本项目研究使用，禁止公开，如确需公开的，由甲方负责送审获取地图公开资格并承担相应责任。</w:t>
      </w:r>
    </w:p>
    <w:p w14:paraId="247BA038">
      <w:pPr>
        <w:tabs>
          <w:tab w:val="left" w:pos="900"/>
        </w:tabs>
        <w:spacing w:line="360" w:lineRule="auto"/>
        <w:ind w:firstLine="480" w:firstLineChars="200"/>
        <w:rPr>
          <w:rFonts w:ascii="宋体" w:hAnsi="宋体"/>
          <w:sz w:val="24"/>
          <w:szCs w:val="24"/>
        </w:rPr>
      </w:pPr>
      <w:r>
        <w:rPr>
          <w:rFonts w:hint="eastAsia" w:ascii="宋体" w:hAnsi="宋体" w:cs="宋体"/>
          <w:sz w:val="24"/>
          <w:szCs w:val="24"/>
        </w:rPr>
        <w:t>4.本保密条款具有独立性，不受本合同的终止或解除的影响。保密期限为长期，除非该信息已对外公开，或者公开该信息不会对相对方造成实质性的损失</w:t>
      </w:r>
      <w:r>
        <w:rPr>
          <w:rFonts w:hint="eastAsia" w:ascii="宋体" w:hAnsi="宋体"/>
          <w:sz w:val="24"/>
          <w:szCs w:val="24"/>
        </w:rPr>
        <w:t>。</w:t>
      </w:r>
    </w:p>
    <w:p w14:paraId="5633CC95">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八</w:t>
      </w:r>
      <w:r>
        <w:rPr>
          <w:rFonts w:ascii="宋体" w:hAnsi="宋体"/>
          <w:b/>
          <w:bCs/>
          <w:sz w:val="28"/>
          <w:szCs w:val="28"/>
        </w:rPr>
        <w:t>条：</w:t>
      </w:r>
      <w:r>
        <w:rPr>
          <w:rFonts w:hint="eastAsia" w:ascii="宋体" w:hAnsi="宋体"/>
          <w:b/>
          <w:sz w:val="28"/>
          <w:szCs w:val="28"/>
        </w:rPr>
        <w:t>违约责任与赔偿损失</w:t>
      </w:r>
    </w:p>
    <w:p w14:paraId="2C7174FC">
      <w:pPr>
        <w:spacing w:line="360" w:lineRule="auto"/>
        <w:ind w:firstLine="480" w:firstLineChars="200"/>
        <w:rPr>
          <w:rFonts w:ascii="宋体" w:hAnsi="宋体"/>
          <w:sz w:val="24"/>
          <w:szCs w:val="24"/>
        </w:rPr>
      </w:pPr>
      <w:r>
        <w:rPr>
          <w:rFonts w:hint="eastAsia" w:ascii="宋体" w:hAnsi="宋体"/>
          <w:sz w:val="24"/>
          <w:szCs w:val="24"/>
        </w:rPr>
        <w:t>1.乙方提供的服务不符合本合同规定的，甲方有权拒收，乙方应将修正后的成果重新提交给甲方。</w:t>
      </w:r>
    </w:p>
    <w:p w14:paraId="1EBF693F">
      <w:pPr>
        <w:spacing w:line="360" w:lineRule="auto"/>
        <w:ind w:firstLine="480" w:firstLineChars="200"/>
        <w:rPr>
          <w:rFonts w:ascii="宋体" w:hAnsi="宋体"/>
          <w:sz w:val="24"/>
          <w:szCs w:val="24"/>
        </w:rPr>
      </w:pPr>
      <w:r>
        <w:rPr>
          <w:rFonts w:hint="eastAsia" w:ascii="宋体" w:hAnsi="宋体"/>
          <w:sz w:val="24"/>
          <w:szCs w:val="24"/>
        </w:rPr>
        <w:t>2.甲方无正当理由拒绝接受服务，到期拒付服务款项的，甲方向乙方偿付本合同总价5%的违约金。甲方逾期付款，则每日按本合同总价的1‰向乙方偿付违约金，但因乙方自身原因导致无法及时支付的除外。如因政府部门审批迟延导致支付逾期的，不视为甲方违约，甲方不因此承担违约责任。</w:t>
      </w:r>
    </w:p>
    <w:p w14:paraId="2776CB83">
      <w:pPr>
        <w:spacing w:line="360" w:lineRule="auto"/>
        <w:ind w:firstLine="480" w:firstLineChars="200"/>
        <w:rPr>
          <w:rFonts w:ascii="宋体" w:hAnsi="宋体"/>
          <w:sz w:val="24"/>
          <w:szCs w:val="24"/>
        </w:rPr>
      </w:pPr>
      <w:r>
        <w:rPr>
          <w:rFonts w:hint="eastAsia" w:ascii="宋体" w:hAnsi="宋体"/>
          <w:sz w:val="24"/>
          <w:szCs w:val="24"/>
        </w:rPr>
        <w:t>3.若甲方无正当理由单方终止或解除本合同的，乙方不退回已收取的费用，且甲方须根据乙方实际完成的工作量，按已完成的项目工作进度支付相应阶段的费用；若乙方无正当理由单方终止或解除本合同的，乙方应向甲方支付本合同总价5%的违约金。</w:t>
      </w:r>
    </w:p>
    <w:p w14:paraId="3D2BF488">
      <w:pPr>
        <w:spacing w:line="360" w:lineRule="auto"/>
        <w:ind w:firstLine="480" w:firstLineChars="200"/>
        <w:rPr>
          <w:rFonts w:ascii="宋体" w:hAnsi="宋体"/>
          <w:sz w:val="24"/>
          <w:szCs w:val="24"/>
        </w:rPr>
      </w:pPr>
      <w:r>
        <w:rPr>
          <w:rFonts w:hint="eastAsia" w:ascii="宋体" w:hAnsi="宋体"/>
          <w:sz w:val="24"/>
          <w:szCs w:val="24"/>
        </w:rPr>
        <w:t>4.任何一方违反本合同其他约定而承担的违约金或赔偿金不超过引发违约或赔偿事宜的测绘项目所对应的测绘费用。</w:t>
      </w:r>
    </w:p>
    <w:p w14:paraId="403D1FAD">
      <w:pPr>
        <w:spacing w:line="360" w:lineRule="auto"/>
        <w:ind w:firstLine="480" w:firstLineChars="200"/>
        <w:rPr>
          <w:rFonts w:ascii="宋体" w:hAnsi="宋体"/>
          <w:sz w:val="24"/>
          <w:szCs w:val="24"/>
        </w:rPr>
      </w:pPr>
      <w:r>
        <w:rPr>
          <w:rFonts w:hint="eastAsia" w:ascii="宋体" w:hAnsi="宋体"/>
          <w:sz w:val="24"/>
          <w:szCs w:val="24"/>
        </w:rPr>
        <w:t>5.其它违约责任按《中华人民共和国民法典》处理。</w:t>
      </w:r>
    </w:p>
    <w:p w14:paraId="1E4359DC">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九</w:t>
      </w:r>
      <w:r>
        <w:rPr>
          <w:rFonts w:ascii="宋体" w:hAnsi="宋体"/>
          <w:b/>
          <w:bCs/>
          <w:sz w:val="28"/>
          <w:szCs w:val="28"/>
        </w:rPr>
        <w:t>条：</w:t>
      </w:r>
      <w:r>
        <w:rPr>
          <w:rFonts w:hint="eastAsia" w:ascii="宋体" w:hAnsi="宋体"/>
          <w:b/>
          <w:sz w:val="28"/>
          <w:szCs w:val="28"/>
        </w:rPr>
        <w:t>争端的解决</w:t>
      </w:r>
    </w:p>
    <w:p w14:paraId="2C180940">
      <w:pPr>
        <w:spacing w:line="360" w:lineRule="auto"/>
        <w:ind w:firstLine="480" w:firstLineChars="200"/>
        <w:rPr>
          <w:rFonts w:ascii="宋体" w:hAnsi="宋体"/>
          <w:sz w:val="24"/>
          <w:szCs w:val="24"/>
        </w:rPr>
      </w:pPr>
      <w:r>
        <w:rPr>
          <w:rFonts w:hint="eastAsia" w:ascii="宋体" w:hAnsi="宋体"/>
          <w:sz w:val="24"/>
          <w:szCs w:val="24"/>
        </w:rPr>
        <w:t>合同执行过程中发生的任何争议，如双方不能通过友好协商解决，甲、乙双方一致同意向甲方所在地人民法院提起诉讼。</w:t>
      </w:r>
    </w:p>
    <w:p w14:paraId="63D3F2EA">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十</w:t>
      </w:r>
      <w:r>
        <w:rPr>
          <w:rFonts w:ascii="宋体" w:hAnsi="宋体"/>
          <w:b/>
          <w:bCs/>
          <w:sz w:val="28"/>
          <w:szCs w:val="28"/>
        </w:rPr>
        <w:t>条：</w:t>
      </w:r>
      <w:r>
        <w:rPr>
          <w:rFonts w:hint="eastAsia" w:ascii="宋体" w:hAnsi="宋体"/>
          <w:b/>
          <w:sz w:val="28"/>
          <w:szCs w:val="28"/>
        </w:rPr>
        <w:t>不可抗力</w:t>
      </w:r>
    </w:p>
    <w:p w14:paraId="58F75693">
      <w:pPr>
        <w:spacing w:line="360" w:lineRule="auto"/>
        <w:ind w:firstLine="480" w:firstLineChars="200"/>
        <w:rPr>
          <w:rFonts w:ascii="宋体" w:hAnsi="宋体"/>
          <w:sz w:val="24"/>
          <w:szCs w:val="24"/>
        </w:rPr>
      </w:pPr>
      <w:r>
        <w:rPr>
          <w:rFonts w:hint="eastAsia" w:ascii="宋体" w:hAnsi="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D6294FB">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十一</w:t>
      </w:r>
      <w:r>
        <w:rPr>
          <w:rFonts w:ascii="宋体" w:hAnsi="宋体"/>
          <w:b/>
          <w:bCs/>
          <w:sz w:val="28"/>
          <w:szCs w:val="28"/>
        </w:rPr>
        <w:t>条：</w:t>
      </w:r>
      <w:r>
        <w:rPr>
          <w:rFonts w:hint="eastAsia" w:ascii="宋体" w:hAnsi="宋体"/>
          <w:b/>
          <w:sz w:val="28"/>
          <w:szCs w:val="28"/>
        </w:rPr>
        <w:t>通知和送达</w:t>
      </w:r>
    </w:p>
    <w:p w14:paraId="3696AEE2">
      <w:pPr>
        <w:spacing w:line="360" w:lineRule="auto"/>
        <w:ind w:firstLine="480" w:firstLineChars="200"/>
        <w:rPr>
          <w:rFonts w:ascii="宋体" w:hAnsi="宋体"/>
          <w:sz w:val="24"/>
          <w:szCs w:val="24"/>
        </w:rPr>
      </w:pPr>
      <w:r>
        <w:rPr>
          <w:rFonts w:hint="eastAsia" w:ascii="宋体" w:hAnsi="宋体"/>
          <w:sz w:val="24"/>
          <w:szCs w:val="24"/>
        </w:rPr>
        <w:t>1.甲乙双方因履行本合同而相互发出或者提供的所有通知、文件、资料，均可以通过本合同首页所列明的法定代表人或联系人进行，均可以通过本合同载明的地址、传真、电子邮箱、电话送达。</w:t>
      </w:r>
    </w:p>
    <w:p w14:paraId="58467290">
      <w:pPr>
        <w:spacing w:line="360" w:lineRule="auto"/>
        <w:ind w:firstLine="480" w:firstLineChars="200"/>
        <w:rPr>
          <w:rFonts w:ascii="宋体" w:hAnsi="宋体"/>
          <w:sz w:val="24"/>
          <w:szCs w:val="24"/>
        </w:rPr>
      </w:pPr>
      <w:r>
        <w:rPr>
          <w:rFonts w:hint="eastAsia" w:ascii="宋体" w:hAnsi="宋体"/>
          <w:sz w:val="24"/>
          <w:szCs w:val="24"/>
        </w:rPr>
        <w:t>2.通过传真方式的，在发出传真时视为送达；以邮寄方式的，挂号寄出或者投邮当日视为送达；以电子邮件方式发送的，自发出时起24小时内视为送达。</w:t>
      </w:r>
    </w:p>
    <w:p w14:paraId="204349BD">
      <w:pPr>
        <w:spacing w:line="360" w:lineRule="auto"/>
        <w:ind w:firstLine="480" w:firstLineChars="200"/>
        <w:rPr>
          <w:rFonts w:ascii="宋体" w:hAnsi="宋体"/>
          <w:sz w:val="24"/>
          <w:szCs w:val="24"/>
        </w:rPr>
      </w:pPr>
      <w:r>
        <w:rPr>
          <w:rFonts w:hint="eastAsia" w:ascii="宋体" w:hAnsi="宋体"/>
          <w:sz w:val="24"/>
          <w:szCs w:val="24"/>
        </w:rPr>
        <w:t>3.甲乙双方任何一方变更名称、地址、法定代表人、联系人、电话、传真、电子信箱，应当书面通知对方；变更信息方未书面通知对方的或对方在收到书面通知前，对方按原信息送达的，视为对方已完成送达，因此造成信息变更方的不便和损失由信息变更方承担。</w:t>
      </w:r>
    </w:p>
    <w:p w14:paraId="6276F526">
      <w:pPr>
        <w:spacing w:line="360" w:lineRule="auto"/>
        <w:ind w:firstLine="480" w:firstLineChars="200"/>
        <w:rPr>
          <w:rFonts w:ascii="宋体" w:hAnsi="宋体"/>
          <w:sz w:val="24"/>
          <w:szCs w:val="24"/>
        </w:rPr>
      </w:pPr>
      <w:r>
        <w:rPr>
          <w:rFonts w:hint="eastAsia" w:ascii="宋体" w:hAnsi="宋体"/>
          <w:sz w:val="24"/>
          <w:szCs w:val="24"/>
        </w:rPr>
        <w:t>4.双方确定，在本合同有效期内，甲方指定</w:t>
      </w:r>
      <w:r>
        <w:rPr>
          <w:rFonts w:hint="eastAsia" w:ascii="宋体" w:hAnsi="宋体"/>
          <w:sz w:val="24"/>
          <w:szCs w:val="24"/>
          <w:u w:val="single"/>
        </w:rPr>
        <w:t xml:space="preserve"> 孙田 </w:t>
      </w:r>
      <w:r>
        <w:rPr>
          <w:rFonts w:hint="eastAsia" w:ascii="宋体" w:hAnsi="宋体"/>
          <w:sz w:val="24"/>
          <w:szCs w:val="24"/>
        </w:rPr>
        <w:t>为甲方项目联系人，乙方指定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为乙方项目联系人。项目联系人承担以下责任：</w:t>
      </w:r>
    </w:p>
    <w:p w14:paraId="50BA8651">
      <w:pPr>
        <w:spacing w:line="360" w:lineRule="auto"/>
        <w:ind w:firstLine="480" w:firstLineChars="200"/>
        <w:rPr>
          <w:rFonts w:ascii="宋体" w:hAnsi="宋体"/>
          <w:sz w:val="24"/>
          <w:szCs w:val="24"/>
        </w:rPr>
      </w:pPr>
      <w:r>
        <w:rPr>
          <w:rFonts w:hint="eastAsia" w:ascii="宋体" w:hAnsi="宋体"/>
          <w:sz w:val="24"/>
          <w:szCs w:val="24"/>
        </w:rPr>
        <w:t>（1）负责双方联系工作；</w:t>
      </w:r>
    </w:p>
    <w:p w14:paraId="6C1F06D3">
      <w:pPr>
        <w:spacing w:line="360" w:lineRule="auto"/>
        <w:ind w:firstLine="480" w:firstLineChars="200"/>
        <w:rPr>
          <w:rFonts w:ascii="宋体" w:hAnsi="宋体"/>
          <w:sz w:val="24"/>
          <w:szCs w:val="24"/>
        </w:rPr>
      </w:pPr>
      <w:r>
        <w:rPr>
          <w:rFonts w:hint="eastAsia" w:ascii="宋体" w:hAnsi="宋体"/>
          <w:sz w:val="24"/>
          <w:szCs w:val="24"/>
        </w:rPr>
        <w:t>（2）负责双方协调工作；</w:t>
      </w:r>
    </w:p>
    <w:p w14:paraId="2161B349">
      <w:pPr>
        <w:spacing w:line="360" w:lineRule="auto"/>
        <w:ind w:firstLine="480" w:firstLineChars="200"/>
        <w:rPr>
          <w:rFonts w:ascii="宋体" w:hAnsi="宋体"/>
          <w:sz w:val="24"/>
          <w:szCs w:val="24"/>
        </w:rPr>
      </w:pPr>
      <w:r>
        <w:rPr>
          <w:rFonts w:hint="eastAsia" w:ascii="宋体" w:hAnsi="宋体"/>
          <w:sz w:val="24"/>
          <w:szCs w:val="24"/>
        </w:rPr>
        <w:t>（3）甲乙双方就对本项目各自工作人员具有调配能力；</w:t>
      </w:r>
    </w:p>
    <w:p w14:paraId="47179858">
      <w:pPr>
        <w:spacing w:line="360" w:lineRule="auto"/>
        <w:ind w:firstLine="480" w:firstLineChars="200"/>
        <w:rPr>
          <w:rFonts w:ascii="宋体" w:hAnsi="宋体"/>
          <w:sz w:val="24"/>
          <w:szCs w:val="24"/>
        </w:rPr>
      </w:pPr>
      <w:r>
        <w:rPr>
          <w:rFonts w:hint="eastAsia" w:ascii="宋体" w:hAnsi="宋体"/>
          <w:sz w:val="24"/>
          <w:szCs w:val="24"/>
        </w:rPr>
        <w:t>（4）负责双方工作进度确认；</w:t>
      </w:r>
    </w:p>
    <w:p w14:paraId="6B8CD140">
      <w:pPr>
        <w:spacing w:line="360" w:lineRule="auto"/>
        <w:ind w:firstLine="480" w:firstLineChars="200"/>
      </w:pPr>
      <w:r>
        <w:rPr>
          <w:rFonts w:hint="eastAsia" w:ascii="宋体" w:hAnsi="宋体"/>
          <w:sz w:val="24"/>
          <w:szCs w:val="24"/>
        </w:rPr>
        <w:t>（5）负责成果的签收确认。</w:t>
      </w:r>
    </w:p>
    <w:p w14:paraId="06C89403">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十二</w:t>
      </w:r>
      <w:r>
        <w:rPr>
          <w:rFonts w:ascii="宋体" w:hAnsi="宋体"/>
          <w:b/>
          <w:bCs/>
          <w:sz w:val="28"/>
          <w:szCs w:val="28"/>
        </w:rPr>
        <w:t>条：</w:t>
      </w:r>
      <w:r>
        <w:rPr>
          <w:rFonts w:hint="eastAsia" w:ascii="宋体" w:hAnsi="宋体"/>
          <w:b/>
          <w:sz w:val="28"/>
          <w:szCs w:val="28"/>
        </w:rPr>
        <w:t>其它</w:t>
      </w:r>
    </w:p>
    <w:p w14:paraId="50762D19">
      <w:pPr>
        <w:spacing w:line="360" w:lineRule="auto"/>
        <w:ind w:firstLine="480" w:firstLineChars="200"/>
        <w:rPr>
          <w:rFonts w:ascii="宋体" w:hAnsi="宋体"/>
          <w:sz w:val="24"/>
          <w:szCs w:val="24"/>
        </w:rPr>
      </w:pPr>
      <w:r>
        <w:rPr>
          <w:rFonts w:hint="eastAsia" w:ascii="宋体" w:hAnsi="宋体"/>
          <w:sz w:val="24"/>
          <w:szCs w:val="24"/>
        </w:rPr>
        <w:t>1.本合同所有附件均为合同的有效组成部分，与本合同具有同等法律效力。</w:t>
      </w:r>
    </w:p>
    <w:p w14:paraId="1E41C105">
      <w:pPr>
        <w:spacing w:line="360" w:lineRule="auto"/>
        <w:ind w:firstLine="480" w:firstLineChars="200"/>
        <w:rPr>
          <w:rFonts w:ascii="宋体" w:hAnsi="宋体"/>
          <w:sz w:val="24"/>
          <w:szCs w:val="24"/>
        </w:rPr>
      </w:pPr>
      <w:r>
        <w:rPr>
          <w:rFonts w:hint="eastAsia" w:ascii="宋体" w:hAnsi="宋体"/>
          <w:sz w:val="24"/>
          <w:szCs w:val="24"/>
        </w:rPr>
        <w:t>2.在执行本合同的过程中，所有经双方签署确认的文件（包括会议纪要、补充协议、往来信函）即成为本合同的有效组成部分。</w:t>
      </w:r>
    </w:p>
    <w:p w14:paraId="09C8080E">
      <w:pPr>
        <w:spacing w:line="360" w:lineRule="auto"/>
        <w:ind w:firstLine="480" w:firstLineChars="200"/>
        <w:rPr>
          <w:rFonts w:ascii="宋体" w:hAnsi="宋体"/>
          <w:sz w:val="24"/>
          <w:szCs w:val="24"/>
        </w:rPr>
      </w:pPr>
      <w:r>
        <w:rPr>
          <w:rFonts w:hint="eastAsia" w:ascii="宋体" w:hAnsi="宋体"/>
          <w:sz w:val="24"/>
          <w:szCs w:val="24"/>
        </w:rPr>
        <w:t>3.除甲方事先书面同意外，乙方不得部分或全部转让其应履行的合同项下的义务。</w:t>
      </w:r>
    </w:p>
    <w:p w14:paraId="5C0F8220">
      <w:pPr>
        <w:spacing w:line="360" w:lineRule="auto"/>
        <w:ind w:firstLine="480" w:firstLineChars="200"/>
        <w:rPr>
          <w:rFonts w:ascii="宋体" w:hAnsi="宋体"/>
          <w:sz w:val="24"/>
          <w:szCs w:val="24"/>
        </w:rPr>
      </w:pPr>
      <w:r>
        <w:rPr>
          <w:rFonts w:hint="eastAsia" w:ascii="宋体" w:hAnsi="宋体"/>
          <w:sz w:val="24"/>
          <w:szCs w:val="24"/>
        </w:rPr>
        <w:t>4.因政策原因、不可抗力等因素或者甲方原因造成本项目无法继续进行的，甲方应按乙方已完成的实际工作量，向乙方支付费用，乙方将已完成的阶段性成果交给甲方，双方解除本合同。</w:t>
      </w:r>
    </w:p>
    <w:p w14:paraId="433C0716">
      <w:pPr>
        <w:tabs>
          <w:tab w:val="left" w:pos="426"/>
        </w:tabs>
        <w:autoSpaceDE w:val="0"/>
        <w:autoSpaceDN w:val="0"/>
        <w:adjustRightInd w:val="0"/>
        <w:spacing w:line="360" w:lineRule="auto"/>
        <w:outlineLvl w:val="2"/>
        <w:rPr>
          <w:rFonts w:ascii="宋体" w:hAnsi="宋体"/>
          <w:b/>
          <w:sz w:val="28"/>
          <w:szCs w:val="28"/>
        </w:rPr>
      </w:pPr>
      <w:r>
        <w:rPr>
          <w:rFonts w:ascii="宋体" w:hAnsi="宋体"/>
          <w:b/>
          <w:bCs/>
          <w:sz w:val="28"/>
          <w:szCs w:val="28"/>
        </w:rPr>
        <w:t>第</w:t>
      </w:r>
      <w:r>
        <w:rPr>
          <w:rFonts w:hint="eastAsia" w:ascii="宋体" w:hAnsi="宋体"/>
          <w:b/>
          <w:bCs/>
          <w:sz w:val="28"/>
          <w:szCs w:val="28"/>
        </w:rPr>
        <w:t>十三</w:t>
      </w:r>
      <w:r>
        <w:rPr>
          <w:rFonts w:ascii="宋体" w:hAnsi="宋体"/>
          <w:b/>
          <w:bCs/>
          <w:sz w:val="28"/>
          <w:szCs w:val="28"/>
        </w:rPr>
        <w:t>条：</w:t>
      </w:r>
      <w:r>
        <w:rPr>
          <w:rFonts w:hint="eastAsia" w:ascii="宋体" w:hAnsi="宋体"/>
          <w:b/>
          <w:sz w:val="28"/>
          <w:szCs w:val="28"/>
        </w:rPr>
        <w:t>合同生效</w:t>
      </w:r>
    </w:p>
    <w:p w14:paraId="2A9C1E8D">
      <w:pPr>
        <w:spacing w:line="360" w:lineRule="auto"/>
        <w:ind w:firstLine="480" w:firstLineChars="200"/>
        <w:rPr>
          <w:rFonts w:ascii="宋体" w:hAnsi="宋体" w:cs="宋体"/>
          <w:sz w:val="24"/>
          <w:szCs w:val="24"/>
        </w:rPr>
      </w:pPr>
      <w:r>
        <w:rPr>
          <w:rFonts w:hint="eastAsia" w:ascii="宋体" w:hAnsi="宋体" w:cs="宋体"/>
          <w:sz w:val="24"/>
          <w:szCs w:val="24"/>
        </w:rPr>
        <w:t>1.本合同自甲乙双方法定代表人或其授权代表签字盖章之日起生效，履行完毕后终止。</w:t>
      </w:r>
    </w:p>
    <w:p w14:paraId="7F90A2E5">
      <w:pPr>
        <w:spacing w:line="360" w:lineRule="auto"/>
        <w:ind w:firstLine="480" w:firstLineChars="200"/>
        <w:rPr>
          <w:rFonts w:ascii="宋体" w:hAnsi="宋体"/>
          <w:sz w:val="24"/>
          <w:szCs w:val="24"/>
        </w:rPr>
      </w:pPr>
      <w:r>
        <w:rPr>
          <w:rFonts w:hint="eastAsia" w:ascii="宋体" w:hAnsi="宋体" w:cs="宋体"/>
          <w:sz w:val="24"/>
          <w:szCs w:val="24"/>
        </w:rPr>
        <w:t>2.合同壹式</w:t>
      </w:r>
      <w:r>
        <w:rPr>
          <w:rFonts w:hint="eastAsia" w:ascii="宋体" w:hAnsi="宋体" w:cs="宋体"/>
          <w:sz w:val="24"/>
          <w:szCs w:val="24"/>
          <w:u w:val="single"/>
        </w:rPr>
        <w:t>捌</w:t>
      </w:r>
      <w:r>
        <w:rPr>
          <w:rFonts w:hint="eastAsia" w:ascii="宋体" w:hAnsi="宋体" w:cs="宋体"/>
          <w:sz w:val="24"/>
          <w:szCs w:val="24"/>
        </w:rPr>
        <w:t>份，其中甲方执</w:t>
      </w:r>
      <w:r>
        <w:rPr>
          <w:rFonts w:hint="eastAsia" w:ascii="宋体" w:hAnsi="宋体" w:cs="宋体"/>
          <w:sz w:val="24"/>
          <w:szCs w:val="24"/>
          <w:u w:val="single"/>
        </w:rPr>
        <w:t>肆</w:t>
      </w:r>
      <w:r>
        <w:rPr>
          <w:rFonts w:hint="eastAsia" w:ascii="宋体" w:hAnsi="宋体" w:cs="宋体"/>
          <w:sz w:val="24"/>
          <w:szCs w:val="24"/>
        </w:rPr>
        <w:t>份，乙方执</w:t>
      </w:r>
      <w:r>
        <w:rPr>
          <w:rFonts w:hint="eastAsia" w:ascii="宋体" w:hAnsi="宋体" w:cs="宋体"/>
          <w:sz w:val="24"/>
          <w:szCs w:val="24"/>
          <w:u w:val="single"/>
        </w:rPr>
        <w:t>肆</w:t>
      </w:r>
      <w:r>
        <w:rPr>
          <w:rFonts w:hint="eastAsia" w:ascii="宋体" w:hAnsi="宋体" w:cs="宋体"/>
          <w:sz w:val="24"/>
          <w:szCs w:val="24"/>
        </w:rPr>
        <w:t>份，具有同等的法律效力。</w:t>
      </w:r>
    </w:p>
    <w:p w14:paraId="640453F4">
      <w:pPr>
        <w:spacing w:line="360" w:lineRule="auto"/>
        <w:rPr>
          <w:sz w:val="24"/>
        </w:rPr>
      </w:pPr>
      <w:r>
        <w:rPr>
          <w:sz w:val="24"/>
        </w:rPr>
        <w:t>（以下合同无正文）</w:t>
      </w:r>
    </w:p>
    <w:p w14:paraId="276A3ED9">
      <w:pPr>
        <w:spacing w:line="360" w:lineRule="auto"/>
        <w:ind w:firstLine="480" w:firstLineChars="200"/>
        <w:rPr>
          <w:sz w:val="24"/>
        </w:rPr>
      </w:pPr>
    </w:p>
    <w:p w14:paraId="3E7C40C8">
      <w:pPr>
        <w:spacing w:line="360" w:lineRule="auto"/>
        <w:ind w:firstLine="480" w:firstLineChars="200"/>
        <w:rPr>
          <w:sz w:val="24"/>
        </w:rPr>
      </w:pPr>
    </w:p>
    <w:p w14:paraId="6B5F7E48">
      <w:pPr>
        <w:spacing w:line="360" w:lineRule="auto"/>
        <w:ind w:firstLine="480" w:firstLineChars="200"/>
        <w:rPr>
          <w:sz w:val="24"/>
        </w:rPr>
      </w:pPr>
    </w:p>
    <w:p w14:paraId="7A74C3F0">
      <w:pPr>
        <w:spacing w:line="360" w:lineRule="auto"/>
        <w:ind w:firstLine="480" w:firstLineChars="200"/>
        <w:rPr>
          <w:sz w:val="24"/>
        </w:rPr>
      </w:pPr>
    </w:p>
    <w:p w14:paraId="038B483E">
      <w:pPr>
        <w:spacing w:line="360" w:lineRule="auto"/>
        <w:ind w:firstLine="480" w:firstLineChars="200"/>
        <w:rPr>
          <w:sz w:val="24"/>
        </w:rPr>
      </w:pPr>
    </w:p>
    <w:p w14:paraId="35194EEC">
      <w:pPr>
        <w:spacing w:line="360" w:lineRule="auto"/>
        <w:rPr>
          <w:sz w:val="24"/>
        </w:rPr>
      </w:pPr>
    </w:p>
    <w:p w14:paraId="75E3AB9D">
      <w:pPr>
        <w:pStyle w:val="12"/>
        <w:ind w:firstLine="240"/>
        <w:rPr>
          <w:sz w:val="24"/>
        </w:rPr>
      </w:pPr>
    </w:p>
    <w:p w14:paraId="6A706199">
      <w:pPr>
        <w:rPr>
          <w:sz w:val="24"/>
        </w:rPr>
      </w:pPr>
    </w:p>
    <w:p w14:paraId="396B4F9F">
      <w:pPr>
        <w:rPr>
          <w:sz w:val="24"/>
        </w:rPr>
      </w:pPr>
      <w:r>
        <w:rPr>
          <w:sz w:val="24"/>
        </w:rPr>
        <w:br w:type="page"/>
      </w:r>
    </w:p>
    <w:p w14:paraId="2E182857"/>
    <w:p w14:paraId="2E0D001C">
      <w:pPr>
        <w:pStyle w:val="12"/>
        <w:ind w:firstLine="0" w:firstLineChars="0"/>
      </w:pPr>
    </w:p>
    <w:p w14:paraId="1643DBF5">
      <w:pPr>
        <w:spacing w:line="360" w:lineRule="auto"/>
        <w:rPr>
          <w:rFonts w:ascii="宋体" w:hAnsi="宋体"/>
          <w:sz w:val="24"/>
          <w:szCs w:val="24"/>
        </w:rPr>
      </w:pPr>
      <w:bookmarkStart w:id="1" w:name="_Hlk141882791"/>
      <w:r>
        <w:rPr>
          <w:rFonts w:hint="eastAsia" w:ascii="宋体" w:hAnsi="宋体"/>
          <w:sz w:val="24"/>
          <w:szCs w:val="24"/>
        </w:rPr>
        <w:t>（本页为签署页）</w:t>
      </w:r>
      <w:bookmarkEnd w:id="1"/>
    </w:p>
    <w:p w14:paraId="27B1E4AE">
      <w:pPr>
        <w:spacing w:line="360" w:lineRule="auto"/>
        <w:rPr>
          <w:rFonts w:ascii="宋体" w:hAnsi="宋体"/>
          <w:sz w:val="24"/>
          <w:szCs w:val="24"/>
        </w:rPr>
      </w:pPr>
    </w:p>
    <w:p w14:paraId="58ECE82D">
      <w:pPr>
        <w:spacing w:line="360" w:lineRule="auto"/>
        <w:rPr>
          <w:rFonts w:ascii="宋体" w:hAnsi="宋体"/>
          <w:sz w:val="24"/>
          <w:szCs w:val="24"/>
        </w:rPr>
      </w:pPr>
    </w:p>
    <w:p w14:paraId="32D24638">
      <w:pPr>
        <w:spacing w:line="360" w:lineRule="auto"/>
        <w:rPr>
          <w:rFonts w:ascii="宋体" w:hAnsi="宋体"/>
          <w:sz w:val="24"/>
          <w:szCs w:val="24"/>
        </w:rPr>
      </w:pPr>
    </w:p>
    <w:p w14:paraId="38EF2BE2">
      <w:pPr>
        <w:spacing w:line="360" w:lineRule="auto"/>
        <w:rPr>
          <w:rFonts w:ascii="宋体" w:hAnsi="宋体"/>
          <w:sz w:val="24"/>
          <w:szCs w:val="24"/>
        </w:rPr>
      </w:pPr>
    </w:p>
    <w:p w14:paraId="2E2B2678">
      <w:pPr>
        <w:spacing w:line="360" w:lineRule="auto"/>
        <w:ind w:left="5244" w:hanging="5244" w:hangingChars="2185"/>
        <w:rPr>
          <w:rFonts w:ascii="宋体" w:hAnsi="宋体"/>
          <w:sz w:val="24"/>
          <w:szCs w:val="24"/>
        </w:rPr>
      </w:pPr>
      <w:r>
        <w:rPr>
          <w:rFonts w:ascii="宋体" w:hAnsi="宋体"/>
          <w:sz w:val="24"/>
          <w:szCs w:val="24"/>
        </w:rPr>
        <w:t>甲方（盖章）：</w:t>
      </w:r>
      <w:r>
        <w:rPr>
          <w:rFonts w:hint="eastAsia" w:ascii="宋体" w:hAnsi="宋体"/>
          <w:sz w:val="24"/>
          <w:szCs w:val="24"/>
        </w:rPr>
        <w:t>广州市增城区石滩镇</w:t>
      </w:r>
      <w:r>
        <w:rPr>
          <w:rFonts w:hint="eastAsia" w:ascii="宋体" w:hAnsi="宋体"/>
          <w:sz w:val="24"/>
          <w:szCs w:val="24"/>
          <w:lang w:val="en-US" w:eastAsia="zh-CN"/>
        </w:rPr>
        <w:t>农业农村技术服务中心</w:t>
      </w:r>
    </w:p>
    <w:p w14:paraId="0605E7FC">
      <w:pPr>
        <w:spacing w:line="360" w:lineRule="auto"/>
        <w:ind w:left="-2" w:leftChars="-1"/>
        <w:rPr>
          <w:rFonts w:ascii="宋体" w:hAnsi="宋体"/>
          <w:sz w:val="24"/>
          <w:szCs w:val="24"/>
        </w:rPr>
      </w:pPr>
    </w:p>
    <w:p w14:paraId="46A60A7E">
      <w:pPr>
        <w:spacing w:line="360" w:lineRule="auto"/>
        <w:ind w:left="-2" w:leftChars="-1"/>
        <w:rPr>
          <w:rFonts w:ascii="宋体" w:hAnsi="宋体"/>
          <w:sz w:val="24"/>
          <w:szCs w:val="24"/>
        </w:rPr>
      </w:pPr>
    </w:p>
    <w:p w14:paraId="4F9F70B1">
      <w:pPr>
        <w:spacing w:line="360" w:lineRule="auto"/>
        <w:ind w:left="-2" w:leftChars="-1"/>
        <w:rPr>
          <w:rFonts w:ascii="宋体" w:hAnsi="宋体"/>
          <w:sz w:val="24"/>
          <w:szCs w:val="24"/>
        </w:rPr>
      </w:pPr>
      <w:r>
        <w:rPr>
          <w:rFonts w:ascii="宋体" w:hAnsi="宋体"/>
          <w:sz w:val="24"/>
          <w:szCs w:val="24"/>
        </w:rPr>
        <w:t xml:space="preserve">法定代表人：（签字）                    </w:t>
      </w:r>
    </w:p>
    <w:p w14:paraId="423E2522">
      <w:pPr>
        <w:spacing w:line="360" w:lineRule="auto"/>
        <w:ind w:left="-2" w:leftChars="-1"/>
        <w:rPr>
          <w:rFonts w:ascii="宋体" w:hAnsi="宋体"/>
          <w:sz w:val="24"/>
          <w:szCs w:val="24"/>
        </w:rPr>
      </w:pPr>
    </w:p>
    <w:p w14:paraId="0D10DD54">
      <w:pPr>
        <w:spacing w:line="360" w:lineRule="auto"/>
        <w:ind w:left="-2" w:leftChars="-1"/>
        <w:rPr>
          <w:rFonts w:ascii="宋体" w:hAnsi="宋体"/>
          <w:sz w:val="24"/>
          <w:szCs w:val="24"/>
        </w:rPr>
      </w:pPr>
      <w:r>
        <w:rPr>
          <w:rFonts w:ascii="宋体" w:hAnsi="宋体"/>
          <w:sz w:val="24"/>
          <w:szCs w:val="24"/>
        </w:rPr>
        <w:t>或</w:t>
      </w:r>
      <w:r>
        <w:rPr>
          <w:rFonts w:hint="eastAsia" w:ascii="宋体" w:hAnsi="宋体"/>
          <w:sz w:val="24"/>
          <w:szCs w:val="24"/>
        </w:rPr>
        <w:t>授权代表</w:t>
      </w:r>
      <w:r>
        <w:rPr>
          <w:rFonts w:ascii="宋体" w:hAnsi="宋体"/>
          <w:sz w:val="24"/>
          <w:szCs w:val="24"/>
        </w:rPr>
        <w:t xml:space="preserve">：（签字）              </w:t>
      </w:r>
      <w:r>
        <w:rPr>
          <w:rFonts w:hint="eastAsia" w:ascii="宋体" w:hAnsi="宋体"/>
          <w:sz w:val="24"/>
          <w:szCs w:val="24"/>
        </w:rPr>
        <w:t xml:space="preserve"> </w:t>
      </w:r>
      <w:r>
        <w:rPr>
          <w:rFonts w:ascii="宋体" w:hAnsi="宋体"/>
          <w:sz w:val="24"/>
          <w:szCs w:val="24"/>
        </w:rPr>
        <w:t xml:space="preserve">    </w:t>
      </w:r>
    </w:p>
    <w:p w14:paraId="63A2FAF2">
      <w:pPr>
        <w:spacing w:line="360" w:lineRule="auto"/>
        <w:ind w:left="-2" w:leftChars="-1"/>
        <w:rPr>
          <w:rFonts w:ascii="宋体" w:hAnsi="宋体" w:eastAsia="宋体" w:cs="Times New Roman"/>
          <w:kern w:val="0"/>
          <w:sz w:val="24"/>
          <w:szCs w:val="24"/>
        </w:rPr>
      </w:pPr>
      <w:r>
        <w:rPr>
          <w:rFonts w:ascii="宋体" w:hAnsi="宋体"/>
          <w:sz w:val="24"/>
          <w:szCs w:val="24"/>
        </w:rPr>
        <w:t>地址：</w:t>
      </w:r>
      <w:r>
        <w:rPr>
          <w:rFonts w:hint="eastAsia"/>
          <w:sz w:val="24"/>
          <w:szCs w:val="24"/>
          <w:u w:val="single"/>
        </w:rPr>
        <w:t>广州市增城区石滩</w:t>
      </w:r>
      <w:r>
        <w:rPr>
          <w:rFonts w:hint="eastAsia"/>
          <w:sz w:val="24"/>
          <w:szCs w:val="24"/>
          <w:u w:val="single"/>
          <w:lang w:val="en-US" w:eastAsia="zh-CN"/>
        </w:rPr>
        <w:t>镇石顺大道政务中心8号楼302室</w:t>
      </w:r>
    </w:p>
    <w:p w14:paraId="567357D4">
      <w:pPr>
        <w:spacing w:line="360" w:lineRule="auto"/>
        <w:ind w:left="-2" w:leftChars="-1"/>
        <w:rPr>
          <w:rFonts w:ascii="宋体" w:hAnsi="宋体" w:eastAsia="宋体" w:cs="Times New Roman"/>
          <w:kern w:val="0"/>
          <w:sz w:val="24"/>
          <w:szCs w:val="24"/>
        </w:rPr>
      </w:pPr>
    </w:p>
    <w:p w14:paraId="03B8284A">
      <w:pPr>
        <w:spacing w:line="360" w:lineRule="auto"/>
        <w:ind w:left="-2" w:leftChars="-1"/>
        <w:rPr>
          <w:rFonts w:ascii="宋体" w:hAnsi="宋体" w:eastAsia="宋体" w:cs="Times New Roman"/>
          <w:kern w:val="0"/>
          <w:sz w:val="24"/>
          <w:szCs w:val="24"/>
        </w:rPr>
      </w:pPr>
    </w:p>
    <w:p w14:paraId="20FE68D6">
      <w:pPr>
        <w:spacing w:line="360" w:lineRule="auto"/>
        <w:ind w:left="-2" w:leftChars="-1"/>
        <w:rPr>
          <w:rFonts w:ascii="宋体" w:hAnsi="宋体" w:eastAsia="宋体" w:cs="Times New Roman"/>
          <w:kern w:val="0"/>
          <w:sz w:val="24"/>
          <w:szCs w:val="24"/>
        </w:rPr>
      </w:pPr>
    </w:p>
    <w:p w14:paraId="0472C18C">
      <w:pPr>
        <w:spacing w:line="360" w:lineRule="auto"/>
        <w:ind w:left="-2" w:leftChars="-1"/>
        <w:rPr>
          <w:rFonts w:ascii="宋体" w:hAnsi="宋体" w:eastAsia="宋体" w:cs="Times New Roman"/>
          <w:kern w:val="0"/>
          <w:sz w:val="24"/>
          <w:szCs w:val="24"/>
        </w:rPr>
      </w:pPr>
    </w:p>
    <w:p w14:paraId="5C4CA392">
      <w:pPr>
        <w:spacing w:line="360" w:lineRule="auto"/>
        <w:ind w:left="5244" w:hanging="5244" w:hangingChars="2185"/>
        <w:rPr>
          <w:rFonts w:ascii="宋体" w:hAnsi="宋体"/>
          <w:sz w:val="24"/>
          <w:szCs w:val="24"/>
        </w:rPr>
      </w:pPr>
      <w:r>
        <w:rPr>
          <w:rFonts w:hint="eastAsia" w:ascii="宋体" w:hAnsi="宋体"/>
          <w:sz w:val="24"/>
          <w:szCs w:val="24"/>
        </w:rPr>
        <w:t>乙</w:t>
      </w:r>
      <w:r>
        <w:rPr>
          <w:rFonts w:ascii="宋体" w:hAnsi="宋体"/>
          <w:sz w:val="24"/>
          <w:szCs w:val="24"/>
        </w:rPr>
        <w:t xml:space="preserve">方（盖章）：                      </w:t>
      </w:r>
    </w:p>
    <w:p w14:paraId="20A87726">
      <w:pPr>
        <w:spacing w:line="360" w:lineRule="auto"/>
        <w:ind w:left="-2" w:leftChars="-1"/>
        <w:rPr>
          <w:rFonts w:ascii="宋体" w:hAnsi="宋体"/>
          <w:sz w:val="24"/>
          <w:szCs w:val="24"/>
        </w:rPr>
      </w:pPr>
    </w:p>
    <w:p w14:paraId="198204BA">
      <w:pPr>
        <w:spacing w:line="360" w:lineRule="auto"/>
        <w:ind w:left="-2" w:leftChars="-1"/>
        <w:rPr>
          <w:rFonts w:ascii="宋体" w:hAnsi="宋体"/>
          <w:sz w:val="24"/>
          <w:szCs w:val="24"/>
        </w:rPr>
      </w:pPr>
      <w:r>
        <w:rPr>
          <w:rFonts w:ascii="宋体" w:hAnsi="宋体"/>
          <w:sz w:val="24"/>
          <w:szCs w:val="24"/>
        </w:rPr>
        <w:t xml:space="preserve">法定代表人（签字）：        </w:t>
      </w:r>
    </w:p>
    <w:p w14:paraId="6D276EEC">
      <w:pPr>
        <w:spacing w:line="360" w:lineRule="auto"/>
        <w:ind w:left="-2" w:leftChars="-1"/>
        <w:rPr>
          <w:rFonts w:ascii="宋体" w:hAnsi="宋体"/>
          <w:sz w:val="24"/>
          <w:szCs w:val="24"/>
        </w:rPr>
      </w:pPr>
    </w:p>
    <w:p w14:paraId="3AC109EF">
      <w:pPr>
        <w:spacing w:line="360" w:lineRule="auto"/>
        <w:ind w:left="-2" w:leftChars="-1"/>
        <w:rPr>
          <w:rFonts w:ascii="宋体" w:hAnsi="宋体"/>
          <w:sz w:val="24"/>
          <w:szCs w:val="24"/>
        </w:rPr>
      </w:pPr>
      <w:r>
        <w:rPr>
          <w:rFonts w:ascii="宋体" w:hAnsi="宋体"/>
          <w:sz w:val="24"/>
          <w:szCs w:val="24"/>
        </w:rPr>
        <w:t>或</w:t>
      </w:r>
      <w:r>
        <w:rPr>
          <w:rFonts w:hint="eastAsia" w:ascii="宋体" w:hAnsi="宋体"/>
          <w:sz w:val="24"/>
          <w:szCs w:val="24"/>
        </w:rPr>
        <w:t>授权代表</w:t>
      </w:r>
      <w:r>
        <w:rPr>
          <w:rFonts w:ascii="宋体" w:hAnsi="宋体"/>
          <w:sz w:val="24"/>
          <w:szCs w:val="24"/>
        </w:rPr>
        <w:t xml:space="preserve">（签字）：    </w:t>
      </w:r>
    </w:p>
    <w:p w14:paraId="6D07EB22">
      <w:pPr>
        <w:spacing w:line="360" w:lineRule="auto"/>
        <w:ind w:left="-2" w:leftChars="-1"/>
        <w:rPr>
          <w:rFonts w:ascii="宋体" w:hAnsi="宋体" w:eastAsia="宋体" w:cs="Times New Roman"/>
          <w:kern w:val="0"/>
          <w:sz w:val="24"/>
          <w:szCs w:val="24"/>
        </w:rPr>
      </w:pPr>
      <w:r>
        <w:rPr>
          <w:rFonts w:ascii="宋体" w:hAnsi="宋体"/>
          <w:sz w:val="24"/>
          <w:szCs w:val="24"/>
        </w:rPr>
        <w:t>地址：</w:t>
      </w:r>
    </w:p>
    <w:sectPr>
      <w:footerReference r:id="rId3" w:type="default"/>
      <w:footerReference r:id="rId4" w:type="even"/>
      <w:pgSz w:w="11906" w:h="16838"/>
      <w:pgMar w:top="1440" w:right="1531" w:bottom="1361" w:left="1531"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6595602"/>
    </w:sdtPr>
    <w:sdtContent>
      <w:p w14:paraId="7D0FAE1B">
        <w:pPr>
          <w:pStyle w:val="8"/>
          <w:jc w:val="center"/>
        </w:pPr>
        <w:r>
          <w:fldChar w:fldCharType="begin"/>
        </w:r>
        <w:r>
          <w:instrText xml:space="preserve">PAGE   \* MERGEFORMAT</w:instrText>
        </w:r>
        <w:r>
          <w:fldChar w:fldCharType="separate"/>
        </w:r>
        <w:r>
          <w:rPr>
            <w:lang w:val="zh-CN"/>
          </w:rPr>
          <w:t>13</w:t>
        </w:r>
        <w:r>
          <w:fldChar w:fldCharType="end"/>
        </w:r>
      </w:p>
    </w:sdtContent>
  </w:sdt>
  <w:p w14:paraId="5EAED58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E6B0">
    <w:pPr>
      <w:pStyle w:val="8"/>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34</w:t>
    </w:r>
    <w:r>
      <w:rPr>
        <w:rStyle w:val="15"/>
      </w:rPr>
      <w:fldChar w:fldCharType="end"/>
    </w:r>
  </w:p>
  <w:p w14:paraId="4F907B9C">
    <w:pPr>
      <w:pStyle w:val="8"/>
      <w:tabs>
        <w:tab w:val="center" w:pos="4500"/>
        <w:tab w:val="right" w:pos="8640"/>
        <w:tab w:val="clear" w:pos="4153"/>
        <w:tab w:val="clear" w:pos="8306"/>
      </w:tabs>
      <w:ind w:right="-109" w:firstLine="360" w:firstLineChars="200"/>
    </w:pPr>
    <w:r>
      <w:drawing>
        <wp:anchor distT="0" distB="0" distL="114300" distR="114300" simplePos="0" relativeHeight="251659264" behindDoc="0" locked="0" layoutInCell="1" allowOverlap="1">
          <wp:simplePos x="0" y="0"/>
          <wp:positionH relativeFrom="column">
            <wp:posOffset>5143500</wp:posOffset>
          </wp:positionH>
          <wp:positionV relativeFrom="paragraph">
            <wp:posOffset>-7620</wp:posOffset>
          </wp:positionV>
          <wp:extent cx="568325" cy="424180"/>
          <wp:effectExtent l="19050" t="0" r="3175" b="0"/>
          <wp:wrapTopAndBottom/>
          <wp:docPr id="2" name="对象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对象 7"/>
                  <pic:cNvPicPr>
                    <a:picLocks noChangeAspect="1" noChangeArrowheads="1"/>
                  </pic:cNvPicPr>
                </pic:nvPicPr>
                <pic:blipFill>
                  <a:blip r:embed="rId1"/>
                  <a:srcRect/>
                  <a:stretch>
                    <a:fillRect/>
                  </a:stretch>
                </pic:blipFill>
                <pic:spPr>
                  <a:xfrm>
                    <a:off x="0" y="0"/>
                    <a:ext cx="568325" cy="424180"/>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760085" cy="0"/>
              <wp:effectExtent l="9525" t="8890" r="12065" b="10160"/>
              <wp:wrapNone/>
              <wp:docPr id="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pt;margin-top:-0.05pt;height:0pt;width:453.55pt;z-index:251660288;mso-width-relative:page;mso-height-relative:page;" filled="f" stroked="t" coordsize="21600,21600" o:gfxdata="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ZZaUHSAAAABAEAAA8A&#10;AAAAAAAAAQAgAAAAIgAAAGRycy9kb3ducmV2LnhtbFBLAQIUABQAAAAIAIdO4kDKigj75AEAAKoD&#10;AAAOAAAAAAAAAAEAIAAAACEBAABkcnMvZTJvRG9jLnhtbFBLBQYAAAAABgAGAFkBAAB3BQAAAAA=&#10;">
              <v:fill on="f" focussize="0,0"/>
              <v:stroke color="#000000" joinstyle="round"/>
              <v:imagedata o:title=""/>
              <o:lock v:ext="edit" aspectratio="f"/>
            </v:lin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YzE5OTFhZDI1ZjY3NGQ0Y2I3MzA2NTIxM2ZjODEifQ=="/>
  </w:docVars>
  <w:rsids>
    <w:rsidRoot w:val="002A57E4"/>
    <w:rsid w:val="00001C29"/>
    <w:rsid w:val="0001097F"/>
    <w:rsid w:val="00011EF0"/>
    <w:rsid w:val="000160EC"/>
    <w:rsid w:val="000163B5"/>
    <w:rsid w:val="00020D65"/>
    <w:rsid w:val="00033928"/>
    <w:rsid w:val="00044DFB"/>
    <w:rsid w:val="0005551D"/>
    <w:rsid w:val="00064210"/>
    <w:rsid w:val="00066A94"/>
    <w:rsid w:val="00067A14"/>
    <w:rsid w:val="00073F7A"/>
    <w:rsid w:val="00092A9C"/>
    <w:rsid w:val="00093A9D"/>
    <w:rsid w:val="00094A2B"/>
    <w:rsid w:val="000962A5"/>
    <w:rsid w:val="000A1C04"/>
    <w:rsid w:val="000A4A9A"/>
    <w:rsid w:val="000A7921"/>
    <w:rsid w:val="000B2CFF"/>
    <w:rsid w:val="000B5368"/>
    <w:rsid w:val="000B5E27"/>
    <w:rsid w:val="000C3885"/>
    <w:rsid w:val="000C3BA1"/>
    <w:rsid w:val="000C4B3B"/>
    <w:rsid w:val="000D622C"/>
    <w:rsid w:val="000E2E7D"/>
    <w:rsid w:val="000E4B78"/>
    <w:rsid w:val="0010757B"/>
    <w:rsid w:val="0011150C"/>
    <w:rsid w:val="00111A37"/>
    <w:rsid w:val="00116FBB"/>
    <w:rsid w:val="00133B3D"/>
    <w:rsid w:val="00136855"/>
    <w:rsid w:val="00152B00"/>
    <w:rsid w:val="0015390D"/>
    <w:rsid w:val="00157ADB"/>
    <w:rsid w:val="001620F2"/>
    <w:rsid w:val="00162F84"/>
    <w:rsid w:val="00163CFD"/>
    <w:rsid w:val="00175A63"/>
    <w:rsid w:val="001819A4"/>
    <w:rsid w:val="001834F7"/>
    <w:rsid w:val="00192AE8"/>
    <w:rsid w:val="00195B55"/>
    <w:rsid w:val="001A4B86"/>
    <w:rsid w:val="001C35F4"/>
    <w:rsid w:val="001C65BB"/>
    <w:rsid w:val="001C6646"/>
    <w:rsid w:val="001E3450"/>
    <w:rsid w:val="001F2AA1"/>
    <w:rsid w:val="001F60AE"/>
    <w:rsid w:val="001F63FD"/>
    <w:rsid w:val="00201F5E"/>
    <w:rsid w:val="00204CC8"/>
    <w:rsid w:val="00210EC7"/>
    <w:rsid w:val="00215162"/>
    <w:rsid w:val="00221775"/>
    <w:rsid w:val="0023012F"/>
    <w:rsid w:val="00233E4F"/>
    <w:rsid w:val="002364F0"/>
    <w:rsid w:val="00236E6B"/>
    <w:rsid w:val="00253FFE"/>
    <w:rsid w:val="00257D76"/>
    <w:rsid w:val="0027530E"/>
    <w:rsid w:val="00275D77"/>
    <w:rsid w:val="00293188"/>
    <w:rsid w:val="00293D57"/>
    <w:rsid w:val="002A57E4"/>
    <w:rsid w:val="002A6BEB"/>
    <w:rsid w:val="002A6DB2"/>
    <w:rsid w:val="002B1719"/>
    <w:rsid w:val="002B2689"/>
    <w:rsid w:val="002B5ED9"/>
    <w:rsid w:val="002C22C5"/>
    <w:rsid w:val="002C585E"/>
    <w:rsid w:val="002D3DC5"/>
    <w:rsid w:val="002D4D49"/>
    <w:rsid w:val="002D734B"/>
    <w:rsid w:val="002E4428"/>
    <w:rsid w:val="002E5583"/>
    <w:rsid w:val="002F155C"/>
    <w:rsid w:val="002F74F5"/>
    <w:rsid w:val="00300D1E"/>
    <w:rsid w:val="00301BAA"/>
    <w:rsid w:val="00301FD8"/>
    <w:rsid w:val="00310023"/>
    <w:rsid w:val="003178F8"/>
    <w:rsid w:val="00317F22"/>
    <w:rsid w:val="00317FEF"/>
    <w:rsid w:val="00330401"/>
    <w:rsid w:val="00332CC9"/>
    <w:rsid w:val="003370DC"/>
    <w:rsid w:val="003549CC"/>
    <w:rsid w:val="00364E71"/>
    <w:rsid w:val="00384AC9"/>
    <w:rsid w:val="003870CC"/>
    <w:rsid w:val="00387303"/>
    <w:rsid w:val="0039187F"/>
    <w:rsid w:val="00392851"/>
    <w:rsid w:val="00394759"/>
    <w:rsid w:val="00394925"/>
    <w:rsid w:val="003A7E02"/>
    <w:rsid w:val="003B0A0C"/>
    <w:rsid w:val="003C13EA"/>
    <w:rsid w:val="003C2EC4"/>
    <w:rsid w:val="003D1500"/>
    <w:rsid w:val="003F5F51"/>
    <w:rsid w:val="00401042"/>
    <w:rsid w:val="004018F9"/>
    <w:rsid w:val="0040349B"/>
    <w:rsid w:val="00413F4A"/>
    <w:rsid w:val="00425FEE"/>
    <w:rsid w:val="004322D9"/>
    <w:rsid w:val="00432856"/>
    <w:rsid w:val="004336FC"/>
    <w:rsid w:val="00434940"/>
    <w:rsid w:val="004356B0"/>
    <w:rsid w:val="00442A55"/>
    <w:rsid w:val="00445C97"/>
    <w:rsid w:val="00453102"/>
    <w:rsid w:val="0045744F"/>
    <w:rsid w:val="004602BA"/>
    <w:rsid w:val="004615E3"/>
    <w:rsid w:val="00462164"/>
    <w:rsid w:val="004650EE"/>
    <w:rsid w:val="004709F8"/>
    <w:rsid w:val="00480AF2"/>
    <w:rsid w:val="00494CCD"/>
    <w:rsid w:val="00497F7D"/>
    <w:rsid w:val="004A0349"/>
    <w:rsid w:val="004A773D"/>
    <w:rsid w:val="004B0712"/>
    <w:rsid w:val="004C75CF"/>
    <w:rsid w:val="004D01CF"/>
    <w:rsid w:val="004D46B1"/>
    <w:rsid w:val="004E19F0"/>
    <w:rsid w:val="004F32A3"/>
    <w:rsid w:val="0050062C"/>
    <w:rsid w:val="00505733"/>
    <w:rsid w:val="00522300"/>
    <w:rsid w:val="00532105"/>
    <w:rsid w:val="0053723B"/>
    <w:rsid w:val="00544072"/>
    <w:rsid w:val="005512E0"/>
    <w:rsid w:val="005525BF"/>
    <w:rsid w:val="00552DC8"/>
    <w:rsid w:val="00554016"/>
    <w:rsid w:val="0056126F"/>
    <w:rsid w:val="00563813"/>
    <w:rsid w:val="0056715C"/>
    <w:rsid w:val="005707B9"/>
    <w:rsid w:val="005826E8"/>
    <w:rsid w:val="00590CAA"/>
    <w:rsid w:val="005A3C16"/>
    <w:rsid w:val="005A5E29"/>
    <w:rsid w:val="005A69F1"/>
    <w:rsid w:val="005B1950"/>
    <w:rsid w:val="005B2400"/>
    <w:rsid w:val="005B699E"/>
    <w:rsid w:val="005C24EE"/>
    <w:rsid w:val="005C3375"/>
    <w:rsid w:val="005E37E9"/>
    <w:rsid w:val="005F4597"/>
    <w:rsid w:val="005F5A3E"/>
    <w:rsid w:val="005F7B67"/>
    <w:rsid w:val="006127DF"/>
    <w:rsid w:val="00614733"/>
    <w:rsid w:val="00621C61"/>
    <w:rsid w:val="006232AA"/>
    <w:rsid w:val="006257B2"/>
    <w:rsid w:val="00626126"/>
    <w:rsid w:val="006270E4"/>
    <w:rsid w:val="0065059A"/>
    <w:rsid w:val="0065227A"/>
    <w:rsid w:val="0065529C"/>
    <w:rsid w:val="00664572"/>
    <w:rsid w:val="00670BD6"/>
    <w:rsid w:val="0067549A"/>
    <w:rsid w:val="00676D26"/>
    <w:rsid w:val="00681912"/>
    <w:rsid w:val="00682EFB"/>
    <w:rsid w:val="00683FBB"/>
    <w:rsid w:val="00687119"/>
    <w:rsid w:val="0069283D"/>
    <w:rsid w:val="006A2801"/>
    <w:rsid w:val="006A5596"/>
    <w:rsid w:val="006C5BC1"/>
    <w:rsid w:val="006C5F53"/>
    <w:rsid w:val="006D0C54"/>
    <w:rsid w:val="006D786B"/>
    <w:rsid w:val="006E4905"/>
    <w:rsid w:val="006F55EB"/>
    <w:rsid w:val="00701DF9"/>
    <w:rsid w:val="00702E1E"/>
    <w:rsid w:val="007042FC"/>
    <w:rsid w:val="00712119"/>
    <w:rsid w:val="00723E3E"/>
    <w:rsid w:val="00725874"/>
    <w:rsid w:val="007272A4"/>
    <w:rsid w:val="0073304C"/>
    <w:rsid w:val="00740788"/>
    <w:rsid w:val="00752178"/>
    <w:rsid w:val="0075625E"/>
    <w:rsid w:val="007668BE"/>
    <w:rsid w:val="00784129"/>
    <w:rsid w:val="0079113A"/>
    <w:rsid w:val="00794081"/>
    <w:rsid w:val="00795B5A"/>
    <w:rsid w:val="00795F94"/>
    <w:rsid w:val="0079630E"/>
    <w:rsid w:val="007B36C0"/>
    <w:rsid w:val="007B7F54"/>
    <w:rsid w:val="007C4A89"/>
    <w:rsid w:val="007D6B82"/>
    <w:rsid w:val="007E0F5D"/>
    <w:rsid w:val="007E46F3"/>
    <w:rsid w:val="007E7A30"/>
    <w:rsid w:val="007E7D69"/>
    <w:rsid w:val="007F6C44"/>
    <w:rsid w:val="007F748E"/>
    <w:rsid w:val="008006AE"/>
    <w:rsid w:val="008033AE"/>
    <w:rsid w:val="00806D0B"/>
    <w:rsid w:val="00812347"/>
    <w:rsid w:val="00813B0A"/>
    <w:rsid w:val="008240EA"/>
    <w:rsid w:val="00830980"/>
    <w:rsid w:val="00837E60"/>
    <w:rsid w:val="00842302"/>
    <w:rsid w:val="00844822"/>
    <w:rsid w:val="0084765C"/>
    <w:rsid w:val="00850F59"/>
    <w:rsid w:val="00856A29"/>
    <w:rsid w:val="008576B7"/>
    <w:rsid w:val="0086521F"/>
    <w:rsid w:val="00871657"/>
    <w:rsid w:val="00877D71"/>
    <w:rsid w:val="00877E47"/>
    <w:rsid w:val="00884057"/>
    <w:rsid w:val="00886750"/>
    <w:rsid w:val="008914A1"/>
    <w:rsid w:val="0089619B"/>
    <w:rsid w:val="008977B1"/>
    <w:rsid w:val="008A52CB"/>
    <w:rsid w:val="008A68A8"/>
    <w:rsid w:val="008B35D2"/>
    <w:rsid w:val="008C787F"/>
    <w:rsid w:val="008D13EF"/>
    <w:rsid w:val="008E1BC1"/>
    <w:rsid w:val="008F2FE6"/>
    <w:rsid w:val="008F6670"/>
    <w:rsid w:val="00900AAA"/>
    <w:rsid w:val="00905620"/>
    <w:rsid w:val="009143D3"/>
    <w:rsid w:val="0091486E"/>
    <w:rsid w:val="00915B70"/>
    <w:rsid w:val="009202A8"/>
    <w:rsid w:val="0092175E"/>
    <w:rsid w:val="009244C2"/>
    <w:rsid w:val="0093050F"/>
    <w:rsid w:val="009305A8"/>
    <w:rsid w:val="009342C6"/>
    <w:rsid w:val="00941318"/>
    <w:rsid w:val="00942701"/>
    <w:rsid w:val="00942945"/>
    <w:rsid w:val="009536E7"/>
    <w:rsid w:val="00956A98"/>
    <w:rsid w:val="009605E0"/>
    <w:rsid w:val="00963EA4"/>
    <w:rsid w:val="00964A92"/>
    <w:rsid w:val="00965EAE"/>
    <w:rsid w:val="009661EA"/>
    <w:rsid w:val="0097363E"/>
    <w:rsid w:val="009840D3"/>
    <w:rsid w:val="009A02E7"/>
    <w:rsid w:val="009A5FA1"/>
    <w:rsid w:val="009B10BE"/>
    <w:rsid w:val="009B2EB5"/>
    <w:rsid w:val="009B391B"/>
    <w:rsid w:val="009B5546"/>
    <w:rsid w:val="009B7E1C"/>
    <w:rsid w:val="009C7EF2"/>
    <w:rsid w:val="009D279B"/>
    <w:rsid w:val="009D794E"/>
    <w:rsid w:val="009F1127"/>
    <w:rsid w:val="009F4DDB"/>
    <w:rsid w:val="009F61C4"/>
    <w:rsid w:val="00A2243D"/>
    <w:rsid w:val="00A32991"/>
    <w:rsid w:val="00A345C7"/>
    <w:rsid w:val="00A361A8"/>
    <w:rsid w:val="00A37172"/>
    <w:rsid w:val="00A42168"/>
    <w:rsid w:val="00A43294"/>
    <w:rsid w:val="00A43424"/>
    <w:rsid w:val="00A43828"/>
    <w:rsid w:val="00A47AE9"/>
    <w:rsid w:val="00A55D16"/>
    <w:rsid w:val="00A57C47"/>
    <w:rsid w:val="00A62E91"/>
    <w:rsid w:val="00A640CB"/>
    <w:rsid w:val="00A72D6C"/>
    <w:rsid w:val="00A7504E"/>
    <w:rsid w:val="00A81D93"/>
    <w:rsid w:val="00A94EBB"/>
    <w:rsid w:val="00A9719D"/>
    <w:rsid w:val="00AA300D"/>
    <w:rsid w:val="00AB7C38"/>
    <w:rsid w:val="00AC4448"/>
    <w:rsid w:val="00AD235C"/>
    <w:rsid w:val="00AD25B3"/>
    <w:rsid w:val="00AD6CD1"/>
    <w:rsid w:val="00AE36F2"/>
    <w:rsid w:val="00AE49C5"/>
    <w:rsid w:val="00AE7CD6"/>
    <w:rsid w:val="00AF4DA1"/>
    <w:rsid w:val="00B01F7C"/>
    <w:rsid w:val="00B06A43"/>
    <w:rsid w:val="00B1234E"/>
    <w:rsid w:val="00B21D99"/>
    <w:rsid w:val="00B22EE7"/>
    <w:rsid w:val="00B23A65"/>
    <w:rsid w:val="00B244FF"/>
    <w:rsid w:val="00B24500"/>
    <w:rsid w:val="00B32E1E"/>
    <w:rsid w:val="00B35389"/>
    <w:rsid w:val="00B37632"/>
    <w:rsid w:val="00B51E9D"/>
    <w:rsid w:val="00B56FAF"/>
    <w:rsid w:val="00B57CFA"/>
    <w:rsid w:val="00B67BDD"/>
    <w:rsid w:val="00B71C1C"/>
    <w:rsid w:val="00B81143"/>
    <w:rsid w:val="00B81776"/>
    <w:rsid w:val="00B85867"/>
    <w:rsid w:val="00B9065A"/>
    <w:rsid w:val="00B97A49"/>
    <w:rsid w:val="00BA27BA"/>
    <w:rsid w:val="00BA3FD8"/>
    <w:rsid w:val="00BA7820"/>
    <w:rsid w:val="00BB051F"/>
    <w:rsid w:val="00BB67D6"/>
    <w:rsid w:val="00BC1F44"/>
    <w:rsid w:val="00BC33DF"/>
    <w:rsid w:val="00BC76C7"/>
    <w:rsid w:val="00BD1828"/>
    <w:rsid w:val="00BE49AD"/>
    <w:rsid w:val="00BE52D3"/>
    <w:rsid w:val="00BF009A"/>
    <w:rsid w:val="00BF671A"/>
    <w:rsid w:val="00C05E40"/>
    <w:rsid w:val="00C13912"/>
    <w:rsid w:val="00C167F8"/>
    <w:rsid w:val="00C23FFD"/>
    <w:rsid w:val="00C25B8C"/>
    <w:rsid w:val="00C31C12"/>
    <w:rsid w:val="00C375B7"/>
    <w:rsid w:val="00C60B4D"/>
    <w:rsid w:val="00C61BBF"/>
    <w:rsid w:val="00C6615A"/>
    <w:rsid w:val="00C72355"/>
    <w:rsid w:val="00C85BAC"/>
    <w:rsid w:val="00C946A3"/>
    <w:rsid w:val="00CA1950"/>
    <w:rsid w:val="00CA367D"/>
    <w:rsid w:val="00CB2E3F"/>
    <w:rsid w:val="00CB7F54"/>
    <w:rsid w:val="00CC36F5"/>
    <w:rsid w:val="00CD3357"/>
    <w:rsid w:val="00CE2A89"/>
    <w:rsid w:val="00CE5BBA"/>
    <w:rsid w:val="00CF06AA"/>
    <w:rsid w:val="00CF3C69"/>
    <w:rsid w:val="00CF3E15"/>
    <w:rsid w:val="00CF41A3"/>
    <w:rsid w:val="00D03A5A"/>
    <w:rsid w:val="00D05302"/>
    <w:rsid w:val="00D06F01"/>
    <w:rsid w:val="00D100F8"/>
    <w:rsid w:val="00D1410F"/>
    <w:rsid w:val="00D20F2E"/>
    <w:rsid w:val="00D42039"/>
    <w:rsid w:val="00D4276B"/>
    <w:rsid w:val="00D44C0D"/>
    <w:rsid w:val="00D6762B"/>
    <w:rsid w:val="00D70C3E"/>
    <w:rsid w:val="00D82E2B"/>
    <w:rsid w:val="00D936B0"/>
    <w:rsid w:val="00DB0415"/>
    <w:rsid w:val="00DB73C8"/>
    <w:rsid w:val="00DD27D2"/>
    <w:rsid w:val="00DD5368"/>
    <w:rsid w:val="00DD5C37"/>
    <w:rsid w:val="00DE0D0B"/>
    <w:rsid w:val="00DE0FFA"/>
    <w:rsid w:val="00E11BD9"/>
    <w:rsid w:val="00E1526C"/>
    <w:rsid w:val="00E21462"/>
    <w:rsid w:val="00E25728"/>
    <w:rsid w:val="00E3075F"/>
    <w:rsid w:val="00E47008"/>
    <w:rsid w:val="00E56B14"/>
    <w:rsid w:val="00E62566"/>
    <w:rsid w:val="00E655D2"/>
    <w:rsid w:val="00E67423"/>
    <w:rsid w:val="00E77E80"/>
    <w:rsid w:val="00E82CF4"/>
    <w:rsid w:val="00E86C8B"/>
    <w:rsid w:val="00E94F6D"/>
    <w:rsid w:val="00EA6244"/>
    <w:rsid w:val="00EB1465"/>
    <w:rsid w:val="00EC039A"/>
    <w:rsid w:val="00EC08FA"/>
    <w:rsid w:val="00EC49C2"/>
    <w:rsid w:val="00EE1573"/>
    <w:rsid w:val="00EE1921"/>
    <w:rsid w:val="00EE25EF"/>
    <w:rsid w:val="00EF4925"/>
    <w:rsid w:val="00EF78E1"/>
    <w:rsid w:val="00F1328A"/>
    <w:rsid w:val="00F20DFF"/>
    <w:rsid w:val="00F2612E"/>
    <w:rsid w:val="00F334C1"/>
    <w:rsid w:val="00F37C5B"/>
    <w:rsid w:val="00F45E89"/>
    <w:rsid w:val="00F5642C"/>
    <w:rsid w:val="00F8327A"/>
    <w:rsid w:val="00FA0730"/>
    <w:rsid w:val="00FA1613"/>
    <w:rsid w:val="00FA2618"/>
    <w:rsid w:val="00FA6C9E"/>
    <w:rsid w:val="00FB1AA4"/>
    <w:rsid w:val="00FB26A3"/>
    <w:rsid w:val="00FC26DE"/>
    <w:rsid w:val="00FD1F3F"/>
    <w:rsid w:val="00FE02E8"/>
    <w:rsid w:val="00FE1B79"/>
    <w:rsid w:val="00FF16E4"/>
    <w:rsid w:val="01B87048"/>
    <w:rsid w:val="03F163E0"/>
    <w:rsid w:val="09FF5C9D"/>
    <w:rsid w:val="0A115F75"/>
    <w:rsid w:val="0A162FE9"/>
    <w:rsid w:val="0F3E71C2"/>
    <w:rsid w:val="0FEA5BE9"/>
    <w:rsid w:val="12312ECF"/>
    <w:rsid w:val="15694CB4"/>
    <w:rsid w:val="17F21C4F"/>
    <w:rsid w:val="208E3819"/>
    <w:rsid w:val="20D35099"/>
    <w:rsid w:val="23FD20F2"/>
    <w:rsid w:val="255939ED"/>
    <w:rsid w:val="263E3481"/>
    <w:rsid w:val="27806555"/>
    <w:rsid w:val="2D1A7E2B"/>
    <w:rsid w:val="32BA0C03"/>
    <w:rsid w:val="34B27B8F"/>
    <w:rsid w:val="3653439E"/>
    <w:rsid w:val="36566A2E"/>
    <w:rsid w:val="3849424C"/>
    <w:rsid w:val="3AF7276D"/>
    <w:rsid w:val="3B2C7FD3"/>
    <w:rsid w:val="416E2F83"/>
    <w:rsid w:val="48B70409"/>
    <w:rsid w:val="498B2844"/>
    <w:rsid w:val="49C06548"/>
    <w:rsid w:val="4CDD4CE3"/>
    <w:rsid w:val="58E76F09"/>
    <w:rsid w:val="5D0F7CE9"/>
    <w:rsid w:val="5E2E3233"/>
    <w:rsid w:val="622E7988"/>
    <w:rsid w:val="62E134C1"/>
    <w:rsid w:val="65477227"/>
    <w:rsid w:val="681E091A"/>
    <w:rsid w:val="6A813CE2"/>
    <w:rsid w:val="6BEE554F"/>
    <w:rsid w:val="6E8634A8"/>
    <w:rsid w:val="700033CA"/>
    <w:rsid w:val="70DF1EDD"/>
    <w:rsid w:val="732F2941"/>
    <w:rsid w:val="735A7B42"/>
    <w:rsid w:val="773520C1"/>
    <w:rsid w:val="77A83A66"/>
    <w:rsid w:val="77C03CB0"/>
    <w:rsid w:val="7B354F51"/>
    <w:rsid w:val="7F787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unhideWhenUsed/>
    <w:qFormat/>
    <w:uiPriority w:val="99"/>
    <w:rPr>
      <w:rFonts w:ascii="宋体" w:eastAsia="宋体"/>
      <w:sz w:val="18"/>
      <w:szCs w:val="18"/>
    </w:rPr>
  </w:style>
  <w:style w:type="paragraph" w:styleId="3">
    <w:name w:val="annotation text"/>
    <w:basedOn w:val="1"/>
    <w:link w:val="21"/>
    <w:unhideWhenUsed/>
    <w:qFormat/>
    <w:uiPriority w:val="99"/>
    <w:pPr>
      <w:jc w:val="left"/>
    </w:pPr>
  </w:style>
  <w:style w:type="paragraph" w:styleId="4">
    <w:name w:val="Body Text"/>
    <w:basedOn w:val="1"/>
    <w:qFormat/>
    <w:uiPriority w:val="0"/>
    <w:pPr>
      <w:jc w:val="center"/>
    </w:pPr>
    <w:rPr>
      <w:sz w:val="30"/>
      <w:szCs w:val="24"/>
    </w:rPr>
  </w:style>
  <w:style w:type="paragraph" w:styleId="5">
    <w:name w:val="Body Text Indent"/>
    <w:basedOn w:val="1"/>
    <w:link w:val="24"/>
    <w:qFormat/>
    <w:uiPriority w:val="0"/>
    <w:pPr>
      <w:widowControl/>
      <w:spacing w:after="120"/>
      <w:ind w:left="420" w:leftChars="200"/>
      <w:jc w:val="left"/>
    </w:pPr>
  </w:style>
  <w:style w:type="paragraph" w:styleId="6">
    <w:name w:val="Plain Text"/>
    <w:basedOn w:val="1"/>
    <w:next w:val="1"/>
    <w:link w:val="23"/>
    <w:qFormat/>
    <w:uiPriority w:val="99"/>
    <w:rPr>
      <w:rFonts w:ascii="宋体" w:hAnsi="Courier New" w:cs="Courier New"/>
      <w:kern w:val="0"/>
      <w:szCs w:val="21"/>
    </w:rPr>
  </w:style>
  <w:style w:type="paragraph" w:styleId="7">
    <w:name w:val="Balloon Text"/>
    <w:basedOn w:val="1"/>
    <w:link w:val="20"/>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Autospacing="1" w:afterAutospacing="1"/>
      <w:jc w:val="left"/>
    </w:pPr>
    <w:rPr>
      <w:rFonts w:ascii="宋体" w:hAnsi="宋体" w:eastAsia="宋体" w:cs="宋体"/>
      <w:kern w:val="0"/>
      <w:sz w:val="24"/>
      <w:szCs w:val="24"/>
    </w:rPr>
  </w:style>
  <w:style w:type="paragraph" w:styleId="11">
    <w:name w:val="annotation subject"/>
    <w:basedOn w:val="3"/>
    <w:next w:val="3"/>
    <w:link w:val="22"/>
    <w:unhideWhenUsed/>
    <w:qFormat/>
    <w:uiPriority w:val="99"/>
    <w:rPr>
      <w:b/>
      <w:bCs/>
    </w:rPr>
  </w:style>
  <w:style w:type="paragraph" w:styleId="12">
    <w:name w:val="Body Text First Indent"/>
    <w:basedOn w:val="4"/>
    <w:next w:val="1"/>
    <w:qFormat/>
    <w:uiPriority w:val="0"/>
    <w:pPr>
      <w:spacing w:after="120"/>
      <w:ind w:firstLine="420" w:firstLineChars="100"/>
      <w:jc w:val="both"/>
    </w:pPr>
    <w:rPr>
      <w:sz w:val="21"/>
      <w:szCs w:val="20"/>
    </w:rPr>
  </w:style>
  <w:style w:type="character" w:styleId="15">
    <w:name w:val="page number"/>
    <w:qFormat/>
    <w:uiPriority w:val="99"/>
    <w:rPr>
      <w:rFonts w:cs="Times New Roman"/>
    </w:rPr>
  </w:style>
  <w:style w:type="character" w:styleId="16">
    <w:name w:val="annotation reference"/>
    <w:basedOn w:val="14"/>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文档结构图 Char"/>
    <w:basedOn w:val="14"/>
    <w:link w:val="2"/>
    <w:semiHidden/>
    <w:qFormat/>
    <w:uiPriority w:val="99"/>
    <w:rPr>
      <w:rFonts w:ascii="宋体" w:eastAsia="宋体"/>
      <w:sz w:val="18"/>
      <w:szCs w:val="18"/>
    </w:rPr>
  </w:style>
  <w:style w:type="character" w:customStyle="1" w:styleId="20">
    <w:name w:val="批注框文本 Char"/>
    <w:basedOn w:val="14"/>
    <w:link w:val="7"/>
    <w:semiHidden/>
    <w:qFormat/>
    <w:uiPriority w:val="99"/>
    <w:rPr>
      <w:sz w:val="18"/>
      <w:szCs w:val="18"/>
    </w:rPr>
  </w:style>
  <w:style w:type="character" w:customStyle="1" w:styleId="21">
    <w:name w:val="批注文字 Char"/>
    <w:basedOn w:val="14"/>
    <w:link w:val="3"/>
    <w:semiHidden/>
    <w:qFormat/>
    <w:uiPriority w:val="99"/>
  </w:style>
  <w:style w:type="character" w:customStyle="1" w:styleId="22">
    <w:name w:val="批注主题 Char"/>
    <w:basedOn w:val="21"/>
    <w:link w:val="11"/>
    <w:semiHidden/>
    <w:qFormat/>
    <w:uiPriority w:val="99"/>
    <w:rPr>
      <w:b/>
      <w:bCs/>
    </w:rPr>
  </w:style>
  <w:style w:type="character" w:customStyle="1" w:styleId="23">
    <w:name w:val="纯文本 Char1"/>
    <w:link w:val="6"/>
    <w:qFormat/>
    <w:uiPriority w:val="99"/>
    <w:rPr>
      <w:rFonts w:ascii="宋体" w:hAnsi="Courier New" w:cs="Courier New"/>
      <w:kern w:val="0"/>
      <w:szCs w:val="21"/>
    </w:rPr>
  </w:style>
  <w:style w:type="character" w:customStyle="1" w:styleId="24">
    <w:name w:val="正文文本缩进 Char"/>
    <w:link w:val="5"/>
    <w:qFormat/>
    <w:uiPriority w:val="0"/>
  </w:style>
  <w:style w:type="character" w:customStyle="1" w:styleId="25">
    <w:name w:val="纯文本 Char"/>
    <w:basedOn w:val="14"/>
    <w:semiHidden/>
    <w:qFormat/>
    <w:uiPriority w:val="99"/>
    <w:rPr>
      <w:rFonts w:ascii="宋体" w:hAnsi="Courier New" w:eastAsia="宋体" w:cs="Courier New"/>
      <w:szCs w:val="21"/>
    </w:rPr>
  </w:style>
  <w:style w:type="character" w:customStyle="1" w:styleId="26">
    <w:name w:val="正文文本缩进 Char1"/>
    <w:basedOn w:val="14"/>
    <w:semiHidden/>
    <w:qFormat/>
    <w:uiPriority w:val="99"/>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6"/>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CB4F1-92B6-45EA-AD66-D5A6FA371E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354</Words>
  <Characters>354</Characters>
  <Lines>59</Lines>
  <Paragraphs>16</Paragraphs>
  <TotalTime>14</TotalTime>
  <ScaleCrop>false</ScaleCrop>
  <LinksUpToDate>false</LinksUpToDate>
  <CharactersWithSpaces>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2023-08-22T09:21:00Z</dcterms:created>
  <dc:creator>User</dc:creator>
  <cp:lastModifiedBy>Administrator</cp:lastModifiedBy>
  <cp:lastPrinted>2025-08-12T02:13:47Z</cp:lastPrinted>
  <dcterms:modified xsi:type="dcterms:W3CDTF">2025-08-12T02:14:08Z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696EC468DD4E4472AD93AAB98026B543_13</vt:lpwstr>
  </property>
  <property fmtid="{D5CDD505-2E9C-101B-9397-08002B2CF9AE}" pid="4" name="KSOTemplateDocerSaveRecord">
    <vt:lpwstr>eyJoZGlkIjoiNWM1ZGY0N2U0YmUyNTI1MDNiNTY3OTIzNzllZDYwODUifQ==</vt:lpwstr>
  </property>
</Properties>
</file>