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1C232">
      <w:pPr>
        <w:spacing w:line="360" w:lineRule="auto"/>
        <w:rPr>
          <w:rFonts w:hint="default" w:eastAsia="宋体"/>
          <w:b/>
          <w:color w:val="auto"/>
          <w:sz w:val="32"/>
          <w:highlight w:val="none"/>
          <w:lang w:val="en-US" w:eastAsia="zh-CN"/>
        </w:rPr>
      </w:pPr>
      <w:bookmarkStart w:id="0" w:name="_Toc351203480"/>
      <w:bookmarkStart w:id="1" w:name="_Toc296890982"/>
      <w:bookmarkStart w:id="2" w:name="_Toc371493140"/>
      <w:bookmarkStart w:id="3" w:name="_Toc296503025"/>
    </w:p>
    <w:p w14:paraId="10EEDA54">
      <w:pPr>
        <w:spacing w:line="360" w:lineRule="auto"/>
        <w:rPr>
          <w:b/>
          <w:color w:val="auto"/>
          <w:sz w:val="32"/>
          <w:highlight w:val="none"/>
          <w:u w:val="single"/>
          <w:lang w:val="zh-CN"/>
        </w:rPr>
      </w:pPr>
      <w:r>
        <w:rPr>
          <w:rFonts w:hint="eastAsia"/>
          <w:b/>
          <w:color w:val="auto"/>
          <w:sz w:val="30"/>
          <w:highlight w:val="none"/>
          <w:lang w:val="zh-CN"/>
        </w:rPr>
        <w:t>合同编号：</w:t>
      </w:r>
    </w:p>
    <w:p w14:paraId="71981C0A">
      <w:pPr>
        <w:rPr>
          <w:rFonts w:eastAsia="华文中宋"/>
          <w:b/>
          <w:color w:val="auto"/>
          <w:sz w:val="72"/>
          <w:szCs w:val="52"/>
          <w:highlight w:val="none"/>
        </w:rPr>
      </w:pPr>
    </w:p>
    <w:p w14:paraId="65CC4E4D">
      <w:pPr>
        <w:pStyle w:val="12"/>
        <w:wordWrap w:val="0"/>
        <w:jc w:val="center"/>
        <w:rPr>
          <w:rFonts w:ascii="方正小标宋简体" w:hAnsi="方正小标宋简体" w:eastAsia="方正小标宋简体" w:cs="方正小标宋简体"/>
          <w:color w:val="auto"/>
          <w:sz w:val="52"/>
          <w:szCs w:val="52"/>
          <w:highlight w:val="none"/>
        </w:rPr>
      </w:pPr>
    </w:p>
    <w:p w14:paraId="7B636451">
      <w:pPr>
        <w:pStyle w:val="12"/>
        <w:wordWrap w:val="0"/>
        <w:jc w:val="center"/>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增城区开发区下沉式污水处理厂</w:t>
      </w:r>
    </w:p>
    <w:p w14:paraId="4CCC79C5">
      <w:pPr>
        <w:pStyle w:val="12"/>
        <w:wordWrap w:val="0"/>
        <w:jc w:val="center"/>
        <w:rPr>
          <w:rFonts w:hint="eastAsia" w:ascii="宋体" w:hAnsi="宋体" w:eastAsia="宋体" w:cs="宋体"/>
          <w:b w:val="0"/>
          <w:bCs w:val="0"/>
          <w:color w:val="auto"/>
          <w:sz w:val="52"/>
          <w:szCs w:val="52"/>
          <w:highlight w:val="none"/>
        </w:rPr>
      </w:pPr>
      <w:r>
        <w:rPr>
          <w:rFonts w:hint="eastAsia" w:ascii="宋体" w:hAnsi="宋体" w:eastAsia="宋体" w:cs="宋体"/>
          <w:b w:val="0"/>
          <w:bCs w:val="0"/>
          <w:color w:val="auto"/>
          <w:sz w:val="52"/>
          <w:szCs w:val="52"/>
          <w:highlight w:val="none"/>
        </w:rPr>
        <w:t>新装22500kVA配电工程专业分包合同</w:t>
      </w:r>
    </w:p>
    <w:p w14:paraId="57374D47">
      <w:pPr>
        <w:pStyle w:val="12"/>
        <w:wordWrap w:val="0"/>
        <w:rPr>
          <w:rFonts w:ascii="宋体" w:hAnsi="宋体"/>
          <w:color w:val="auto"/>
          <w:sz w:val="48"/>
          <w:szCs w:val="48"/>
          <w:highlight w:val="none"/>
        </w:rPr>
      </w:pPr>
    </w:p>
    <w:p w14:paraId="7EE6FE9B">
      <w:pPr>
        <w:pStyle w:val="12"/>
        <w:wordWrap w:val="0"/>
        <w:rPr>
          <w:rFonts w:ascii="宋体" w:hAnsi="宋体"/>
          <w:color w:val="auto"/>
          <w:sz w:val="48"/>
          <w:szCs w:val="48"/>
          <w:highlight w:val="none"/>
        </w:rPr>
      </w:pPr>
    </w:p>
    <w:p w14:paraId="75688890">
      <w:pPr>
        <w:pStyle w:val="12"/>
        <w:wordWrap w:val="0"/>
        <w:ind w:firstLine="1285" w:firstLineChars="400"/>
        <w:rPr>
          <w:rFonts w:hint="default" w:ascii="宋体" w:hAnsi="宋体"/>
          <w:color w:val="auto"/>
          <w:sz w:val="32"/>
          <w:szCs w:val="32"/>
          <w:highlight w:val="none"/>
          <w:lang w:val="en-US"/>
        </w:rPr>
      </w:pPr>
      <w:r>
        <w:rPr>
          <w:rFonts w:hint="eastAsia" w:ascii="宋体" w:hAnsi="宋体"/>
          <w:color w:val="auto"/>
          <w:sz w:val="32"/>
          <w:szCs w:val="32"/>
          <w:highlight w:val="none"/>
        </w:rPr>
        <w:t>承包人：</w:t>
      </w:r>
      <w:r>
        <w:rPr>
          <w:rFonts w:hint="eastAsia" w:ascii="宋体" w:hAnsi="宋体"/>
          <w:color w:val="auto"/>
          <w:sz w:val="32"/>
          <w:szCs w:val="32"/>
          <w:highlight w:val="none"/>
          <w:u w:val="single"/>
          <w:lang w:val="en-US" w:eastAsia="zh-CN"/>
        </w:rPr>
        <w:t xml:space="preserve">广东省源天工程有限公司   </w:t>
      </w:r>
    </w:p>
    <w:p w14:paraId="1C507EBC">
      <w:pPr>
        <w:pStyle w:val="12"/>
        <w:wordWrap w:val="0"/>
        <w:ind w:firstLine="1285" w:firstLineChars="400"/>
        <w:rPr>
          <w:rFonts w:ascii="宋体" w:hAnsi="宋体"/>
          <w:color w:val="auto"/>
          <w:sz w:val="32"/>
          <w:szCs w:val="32"/>
          <w:highlight w:val="none"/>
        </w:rPr>
      </w:pPr>
      <w:r>
        <w:rPr>
          <w:rFonts w:hint="eastAsia" w:ascii="宋体" w:hAnsi="宋体"/>
          <w:color w:val="auto"/>
          <w:sz w:val="32"/>
          <w:szCs w:val="32"/>
          <w:highlight w:val="none"/>
        </w:rPr>
        <w:t>分包人：_________________________</w:t>
      </w:r>
    </w:p>
    <w:p w14:paraId="430A0FED">
      <w:pPr>
        <w:spacing w:line="500" w:lineRule="exact"/>
        <w:ind w:firstLine="1205" w:firstLineChars="400"/>
        <w:rPr>
          <w:rFonts w:hint="eastAsia" w:asciiTheme="majorEastAsia" w:hAnsiTheme="majorEastAsia" w:eastAsiaTheme="majorEastAsia" w:cstheme="majorEastAsia"/>
          <w:b/>
          <w:color w:val="auto"/>
          <w:sz w:val="30"/>
          <w:highlight w:val="none"/>
          <w:lang w:val="zh-CN"/>
        </w:rPr>
      </w:pPr>
      <w:r>
        <w:rPr>
          <w:rFonts w:hint="eastAsia" w:asciiTheme="majorEastAsia" w:hAnsiTheme="majorEastAsia" w:eastAsiaTheme="majorEastAsia" w:cstheme="majorEastAsia"/>
          <w:b/>
          <w:color w:val="auto"/>
          <w:sz w:val="30"/>
          <w:highlight w:val="none"/>
          <w:lang w:val="zh-CN"/>
        </w:rPr>
        <w:t>签订地点：</w:t>
      </w:r>
      <w:r>
        <w:rPr>
          <w:rFonts w:hint="eastAsia" w:asciiTheme="majorEastAsia" w:hAnsiTheme="majorEastAsia" w:eastAsiaTheme="majorEastAsia" w:cstheme="majorEastAsia"/>
          <w:b/>
          <w:color w:val="auto"/>
          <w:sz w:val="30"/>
          <w:highlight w:val="none"/>
          <w:u w:val="single"/>
          <w:lang w:val="en-US" w:eastAsia="zh-CN"/>
        </w:rPr>
        <w:t>广州市增城区</w:t>
      </w:r>
      <w:r>
        <w:rPr>
          <w:rFonts w:hint="eastAsia" w:asciiTheme="majorEastAsia" w:hAnsiTheme="majorEastAsia" w:eastAsiaTheme="majorEastAsia" w:cstheme="majorEastAsia"/>
          <w:b/>
          <w:color w:val="auto"/>
          <w:sz w:val="30"/>
          <w:highlight w:val="none"/>
          <w:lang w:val="zh-CN"/>
        </w:rPr>
        <w:t xml:space="preserve"> </w:t>
      </w:r>
    </w:p>
    <w:p w14:paraId="63B0718F">
      <w:pPr>
        <w:pStyle w:val="12"/>
        <w:wordWrap w:val="0"/>
        <w:ind w:firstLine="1205" w:firstLineChars="400"/>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color w:val="auto"/>
          <w:sz w:val="30"/>
          <w:highlight w:val="none"/>
          <w:lang w:val="zh-CN"/>
        </w:rPr>
        <w:t>签订日期：</w:t>
      </w:r>
      <w:r>
        <w:rPr>
          <w:rFonts w:hint="eastAsia" w:asciiTheme="majorEastAsia" w:hAnsiTheme="majorEastAsia" w:eastAsiaTheme="majorEastAsia" w:cstheme="majorEastAsia"/>
          <w:color w:val="auto"/>
          <w:sz w:val="30"/>
          <w:highlight w:val="none"/>
          <w:u w:val="single"/>
          <w:lang w:val="zh-CN"/>
        </w:rPr>
        <w:t xml:space="preserve">       </w:t>
      </w:r>
      <w:r>
        <w:rPr>
          <w:rFonts w:hint="eastAsia" w:asciiTheme="majorEastAsia" w:hAnsiTheme="majorEastAsia" w:eastAsiaTheme="majorEastAsia" w:cstheme="majorEastAsia"/>
          <w:color w:val="auto"/>
          <w:sz w:val="30"/>
          <w:highlight w:val="none"/>
          <w:lang w:val="zh-CN"/>
        </w:rPr>
        <w:t xml:space="preserve">年 </w:t>
      </w:r>
      <w:r>
        <w:rPr>
          <w:rFonts w:hint="eastAsia" w:asciiTheme="majorEastAsia" w:hAnsiTheme="majorEastAsia" w:eastAsiaTheme="majorEastAsia" w:cstheme="majorEastAsia"/>
          <w:color w:val="auto"/>
          <w:sz w:val="30"/>
          <w:highlight w:val="none"/>
          <w:u w:val="single"/>
          <w:lang w:val="zh-CN"/>
        </w:rPr>
        <w:t xml:space="preserve">     </w:t>
      </w:r>
      <w:r>
        <w:rPr>
          <w:rFonts w:hint="eastAsia" w:asciiTheme="majorEastAsia" w:hAnsiTheme="majorEastAsia" w:eastAsiaTheme="majorEastAsia" w:cstheme="majorEastAsia"/>
          <w:color w:val="auto"/>
          <w:sz w:val="30"/>
          <w:highlight w:val="none"/>
          <w:lang w:val="zh-CN"/>
        </w:rPr>
        <w:t xml:space="preserve">月 </w:t>
      </w:r>
      <w:r>
        <w:rPr>
          <w:rFonts w:hint="eastAsia" w:asciiTheme="majorEastAsia" w:hAnsiTheme="majorEastAsia" w:eastAsiaTheme="majorEastAsia" w:cstheme="majorEastAsia"/>
          <w:color w:val="auto"/>
          <w:sz w:val="30"/>
          <w:highlight w:val="none"/>
          <w:u w:val="single"/>
          <w:lang w:val="zh-CN"/>
        </w:rPr>
        <w:t xml:space="preserve">     </w:t>
      </w:r>
      <w:r>
        <w:rPr>
          <w:rFonts w:hint="eastAsia" w:asciiTheme="majorEastAsia" w:hAnsiTheme="majorEastAsia" w:eastAsiaTheme="majorEastAsia" w:cstheme="majorEastAsia"/>
          <w:color w:val="auto"/>
          <w:sz w:val="30"/>
          <w:highlight w:val="none"/>
          <w:lang w:val="zh-CN"/>
        </w:rPr>
        <w:t>日</w:t>
      </w:r>
    </w:p>
    <w:p w14:paraId="05ED9FAD">
      <w:pPr>
        <w:spacing w:line="400" w:lineRule="exact"/>
        <w:ind w:left="173"/>
        <w:jc w:val="left"/>
        <w:rPr>
          <w:b/>
          <w:color w:val="auto"/>
          <w:sz w:val="44"/>
          <w:szCs w:val="44"/>
          <w:highlight w:val="none"/>
        </w:rPr>
        <w:sectPr>
          <w:pgSz w:w="11906" w:h="16838"/>
          <w:pgMar w:top="2098" w:right="1474" w:bottom="1984" w:left="1587" w:header="567" w:footer="992" w:gutter="0"/>
          <w:pgNumType w:fmt="numberInDash"/>
          <w:cols w:space="425" w:num="1"/>
          <w:docGrid w:type="lines" w:linePitch="312" w:charSpace="0"/>
        </w:sectPr>
      </w:pPr>
    </w:p>
    <w:p w14:paraId="42E89166">
      <w:pPr>
        <w:pStyle w:val="12"/>
        <w:jc w:val="center"/>
        <w:rPr>
          <w:rFonts w:ascii="Times New Roman" w:hAnsi="Times New Roman"/>
          <w:color w:val="auto"/>
          <w:sz w:val="36"/>
          <w:szCs w:val="36"/>
          <w:highlight w:val="none"/>
        </w:rPr>
      </w:pPr>
      <w:r>
        <w:rPr>
          <w:rFonts w:ascii="Times New Roman" w:hAnsi="Times New Roman"/>
          <w:color w:val="auto"/>
          <w:sz w:val="36"/>
          <w:szCs w:val="36"/>
          <w:highlight w:val="none"/>
        </w:rPr>
        <w:t>目  录</w:t>
      </w:r>
    </w:p>
    <w:p w14:paraId="66669440">
      <w:pPr>
        <w:pStyle w:val="12"/>
        <w:tabs>
          <w:tab w:val="right" w:leader="dot" w:pos="8820"/>
        </w:tabs>
        <w:rPr>
          <w:i w:val="0"/>
          <w:iCs w:val="0"/>
          <w:color w:val="auto"/>
          <w:highlight w:val="none"/>
        </w:rPr>
      </w:pPr>
      <w:r>
        <w:rPr>
          <w:rFonts w:ascii="Times New Roman" w:hAnsi="Times New Roman"/>
          <w:color w:val="auto"/>
          <w:sz w:val="22"/>
          <w:szCs w:val="22"/>
          <w:highlight w:val="none"/>
        </w:rPr>
        <w:fldChar w:fldCharType="begin"/>
      </w:r>
      <w:r>
        <w:rPr>
          <w:rFonts w:ascii="Times New Roman" w:hAnsi="Times New Roman"/>
          <w:color w:val="auto"/>
          <w:sz w:val="22"/>
          <w:szCs w:val="22"/>
          <w:highlight w:val="none"/>
        </w:rPr>
        <w:instrText xml:space="preserve"> TOC \o "1-3" \h \z \u </w:instrText>
      </w:r>
      <w:r>
        <w:rPr>
          <w:rFonts w:ascii="Times New Roman" w:hAnsi="Times New Roman"/>
          <w:color w:val="auto"/>
          <w:sz w:val="22"/>
          <w:szCs w:val="22"/>
          <w:highlight w:val="none"/>
        </w:rPr>
        <w:fldChar w:fldCharType="separate"/>
      </w:r>
      <w:r>
        <w:rPr>
          <w:color w:val="auto"/>
          <w:highlight w:val="none"/>
        </w:rPr>
        <w:fldChar w:fldCharType="begin"/>
      </w:r>
      <w:r>
        <w:rPr>
          <w:color w:val="auto"/>
          <w:highlight w:val="none"/>
        </w:rPr>
        <w:instrText xml:space="preserve"> HYPERLINK \l "_Toc3362" </w:instrText>
      </w:r>
      <w:r>
        <w:rPr>
          <w:color w:val="auto"/>
          <w:highlight w:val="none"/>
        </w:rPr>
        <w:fldChar w:fldCharType="separate"/>
      </w:r>
      <w:r>
        <w:rPr>
          <w:rFonts w:ascii="Times New Roman" w:hAnsi="Times New Roman" w:eastAsia="华文中宋"/>
          <w:color w:val="auto"/>
          <w:szCs w:val="36"/>
          <w:highlight w:val="none"/>
        </w:rPr>
        <w:t>第一部分 分包合同协议书</w:t>
      </w:r>
      <w:r>
        <w:rPr>
          <w:color w:val="auto"/>
          <w:highlight w:val="none"/>
        </w:rPr>
        <w:tab/>
      </w:r>
      <w:r>
        <w:rPr>
          <w:color w:val="auto"/>
          <w:highlight w:val="none"/>
        </w:rPr>
        <w:fldChar w:fldCharType="begin"/>
      </w:r>
      <w:r>
        <w:rPr>
          <w:color w:val="auto"/>
          <w:highlight w:val="none"/>
        </w:rPr>
        <w:instrText xml:space="preserve"> PAGEREF _Toc3362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7AD3476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"_Toc25451" </w:instrText>
      </w:r>
      <w:r>
        <w:rPr>
          <w:i w:val="0"/>
          <w:iCs w:val="0"/>
          <w:color w:val="auto"/>
          <w:highlight w:val="none"/>
        </w:rPr>
        <w:fldChar w:fldCharType="separate"/>
      </w:r>
      <w:r>
        <w:rPr>
          <w:rFonts w:ascii="Times New Roman" w:hAnsi="Times New Roman"/>
          <w:i w:val="0"/>
          <w:iCs w:val="0"/>
          <w:color w:val="auto"/>
          <w:szCs w:val="24"/>
          <w:highlight w:val="none"/>
        </w:rPr>
        <w:t>一、分包工程概况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_Toc25451 \h </w:instrText>
      </w:r>
      <w:r>
        <w:rPr>
          <w:i w:val="0"/>
          <w:iCs w:val="0"/>
          <w:color w:val="auto"/>
          <w:highlight w:val="none"/>
        </w:rPr>
        <w:fldChar w:fldCharType="separate"/>
      </w:r>
      <w:r>
        <w:rPr>
          <w:i w:val="0"/>
          <w:iCs w:val="0"/>
          <w:color w:val="auto"/>
          <w:highlight w:val="none"/>
        </w:rPr>
        <w:t>- 1 -</w:t>
      </w:r>
      <w:r>
        <w:rPr>
          <w:i w:val="0"/>
          <w:iCs w:val="0"/>
          <w:color w:val="auto"/>
          <w:highlight w:val="none"/>
        </w:rPr>
        <w:fldChar w:fldCharType="end"/>
      </w:r>
      <w:r>
        <w:rPr>
          <w:i w:val="0"/>
          <w:iCs w:val="0"/>
          <w:color w:val="auto"/>
          <w:highlight w:val="none"/>
        </w:rPr>
        <w:fldChar w:fldCharType="end"/>
      </w:r>
    </w:p>
    <w:p w14:paraId="338DD33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"_Toc17183" </w:instrText>
      </w:r>
      <w:r>
        <w:rPr>
          <w:i w:val="0"/>
          <w:iCs w:val="0"/>
          <w:color w:val="auto"/>
          <w:highlight w:val="none"/>
        </w:rPr>
        <w:fldChar w:fldCharType="separate"/>
      </w:r>
      <w:r>
        <w:rPr>
          <w:rFonts w:ascii="Times New Roman" w:hAnsi="Times New Roman"/>
          <w:i w:val="0"/>
          <w:iCs w:val="0"/>
          <w:color w:val="auto"/>
          <w:szCs w:val="24"/>
          <w:highlight w:val="none"/>
        </w:rPr>
        <w:t>二、分包合同工期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_Toc17183 \h </w:instrText>
      </w:r>
      <w:r>
        <w:rPr>
          <w:i w:val="0"/>
          <w:iCs w:val="0"/>
          <w:color w:val="auto"/>
          <w:highlight w:val="none"/>
        </w:rPr>
        <w:fldChar w:fldCharType="separate"/>
      </w:r>
      <w:r>
        <w:rPr>
          <w:i w:val="0"/>
          <w:iCs w:val="0"/>
          <w:color w:val="auto"/>
          <w:highlight w:val="none"/>
        </w:rPr>
        <w:t>- 1 -</w:t>
      </w:r>
      <w:r>
        <w:rPr>
          <w:i w:val="0"/>
          <w:iCs w:val="0"/>
          <w:color w:val="auto"/>
          <w:highlight w:val="none"/>
        </w:rPr>
        <w:fldChar w:fldCharType="end"/>
      </w:r>
      <w:r>
        <w:rPr>
          <w:i w:val="0"/>
          <w:iCs w:val="0"/>
          <w:color w:val="auto"/>
          <w:highlight w:val="none"/>
        </w:rPr>
        <w:fldChar w:fldCharType="end"/>
      </w:r>
    </w:p>
    <w:p w14:paraId="7392B66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"_Toc27462" </w:instrText>
      </w:r>
      <w:r>
        <w:rPr>
          <w:i w:val="0"/>
          <w:iCs w:val="0"/>
          <w:color w:val="auto"/>
          <w:highlight w:val="none"/>
        </w:rPr>
        <w:fldChar w:fldCharType="separate"/>
      </w:r>
      <w:r>
        <w:rPr>
          <w:rFonts w:ascii="Times New Roman" w:hAnsi="Times New Roman"/>
          <w:i w:val="0"/>
          <w:iCs w:val="0"/>
          <w:color w:val="auto"/>
          <w:szCs w:val="24"/>
          <w:highlight w:val="none"/>
        </w:rPr>
        <w:t>三、质量标准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_Toc27462 \h </w:instrText>
      </w:r>
      <w:r>
        <w:rPr>
          <w:i w:val="0"/>
          <w:iCs w:val="0"/>
          <w:color w:val="auto"/>
          <w:highlight w:val="none"/>
        </w:rPr>
        <w:fldChar w:fldCharType="separate"/>
      </w:r>
      <w:r>
        <w:rPr>
          <w:i w:val="0"/>
          <w:iCs w:val="0"/>
          <w:color w:val="auto"/>
          <w:highlight w:val="none"/>
        </w:rPr>
        <w:t>- 1 -</w:t>
      </w:r>
      <w:r>
        <w:rPr>
          <w:i w:val="0"/>
          <w:iCs w:val="0"/>
          <w:color w:val="auto"/>
          <w:highlight w:val="none"/>
        </w:rPr>
        <w:fldChar w:fldCharType="end"/>
      </w:r>
      <w:r>
        <w:rPr>
          <w:i w:val="0"/>
          <w:iCs w:val="0"/>
          <w:color w:val="auto"/>
          <w:highlight w:val="none"/>
        </w:rPr>
        <w:fldChar w:fldCharType="end"/>
      </w:r>
    </w:p>
    <w:p w14:paraId="5B62464D">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"_Toc4152" </w:instrText>
      </w:r>
      <w:r>
        <w:rPr>
          <w:i w:val="0"/>
          <w:iCs w:val="0"/>
          <w:color w:val="auto"/>
          <w:highlight w:val="none"/>
        </w:rPr>
        <w:fldChar w:fldCharType="separate"/>
      </w:r>
      <w:r>
        <w:rPr>
          <w:rFonts w:ascii="Times New Roman" w:hAnsi="Times New Roman"/>
          <w:i w:val="0"/>
          <w:iCs w:val="0"/>
          <w:color w:val="auto"/>
          <w:szCs w:val="24"/>
          <w:highlight w:val="none"/>
        </w:rPr>
        <w:t>四、签约合同价与合同价格形式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_Toc4152 \h </w:instrText>
      </w:r>
      <w:r>
        <w:rPr>
          <w:i w:val="0"/>
          <w:iCs w:val="0"/>
          <w:color w:val="auto"/>
          <w:highlight w:val="none"/>
        </w:rPr>
        <w:fldChar w:fldCharType="separate"/>
      </w:r>
      <w:r>
        <w:rPr>
          <w:i w:val="0"/>
          <w:iCs w:val="0"/>
          <w:color w:val="auto"/>
          <w:highlight w:val="none"/>
        </w:rPr>
        <w:t>- 1 -</w:t>
      </w:r>
      <w:r>
        <w:rPr>
          <w:i w:val="0"/>
          <w:iCs w:val="0"/>
          <w:color w:val="auto"/>
          <w:highlight w:val="none"/>
        </w:rPr>
        <w:fldChar w:fldCharType="end"/>
      </w:r>
      <w:r>
        <w:rPr>
          <w:i w:val="0"/>
          <w:iCs w:val="0"/>
          <w:color w:val="auto"/>
          <w:highlight w:val="none"/>
        </w:rPr>
        <w:fldChar w:fldCharType="end"/>
      </w:r>
    </w:p>
    <w:p w14:paraId="3783D656">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"_Toc12191" </w:instrText>
      </w:r>
      <w:r>
        <w:rPr>
          <w:i w:val="0"/>
          <w:iCs w:val="0"/>
          <w:color w:val="auto"/>
          <w:highlight w:val="none"/>
        </w:rPr>
        <w:fldChar w:fldCharType="separate"/>
      </w:r>
      <w:r>
        <w:rPr>
          <w:rFonts w:ascii="Times New Roman" w:hAnsi="Times New Roman"/>
          <w:i w:val="0"/>
          <w:iCs w:val="0"/>
          <w:color w:val="auto"/>
          <w:szCs w:val="24"/>
          <w:highlight w:val="none"/>
        </w:rPr>
        <w:t>五、合同文件构成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_Toc12191 \h </w:instrText>
      </w:r>
      <w:r>
        <w:rPr>
          <w:i w:val="0"/>
          <w:iCs w:val="0"/>
          <w:color w:val="auto"/>
          <w:highlight w:val="none"/>
        </w:rPr>
        <w:fldChar w:fldCharType="separate"/>
      </w:r>
      <w:r>
        <w:rPr>
          <w:i w:val="0"/>
          <w:iCs w:val="0"/>
          <w:color w:val="auto"/>
          <w:highlight w:val="none"/>
        </w:rPr>
        <w:t>- 3 -</w:t>
      </w:r>
      <w:r>
        <w:rPr>
          <w:i w:val="0"/>
          <w:iCs w:val="0"/>
          <w:color w:val="auto"/>
          <w:highlight w:val="none"/>
        </w:rPr>
        <w:fldChar w:fldCharType="end"/>
      </w:r>
      <w:r>
        <w:rPr>
          <w:i w:val="0"/>
          <w:iCs w:val="0"/>
          <w:color w:val="auto"/>
          <w:highlight w:val="none"/>
        </w:rPr>
        <w:fldChar w:fldCharType="end"/>
      </w:r>
    </w:p>
    <w:p w14:paraId="3F4C14FE">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"_Toc13161" </w:instrText>
      </w:r>
      <w:r>
        <w:rPr>
          <w:i w:val="0"/>
          <w:iCs w:val="0"/>
          <w:color w:val="auto"/>
          <w:highlight w:val="none"/>
        </w:rPr>
        <w:fldChar w:fldCharType="separate"/>
      </w:r>
      <w:r>
        <w:rPr>
          <w:rFonts w:ascii="Times New Roman" w:hAnsi="Times New Roman"/>
          <w:i w:val="0"/>
          <w:iCs w:val="0"/>
          <w:color w:val="auto"/>
          <w:szCs w:val="24"/>
          <w:highlight w:val="none"/>
        </w:rPr>
        <w:t>六、承诺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_Toc13161 \h </w:instrText>
      </w:r>
      <w:r>
        <w:rPr>
          <w:i w:val="0"/>
          <w:iCs w:val="0"/>
          <w:color w:val="auto"/>
          <w:highlight w:val="none"/>
        </w:rPr>
        <w:fldChar w:fldCharType="separate"/>
      </w:r>
      <w:r>
        <w:rPr>
          <w:i w:val="0"/>
          <w:iCs w:val="0"/>
          <w:color w:val="auto"/>
          <w:highlight w:val="none"/>
        </w:rPr>
        <w:t>- 3 -</w:t>
      </w:r>
      <w:r>
        <w:rPr>
          <w:i w:val="0"/>
          <w:iCs w:val="0"/>
          <w:color w:val="auto"/>
          <w:highlight w:val="none"/>
        </w:rPr>
        <w:fldChar w:fldCharType="end"/>
      </w:r>
      <w:r>
        <w:rPr>
          <w:i w:val="0"/>
          <w:iCs w:val="0"/>
          <w:color w:val="auto"/>
          <w:highlight w:val="none"/>
        </w:rPr>
        <w:fldChar w:fldCharType="end"/>
      </w:r>
    </w:p>
    <w:p w14:paraId="1D17E641">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"_Toc7169" </w:instrText>
      </w:r>
      <w:r>
        <w:rPr>
          <w:i w:val="0"/>
          <w:iCs w:val="0"/>
          <w:color w:val="auto"/>
          <w:highlight w:val="none"/>
        </w:rPr>
        <w:fldChar w:fldCharType="separate"/>
      </w:r>
      <w:r>
        <w:rPr>
          <w:rFonts w:ascii="Times New Roman" w:hAnsi="Times New Roman"/>
          <w:i w:val="0"/>
          <w:iCs w:val="0"/>
          <w:color w:val="auto"/>
          <w:szCs w:val="24"/>
          <w:highlight w:val="none"/>
        </w:rPr>
        <w:t>七、其他</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_Toc7169 \h </w:instrText>
      </w:r>
      <w:r>
        <w:rPr>
          <w:i w:val="0"/>
          <w:iCs w:val="0"/>
          <w:color w:val="auto"/>
          <w:highlight w:val="none"/>
        </w:rPr>
        <w:fldChar w:fldCharType="separate"/>
      </w:r>
      <w:r>
        <w:rPr>
          <w:i w:val="0"/>
          <w:iCs w:val="0"/>
          <w:color w:val="auto"/>
          <w:highlight w:val="none"/>
        </w:rPr>
        <w:t>- 3 -</w:t>
      </w:r>
      <w:r>
        <w:rPr>
          <w:i w:val="0"/>
          <w:iCs w:val="0"/>
          <w:color w:val="auto"/>
          <w:highlight w:val="none"/>
        </w:rPr>
        <w:fldChar w:fldCharType="end"/>
      </w:r>
      <w:r>
        <w:rPr>
          <w:i w:val="0"/>
          <w:iCs w:val="0"/>
          <w:color w:val="auto"/>
          <w:highlight w:val="none"/>
        </w:rPr>
        <w:fldChar w:fldCharType="end"/>
      </w:r>
    </w:p>
    <w:p w14:paraId="6A235012">
      <w:pPr>
        <w:pStyle w:val="12"/>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"_Toc30851" </w:instrText>
      </w:r>
      <w:r>
        <w:rPr>
          <w:i w:val="0"/>
          <w:iCs w:val="0"/>
          <w:color w:val="auto"/>
          <w:highlight w:val="none"/>
        </w:rPr>
        <w:fldChar w:fldCharType="separate"/>
      </w:r>
      <w:r>
        <w:rPr>
          <w:rFonts w:ascii="Times New Roman" w:hAnsi="Times New Roman" w:eastAsia="华文中宋"/>
          <w:i w:val="0"/>
          <w:iCs w:val="0"/>
          <w:color w:val="auto"/>
          <w:szCs w:val="36"/>
          <w:highlight w:val="none"/>
        </w:rPr>
        <w:t>第二部分 通用合同条款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_Toc30851 \h </w:instrText>
      </w:r>
      <w:r>
        <w:rPr>
          <w:i w:val="0"/>
          <w:iCs w:val="0"/>
          <w:color w:val="auto"/>
          <w:highlight w:val="none"/>
        </w:rPr>
        <w:fldChar w:fldCharType="separate"/>
      </w:r>
      <w:r>
        <w:rPr>
          <w:i w:val="0"/>
          <w:iCs w:val="0"/>
          <w:color w:val="auto"/>
          <w:highlight w:val="none"/>
        </w:rPr>
        <w:t>- 5 -</w:t>
      </w:r>
      <w:r>
        <w:rPr>
          <w:i w:val="0"/>
          <w:iCs w:val="0"/>
          <w:color w:val="auto"/>
          <w:highlight w:val="none"/>
        </w:rPr>
        <w:fldChar w:fldCharType="end"/>
      </w:r>
      <w:r>
        <w:rPr>
          <w:i w:val="0"/>
          <w:iCs w:val="0"/>
          <w:color w:val="auto"/>
          <w:highlight w:val="none"/>
        </w:rPr>
        <w:fldChar w:fldCharType="end"/>
      </w:r>
    </w:p>
    <w:p w14:paraId="13FB574A">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"_Toc2442" </w:instrText>
      </w:r>
      <w:r>
        <w:rPr>
          <w:i w:val="0"/>
          <w:iCs w:val="0"/>
          <w:color w:val="auto"/>
          <w:highlight w:val="none"/>
        </w:rPr>
        <w:fldChar w:fldCharType="separate"/>
      </w:r>
      <w:r>
        <w:rPr>
          <w:rFonts w:ascii="Times New Roman" w:hAnsi="Times New Roman"/>
          <w:i w:val="0"/>
          <w:iCs w:val="0"/>
          <w:color w:val="auto"/>
          <w:szCs w:val="24"/>
          <w:highlight w:val="none"/>
        </w:rPr>
        <w:t>1. 一般约定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_Toc2442 \h </w:instrText>
      </w:r>
      <w:r>
        <w:rPr>
          <w:i w:val="0"/>
          <w:iCs w:val="0"/>
          <w:color w:val="auto"/>
          <w:highlight w:val="none"/>
        </w:rPr>
        <w:fldChar w:fldCharType="separate"/>
      </w:r>
      <w:r>
        <w:rPr>
          <w:i w:val="0"/>
          <w:iCs w:val="0"/>
          <w:color w:val="auto"/>
          <w:highlight w:val="none"/>
        </w:rPr>
        <w:t>- 5 -</w:t>
      </w:r>
      <w:r>
        <w:rPr>
          <w:i w:val="0"/>
          <w:iCs w:val="0"/>
          <w:color w:val="auto"/>
          <w:highlight w:val="none"/>
        </w:rPr>
        <w:fldChar w:fldCharType="end"/>
      </w:r>
      <w:r>
        <w:rPr>
          <w:i w:val="0"/>
          <w:iCs w:val="0"/>
          <w:color w:val="auto"/>
          <w:highlight w:val="none"/>
        </w:rPr>
        <w:fldChar w:fldCharType="end"/>
      </w:r>
    </w:p>
    <w:p w14:paraId="42B6491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"_Toc26238" </w:instrText>
      </w:r>
      <w:r>
        <w:rPr>
          <w:i w:val="0"/>
          <w:iCs w:val="0"/>
          <w:color w:val="auto"/>
          <w:highlight w:val="none"/>
        </w:rPr>
        <w:fldChar w:fldCharType="separate"/>
      </w:r>
      <w:r>
        <w:rPr>
          <w:rFonts w:ascii="Times New Roman" w:hAnsi="Times New Roman"/>
          <w:i w:val="0"/>
          <w:iCs w:val="0"/>
          <w:color w:val="auto"/>
          <w:szCs w:val="24"/>
          <w:highlight w:val="none"/>
        </w:rPr>
        <w:t>1.1 词语定义与解释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_Toc26238 \h </w:instrText>
      </w:r>
      <w:r>
        <w:rPr>
          <w:i w:val="0"/>
          <w:iCs w:val="0"/>
          <w:color w:val="auto"/>
          <w:highlight w:val="none"/>
        </w:rPr>
        <w:fldChar w:fldCharType="separate"/>
      </w:r>
      <w:r>
        <w:rPr>
          <w:i w:val="0"/>
          <w:iCs w:val="0"/>
          <w:color w:val="auto"/>
          <w:highlight w:val="none"/>
        </w:rPr>
        <w:t>- 5 -</w:t>
      </w:r>
      <w:r>
        <w:rPr>
          <w:i w:val="0"/>
          <w:iCs w:val="0"/>
          <w:color w:val="auto"/>
          <w:highlight w:val="none"/>
        </w:rPr>
        <w:fldChar w:fldCharType="end"/>
      </w:r>
      <w:r>
        <w:rPr>
          <w:i w:val="0"/>
          <w:iCs w:val="0"/>
          <w:color w:val="auto"/>
          <w:highlight w:val="none"/>
        </w:rPr>
        <w:fldChar w:fldCharType="end"/>
      </w:r>
    </w:p>
    <w:p w14:paraId="6A1E438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"_Toc21626" </w:instrText>
      </w:r>
      <w:r>
        <w:rPr>
          <w:i w:val="0"/>
          <w:iCs w:val="0"/>
          <w:color w:val="auto"/>
          <w:highlight w:val="none"/>
        </w:rPr>
        <w:fldChar w:fldCharType="separate"/>
      </w:r>
      <w:r>
        <w:rPr>
          <w:rFonts w:ascii="Times New Roman" w:hAnsi="Times New Roman"/>
          <w:i w:val="0"/>
          <w:iCs w:val="0"/>
          <w:color w:val="auto"/>
          <w:szCs w:val="24"/>
          <w:highlight w:val="none"/>
        </w:rPr>
        <w:t>1.2 语言文字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_Toc21626 \h </w:instrText>
      </w:r>
      <w:r>
        <w:rPr>
          <w:i w:val="0"/>
          <w:iCs w:val="0"/>
          <w:color w:val="auto"/>
          <w:highlight w:val="none"/>
        </w:rPr>
        <w:fldChar w:fldCharType="separate"/>
      </w:r>
      <w:r>
        <w:rPr>
          <w:i w:val="0"/>
          <w:iCs w:val="0"/>
          <w:color w:val="auto"/>
          <w:highlight w:val="none"/>
        </w:rPr>
        <w:t>- 7 -</w:t>
      </w:r>
      <w:r>
        <w:rPr>
          <w:i w:val="0"/>
          <w:iCs w:val="0"/>
          <w:color w:val="auto"/>
          <w:highlight w:val="none"/>
        </w:rPr>
        <w:fldChar w:fldCharType="end"/>
      </w:r>
      <w:r>
        <w:rPr>
          <w:i w:val="0"/>
          <w:iCs w:val="0"/>
          <w:color w:val="auto"/>
          <w:highlight w:val="none"/>
        </w:rPr>
        <w:fldChar w:fldCharType="end"/>
      </w:r>
    </w:p>
    <w:p w14:paraId="342526D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"_Toc7473"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 xml:space="preserve"> 标准和规范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_Toc7473 \h </w:instrText>
      </w:r>
      <w:r>
        <w:rPr>
          <w:i w:val="0"/>
          <w:iCs w:val="0"/>
          <w:color w:val="auto"/>
          <w:highlight w:val="none"/>
        </w:rPr>
        <w:fldChar w:fldCharType="separate"/>
      </w:r>
      <w:r>
        <w:rPr>
          <w:i w:val="0"/>
          <w:iCs w:val="0"/>
          <w:color w:val="auto"/>
          <w:highlight w:val="none"/>
        </w:rPr>
        <w:t>- 7 -</w:t>
      </w:r>
      <w:r>
        <w:rPr>
          <w:i w:val="0"/>
          <w:iCs w:val="0"/>
          <w:color w:val="auto"/>
          <w:highlight w:val="none"/>
        </w:rPr>
        <w:fldChar w:fldCharType="end"/>
      </w:r>
      <w:r>
        <w:rPr>
          <w:i w:val="0"/>
          <w:iCs w:val="0"/>
          <w:color w:val="auto"/>
          <w:highlight w:val="none"/>
        </w:rPr>
        <w:fldChar w:fldCharType="end"/>
      </w:r>
    </w:p>
    <w:p w14:paraId="75B00A3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"_Toc26488"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 xml:space="preserve"> 分包合同文件的优先顺序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_Toc26488 \h </w:instrText>
      </w:r>
      <w:r>
        <w:rPr>
          <w:i w:val="0"/>
          <w:iCs w:val="0"/>
          <w:color w:val="auto"/>
          <w:highlight w:val="none"/>
        </w:rPr>
        <w:fldChar w:fldCharType="separate"/>
      </w:r>
      <w:r>
        <w:rPr>
          <w:i w:val="0"/>
          <w:iCs w:val="0"/>
          <w:color w:val="auto"/>
          <w:highlight w:val="none"/>
        </w:rPr>
        <w:t>- 7 -</w:t>
      </w:r>
      <w:r>
        <w:rPr>
          <w:i w:val="0"/>
          <w:iCs w:val="0"/>
          <w:color w:val="auto"/>
          <w:highlight w:val="none"/>
        </w:rPr>
        <w:fldChar w:fldCharType="end"/>
      </w:r>
      <w:r>
        <w:rPr>
          <w:i w:val="0"/>
          <w:iCs w:val="0"/>
          <w:color w:val="auto"/>
          <w:highlight w:val="none"/>
        </w:rPr>
        <w:fldChar w:fldCharType="end"/>
      </w:r>
    </w:p>
    <w:p w14:paraId="378DA89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"_Toc17936"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5</w:t>
      </w:r>
      <w:r>
        <w:rPr>
          <w:rFonts w:ascii="Times New Roman" w:hAnsi="Times New Roman"/>
          <w:i w:val="0"/>
          <w:iCs w:val="0"/>
          <w:color w:val="auto"/>
          <w:szCs w:val="24"/>
          <w:highlight w:val="none"/>
        </w:rPr>
        <w:t xml:space="preserve"> 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_Toc17936 \h </w:instrText>
      </w:r>
      <w:r>
        <w:rPr>
          <w:i w:val="0"/>
          <w:iCs w:val="0"/>
          <w:color w:val="auto"/>
          <w:highlight w:val="none"/>
        </w:rPr>
        <w:fldChar w:fldCharType="separate"/>
      </w:r>
      <w:r>
        <w:rPr>
          <w:i w:val="0"/>
          <w:iCs w:val="0"/>
          <w:color w:val="auto"/>
          <w:highlight w:val="none"/>
        </w:rPr>
        <w:t>- 8 -</w:t>
      </w:r>
      <w:r>
        <w:rPr>
          <w:i w:val="0"/>
          <w:iCs w:val="0"/>
          <w:color w:val="auto"/>
          <w:highlight w:val="none"/>
        </w:rPr>
        <w:fldChar w:fldCharType="end"/>
      </w:r>
      <w:r>
        <w:rPr>
          <w:i w:val="0"/>
          <w:iCs w:val="0"/>
          <w:color w:val="auto"/>
          <w:highlight w:val="none"/>
        </w:rPr>
        <w:fldChar w:fldCharType="end"/>
      </w:r>
    </w:p>
    <w:p w14:paraId="02D8DF9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"_Toc12779"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6</w:t>
      </w:r>
      <w:r>
        <w:rPr>
          <w:rFonts w:ascii="Times New Roman" w:hAnsi="Times New Roman"/>
          <w:i w:val="0"/>
          <w:iCs w:val="0"/>
          <w:color w:val="auto"/>
          <w:szCs w:val="24"/>
          <w:highlight w:val="none"/>
        </w:rPr>
        <w:t xml:space="preserve"> 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_Toc12779 \h </w:instrText>
      </w:r>
      <w:r>
        <w:rPr>
          <w:i w:val="0"/>
          <w:iCs w:val="0"/>
          <w:color w:val="auto"/>
          <w:highlight w:val="none"/>
        </w:rPr>
        <w:fldChar w:fldCharType="separate"/>
      </w:r>
      <w:r>
        <w:rPr>
          <w:i w:val="0"/>
          <w:iCs w:val="0"/>
          <w:color w:val="auto"/>
          <w:highlight w:val="none"/>
        </w:rPr>
        <w:t>- 8 -</w:t>
      </w:r>
      <w:r>
        <w:rPr>
          <w:i w:val="0"/>
          <w:iCs w:val="0"/>
          <w:color w:val="auto"/>
          <w:highlight w:val="none"/>
        </w:rPr>
        <w:fldChar w:fldCharType="end"/>
      </w:r>
      <w:r>
        <w:rPr>
          <w:i w:val="0"/>
          <w:iCs w:val="0"/>
          <w:color w:val="auto"/>
          <w:highlight w:val="none"/>
        </w:rPr>
        <w:fldChar w:fldCharType="end"/>
      </w:r>
    </w:p>
    <w:p w14:paraId="150D257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"_Toc22437"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 xml:space="preserve"> 化石、文物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_Toc22437 \h </w:instrText>
      </w:r>
      <w:r>
        <w:rPr>
          <w:i w:val="0"/>
          <w:iCs w:val="0"/>
          <w:color w:val="auto"/>
          <w:highlight w:val="none"/>
        </w:rPr>
        <w:fldChar w:fldCharType="separate"/>
      </w:r>
      <w:r>
        <w:rPr>
          <w:i w:val="0"/>
          <w:iCs w:val="0"/>
          <w:color w:val="auto"/>
          <w:highlight w:val="none"/>
        </w:rPr>
        <w:t>- 8 -</w:t>
      </w:r>
      <w:r>
        <w:rPr>
          <w:i w:val="0"/>
          <w:iCs w:val="0"/>
          <w:color w:val="auto"/>
          <w:highlight w:val="none"/>
        </w:rPr>
        <w:fldChar w:fldCharType="end"/>
      </w:r>
      <w:r>
        <w:rPr>
          <w:i w:val="0"/>
          <w:iCs w:val="0"/>
          <w:color w:val="auto"/>
          <w:highlight w:val="none"/>
        </w:rPr>
        <w:fldChar w:fldCharType="end"/>
      </w:r>
    </w:p>
    <w:p w14:paraId="2F19DB4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"_Toc27146"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 xml:space="preserve"> 知识产权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_Toc27146 \h </w:instrText>
      </w:r>
      <w:r>
        <w:rPr>
          <w:i w:val="0"/>
          <w:iCs w:val="0"/>
          <w:color w:val="auto"/>
          <w:highlight w:val="none"/>
        </w:rPr>
        <w:fldChar w:fldCharType="separate"/>
      </w:r>
      <w:r>
        <w:rPr>
          <w:i w:val="0"/>
          <w:iCs w:val="0"/>
          <w:color w:val="auto"/>
          <w:highlight w:val="none"/>
        </w:rPr>
        <w:t>- 9 -</w:t>
      </w:r>
      <w:r>
        <w:rPr>
          <w:i w:val="0"/>
          <w:iCs w:val="0"/>
          <w:color w:val="auto"/>
          <w:highlight w:val="none"/>
        </w:rPr>
        <w:fldChar w:fldCharType="end"/>
      </w:r>
      <w:r>
        <w:rPr>
          <w:i w:val="0"/>
          <w:iCs w:val="0"/>
          <w:color w:val="auto"/>
          <w:highlight w:val="none"/>
        </w:rPr>
        <w:fldChar w:fldCharType="end"/>
      </w:r>
    </w:p>
    <w:p w14:paraId="09484B5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"_Toc10702"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9</w:t>
      </w:r>
      <w:r>
        <w:rPr>
          <w:rFonts w:ascii="Times New Roman" w:hAnsi="Times New Roman"/>
          <w:i w:val="0"/>
          <w:iCs w:val="0"/>
          <w:color w:val="auto"/>
          <w:szCs w:val="24"/>
          <w:highlight w:val="none"/>
        </w:rPr>
        <w:t xml:space="preserve"> 保密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_Toc10702 \h </w:instrText>
      </w:r>
      <w:r>
        <w:rPr>
          <w:i w:val="0"/>
          <w:iCs w:val="0"/>
          <w:color w:val="auto"/>
          <w:highlight w:val="none"/>
        </w:rPr>
        <w:fldChar w:fldCharType="separate"/>
      </w:r>
      <w:r>
        <w:rPr>
          <w:i w:val="0"/>
          <w:iCs w:val="0"/>
          <w:color w:val="auto"/>
          <w:highlight w:val="none"/>
        </w:rPr>
        <w:t>- 9 -</w:t>
      </w:r>
      <w:r>
        <w:rPr>
          <w:i w:val="0"/>
          <w:iCs w:val="0"/>
          <w:color w:val="auto"/>
          <w:highlight w:val="none"/>
        </w:rPr>
        <w:fldChar w:fldCharType="end"/>
      </w:r>
      <w:r>
        <w:rPr>
          <w:i w:val="0"/>
          <w:iCs w:val="0"/>
          <w:color w:val="auto"/>
          <w:highlight w:val="none"/>
        </w:rPr>
        <w:fldChar w:fldCharType="end"/>
      </w:r>
    </w:p>
    <w:p w14:paraId="65BA1F98">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"_Toc16540" </w:instrText>
      </w:r>
      <w:r>
        <w:rPr>
          <w:i w:val="0"/>
          <w:iCs w:val="0"/>
          <w:color w:val="auto"/>
          <w:highlight w:val="none"/>
        </w:rPr>
        <w:fldChar w:fldCharType="separate"/>
      </w:r>
      <w:r>
        <w:rPr>
          <w:rFonts w:ascii="Times New Roman" w:hAnsi="Times New Roman"/>
          <w:i w:val="0"/>
          <w:iCs w:val="0"/>
          <w:color w:val="auto"/>
          <w:szCs w:val="24"/>
          <w:highlight w:val="none"/>
        </w:rPr>
        <w:t>2. 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_Toc16540 \h </w:instrText>
      </w:r>
      <w:r>
        <w:rPr>
          <w:i w:val="0"/>
          <w:iCs w:val="0"/>
          <w:color w:val="auto"/>
          <w:highlight w:val="none"/>
        </w:rPr>
        <w:fldChar w:fldCharType="separate"/>
      </w:r>
      <w:r>
        <w:rPr>
          <w:i w:val="0"/>
          <w:iCs w:val="0"/>
          <w:color w:val="auto"/>
          <w:highlight w:val="none"/>
        </w:rPr>
        <w:t>- 9 -</w:t>
      </w:r>
      <w:r>
        <w:rPr>
          <w:i w:val="0"/>
          <w:iCs w:val="0"/>
          <w:color w:val="auto"/>
          <w:highlight w:val="none"/>
        </w:rPr>
        <w:fldChar w:fldCharType="end"/>
      </w:r>
      <w:r>
        <w:rPr>
          <w:i w:val="0"/>
          <w:iCs w:val="0"/>
          <w:color w:val="auto"/>
          <w:highlight w:val="none"/>
        </w:rPr>
        <w:fldChar w:fldCharType="end"/>
      </w:r>
    </w:p>
    <w:p w14:paraId="081FD8E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"_Toc2322" </w:instrText>
      </w:r>
      <w:r>
        <w:rPr>
          <w:i w:val="0"/>
          <w:iCs w:val="0"/>
          <w:color w:val="auto"/>
          <w:highlight w:val="none"/>
        </w:rPr>
        <w:fldChar w:fldCharType="separate"/>
      </w:r>
      <w:r>
        <w:rPr>
          <w:rFonts w:ascii="Times New Roman" w:hAnsi="Times New Roman"/>
          <w:i w:val="0"/>
          <w:iCs w:val="0"/>
          <w:color w:val="auto"/>
          <w:szCs w:val="24"/>
          <w:highlight w:val="none"/>
        </w:rPr>
        <w:t>2.1 承包人的一般义务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_Toc2322 \h </w:instrText>
      </w:r>
      <w:r>
        <w:rPr>
          <w:i w:val="0"/>
          <w:iCs w:val="0"/>
          <w:color w:val="auto"/>
          <w:highlight w:val="none"/>
        </w:rPr>
        <w:fldChar w:fldCharType="separate"/>
      </w:r>
      <w:r>
        <w:rPr>
          <w:i w:val="0"/>
          <w:iCs w:val="0"/>
          <w:color w:val="auto"/>
          <w:highlight w:val="none"/>
        </w:rPr>
        <w:t>- 9 -</w:t>
      </w:r>
      <w:r>
        <w:rPr>
          <w:i w:val="0"/>
          <w:iCs w:val="0"/>
          <w:color w:val="auto"/>
          <w:highlight w:val="none"/>
        </w:rPr>
        <w:fldChar w:fldCharType="end"/>
      </w:r>
      <w:r>
        <w:rPr>
          <w:i w:val="0"/>
          <w:iCs w:val="0"/>
          <w:color w:val="auto"/>
          <w:highlight w:val="none"/>
        </w:rPr>
        <w:fldChar w:fldCharType="end"/>
      </w:r>
    </w:p>
    <w:p w14:paraId="4D56145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"_Toc7035" </w:instrText>
      </w:r>
      <w:r>
        <w:rPr>
          <w:i w:val="0"/>
          <w:iCs w:val="0"/>
          <w:color w:val="auto"/>
          <w:highlight w:val="none"/>
        </w:rPr>
        <w:fldChar w:fldCharType="separate"/>
      </w:r>
      <w:r>
        <w:rPr>
          <w:rFonts w:ascii="Times New Roman" w:hAnsi="Times New Roman"/>
          <w:i w:val="0"/>
          <w:iCs w:val="0"/>
          <w:color w:val="auto"/>
          <w:szCs w:val="24"/>
          <w:highlight w:val="none"/>
        </w:rPr>
        <w:t>2.2 提供基础资料、施工条件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_Toc7035 \h </w:instrText>
      </w:r>
      <w:r>
        <w:rPr>
          <w:i w:val="0"/>
          <w:iCs w:val="0"/>
          <w:color w:val="auto"/>
          <w:highlight w:val="none"/>
        </w:rPr>
        <w:fldChar w:fldCharType="separate"/>
      </w:r>
      <w:r>
        <w:rPr>
          <w:i w:val="0"/>
          <w:iCs w:val="0"/>
          <w:color w:val="auto"/>
          <w:highlight w:val="none"/>
        </w:rPr>
        <w:t>- 9 -</w:t>
      </w:r>
      <w:r>
        <w:rPr>
          <w:i w:val="0"/>
          <w:iCs w:val="0"/>
          <w:color w:val="auto"/>
          <w:highlight w:val="none"/>
        </w:rPr>
        <w:fldChar w:fldCharType="end"/>
      </w:r>
      <w:r>
        <w:rPr>
          <w:i w:val="0"/>
          <w:iCs w:val="0"/>
          <w:color w:val="auto"/>
          <w:highlight w:val="none"/>
        </w:rPr>
        <w:fldChar w:fldCharType="end"/>
      </w:r>
    </w:p>
    <w:p w14:paraId="06C2FC9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"_Toc10640" </w:instrText>
      </w:r>
      <w:r>
        <w:rPr>
          <w:i w:val="0"/>
          <w:iCs w:val="0"/>
          <w:color w:val="auto"/>
          <w:highlight w:val="none"/>
        </w:rPr>
        <w:fldChar w:fldCharType="separate"/>
      </w:r>
      <w:r>
        <w:rPr>
          <w:rFonts w:ascii="Times New Roman" w:hAnsi="Times New Roman"/>
          <w:i w:val="0"/>
          <w:iCs w:val="0"/>
          <w:color w:val="auto"/>
          <w:szCs w:val="24"/>
          <w:highlight w:val="none"/>
        </w:rPr>
        <w:t>2.3 承包人项目经理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_Toc10640 \h </w:instrText>
      </w:r>
      <w:r>
        <w:rPr>
          <w:i w:val="0"/>
          <w:iCs w:val="0"/>
          <w:color w:val="auto"/>
          <w:highlight w:val="none"/>
        </w:rPr>
        <w:fldChar w:fldCharType="separate"/>
      </w:r>
      <w:r>
        <w:rPr>
          <w:i w:val="0"/>
          <w:iCs w:val="0"/>
          <w:color w:val="auto"/>
          <w:highlight w:val="none"/>
        </w:rPr>
        <w:t>- 10 -</w:t>
      </w:r>
      <w:r>
        <w:rPr>
          <w:i w:val="0"/>
          <w:iCs w:val="0"/>
          <w:color w:val="auto"/>
          <w:highlight w:val="none"/>
        </w:rPr>
        <w:fldChar w:fldCharType="end"/>
      </w:r>
      <w:r>
        <w:rPr>
          <w:i w:val="0"/>
          <w:iCs w:val="0"/>
          <w:color w:val="auto"/>
          <w:highlight w:val="none"/>
        </w:rPr>
        <w:fldChar w:fldCharType="end"/>
      </w:r>
    </w:p>
    <w:p w14:paraId="7210303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"_Toc21839" </w:instrText>
      </w:r>
      <w:r>
        <w:rPr>
          <w:i w:val="0"/>
          <w:iCs w:val="0"/>
          <w:color w:val="auto"/>
          <w:highlight w:val="none"/>
        </w:rPr>
        <w:fldChar w:fldCharType="separate"/>
      </w:r>
      <w:r>
        <w:rPr>
          <w:rFonts w:ascii="Times New Roman" w:hAnsi="Times New Roman"/>
          <w:i w:val="0"/>
          <w:iCs w:val="0"/>
          <w:color w:val="auto"/>
          <w:szCs w:val="24"/>
          <w:highlight w:val="none"/>
        </w:rPr>
        <w:t>2.4 指令和决定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_Toc21839 \h </w:instrText>
      </w:r>
      <w:r>
        <w:rPr>
          <w:i w:val="0"/>
          <w:iCs w:val="0"/>
          <w:color w:val="auto"/>
          <w:highlight w:val="none"/>
        </w:rPr>
        <w:fldChar w:fldCharType="separate"/>
      </w:r>
      <w:r>
        <w:rPr>
          <w:i w:val="0"/>
          <w:iCs w:val="0"/>
          <w:color w:val="auto"/>
          <w:highlight w:val="none"/>
        </w:rPr>
        <w:t>- 10 -</w:t>
      </w:r>
      <w:r>
        <w:rPr>
          <w:i w:val="0"/>
          <w:iCs w:val="0"/>
          <w:color w:val="auto"/>
          <w:highlight w:val="none"/>
        </w:rPr>
        <w:fldChar w:fldCharType="end"/>
      </w:r>
      <w:r>
        <w:rPr>
          <w:i w:val="0"/>
          <w:iCs w:val="0"/>
          <w:color w:val="auto"/>
          <w:highlight w:val="none"/>
        </w:rPr>
        <w:fldChar w:fldCharType="end"/>
      </w:r>
    </w:p>
    <w:p w14:paraId="6F3E634F">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"_Toc7753" </w:instrText>
      </w:r>
      <w:r>
        <w:rPr>
          <w:i w:val="0"/>
          <w:iCs w:val="0"/>
          <w:color w:val="auto"/>
          <w:highlight w:val="none"/>
        </w:rPr>
        <w:fldChar w:fldCharType="separate"/>
      </w:r>
      <w:r>
        <w:rPr>
          <w:rFonts w:ascii="Times New Roman" w:hAnsi="Times New Roman"/>
          <w:i w:val="0"/>
          <w:iCs w:val="0"/>
          <w:color w:val="auto"/>
          <w:szCs w:val="24"/>
          <w:highlight w:val="none"/>
        </w:rPr>
        <w:t>3. 分包人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_Toc7753 \h </w:instrText>
      </w:r>
      <w:r>
        <w:rPr>
          <w:i w:val="0"/>
          <w:iCs w:val="0"/>
          <w:color w:val="auto"/>
          <w:highlight w:val="none"/>
        </w:rPr>
        <w:fldChar w:fldCharType="separate"/>
      </w:r>
      <w:r>
        <w:rPr>
          <w:i w:val="0"/>
          <w:iCs w:val="0"/>
          <w:color w:val="auto"/>
          <w:highlight w:val="none"/>
        </w:rPr>
        <w:t>- 10 -</w:t>
      </w:r>
      <w:r>
        <w:rPr>
          <w:i w:val="0"/>
          <w:iCs w:val="0"/>
          <w:color w:val="auto"/>
          <w:highlight w:val="none"/>
        </w:rPr>
        <w:fldChar w:fldCharType="end"/>
      </w:r>
      <w:r>
        <w:rPr>
          <w:i w:val="0"/>
          <w:iCs w:val="0"/>
          <w:color w:val="auto"/>
          <w:highlight w:val="none"/>
        </w:rPr>
        <w:fldChar w:fldCharType="end"/>
      </w:r>
    </w:p>
    <w:p w14:paraId="7505511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"_Toc13352" </w:instrText>
      </w:r>
      <w:r>
        <w:rPr>
          <w:i w:val="0"/>
          <w:iCs w:val="0"/>
          <w:color w:val="auto"/>
          <w:highlight w:val="none"/>
        </w:rPr>
        <w:fldChar w:fldCharType="separate"/>
      </w:r>
      <w:r>
        <w:rPr>
          <w:rFonts w:ascii="Times New Roman" w:hAnsi="Times New Roman"/>
          <w:i w:val="0"/>
          <w:iCs w:val="0"/>
          <w:color w:val="auto"/>
          <w:szCs w:val="24"/>
          <w:highlight w:val="none"/>
        </w:rPr>
        <w:t>3.1 分包人的一般义务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_Toc13352 \h </w:instrText>
      </w:r>
      <w:r>
        <w:rPr>
          <w:i w:val="0"/>
          <w:iCs w:val="0"/>
          <w:color w:val="auto"/>
          <w:highlight w:val="none"/>
        </w:rPr>
        <w:fldChar w:fldCharType="separate"/>
      </w:r>
      <w:r>
        <w:rPr>
          <w:i w:val="0"/>
          <w:iCs w:val="0"/>
          <w:color w:val="auto"/>
          <w:highlight w:val="none"/>
        </w:rPr>
        <w:t>- 10 -</w:t>
      </w:r>
      <w:r>
        <w:rPr>
          <w:i w:val="0"/>
          <w:iCs w:val="0"/>
          <w:color w:val="auto"/>
          <w:highlight w:val="none"/>
        </w:rPr>
        <w:fldChar w:fldCharType="end"/>
      </w:r>
      <w:r>
        <w:rPr>
          <w:i w:val="0"/>
          <w:iCs w:val="0"/>
          <w:color w:val="auto"/>
          <w:highlight w:val="none"/>
        </w:rPr>
        <w:fldChar w:fldCharType="end"/>
      </w:r>
    </w:p>
    <w:p w14:paraId="3117D7B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"_Toc24533" </w:instrText>
      </w:r>
      <w:r>
        <w:rPr>
          <w:i w:val="0"/>
          <w:iCs w:val="0"/>
          <w:color w:val="auto"/>
          <w:highlight w:val="none"/>
        </w:rPr>
        <w:fldChar w:fldCharType="separate"/>
      </w:r>
      <w:r>
        <w:rPr>
          <w:rFonts w:ascii="Times New Roman" w:hAnsi="Times New Roman"/>
          <w:i w:val="0"/>
          <w:iCs w:val="0"/>
          <w:color w:val="auto"/>
          <w:szCs w:val="24"/>
          <w:highlight w:val="none"/>
        </w:rPr>
        <w:t>3.2 分包人项目经理</w:t>
      </w:r>
      <w:r>
        <w:rPr>
          <w:rFonts w:hint="eastAsia" w:ascii="Times New Roman" w:hAnsi="Times New Roman"/>
          <w:i w:val="0"/>
          <w:iCs w:val="0"/>
          <w:color w:val="auto"/>
          <w:szCs w:val="24"/>
          <w:highlight w:val="none"/>
        </w:rPr>
        <w:t>和其他主要项目管理人员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_Toc24533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i w:val="0"/>
          <w:iCs w:val="0"/>
          <w:color w:val="auto"/>
          <w:highlight w:val="none"/>
        </w:rPr>
        <w:fldChar w:fldCharType="end"/>
      </w:r>
    </w:p>
    <w:p w14:paraId="34F472C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"_Toc5596" </w:instrText>
      </w:r>
      <w:r>
        <w:rPr>
          <w:i w:val="0"/>
          <w:iCs w:val="0"/>
          <w:color w:val="auto"/>
          <w:highlight w:val="none"/>
        </w:rPr>
        <w:fldChar w:fldCharType="separate"/>
      </w:r>
      <w:r>
        <w:rPr>
          <w:rFonts w:ascii="Times New Roman" w:hAnsi="Times New Roman"/>
          <w:i w:val="0"/>
          <w:iCs w:val="0"/>
          <w:color w:val="auto"/>
          <w:szCs w:val="24"/>
          <w:highlight w:val="none"/>
        </w:rPr>
        <w:t>3.3</w:t>
      </w:r>
      <w:r>
        <w:rPr>
          <w:rFonts w:hint="eastAsia" w:ascii="Times New Roman" w:hAnsi="Times New Roman"/>
          <w:i w:val="0"/>
          <w:iCs w:val="0"/>
          <w:color w:val="auto"/>
          <w:szCs w:val="24"/>
          <w:highlight w:val="none"/>
        </w:rPr>
        <w:t xml:space="preserve"> </w:t>
      </w:r>
      <w:r>
        <w:rPr>
          <w:rFonts w:ascii="Times New Roman" w:hAnsi="Times New Roman"/>
          <w:i w:val="0"/>
          <w:iCs w:val="0"/>
          <w:color w:val="auto"/>
          <w:kern w:val="0"/>
          <w:szCs w:val="24"/>
          <w:highlight w:val="none"/>
        </w:rPr>
        <w:t>特殊工种上岗作业要求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_Toc5596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i w:val="0"/>
          <w:iCs w:val="0"/>
          <w:color w:val="auto"/>
          <w:highlight w:val="none"/>
        </w:rPr>
        <w:fldChar w:fldCharType="end"/>
      </w:r>
    </w:p>
    <w:p w14:paraId="71E3F51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"_Toc1487" </w:instrText>
      </w:r>
      <w:r>
        <w:rPr>
          <w:i w:val="0"/>
          <w:iCs w:val="0"/>
          <w:color w:val="auto"/>
          <w:highlight w:val="none"/>
        </w:rPr>
        <w:fldChar w:fldCharType="separate"/>
      </w:r>
      <w:r>
        <w:rPr>
          <w:rFonts w:ascii="Times New Roman" w:hAnsi="Times New Roman"/>
          <w:i w:val="0"/>
          <w:iCs w:val="0"/>
          <w:color w:val="auto"/>
          <w:szCs w:val="24"/>
          <w:highlight w:val="none"/>
        </w:rPr>
        <w:t>3.4 禁止转包和再分包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_Toc1487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1B0697E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"_Toc2128" </w:instrText>
      </w:r>
      <w:r>
        <w:rPr>
          <w:i w:val="0"/>
          <w:iCs w:val="0"/>
          <w:color w:val="auto"/>
          <w:highlight w:val="none"/>
        </w:rPr>
        <w:fldChar w:fldCharType="separate"/>
      </w:r>
      <w:r>
        <w:rPr>
          <w:rFonts w:ascii="Times New Roman" w:hAnsi="Times New Roman"/>
          <w:i w:val="0"/>
          <w:iCs w:val="0"/>
          <w:color w:val="auto"/>
          <w:szCs w:val="24"/>
          <w:highlight w:val="none"/>
        </w:rPr>
        <w:t>3.</w:t>
      </w:r>
      <w:r>
        <w:rPr>
          <w:rFonts w:hint="eastAsia" w:ascii="Times New Roman" w:hAnsi="Times New Roman"/>
          <w:i w:val="0"/>
          <w:iCs w:val="0"/>
          <w:color w:val="auto"/>
          <w:szCs w:val="24"/>
          <w:highlight w:val="none"/>
        </w:rPr>
        <w:t>5</w:t>
      </w:r>
      <w:r>
        <w:rPr>
          <w:rFonts w:ascii="Times New Roman" w:hAnsi="Times New Roman"/>
          <w:i w:val="0"/>
          <w:iCs w:val="0"/>
          <w:color w:val="auto"/>
          <w:szCs w:val="24"/>
          <w:highlight w:val="none"/>
        </w:rPr>
        <w:t xml:space="preserve"> 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_Toc2128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7BA5B98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"_Toc12400" </w:instrText>
      </w:r>
      <w:r>
        <w:rPr>
          <w:i w:val="0"/>
          <w:iCs w:val="0"/>
          <w:color w:val="auto"/>
          <w:highlight w:val="none"/>
        </w:rPr>
        <w:fldChar w:fldCharType="separate"/>
      </w:r>
      <w:r>
        <w:rPr>
          <w:rFonts w:ascii="Times New Roman" w:hAnsi="Times New Roman"/>
          <w:i w:val="0"/>
          <w:iCs w:val="0"/>
          <w:color w:val="auto"/>
          <w:szCs w:val="24"/>
          <w:highlight w:val="none"/>
        </w:rPr>
        <w:t>3.</w:t>
      </w:r>
      <w:r>
        <w:rPr>
          <w:rFonts w:hint="eastAsia" w:ascii="Times New Roman" w:hAnsi="Times New Roman"/>
          <w:i w:val="0"/>
          <w:iCs w:val="0"/>
          <w:color w:val="auto"/>
          <w:szCs w:val="24"/>
          <w:highlight w:val="none"/>
        </w:rPr>
        <w:t>6</w:t>
      </w:r>
      <w:r>
        <w:rPr>
          <w:rFonts w:ascii="Times New Roman" w:hAnsi="Times New Roman"/>
          <w:i w:val="0"/>
          <w:iCs w:val="0"/>
          <w:color w:val="auto"/>
          <w:szCs w:val="24"/>
          <w:highlight w:val="none"/>
        </w:rPr>
        <w:t xml:space="preserve"> 联合体</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_Toc12400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1BCD25F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"_Toc29977" </w:instrText>
      </w:r>
      <w:r>
        <w:rPr>
          <w:i w:val="0"/>
          <w:iCs w:val="0"/>
          <w:color w:val="auto"/>
          <w:highlight w:val="none"/>
        </w:rPr>
        <w:fldChar w:fldCharType="separate"/>
      </w:r>
      <w:r>
        <w:rPr>
          <w:rFonts w:ascii="Times New Roman" w:hAnsi="Times New Roman"/>
          <w:i w:val="0"/>
          <w:iCs w:val="0"/>
          <w:color w:val="auto"/>
          <w:szCs w:val="24"/>
          <w:highlight w:val="none"/>
        </w:rPr>
        <w:t>4. 总包合同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_Toc29977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7B463E6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"_Toc19507" </w:instrText>
      </w:r>
      <w:r>
        <w:rPr>
          <w:i w:val="0"/>
          <w:iCs w:val="0"/>
          <w:color w:val="auto"/>
          <w:highlight w:val="none"/>
        </w:rPr>
        <w:fldChar w:fldCharType="separate"/>
      </w:r>
      <w:r>
        <w:rPr>
          <w:rFonts w:ascii="Times New Roman" w:hAnsi="Times New Roman"/>
          <w:i w:val="0"/>
          <w:iCs w:val="0"/>
          <w:color w:val="auto"/>
          <w:szCs w:val="24"/>
          <w:highlight w:val="none"/>
        </w:rPr>
        <w:t>4.1 总包合同的</w:t>
      </w:r>
      <w:r>
        <w:rPr>
          <w:rFonts w:hint="eastAsia" w:ascii="Times New Roman" w:hAnsi="Times New Roman"/>
          <w:i w:val="0"/>
          <w:iCs w:val="0"/>
          <w:color w:val="auto"/>
          <w:szCs w:val="24"/>
          <w:highlight w:val="none"/>
        </w:rPr>
        <w:t>提供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_Toc19507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45DD294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"_Toc792" </w:instrText>
      </w:r>
      <w:r>
        <w:rPr>
          <w:i w:val="0"/>
          <w:iCs w:val="0"/>
          <w:color w:val="auto"/>
          <w:highlight w:val="none"/>
        </w:rPr>
        <w:fldChar w:fldCharType="separate"/>
      </w:r>
      <w:r>
        <w:rPr>
          <w:rFonts w:ascii="Times New Roman" w:hAnsi="Times New Roman"/>
          <w:i w:val="0"/>
          <w:iCs w:val="0"/>
          <w:color w:val="auto"/>
          <w:szCs w:val="24"/>
          <w:highlight w:val="none"/>
        </w:rPr>
        <w:t>4.2 与总包合同有关的分包人义务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_Toc792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5E8FB2A8">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"_Toc26494" </w:instrText>
      </w:r>
      <w:r>
        <w:rPr>
          <w:i w:val="0"/>
          <w:iCs w:val="0"/>
          <w:color w:val="auto"/>
          <w:highlight w:val="none"/>
        </w:rPr>
        <w:fldChar w:fldCharType="separate"/>
      </w:r>
      <w:r>
        <w:rPr>
          <w:rFonts w:ascii="Times New Roman" w:hAnsi="Times New Roman"/>
          <w:i w:val="0"/>
          <w:iCs w:val="0"/>
          <w:color w:val="auto"/>
          <w:szCs w:val="24"/>
          <w:highlight w:val="none"/>
        </w:rPr>
        <w:t>5. 分包工程质量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_Toc26494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2036EE5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"_Toc9724" </w:instrText>
      </w:r>
      <w:r>
        <w:rPr>
          <w:i w:val="0"/>
          <w:iCs w:val="0"/>
          <w:color w:val="auto"/>
          <w:highlight w:val="none"/>
        </w:rPr>
        <w:fldChar w:fldCharType="separate"/>
      </w:r>
      <w:r>
        <w:rPr>
          <w:rFonts w:ascii="Times New Roman" w:hAnsi="Times New Roman"/>
          <w:i w:val="0"/>
          <w:iCs w:val="0"/>
          <w:color w:val="auto"/>
          <w:szCs w:val="24"/>
          <w:highlight w:val="none"/>
        </w:rPr>
        <w:t>5.1 质量要求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_Toc9724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6554812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"_Toc21150" </w:instrText>
      </w:r>
      <w:r>
        <w:rPr>
          <w:i w:val="0"/>
          <w:iCs w:val="0"/>
          <w:color w:val="auto"/>
          <w:highlight w:val="none"/>
        </w:rPr>
        <w:fldChar w:fldCharType="separate"/>
      </w:r>
      <w:r>
        <w:rPr>
          <w:rFonts w:ascii="Times New Roman" w:hAnsi="Times New Roman"/>
          <w:i w:val="0"/>
          <w:iCs w:val="0"/>
          <w:color w:val="auto"/>
          <w:szCs w:val="24"/>
          <w:highlight w:val="none"/>
        </w:rPr>
        <w:t>5.2 分包人的质量管理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_Toc21150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i w:val="0"/>
          <w:iCs w:val="0"/>
          <w:color w:val="auto"/>
          <w:highlight w:val="none"/>
        </w:rPr>
        <w:fldChar w:fldCharType="end"/>
      </w:r>
    </w:p>
    <w:p w14:paraId="60425279">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"_Toc21202" </w:instrText>
      </w:r>
      <w:r>
        <w:rPr>
          <w:i w:val="0"/>
          <w:iCs w:val="0"/>
          <w:color w:val="auto"/>
          <w:highlight w:val="none"/>
        </w:rPr>
        <w:fldChar w:fldCharType="separate"/>
      </w:r>
      <w:r>
        <w:rPr>
          <w:rFonts w:ascii="Times New Roman" w:hAnsi="Times New Roman"/>
          <w:i w:val="0"/>
          <w:iCs w:val="0"/>
          <w:color w:val="auto"/>
          <w:szCs w:val="24"/>
          <w:highlight w:val="none"/>
        </w:rPr>
        <w:t>6. 安全文明施工、环境保护与劳动用工管理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_Toc21202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i w:val="0"/>
          <w:iCs w:val="0"/>
          <w:color w:val="auto"/>
          <w:highlight w:val="none"/>
        </w:rPr>
        <w:fldChar w:fldCharType="end"/>
      </w:r>
    </w:p>
    <w:p w14:paraId="4A5DC4A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"_Toc17563" </w:instrText>
      </w:r>
      <w:r>
        <w:rPr>
          <w:i w:val="0"/>
          <w:iCs w:val="0"/>
          <w:color w:val="auto"/>
          <w:highlight w:val="none"/>
        </w:rPr>
        <w:fldChar w:fldCharType="separate"/>
      </w:r>
      <w:r>
        <w:rPr>
          <w:rFonts w:ascii="Times New Roman" w:hAnsi="Times New Roman"/>
          <w:i w:val="0"/>
          <w:iCs w:val="0"/>
          <w:color w:val="auto"/>
          <w:szCs w:val="24"/>
          <w:highlight w:val="none"/>
        </w:rPr>
        <w:t>6.1 安全文明施工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_Toc17563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i w:val="0"/>
          <w:iCs w:val="0"/>
          <w:color w:val="auto"/>
          <w:highlight w:val="none"/>
        </w:rPr>
        <w:fldChar w:fldCharType="end"/>
      </w:r>
    </w:p>
    <w:p w14:paraId="771FFDB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"_Toc18948" </w:instrText>
      </w:r>
      <w:r>
        <w:rPr>
          <w:i w:val="0"/>
          <w:iCs w:val="0"/>
          <w:color w:val="auto"/>
          <w:highlight w:val="none"/>
        </w:rPr>
        <w:fldChar w:fldCharType="separate"/>
      </w:r>
      <w:r>
        <w:rPr>
          <w:rFonts w:ascii="Times New Roman" w:hAnsi="Times New Roman"/>
          <w:i w:val="0"/>
          <w:iCs w:val="0"/>
          <w:color w:val="auto"/>
          <w:szCs w:val="24"/>
          <w:highlight w:val="none"/>
        </w:rPr>
        <w:t>6.2 环境保护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_Toc18948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i w:val="0"/>
          <w:iCs w:val="0"/>
          <w:color w:val="auto"/>
          <w:highlight w:val="none"/>
        </w:rPr>
        <w:fldChar w:fldCharType="end"/>
      </w:r>
    </w:p>
    <w:p w14:paraId="1F5C54F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"_Toc21420" </w:instrText>
      </w:r>
      <w:r>
        <w:rPr>
          <w:i w:val="0"/>
          <w:iCs w:val="0"/>
          <w:color w:val="auto"/>
          <w:highlight w:val="none"/>
        </w:rPr>
        <w:fldChar w:fldCharType="separate"/>
      </w:r>
      <w:r>
        <w:rPr>
          <w:rFonts w:ascii="Times New Roman" w:hAnsi="Times New Roman"/>
          <w:i w:val="0"/>
          <w:iCs w:val="0"/>
          <w:color w:val="auto"/>
          <w:szCs w:val="24"/>
          <w:highlight w:val="none"/>
        </w:rPr>
        <w:t>6.3 劳动用工管理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_Toc21420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i w:val="0"/>
          <w:iCs w:val="0"/>
          <w:color w:val="auto"/>
          <w:highlight w:val="none"/>
        </w:rPr>
        <w:fldChar w:fldCharType="end"/>
      </w:r>
    </w:p>
    <w:p w14:paraId="69491A27">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"_Toc10878" </w:instrText>
      </w:r>
      <w:r>
        <w:rPr>
          <w:i w:val="0"/>
          <w:iCs w:val="0"/>
          <w:color w:val="auto"/>
          <w:highlight w:val="none"/>
        </w:rPr>
        <w:fldChar w:fldCharType="separate"/>
      </w:r>
      <w:r>
        <w:rPr>
          <w:rFonts w:ascii="Times New Roman" w:hAnsi="Times New Roman"/>
          <w:i w:val="0"/>
          <w:iCs w:val="0"/>
          <w:color w:val="auto"/>
          <w:szCs w:val="24"/>
          <w:highlight w:val="none"/>
        </w:rPr>
        <w:t>7. 工期和进度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_Toc10878 \h </w:instrText>
      </w:r>
      <w:r>
        <w:rPr>
          <w:i w:val="0"/>
          <w:iCs w:val="0"/>
          <w:color w:val="auto"/>
          <w:highlight w:val="none"/>
        </w:rPr>
        <w:fldChar w:fldCharType="separate"/>
      </w:r>
      <w:r>
        <w:rPr>
          <w:i w:val="0"/>
          <w:iCs w:val="0"/>
          <w:color w:val="auto"/>
          <w:highlight w:val="none"/>
        </w:rPr>
        <w:t>- 14 -</w:t>
      </w:r>
      <w:r>
        <w:rPr>
          <w:i w:val="0"/>
          <w:iCs w:val="0"/>
          <w:color w:val="auto"/>
          <w:highlight w:val="none"/>
        </w:rPr>
        <w:fldChar w:fldCharType="end"/>
      </w:r>
      <w:r>
        <w:rPr>
          <w:i w:val="0"/>
          <w:iCs w:val="0"/>
          <w:color w:val="auto"/>
          <w:highlight w:val="none"/>
        </w:rPr>
        <w:fldChar w:fldCharType="end"/>
      </w:r>
    </w:p>
    <w:p w14:paraId="17E0099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"_Toc18006" </w:instrText>
      </w:r>
      <w:r>
        <w:rPr>
          <w:i w:val="0"/>
          <w:iCs w:val="0"/>
          <w:color w:val="auto"/>
          <w:highlight w:val="none"/>
        </w:rPr>
        <w:fldChar w:fldCharType="separate"/>
      </w:r>
      <w:r>
        <w:rPr>
          <w:rFonts w:ascii="Times New Roman" w:hAnsi="Times New Roman"/>
          <w:i w:val="0"/>
          <w:iCs w:val="0"/>
          <w:color w:val="auto"/>
          <w:szCs w:val="24"/>
          <w:highlight w:val="none"/>
        </w:rPr>
        <w:t>7.1 施工组织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_Toc18006 \h </w:instrText>
      </w:r>
      <w:r>
        <w:rPr>
          <w:i w:val="0"/>
          <w:iCs w:val="0"/>
          <w:color w:val="auto"/>
          <w:highlight w:val="none"/>
        </w:rPr>
        <w:fldChar w:fldCharType="separate"/>
      </w:r>
      <w:r>
        <w:rPr>
          <w:i w:val="0"/>
          <w:iCs w:val="0"/>
          <w:color w:val="auto"/>
          <w:highlight w:val="none"/>
        </w:rPr>
        <w:t>- 14 -</w:t>
      </w:r>
      <w:r>
        <w:rPr>
          <w:i w:val="0"/>
          <w:iCs w:val="0"/>
          <w:color w:val="auto"/>
          <w:highlight w:val="none"/>
        </w:rPr>
        <w:fldChar w:fldCharType="end"/>
      </w:r>
      <w:r>
        <w:rPr>
          <w:i w:val="0"/>
          <w:iCs w:val="0"/>
          <w:color w:val="auto"/>
          <w:highlight w:val="none"/>
        </w:rPr>
        <w:fldChar w:fldCharType="end"/>
      </w:r>
    </w:p>
    <w:p w14:paraId="1836292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"_Toc24276" </w:instrText>
      </w:r>
      <w:r>
        <w:rPr>
          <w:i w:val="0"/>
          <w:iCs w:val="0"/>
          <w:color w:val="auto"/>
          <w:highlight w:val="none"/>
        </w:rPr>
        <w:fldChar w:fldCharType="separate"/>
      </w:r>
      <w:r>
        <w:rPr>
          <w:rFonts w:ascii="Times New Roman" w:hAnsi="Times New Roman"/>
          <w:i w:val="0"/>
          <w:iCs w:val="0"/>
          <w:color w:val="auto"/>
          <w:szCs w:val="24"/>
          <w:highlight w:val="none"/>
        </w:rPr>
        <w:t>7.2 开工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_Toc24276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i w:val="0"/>
          <w:iCs w:val="0"/>
          <w:color w:val="auto"/>
          <w:highlight w:val="none"/>
        </w:rPr>
        <w:fldChar w:fldCharType="end"/>
      </w:r>
    </w:p>
    <w:p w14:paraId="62CCCE3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"_Toc10874" </w:instrText>
      </w:r>
      <w:r>
        <w:rPr>
          <w:i w:val="0"/>
          <w:iCs w:val="0"/>
          <w:color w:val="auto"/>
          <w:highlight w:val="none"/>
        </w:rPr>
        <w:fldChar w:fldCharType="separate"/>
      </w:r>
      <w:r>
        <w:rPr>
          <w:rFonts w:ascii="Times New Roman" w:hAnsi="Times New Roman"/>
          <w:i w:val="0"/>
          <w:iCs w:val="0"/>
          <w:color w:val="auto"/>
          <w:szCs w:val="24"/>
          <w:highlight w:val="none"/>
        </w:rPr>
        <w:t>7.3 测量放线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_Toc10874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i w:val="0"/>
          <w:iCs w:val="0"/>
          <w:color w:val="auto"/>
          <w:highlight w:val="none"/>
        </w:rPr>
        <w:fldChar w:fldCharType="end"/>
      </w:r>
    </w:p>
    <w:p w14:paraId="2427A8D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"_Toc15505" </w:instrText>
      </w:r>
      <w:r>
        <w:rPr>
          <w:i w:val="0"/>
          <w:iCs w:val="0"/>
          <w:color w:val="auto"/>
          <w:highlight w:val="none"/>
        </w:rPr>
        <w:fldChar w:fldCharType="separate"/>
      </w:r>
      <w:r>
        <w:rPr>
          <w:rFonts w:ascii="Times New Roman" w:hAnsi="Times New Roman"/>
          <w:i w:val="0"/>
          <w:iCs w:val="0"/>
          <w:color w:val="auto"/>
          <w:szCs w:val="24"/>
          <w:highlight w:val="none"/>
        </w:rPr>
        <w:t>7.4 工期延误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_Toc15505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i w:val="0"/>
          <w:iCs w:val="0"/>
          <w:color w:val="auto"/>
          <w:highlight w:val="none"/>
        </w:rPr>
        <w:fldChar w:fldCharType="end"/>
      </w:r>
    </w:p>
    <w:p w14:paraId="7751621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"_Toc18914" </w:instrText>
      </w:r>
      <w:r>
        <w:rPr>
          <w:i w:val="0"/>
          <w:iCs w:val="0"/>
          <w:color w:val="auto"/>
          <w:highlight w:val="none"/>
        </w:rPr>
        <w:fldChar w:fldCharType="separate"/>
      </w:r>
      <w:r>
        <w:rPr>
          <w:rFonts w:ascii="Times New Roman" w:hAnsi="Times New Roman"/>
          <w:i w:val="0"/>
          <w:iCs w:val="0"/>
          <w:color w:val="auto"/>
          <w:szCs w:val="24"/>
          <w:highlight w:val="none"/>
        </w:rPr>
        <w:t>7.5 不利物质条件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_Toc18914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i w:val="0"/>
          <w:iCs w:val="0"/>
          <w:color w:val="auto"/>
          <w:highlight w:val="none"/>
        </w:rPr>
        <w:fldChar w:fldCharType="end"/>
      </w:r>
    </w:p>
    <w:p w14:paraId="76DC9B1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"_Toc12066" </w:instrText>
      </w:r>
      <w:r>
        <w:rPr>
          <w:i w:val="0"/>
          <w:iCs w:val="0"/>
          <w:color w:val="auto"/>
          <w:highlight w:val="none"/>
        </w:rPr>
        <w:fldChar w:fldCharType="separate"/>
      </w:r>
      <w:r>
        <w:rPr>
          <w:rFonts w:ascii="Times New Roman" w:hAnsi="Times New Roman"/>
          <w:i w:val="0"/>
          <w:iCs w:val="0"/>
          <w:color w:val="auto"/>
          <w:szCs w:val="24"/>
          <w:highlight w:val="none"/>
        </w:rPr>
        <w:t>7.6 异常恶劣的气候条件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_Toc12066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i w:val="0"/>
          <w:iCs w:val="0"/>
          <w:color w:val="auto"/>
          <w:highlight w:val="none"/>
        </w:rPr>
        <w:fldChar w:fldCharType="end"/>
      </w:r>
    </w:p>
    <w:p w14:paraId="6A3FFC0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"_Toc4097" </w:instrText>
      </w:r>
      <w:r>
        <w:rPr>
          <w:i w:val="0"/>
          <w:iCs w:val="0"/>
          <w:color w:val="auto"/>
          <w:highlight w:val="none"/>
        </w:rPr>
        <w:fldChar w:fldCharType="separate"/>
      </w:r>
      <w:r>
        <w:rPr>
          <w:rFonts w:ascii="Times New Roman" w:hAnsi="Times New Roman"/>
          <w:i w:val="0"/>
          <w:iCs w:val="0"/>
          <w:color w:val="auto"/>
          <w:szCs w:val="24"/>
          <w:highlight w:val="none"/>
        </w:rPr>
        <w:t>7.7 暂停施工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_Toc4097 \h </w:instrText>
      </w:r>
      <w:r>
        <w:rPr>
          <w:i w:val="0"/>
          <w:iCs w:val="0"/>
          <w:color w:val="auto"/>
          <w:highlight w:val="none"/>
        </w:rPr>
        <w:fldChar w:fldCharType="separate"/>
      </w:r>
      <w:r>
        <w:rPr>
          <w:i w:val="0"/>
          <w:iCs w:val="0"/>
          <w:color w:val="auto"/>
          <w:highlight w:val="none"/>
        </w:rPr>
        <w:t>- 16 -</w:t>
      </w:r>
      <w:r>
        <w:rPr>
          <w:i w:val="0"/>
          <w:iCs w:val="0"/>
          <w:color w:val="auto"/>
          <w:highlight w:val="none"/>
        </w:rPr>
        <w:fldChar w:fldCharType="end"/>
      </w:r>
      <w:r>
        <w:rPr>
          <w:i w:val="0"/>
          <w:iCs w:val="0"/>
          <w:color w:val="auto"/>
          <w:highlight w:val="none"/>
        </w:rPr>
        <w:fldChar w:fldCharType="end"/>
      </w:r>
    </w:p>
    <w:p w14:paraId="66094C24">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"_Toc21238" </w:instrText>
      </w:r>
      <w:r>
        <w:rPr>
          <w:i w:val="0"/>
          <w:iCs w:val="0"/>
          <w:color w:val="auto"/>
          <w:highlight w:val="none"/>
        </w:rPr>
        <w:fldChar w:fldCharType="separate"/>
      </w:r>
      <w:r>
        <w:rPr>
          <w:rFonts w:ascii="Times New Roman" w:hAnsi="Times New Roman"/>
          <w:i w:val="0"/>
          <w:iCs w:val="0"/>
          <w:color w:val="auto"/>
          <w:szCs w:val="24"/>
          <w:highlight w:val="none"/>
        </w:rPr>
        <w:t>8. 材料与设备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_Toc21238 \h </w:instrText>
      </w:r>
      <w:r>
        <w:rPr>
          <w:i w:val="0"/>
          <w:iCs w:val="0"/>
          <w:color w:val="auto"/>
          <w:highlight w:val="none"/>
        </w:rPr>
        <w:fldChar w:fldCharType="separate"/>
      </w:r>
      <w:r>
        <w:rPr>
          <w:i w:val="0"/>
          <w:iCs w:val="0"/>
          <w:color w:val="auto"/>
          <w:highlight w:val="none"/>
        </w:rPr>
        <w:t>- 16 -</w:t>
      </w:r>
      <w:r>
        <w:rPr>
          <w:i w:val="0"/>
          <w:iCs w:val="0"/>
          <w:color w:val="auto"/>
          <w:highlight w:val="none"/>
        </w:rPr>
        <w:fldChar w:fldCharType="end"/>
      </w:r>
      <w:r>
        <w:rPr>
          <w:i w:val="0"/>
          <w:iCs w:val="0"/>
          <w:color w:val="auto"/>
          <w:highlight w:val="none"/>
        </w:rPr>
        <w:fldChar w:fldCharType="end"/>
      </w:r>
    </w:p>
    <w:p w14:paraId="1AC1B86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"_Toc21262" </w:instrText>
      </w:r>
      <w:r>
        <w:rPr>
          <w:i w:val="0"/>
          <w:iCs w:val="0"/>
          <w:color w:val="auto"/>
          <w:highlight w:val="none"/>
        </w:rPr>
        <w:fldChar w:fldCharType="separate"/>
      </w:r>
      <w:r>
        <w:rPr>
          <w:rFonts w:ascii="Times New Roman" w:hAnsi="Times New Roman"/>
          <w:i w:val="0"/>
          <w:iCs w:val="0"/>
          <w:color w:val="auto"/>
          <w:szCs w:val="24"/>
          <w:highlight w:val="none"/>
        </w:rPr>
        <w:t>8.1 承包人供应材料与工程设备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_Toc21262 \h </w:instrText>
      </w:r>
      <w:r>
        <w:rPr>
          <w:i w:val="0"/>
          <w:iCs w:val="0"/>
          <w:color w:val="auto"/>
          <w:highlight w:val="none"/>
        </w:rPr>
        <w:fldChar w:fldCharType="separate"/>
      </w:r>
      <w:r>
        <w:rPr>
          <w:i w:val="0"/>
          <w:iCs w:val="0"/>
          <w:color w:val="auto"/>
          <w:highlight w:val="none"/>
        </w:rPr>
        <w:t>- 16 -</w:t>
      </w:r>
      <w:r>
        <w:rPr>
          <w:i w:val="0"/>
          <w:iCs w:val="0"/>
          <w:color w:val="auto"/>
          <w:highlight w:val="none"/>
        </w:rPr>
        <w:fldChar w:fldCharType="end"/>
      </w:r>
      <w:r>
        <w:rPr>
          <w:i w:val="0"/>
          <w:iCs w:val="0"/>
          <w:color w:val="auto"/>
          <w:highlight w:val="none"/>
        </w:rPr>
        <w:fldChar w:fldCharType="end"/>
      </w:r>
    </w:p>
    <w:p w14:paraId="3F54A54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"_Toc19151" </w:instrText>
      </w:r>
      <w:r>
        <w:rPr>
          <w:i w:val="0"/>
          <w:iCs w:val="0"/>
          <w:color w:val="auto"/>
          <w:highlight w:val="none"/>
        </w:rPr>
        <w:fldChar w:fldCharType="separate"/>
      </w:r>
      <w:r>
        <w:rPr>
          <w:rFonts w:ascii="Times New Roman" w:hAnsi="Times New Roman"/>
          <w:i w:val="0"/>
          <w:iCs w:val="0"/>
          <w:color w:val="auto"/>
          <w:szCs w:val="24"/>
          <w:highlight w:val="none"/>
        </w:rPr>
        <w:t xml:space="preserve">8.2 </w:t>
      </w:r>
      <w:r>
        <w:rPr>
          <w:rFonts w:hint="eastAsia" w:ascii="Times New Roman" w:hAnsi="Times New Roman"/>
          <w:i w:val="0"/>
          <w:iCs w:val="0"/>
          <w:color w:val="auto"/>
          <w:szCs w:val="24"/>
          <w:highlight w:val="none"/>
        </w:rPr>
        <w:t>分</w:t>
      </w:r>
      <w:r>
        <w:rPr>
          <w:rFonts w:ascii="Times New Roman" w:hAnsi="Times New Roman"/>
          <w:i w:val="0"/>
          <w:iCs w:val="0"/>
          <w:color w:val="auto"/>
          <w:szCs w:val="24"/>
          <w:highlight w:val="none"/>
        </w:rPr>
        <w:t>包人</w:t>
      </w:r>
      <w:r>
        <w:rPr>
          <w:rFonts w:hint="eastAsia" w:ascii="Times New Roman" w:hAnsi="Times New Roman"/>
          <w:i w:val="0"/>
          <w:iCs w:val="0"/>
          <w:color w:val="auto"/>
          <w:szCs w:val="24"/>
          <w:highlight w:val="none"/>
        </w:rPr>
        <w:t>供应</w:t>
      </w:r>
      <w:r>
        <w:rPr>
          <w:rFonts w:ascii="Times New Roman" w:hAnsi="Times New Roman"/>
          <w:i w:val="0"/>
          <w:iCs w:val="0"/>
          <w:color w:val="auto"/>
          <w:szCs w:val="24"/>
          <w:highlight w:val="none"/>
        </w:rPr>
        <w:t>材料与工程设备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_Toc19151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i w:val="0"/>
          <w:iCs w:val="0"/>
          <w:color w:val="auto"/>
          <w:highlight w:val="none"/>
        </w:rPr>
        <w:fldChar w:fldCharType="end"/>
      </w:r>
    </w:p>
    <w:p w14:paraId="7F1E5C0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"_Toc17058" </w:instrText>
      </w:r>
      <w:r>
        <w:rPr>
          <w:i w:val="0"/>
          <w:iCs w:val="0"/>
          <w:color w:val="auto"/>
          <w:highlight w:val="none"/>
        </w:rPr>
        <w:fldChar w:fldCharType="separate"/>
      </w:r>
      <w:r>
        <w:rPr>
          <w:rFonts w:ascii="Times New Roman" w:hAnsi="Times New Roman"/>
          <w:i w:val="0"/>
          <w:iCs w:val="0"/>
          <w:color w:val="auto"/>
          <w:szCs w:val="24"/>
          <w:highlight w:val="none"/>
        </w:rPr>
        <w:t>8.</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 xml:space="preserve"> 材料与工程设备的保管与使用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_Toc17058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i w:val="0"/>
          <w:iCs w:val="0"/>
          <w:color w:val="auto"/>
          <w:highlight w:val="none"/>
        </w:rPr>
        <w:fldChar w:fldCharType="end"/>
      </w:r>
    </w:p>
    <w:p w14:paraId="750CF02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"_Toc10323" </w:instrText>
      </w:r>
      <w:r>
        <w:rPr>
          <w:i w:val="0"/>
          <w:iCs w:val="0"/>
          <w:color w:val="auto"/>
          <w:highlight w:val="none"/>
        </w:rPr>
        <w:fldChar w:fldCharType="separate"/>
      </w:r>
      <w:r>
        <w:rPr>
          <w:rFonts w:ascii="Times New Roman" w:hAnsi="Times New Roman"/>
          <w:i w:val="0"/>
          <w:iCs w:val="0"/>
          <w:color w:val="auto"/>
          <w:szCs w:val="24"/>
          <w:highlight w:val="none"/>
        </w:rPr>
        <w:t>8.4 样品</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_Toc10323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i w:val="0"/>
          <w:iCs w:val="0"/>
          <w:color w:val="auto"/>
          <w:highlight w:val="none"/>
        </w:rPr>
        <w:fldChar w:fldCharType="end"/>
      </w:r>
    </w:p>
    <w:p w14:paraId="78F694C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"_Toc4214" </w:instrText>
      </w:r>
      <w:r>
        <w:rPr>
          <w:i w:val="0"/>
          <w:iCs w:val="0"/>
          <w:color w:val="auto"/>
          <w:highlight w:val="none"/>
        </w:rPr>
        <w:fldChar w:fldCharType="separate"/>
      </w:r>
      <w:r>
        <w:rPr>
          <w:rFonts w:ascii="Times New Roman" w:hAnsi="Times New Roman"/>
          <w:i w:val="0"/>
          <w:iCs w:val="0"/>
          <w:color w:val="auto"/>
          <w:szCs w:val="24"/>
          <w:highlight w:val="none"/>
        </w:rPr>
        <w:t>8.5 材料与工程设备的替代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_Toc4214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i w:val="0"/>
          <w:iCs w:val="0"/>
          <w:color w:val="auto"/>
          <w:highlight w:val="none"/>
        </w:rPr>
        <w:fldChar w:fldCharType="end"/>
      </w:r>
    </w:p>
    <w:p w14:paraId="5431020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"_Toc19031" </w:instrText>
      </w:r>
      <w:r>
        <w:rPr>
          <w:i w:val="0"/>
          <w:iCs w:val="0"/>
          <w:color w:val="auto"/>
          <w:highlight w:val="none"/>
        </w:rPr>
        <w:fldChar w:fldCharType="separate"/>
      </w:r>
      <w:r>
        <w:rPr>
          <w:rFonts w:ascii="Times New Roman" w:hAnsi="Times New Roman"/>
          <w:i w:val="0"/>
          <w:iCs w:val="0"/>
          <w:color w:val="auto"/>
          <w:szCs w:val="24"/>
          <w:highlight w:val="none"/>
        </w:rPr>
        <w:t>8.6 施工设备和临时设施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_Toc19031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i w:val="0"/>
          <w:iCs w:val="0"/>
          <w:color w:val="auto"/>
          <w:highlight w:val="none"/>
        </w:rPr>
        <w:fldChar w:fldCharType="end"/>
      </w:r>
    </w:p>
    <w:p w14:paraId="13E4F15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"_Toc19457" </w:instrText>
      </w:r>
      <w:r>
        <w:rPr>
          <w:i w:val="0"/>
          <w:iCs w:val="0"/>
          <w:color w:val="auto"/>
          <w:highlight w:val="none"/>
        </w:rPr>
        <w:fldChar w:fldCharType="separate"/>
      </w:r>
      <w:r>
        <w:rPr>
          <w:rFonts w:ascii="Times New Roman" w:hAnsi="Times New Roman"/>
          <w:i w:val="0"/>
          <w:iCs w:val="0"/>
          <w:color w:val="auto"/>
          <w:szCs w:val="24"/>
          <w:highlight w:val="none"/>
        </w:rPr>
        <w:t>8.7 材料与设备专用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_Toc19457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52D63000">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"_Toc26253" </w:instrText>
      </w:r>
      <w:r>
        <w:rPr>
          <w:i w:val="0"/>
          <w:iCs w:val="0"/>
          <w:color w:val="auto"/>
          <w:highlight w:val="none"/>
        </w:rPr>
        <w:fldChar w:fldCharType="separate"/>
      </w:r>
      <w:r>
        <w:rPr>
          <w:rFonts w:ascii="Times New Roman" w:hAnsi="Times New Roman"/>
          <w:i w:val="0"/>
          <w:iCs w:val="0"/>
          <w:color w:val="auto"/>
          <w:szCs w:val="24"/>
          <w:highlight w:val="none"/>
        </w:rPr>
        <w:t>9.</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试验和检验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_Toc26253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199A5867">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"_Toc28667" </w:instrText>
      </w:r>
      <w:r>
        <w:rPr>
          <w:i w:val="0"/>
          <w:iCs w:val="0"/>
          <w:color w:val="auto"/>
          <w:highlight w:val="none"/>
        </w:rPr>
        <w:fldChar w:fldCharType="separate"/>
      </w:r>
      <w:r>
        <w:rPr>
          <w:rFonts w:ascii="Times New Roman" w:hAnsi="Times New Roman"/>
          <w:i w:val="0"/>
          <w:iCs w:val="0"/>
          <w:color w:val="auto"/>
          <w:szCs w:val="24"/>
          <w:highlight w:val="none"/>
        </w:rPr>
        <w:t xml:space="preserve">10. </w:t>
      </w:r>
      <w:r>
        <w:rPr>
          <w:rFonts w:hint="eastAsia" w:ascii="Times New Roman" w:hAnsi="Times New Roman"/>
          <w:i w:val="0"/>
          <w:iCs w:val="0"/>
          <w:color w:val="auto"/>
          <w:szCs w:val="24"/>
          <w:highlight w:val="none"/>
        </w:rPr>
        <w:t>分包合同</w:t>
      </w:r>
      <w:r>
        <w:rPr>
          <w:rFonts w:ascii="Times New Roman" w:hAnsi="Times New Roman"/>
          <w:i w:val="0"/>
          <w:iCs w:val="0"/>
          <w:color w:val="auto"/>
          <w:szCs w:val="24"/>
          <w:highlight w:val="none"/>
        </w:rPr>
        <w:t>变更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_Toc28667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0133DBF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"_Toc24940" </w:instrText>
      </w:r>
      <w:r>
        <w:rPr>
          <w:i w:val="0"/>
          <w:iCs w:val="0"/>
          <w:color w:val="auto"/>
          <w:highlight w:val="none"/>
        </w:rPr>
        <w:fldChar w:fldCharType="separate"/>
      </w:r>
      <w:r>
        <w:rPr>
          <w:rFonts w:ascii="Times New Roman" w:hAnsi="Times New Roman"/>
          <w:i w:val="0"/>
          <w:iCs w:val="0"/>
          <w:color w:val="auto"/>
          <w:szCs w:val="24"/>
          <w:highlight w:val="none"/>
        </w:rPr>
        <w:t xml:space="preserve">10.1 </w:t>
      </w:r>
      <w:r>
        <w:rPr>
          <w:rFonts w:hint="eastAsia" w:ascii="Times New Roman" w:hAnsi="Times New Roman"/>
          <w:i w:val="0"/>
          <w:iCs w:val="0"/>
          <w:color w:val="auto"/>
          <w:szCs w:val="24"/>
          <w:highlight w:val="none"/>
        </w:rPr>
        <w:t>分包合同</w:t>
      </w:r>
      <w:r>
        <w:rPr>
          <w:rFonts w:ascii="Times New Roman" w:hAnsi="Times New Roman"/>
          <w:i w:val="0"/>
          <w:iCs w:val="0"/>
          <w:color w:val="auto"/>
          <w:szCs w:val="24"/>
          <w:highlight w:val="none"/>
        </w:rPr>
        <w:t>变更的范围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_Toc24940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710A88F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"_Toc22807" </w:instrText>
      </w:r>
      <w:r>
        <w:rPr>
          <w:i w:val="0"/>
          <w:iCs w:val="0"/>
          <w:color w:val="auto"/>
          <w:highlight w:val="none"/>
        </w:rPr>
        <w:fldChar w:fldCharType="separate"/>
      </w:r>
      <w:r>
        <w:rPr>
          <w:rFonts w:ascii="Times New Roman" w:hAnsi="Times New Roman"/>
          <w:i w:val="0"/>
          <w:iCs w:val="0"/>
          <w:color w:val="auto"/>
          <w:szCs w:val="24"/>
          <w:highlight w:val="none"/>
        </w:rPr>
        <w:t xml:space="preserve">10.2 </w:t>
      </w:r>
      <w:r>
        <w:rPr>
          <w:rFonts w:hint="eastAsia" w:ascii="Times New Roman" w:hAnsi="Times New Roman"/>
          <w:i w:val="0"/>
          <w:iCs w:val="0"/>
          <w:color w:val="auto"/>
          <w:szCs w:val="24"/>
          <w:highlight w:val="none"/>
        </w:rPr>
        <w:t>分包合同</w:t>
      </w:r>
      <w:r>
        <w:rPr>
          <w:rFonts w:ascii="Times New Roman" w:hAnsi="Times New Roman"/>
          <w:i w:val="0"/>
          <w:iCs w:val="0"/>
          <w:color w:val="auto"/>
          <w:szCs w:val="24"/>
          <w:highlight w:val="none"/>
        </w:rPr>
        <w:t>变更的提出和执行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_Toc22807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53BA8FB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"_Toc28302" </w:instrText>
      </w:r>
      <w:r>
        <w:rPr>
          <w:i w:val="0"/>
          <w:iCs w:val="0"/>
          <w:color w:val="auto"/>
          <w:highlight w:val="none"/>
        </w:rPr>
        <w:fldChar w:fldCharType="separate"/>
      </w:r>
      <w:r>
        <w:rPr>
          <w:rFonts w:ascii="Times New Roman" w:hAnsi="Times New Roman"/>
          <w:i w:val="0"/>
          <w:iCs w:val="0"/>
          <w:color w:val="auto"/>
          <w:szCs w:val="24"/>
          <w:highlight w:val="none"/>
        </w:rPr>
        <w:t xml:space="preserve">10.3 </w:t>
      </w:r>
      <w:r>
        <w:rPr>
          <w:rFonts w:hint="eastAsia" w:ascii="Times New Roman" w:hAnsi="Times New Roman"/>
          <w:i w:val="0"/>
          <w:iCs w:val="0"/>
          <w:color w:val="auto"/>
          <w:szCs w:val="24"/>
          <w:highlight w:val="none"/>
        </w:rPr>
        <w:t>分包合同</w:t>
      </w:r>
      <w:r>
        <w:rPr>
          <w:rFonts w:ascii="Times New Roman" w:hAnsi="Times New Roman"/>
          <w:i w:val="0"/>
          <w:iCs w:val="0"/>
          <w:color w:val="auto"/>
          <w:szCs w:val="24"/>
          <w:highlight w:val="none"/>
        </w:rPr>
        <w:t>变更估价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_Toc28302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i w:val="0"/>
          <w:iCs w:val="0"/>
          <w:color w:val="auto"/>
          <w:highlight w:val="none"/>
        </w:rPr>
        <w:fldChar w:fldCharType="end"/>
      </w:r>
    </w:p>
    <w:p w14:paraId="0564532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"_Toc22386" </w:instrText>
      </w:r>
      <w:r>
        <w:rPr>
          <w:i w:val="0"/>
          <w:iCs w:val="0"/>
          <w:color w:val="auto"/>
          <w:highlight w:val="none"/>
        </w:rPr>
        <w:fldChar w:fldCharType="separate"/>
      </w:r>
      <w:r>
        <w:rPr>
          <w:rFonts w:ascii="Times New Roman" w:hAnsi="Times New Roman"/>
          <w:i w:val="0"/>
          <w:iCs w:val="0"/>
          <w:color w:val="auto"/>
          <w:szCs w:val="24"/>
          <w:highlight w:val="none"/>
        </w:rPr>
        <w:t>10.4 分包人的合理化建议</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_Toc22386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i w:val="0"/>
          <w:iCs w:val="0"/>
          <w:color w:val="auto"/>
          <w:highlight w:val="none"/>
        </w:rPr>
        <w:fldChar w:fldCharType="end"/>
      </w:r>
    </w:p>
    <w:p w14:paraId="086AEF7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"_Toc1246" </w:instrText>
      </w:r>
      <w:r>
        <w:rPr>
          <w:i w:val="0"/>
          <w:iCs w:val="0"/>
          <w:color w:val="auto"/>
          <w:highlight w:val="none"/>
        </w:rPr>
        <w:fldChar w:fldCharType="separate"/>
      </w:r>
      <w:r>
        <w:rPr>
          <w:rFonts w:ascii="Times New Roman" w:hAnsi="Times New Roman"/>
          <w:i w:val="0"/>
          <w:iCs w:val="0"/>
          <w:color w:val="auto"/>
          <w:szCs w:val="24"/>
          <w:highlight w:val="none"/>
        </w:rPr>
        <w:t>10.5 变更引起的工期调整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_Toc1246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i w:val="0"/>
          <w:iCs w:val="0"/>
          <w:color w:val="auto"/>
          <w:highlight w:val="none"/>
        </w:rPr>
        <w:fldChar w:fldCharType="end"/>
      </w:r>
    </w:p>
    <w:p w14:paraId="2831B6E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"_Toc22659" </w:instrText>
      </w:r>
      <w:r>
        <w:rPr>
          <w:i w:val="0"/>
          <w:iCs w:val="0"/>
          <w:color w:val="auto"/>
          <w:highlight w:val="none"/>
        </w:rPr>
        <w:fldChar w:fldCharType="separate"/>
      </w:r>
      <w:r>
        <w:rPr>
          <w:rFonts w:ascii="Times New Roman" w:hAnsi="Times New Roman"/>
          <w:i w:val="0"/>
          <w:iCs w:val="0"/>
          <w:color w:val="auto"/>
          <w:szCs w:val="24"/>
          <w:highlight w:val="none"/>
        </w:rPr>
        <w:t>10.</w:t>
      </w:r>
      <w:r>
        <w:rPr>
          <w:rFonts w:hint="eastAsia" w:ascii="Times New Roman" w:hAnsi="Times New Roman"/>
          <w:i w:val="0"/>
          <w:iCs w:val="0"/>
          <w:color w:val="auto"/>
          <w:szCs w:val="24"/>
          <w:highlight w:val="none"/>
        </w:rPr>
        <w:t xml:space="preserve">6 </w:t>
      </w:r>
      <w:r>
        <w:rPr>
          <w:rFonts w:ascii="Times New Roman" w:hAnsi="Times New Roman"/>
          <w:i w:val="0"/>
          <w:iCs w:val="0"/>
          <w:color w:val="auto"/>
          <w:szCs w:val="24"/>
          <w:highlight w:val="none"/>
        </w:rPr>
        <w:t>计日工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_Toc22659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i w:val="0"/>
          <w:iCs w:val="0"/>
          <w:color w:val="auto"/>
          <w:highlight w:val="none"/>
        </w:rPr>
        <w:fldChar w:fldCharType="end"/>
      </w:r>
    </w:p>
    <w:p w14:paraId="53F08560">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"_Toc19782" </w:instrText>
      </w:r>
      <w:r>
        <w:rPr>
          <w:i w:val="0"/>
          <w:iCs w:val="0"/>
          <w:color w:val="auto"/>
          <w:highlight w:val="none"/>
        </w:rPr>
        <w:fldChar w:fldCharType="separate"/>
      </w:r>
      <w:r>
        <w:rPr>
          <w:rFonts w:ascii="Times New Roman" w:hAnsi="Times New Roman"/>
          <w:i w:val="0"/>
          <w:iCs w:val="0"/>
          <w:color w:val="auto"/>
          <w:szCs w:val="24"/>
          <w:highlight w:val="none"/>
        </w:rPr>
        <w:t>11. 合同价格</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_Toc19782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i w:val="0"/>
          <w:iCs w:val="0"/>
          <w:color w:val="auto"/>
          <w:highlight w:val="none"/>
        </w:rPr>
        <w:fldChar w:fldCharType="end"/>
      </w:r>
    </w:p>
    <w:p w14:paraId="2E093555">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"_Toc21913" </w:instrText>
      </w:r>
      <w:r>
        <w:rPr>
          <w:i w:val="0"/>
          <w:iCs w:val="0"/>
          <w:color w:val="auto"/>
          <w:highlight w:val="none"/>
        </w:rPr>
        <w:fldChar w:fldCharType="separate"/>
      </w:r>
      <w:r>
        <w:rPr>
          <w:rFonts w:ascii="Times New Roman" w:hAnsi="Times New Roman"/>
          <w:i w:val="0"/>
          <w:iCs w:val="0"/>
          <w:color w:val="auto"/>
          <w:szCs w:val="24"/>
          <w:highlight w:val="none"/>
        </w:rPr>
        <w:t>12. 价格调整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_Toc21913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i w:val="0"/>
          <w:iCs w:val="0"/>
          <w:color w:val="auto"/>
          <w:highlight w:val="none"/>
        </w:rPr>
        <w:fldChar w:fldCharType="end"/>
      </w:r>
    </w:p>
    <w:p w14:paraId="2E10BAD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"_Toc10174" </w:instrText>
      </w:r>
      <w:r>
        <w:rPr>
          <w:i w:val="0"/>
          <w:iCs w:val="0"/>
          <w:color w:val="auto"/>
          <w:highlight w:val="none"/>
        </w:rPr>
        <w:fldChar w:fldCharType="separate"/>
      </w:r>
      <w:r>
        <w:rPr>
          <w:rFonts w:ascii="Times New Roman" w:hAnsi="Times New Roman"/>
          <w:i w:val="0"/>
          <w:iCs w:val="0"/>
          <w:color w:val="auto"/>
          <w:szCs w:val="24"/>
          <w:highlight w:val="none"/>
        </w:rPr>
        <w:t>12.1 市场价格波动引起的调整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_Toc10174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i w:val="0"/>
          <w:iCs w:val="0"/>
          <w:color w:val="auto"/>
          <w:highlight w:val="none"/>
        </w:rPr>
        <w:fldChar w:fldCharType="end"/>
      </w:r>
    </w:p>
    <w:p w14:paraId="392DACC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"_Toc21281" </w:instrText>
      </w:r>
      <w:r>
        <w:rPr>
          <w:i w:val="0"/>
          <w:iCs w:val="0"/>
          <w:color w:val="auto"/>
          <w:highlight w:val="none"/>
        </w:rPr>
        <w:fldChar w:fldCharType="separate"/>
      </w:r>
      <w:r>
        <w:rPr>
          <w:rFonts w:ascii="Times New Roman" w:hAnsi="Times New Roman"/>
          <w:i w:val="0"/>
          <w:iCs w:val="0"/>
          <w:color w:val="auto"/>
          <w:szCs w:val="24"/>
          <w:highlight w:val="none"/>
        </w:rPr>
        <w:t>12.2 法律变化引起的调整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_Toc21281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i w:val="0"/>
          <w:iCs w:val="0"/>
          <w:color w:val="auto"/>
          <w:highlight w:val="none"/>
        </w:rPr>
        <w:fldChar w:fldCharType="end"/>
      </w:r>
    </w:p>
    <w:p w14:paraId="41E67C64">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"_Toc495" </w:instrText>
      </w:r>
      <w:r>
        <w:rPr>
          <w:i w:val="0"/>
          <w:iCs w:val="0"/>
          <w:color w:val="auto"/>
          <w:highlight w:val="none"/>
        </w:rPr>
        <w:fldChar w:fldCharType="separate"/>
      </w:r>
      <w:r>
        <w:rPr>
          <w:rFonts w:ascii="Times New Roman" w:hAnsi="Times New Roman"/>
          <w:i w:val="0"/>
          <w:iCs w:val="0"/>
          <w:color w:val="auto"/>
          <w:szCs w:val="24"/>
          <w:highlight w:val="none"/>
        </w:rPr>
        <w:t>13. 计量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_Toc495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i w:val="0"/>
          <w:iCs w:val="0"/>
          <w:color w:val="auto"/>
          <w:highlight w:val="none"/>
        </w:rPr>
        <w:fldChar w:fldCharType="end"/>
      </w:r>
    </w:p>
    <w:p w14:paraId="43E3687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"_Toc24399" </w:instrText>
      </w:r>
      <w:r>
        <w:rPr>
          <w:i w:val="0"/>
          <w:iCs w:val="0"/>
          <w:color w:val="auto"/>
          <w:highlight w:val="none"/>
        </w:rPr>
        <w:fldChar w:fldCharType="separate"/>
      </w:r>
      <w:r>
        <w:rPr>
          <w:rFonts w:ascii="Times New Roman" w:hAnsi="Times New Roman"/>
          <w:i w:val="0"/>
          <w:iCs w:val="0"/>
          <w:color w:val="auto"/>
          <w:szCs w:val="24"/>
          <w:highlight w:val="none"/>
        </w:rPr>
        <w:t>13.1 计量原则</w:t>
      </w:r>
      <w:r>
        <w:rPr>
          <w:rFonts w:hint="eastAsia" w:ascii="Times New Roman" w:hAnsi="Times New Roman"/>
          <w:i w:val="0"/>
          <w:iCs w:val="0"/>
          <w:color w:val="auto"/>
          <w:szCs w:val="24"/>
          <w:highlight w:val="none"/>
        </w:rPr>
        <w:t>和计量周期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_Toc24399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i w:val="0"/>
          <w:iCs w:val="0"/>
          <w:color w:val="auto"/>
          <w:highlight w:val="none"/>
        </w:rPr>
        <w:fldChar w:fldCharType="end"/>
      </w:r>
    </w:p>
    <w:p w14:paraId="321B4D2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"_Toc21443" </w:instrText>
      </w:r>
      <w:r>
        <w:rPr>
          <w:i w:val="0"/>
          <w:iCs w:val="0"/>
          <w:color w:val="auto"/>
          <w:highlight w:val="none"/>
        </w:rPr>
        <w:fldChar w:fldCharType="separate"/>
      </w:r>
      <w:r>
        <w:rPr>
          <w:rFonts w:ascii="Times New Roman" w:hAnsi="Times New Roman"/>
          <w:i w:val="0"/>
          <w:iCs w:val="0"/>
          <w:color w:val="auto"/>
          <w:szCs w:val="24"/>
          <w:highlight w:val="none"/>
        </w:rPr>
        <w:t>13.</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 xml:space="preserve"> 计量程序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_Toc21443 \h </w:instrText>
      </w:r>
      <w:r>
        <w:rPr>
          <w:i w:val="0"/>
          <w:iCs w:val="0"/>
          <w:color w:val="auto"/>
          <w:highlight w:val="none"/>
        </w:rPr>
        <w:fldChar w:fldCharType="separate"/>
      </w:r>
      <w:r>
        <w:rPr>
          <w:i w:val="0"/>
          <w:iCs w:val="0"/>
          <w:color w:val="auto"/>
          <w:highlight w:val="none"/>
        </w:rPr>
        <w:t>- 21 -</w:t>
      </w:r>
      <w:r>
        <w:rPr>
          <w:i w:val="0"/>
          <w:iCs w:val="0"/>
          <w:color w:val="auto"/>
          <w:highlight w:val="none"/>
        </w:rPr>
        <w:fldChar w:fldCharType="end"/>
      </w:r>
      <w:r>
        <w:rPr>
          <w:i w:val="0"/>
          <w:iCs w:val="0"/>
          <w:color w:val="auto"/>
          <w:highlight w:val="none"/>
        </w:rPr>
        <w:fldChar w:fldCharType="end"/>
      </w:r>
    </w:p>
    <w:p w14:paraId="6488D1D7">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"_Toc13022" </w:instrText>
      </w:r>
      <w:r>
        <w:rPr>
          <w:i w:val="0"/>
          <w:iCs w:val="0"/>
          <w:color w:val="auto"/>
          <w:highlight w:val="none"/>
        </w:rPr>
        <w:fldChar w:fldCharType="separate"/>
      </w:r>
      <w:r>
        <w:rPr>
          <w:rFonts w:ascii="Times New Roman" w:hAnsi="Times New Roman"/>
          <w:i w:val="0"/>
          <w:iCs w:val="0"/>
          <w:color w:val="auto"/>
          <w:szCs w:val="24"/>
          <w:highlight w:val="none"/>
        </w:rPr>
        <w:t>14. 工程款支付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_Toc13022 \h </w:instrText>
      </w:r>
      <w:r>
        <w:rPr>
          <w:i w:val="0"/>
          <w:iCs w:val="0"/>
          <w:color w:val="auto"/>
          <w:highlight w:val="none"/>
        </w:rPr>
        <w:fldChar w:fldCharType="separate"/>
      </w:r>
      <w:r>
        <w:rPr>
          <w:i w:val="0"/>
          <w:iCs w:val="0"/>
          <w:color w:val="auto"/>
          <w:highlight w:val="none"/>
        </w:rPr>
        <w:t>- 21 -</w:t>
      </w:r>
      <w:r>
        <w:rPr>
          <w:i w:val="0"/>
          <w:iCs w:val="0"/>
          <w:color w:val="auto"/>
          <w:highlight w:val="none"/>
        </w:rPr>
        <w:fldChar w:fldCharType="end"/>
      </w:r>
      <w:r>
        <w:rPr>
          <w:i w:val="0"/>
          <w:iCs w:val="0"/>
          <w:color w:val="auto"/>
          <w:highlight w:val="none"/>
        </w:rPr>
        <w:fldChar w:fldCharType="end"/>
      </w:r>
    </w:p>
    <w:p w14:paraId="0ADEA54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"_Toc31126" </w:instrText>
      </w:r>
      <w:r>
        <w:rPr>
          <w:i w:val="0"/>
          <w:iCs w:val="0"/>
          <w:color w:val="auto"/>
          <w:highlight w:val="none"/>
        </w:rPr>
        <w:fldChar w:fldCharType="separate"/>
      </w:r>
      <w:r>
        <w:rPr>
          <w:rFonts w:ascii="Times New Roman" w:hAnsi="Times New Roman"/>
          <w:i w:val="0"/>
          <w:iCs w:val="0"/>
          <w:color w:val="auto"/>
          <w:szCs w:val="24"/>
          <w:highlight w:val="none"/>
        </w:rPr>
        <w:t>14.1 预付款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_Toc31126 \h </w:instrText>
      </w:r>
      <w:r>
        <w:rPr>
          <w:i w:val="0"/>
          <w:iCs w:val="0"/>
          <w:color w:val="auto"/>
          <w:highlight w:val="none"/>
        </w:rPr>
        <w:fldChar w:fldCharType="separate"/>
      </w:r>
      <w:r>
        <w:rPr>
          <w:i w:val="0"/>
          <w:iCs w:val="0"/>
          <w:color w:val="auto"/>
          <w:highlight w:val="none"/>
        </w:rPr>
        <w:t>- 21 -</w:t>
      </w:r>
      <w:r>
        <w:rPr>
          <w:i w:val="0"/>
          <w:iCs w:val="0"/>
          <w:color w:val="auto"/>
          <w:highlight w:val="none"/>
        </w:rPr>
        <w:fldChar w:fldCharType="end"/>
      </w:r>
      <w:r>
        <w:rPr>
          <w:i w:val="0"/>
          <w:iCs w:val="0"/>
          <w:color w:val="auto"/>
          <w:highlight w:val="none"/>
        </w:rPr>
        <w:fldChar w:fldCharType="end"/>
      </w:r>
    </w:p>
    <w:p w14:paraId="3C37A8B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"_Toc27908" </w:instrText>
      </w:r>
      <w:r>
        <w:rPr>
          <w:i w:val="0"/>
          <w:iCs w:val="0"/>
          <w:color w:val="auto"/>
          <w:highlight w:val="none"/>
        </w:rPr>
        <w:fldChar w:fldCharType="separate"/>
      </w:r>
      <w:r>
        <w:rPr>
          <w:rFonts w:ascii="Times New Roman" w:hAnsi="Times New Roman"/>
          <w:i w:val="0"/>
          <w:iCs w:val="0"/>
          <w:color w:val="auto"/>
          <w:szCs w:val="24"/>
          <w:highlight w:val="none"/>
        </w:rPr>
        <w:t>14.2</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安全文明施工费的支付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_Toc27908 \h </w:instrText>
      </w:r>
      <w:r>
        <w:rPr>
          <w:i w:val="0"/>
          <w:iCs w:val="0"/>
          <w:color w:val="auto"/>
          <w:highlight w:val="none"/>
        </w:rPr>
        <w:fldChar w:fldCharType="separate"/>
      </w:r>
      <w:r>
        <w:rPr>
          <w:i w:val="0"/>
          <w:iCs w:val="0"/>
          <w:color w:val="auto"/>
          <w:highlight w:val="none"/>
        </w:rPr>
        <w:t>- 21 -</w:t>
      </w:r>
      <w:r>
        <w:rPr>
          <w:i w:val="0"/>
          <w:iCs w:val="0"/>
          <w:color w:val="auto"/>
          <w:highlight w:val="none"/>
        </w:rPr>
        <w:fldChar w:fldCharType="end"/>
      </w:r>
      <w:r>
        <w:rPr>
          <w:i w:val="0"/>
          <w:iCs w:val="0"/>
          <w:color w:val="auto"/>
          <w:highlight w:val="none"/>
        </w:rPr>
        <w:fldChar w:fldCharType="end"/>
      </w:r>
    </w:p>
    <w:p w14:paraId="511A3DF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"_Toc8428" </w:instrText>
      </w:r>
      <w:r>
        <w:rPr>
          <w:i w:val="0"/>
          <w:iCs w:val="0"/>
          <w:color w:val="auto"/>
          <w:highlight w:val="none"/>
        </w:rPr>
        <w:fldChar w:fldCharType="separate"/>
      </w:r>
      <w:r>
        <w:rPr>
          <w:rFonts w:ascii="Times New Roman" w:hAnsi="Times New Roman"/>
          <w:i w:val="0"/>
          <w:iCs w:val="0"/>
          <w:color w:val="auto"/>
          <w:szCs w:val="24"/>
          <w:highlight w:val="none"/>
        </w:rPr>
        <w:t>14.3 工程进度款支付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_Toc8428 \h </w:instrText>
      </w:r>
      <w:r>
        <w:rPr>
          <w:i w:val="0"/>
          <w:iCs w:val="0"/>
          <w:color w:val="auto"/>
          <w:highlight w:val="none"/>
        </w:rPr>
        <w:fldChar w:fldCharType="separate"/>
      </w:r>
      <w:r>
        <w:rPr>
          <w:i w:val="0"/>
          <w:iCs w:val="0"/>
          <w:color w:val="auto"/>
          <w:highlight w:val="none"/>
        </w:rPr>
        <w:t>- 21 -</w:t>
      </w:r>
      <w:r>
        <w:rPr>
          <w:i w:val="0"/>
          <w:iCs w:val="0"/>
          <w:color w:val="auto"/>
          <w:highlight w:val="none"/>
        </w:rPr>
        <w:fldChar w:fldCharType="end"/>
      </w:r>
      <w:r>
        <w:rPr>
          <w:i w:val="0"/>
          <w:iCs w:val="0"/>
          <w:color w:val="auto"/>
          <w:highlight w:val="none"/>
        </w:rPr>
        <w:fldChar w:fldCharType="end"/>
      </w:r>
    </w:p>
    <w:p w14:paraId="5BD9F16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"_Toc27595" </w:instrText>
      </w:r>
      <w:r>
        <w:rPr>
          <w:i w:val="0"/>
          <w:iCs w:val="0"/>
          <w:color w:val="auto"/>
          <w:highlight w:val="none"/>
        </w:rPr>
        <w:fldChar w:fldCharType="separate"/>
      </w:r>
      <w:r>
        <w:rPr>
          <w:rFonts w:ascii="Times New Roman" w:hAnsi="Times New Roman"/>
          <w:i w:val="0"/>
          <w:iCs w:val="0"/>
          <w:color w:val="auto"/>
          <w:szCs w:val="24"/>
          <w:highlight w:val="none"/>
        </w:rPr>
        <w:t>14.4 支付账户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_Toc27595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5DCDE5D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"_Toc25559" </w:instrText>
      </w:r>
      <w:r>
        <w:rPr>
          <w:i w:val="0"/>
          <w:iCs w:val="0"/>
          <w:color w:val="auto"/>
          <w:highlight w:val="none"/>
        </w:rPr>
        <w:fldChar w:fldCharType="separate"/>
      </w:r>
      <w:r>
        <w:rPr>
          <w:rFonts w:hint="eastAsia" w:ascii="Times New Roman" w:hAnsi="Times New Roman"/>
          <w:i w:val="0"/>
          <w:iCs w:val="0"/>
          <w:color w:val="auto"/>
          <w:szCs w:val="24"/>
          <w:highlight w:val="none"/>
        </w:rPr>
        <w:t>14.5 支付条件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_Toc25559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45EDDFDA">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"_Toc20583" </w:instrText>
      </w:r>
      <w:r>
        <w:rPr>
          <w:i w:val="0"/>
          <w:iCs w:val="0"/>
          <w:color w:val="auto"/>
          <w:highlight w:val="none"/>
        </w:rPr>
        <w:fldChar w:fldCharType="separate"/>
      </w:r>
      <w:r>
        <w:rPr>
          <w:rFonts w:ascii="Times New Roman" w:hAnsi="Times New Roman"/>
          <w:i w:val="0"/>
          <w:iCs w:val="0"/>
          <w:color w:val="auto"/>
          <w:szCs w:val="24"/>
          <w:highlight w:val="none"/>
        </w:rPr>
        <w:t>15. 成品保护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_Toc20583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478A287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"_Toc15216" </w:instrText>
      </w:r>
      <w:r>
        <w:rPr>
          <w:i w:val="0"/>
          <w:iCs w:val="0"/>
          <w:color w:val="auto"/>
          <w:highlight w:val="none"/>
        </w:rPr>
        <w:fldChar w:fldCharType="separate"/>
      </w:r>
      <w:r>
        <w:rPr>
          <w:rFonts w:ascii="Times New Roman" w:hAnsi="Times New Roman"/>
          <w:i w:val="0"/>
          <w:iCs w:val="0"/>
          <w:color w:val="auto"/>
          <w:szCs w:val="24"/>
          <w:highlight w:val="none"/>
        </w:rPr>
        <w:t>15.1 分包工程的成品保护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_Toc15216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5961470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"_Toc17640" </w:instrText>
      </w:r>
      <w:r>
        <w:rPr>
          <w:i w:val="0"/>
          <w:iCs w:val="0"/>
          <w:color w:val="auto"/>
          <w:highlight w:val="none"/>
        </w:rPr>
        <w:fldChar w:fldCharType="separate"/>
      </w:r>
      <w:r>
        <w:rPr>
          <w:rFonts w:ascii="Times New Roman" w:hAnsi="Times New Roman"/>
          <w:i w:val="0"/>
          <w:iCs w:val="0"/>
          <w:color w:val="auto"/>
          <w:szCs w:val="24"/>
          <w:highlight w:val="none"/>
        </w:rPr>
        <w:t>15.2 其它工程的成品保护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_Toc17640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301A511C">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"_Toc14973" </w:instrText>
      </w:r>
      <w:r>
        <w:rPr>
          <w:i w:val="0"/>
          <w:iCs w:val="0"/>
          <w:color w:val="auto"/>
          <w:highlight w:val="none"/>
        </w:rPr>
        <w:fldChar w:fldCharType="separate"/>
      </w:r>
      <w:r>
        <w:rPr>
          <w:rFonts w:ascii="Times New Roman" w:hAnsi="Times New Roman"/>
          <w:i w:val="0"/>
          <w:iCs w:val="0"/>
          <w:color w:val="auto"/>
          <w:szCs w:val="24"/>
          <w:highlight w:val="none"/>
        </w:rPr>
        <w:t>16. 试车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_Toc14973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18BFB5F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"_Toc3762" </w:instrText>
      </w:r>
      <w:r>
        <w:rPr>
          <w:i w:val="0"/>
          <w:iCs w:val="0"/>
          <w:color w:val="auto"/>
          <w:highlight w:val="none"/>
        </w:rPr>
        <w:fldChar w:fldCharType="separate"/>
      </w:r>
      <w:r>
        <w:rPr>
          <w:rFonts w:ascii="Times New Roman" w:hAnsi="Times New Roman"/>
          <w:i w:val="0"/>
          <w:iCs w:val="0"/>
          <w:color w:val="auto"/>
          <w:szCs w:val="24"/>
          <w:highlight w:val="none"/>
        </w:rPr>
        <w:t>16.1</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试车的组织和配合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_Toc3762 \h </w:instrText>
      </w:r>
      <w:r>
        <w:rPr>
          <w:i w:val="0"/>
          <w:iCs w:val="0"/>
          <w:color w:val="auto"/>
          <w:highlight w:val="none"/>
        </w:rPr>
        <w:fldChar w:fldCharType="separate"/>
      </w:r>
      <w:r>
        <w:rPr>
          <w:i w:val="0"/>
          <w:iCs w:val="0"/>
          <w:color w:val="auto"/>
          <w:highlight w:val="none"/>
        </w:rPr>
        <w:t>- 23 -</w:t>
      </w:r>
      <w:r>
        <w:rPr>
          <w:i w:val="0"/>
          <w:iCs w:val="0"/>
          <w:color w:val="auto"/>
          <w:highlight w:val="none"/>
        </w:rPr>
        <w:fldChar w:fldCharType="end"/>
      </w:r>
      <w:r>
        <w:rPr>
          <w:i w:val="0"/>
          <w:iCs w:val="0"/>
          <w:color w:val="auto"/>
          <w:highlight w:val="none"/>
        </w:rPr>
        <w:fldChar w:fldCharType="end"/>
      </w:r>
    </w:p>
    <w:p w14:paraId="28456FD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"_Toc29282" </w:instrText>
      </w:r>
      <w:r>
        <w:rPr>
          <w:i w:val="0"/>
          <w:iCs w:val="0"/>
          <w:color w:val="auto"/>
          <w:highlight w:val="none"/>
        </w:rPr>
        <w:fldChar w:fldCharType="separate"/>
      </w:r>
      <w:r>
        <w:rPr>
          <w:rFonts w:ascii="Times New Roman" w:hAnsi="Times New Roman"/>
          <w:i w:val="0"/>
          <w:iCs w:val="0"/>
          <w:color w:val="auto"/>
          <w:szCs w:val="24"/>
          <w:highlight w:val="none"/>
        </w:rPr>
        <w:t>16.2 试车的费用承担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_Toc29282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i w:val="0"/>
          <w:iCs w:val="0"/>
          <w:color w:val="auto"/>
          <w:highlight w:val="none"/>
        </w:rPr>
        <w:fldChar w:fldCharType="end"/>
      </w:r>
    </w:p>
    <w:p w14:paraId="7952BA9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"_Toc26841" </w:instrText>
      </w:r>
      <w:r>
        <w:rPr>
          <w:i w:val="0"/>
          <w:iCs w:val="0"/>
          <w:color w:val="auto"/>
          <w:highlight w:val="none"/>
        </w:rPr>
        <w:fldChar w:fldCharType="separate"/>
      </w:r>
      <w:r>
        <w:rPr>
          <w:rFonts w:ascii="Times New Roman" w:hAnsi="Times New Roman"/>
          <w:i w:val="0"/>
          <w:iCs w:val="0"/>
          <w:color w:val="auto"/>
          <w:szCs w:val="24"/>
          <w:highlight w:val="none"/>
        </w:rPr>
        <w:t>16.3</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试车中的责任</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_Toc26841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i w:val="0"/>
          <w:iCs w:val="0"/>
          <w:color w:val="auto"/>
          <w:highlight w:val="none"/>
        </w:rPr>
        <w:fldChar w:fldCharType="end"/>
      </w:r>
    </w:p>
    <w:p w14:paraId="70B4B75B">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"_Toc6546" </w:instrText>
      </w:r>
      <w:r>
        <w:rPr>
          <w:i w:val="0"/>
          <w:iCs w:val="0"/>
          <w:color w:val="auto"/>
          <w:highlight w:val="none"/>
        </w:rPr>
        <w:fldChar w:fldCharType="separate"/>
      </w:r>
      <w:r>
        <w:rPr>
          <w:rFonts w:ascii="Times New Roman" w:hAnsi="Times New Roman"/>
          <w:i w:val="0"/>
          <w:iCs w:val="0"/>
          <w:color w:val="auto"/>
          <w:szCs w:val="24"/>
          <w:highlight w:val="none"/>
        </w:rPr>
        <w:t>17. 完工验收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_Toc6546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i w:val="0"/>
          <w:iCs w:val="0"/>
          <w:color w:val="auto"/>
          <w:highlight w:val="none"/>
        </w:rPr>
        <w:fldChar w:fldCharType="end"/>
      </w:r>
    </w:p>
    <w:p w14:paraId="39D581D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"_Toc8448" </w:instrText>
      </w:r>
      <w:r>
        <w:rPr>
          <w:i w:val="0"/>
          <w:iCs w:val="0"/>
          <w:color w:val="auto"/>
          <w:highlight w:val="none"/>
        </w:rPr>
        <w:fldChar w:fldCharType="separate"/>
      </w:r>
      <w:r>
        <w:rPr>
          <w:rFonts w:ascii="Times New Roman" w:hAnsi="Times New Roman"/>
          <w:i w:val="0"/>
          <w:iCs w:val="0"/>
          <w:color w:val="auto"/>
          <w:szCs w:val="24"/>
          <w:highlight w:val="none"/>
        </w:rPr>
        <w:t>17.1 完工验收条件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_Toc8448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i w:val="0"/>
          <w:iCs w:val="0"/>
          <w:color w:val="auto"/>
          <w:highlight w:val="none"/>
        </w:rPr>
        <w:fldChar w:fldCharType="end"/>
      </w:r>
    </w:p>
    <w:p w14:paraId="027DB2D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"_Toc31768" </w:instrText>
      </w:r>
      <w:r>
        <w:rPr>
          <w:i w:val="0"/>
          <w:iCs w:val="0"/>
          <w:color w:val="auto"/>
          <w:highlight w:val="none"/>
        </w:rPr>
        <w:fldChar w:fldCharType="separate"/>
      </w:r>
      <w:r>
        <w:rPr>
          <w:rFonts w:ascii="Times New Roman" w:hAnsi="Times New Roman"/>
          <w:i w:val="0"/>
          <w:iCs w:val="0"/>
          <w:color w:val="auto"/>
          <w:szCs w:val="24"/>
          <w:highlight w:val="none"/>
        </w:rPr>
        <w:t>17.2</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完工验收程序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_Toc31768 \h </w:instrText>
      </w:r>
      <w:r>
        <w:rPr>
          <w:i w:val="0"/>
          <w:iCs w:val="0"/>
          <w:color w:val="auto"/>
          <w:highlight w:val="none"/>
        </w:rPr>
        <w:fldChar w:fldCharType="separate"/>
      </w:r>
      <w:r>
        <w:rPr>
          <w:i w:val="0"/>
          <w:iCs w:val="0"/>
          <w:color w:val="auto"/>
          <w:highlight w:val="none"/>
        </w:rPr>
        <w:t>- 24 -</w:t>
      </w:r>
      <w:r>
        <w:rPr>
          <w:i w:val="0"/>
          <w:iCs w:val="0"/>
          <w:color w:val="auto"/>
          <w:highlight w:val="none"/>
        </w:rPr>
        <w:fldChar w:fldCharType="end"/>
      </w:r>
      <w:r>
        <w:rPr>
          <w:i w:val="0"/>
          <w:iCs w:val="0"/>
          <w:color w:val="auto"/>
          <w:highlight w:val="none"/>
        </w:rPr>
        <w:fldChar w:fldCharType="end"/>
      </w:r>
    </w:p>
    <w:p w14:paraId="7E8F8B3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"_Toc7193" </w:instrText>
      </w:r>
      <w:r>
        <w:rPr>
          <w:i w:val="0"/>
          <w:iCs w:val="0"/>
          <w:color w:val="auto"/>
          <w:highlight w:val="none"/>
        </w:rPr>
        <w:fldChar w:fldCharType="separate"/>
      </w:r>
      <w:r>
        <w:rPr>
          <w:rFonts w:ascii="Times New Roman" w:hAnsi="Times New Roman"/>
          <w:i w:val="0"/>
          <w:iCs w:val="0"/>
          <w:color w:val="auto"/>
          <w:szCs w:val="24"/>
          <w:highlight w:val="none"/>
        </w:rPr>
        <w:t>17.3</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完工日期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_Toc7193 \h </w:instrText>
      </w:r>
      <w:r>
        <w:rPr>
          <w:i w:val="0"/>
          <w:iCs w:val="0"/>
          <w:color w:val="auto"/>
          <w:highlight w:val="none"/>
        </w:rPr>
        <w:fldChar w:fldCharType="separate"/>
      </w:r>
      <w:r>
        <w:rPr>
          <w:i w:val="0"/>
          <w:iCs w:val="0"/>
          <w:color w:val="auto"/>
          <w:highlight w:val="none"/>
        </w:rPr>
        <w:t>- 25 -</w:t>
      </w:r>
      <w:r>
        <w:rPr>
          <w:i w:val="0"/>
          <w:iCs w:val="0"/>
          <w:color w:val="auto"/>
          <w:highlight w:val="none"/>
        </w:rPr>
        <w:fldChar w:fldCharType="end"/>
      </w:r>
      <w:r>
        <w:rPr>
          <w:i w:val="0"/>
          <w:iCs w:val="0"/>
          <w:color w:val="auto"/>
          <w:highlight w:val="none"/>
        </w:rPr>
        <w:fldChar w:fldCharType="end"/>
      </w:r>
    </w:p>
    <w:p w14:paraId="21A6A5F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"_Toc22508" </w:instrText>
      </w:r>
      <w:r>
        <w:rPr>
          <w:i w:val="0"/>
          <w:iCs w:val="0"/>
          <w:color w:val="auto"/>
          <w:highlight w:val="none"/>
        </w:rPr>
        <w:fldChar w:fldCharType="separate"/>
      </w:r>
      <w:r>
        <w:rPr>
          <w:rFonts w:ascii="Times New Roman" w:hAnsi="Times New Roman"/>
          <w:i w:val="0"/>
          <w:iCs w:val="0"/>
          <w:color w:val="auto"/>
          <w:szCs w:val="24"/>
          <w:highlight w:val="none"/>
        </w:rPr>
        <w:t>17.4 完工退场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_Toc22508 \h </w:instrText>
      </w:r>
      <w:r>
        <w:rPr>
          <w:i w:val="0"/>
          <w:iCs w:val="0"/>
          <w:color w:val="auto"/>
          <w:highlight w:val="none"/>
        </w:rPr>
        <w:fldChar w:fldCharType="separate"/>
      </w:r>
      <w:r>
        <w:rPr>
          <w:i w:val="0"/>
          <w:iCs w:val="0"/>
          <w:color w:val="auto"/>
          <w:highlight w:val="none"/>
        </w:rPr>
        <w:t>- 25 -</w:t>
      </w:r>
      <w:r>
        <w:rPr>
          <w:i w:val="0"/>
          <w:iCs w:val="0"/>
          <w:color w:val="auto"/>
          <w:highlight w:val="none"/>
        </w:rPr>
        <w:fldChar w:fldCharType="end"/>
      </w:r>
      <w:r>
        <w:rPr>
          <w:i w:val="0"/>
          <w:iCs w:val="0"/>
          <w:color w:val="auto"/>
          <w:highlight w:val="none"/>
        </w:rPr>
        <w:fldChar w:fldCharType="end"/>
      </w:r>
    </w:p>
    <w:p w14:paraId="2CF6BE4D">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"_Toc478" </w:instrText>
      </w:r>
      <w:r>
        <w:rPr>
          <w:i w:val="0"/>
          <w:iCs w:val="0"/>
          <w:color w:val="auto"/>
          <w:highlight w:val="none"/>
        </w:rPr>
        <w:fldChar w:fldCharType="separate"/>
      </w:r>
      <w:r>
        <w:rPr>
          <w:rFonts w:ascii="Times New Roman" w:hAnsi="Times New Roman"/>
          <w:i w:val="0"/>
          <w:iCs w:val="0"/>
          <w:color w:val="auto"/>
          <w:szCs w:val="24"/>
          <w:highlight w:val="none"/>
        </w:rPr>
        <w:t>18. 分包工程移交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_Toc478 \h </w:instrText>
      </w:r>
      <w:r>
        <w:rPr>
          <w:i w:val="0"/>
          <w:iCs w:val="0"/>
          <w:color w:val="auto"/>
          <w:highlight w:val="none"/>
        </w:rPr>
        <w:fldChar w:fldCharType="separate"/>
      </w:r>
      <w:r>
        <w:rPr>
          <w:i w:val="0"/>
          <w:iCs w:val="0"/>
          <w:color w:val="auto"/>
          <w:highlight w:val="none"/>
        </w:rPr>
        <w:t>- 25 -</w:t>
      </w:r>
      <w:r>
        <w:rPr>
          <w:i w:val="0"/>
          <w:iCs w:val="0"/>
          <w:color w:val="auto"/>
          <w:highlight w:val="none"/>
        </w:rPr>
        <w:fldChar w:fldCharType="end"/>
      </w:r>
      <w:r>
        <w:rPr>
          <w:i w:val="0"/>
          <w:iCs w:val="0"/>
          <w:color w:val="auto"/>
          <w:highlight w:val="none"/>
        </w:rPr>
        <w:fldChar w:fldCharType="end"/>
      </w:r>
    </w:p>
    <w:p w14:paraId="598212B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"_Toc6394" </w:instrText>
      </w:r>
      <w:r>
        <w:rPr>
          <w:i w:val="0"/>
          <w:iCs w:val="0"/>
          <w:color w:val="auto"/>
          <w:highlight w:val="none"/>
        </w:rPr>
        <w:fldChar w:fldCharType="separate"/>
      </w:r>
      <w:r>
        <w:rPr>
          <w:rFonts w:ascii="Times New Roman" w:hAnsi="Times New Roman"/>
          <w:i w:val="0"/>
          <w:iCs w:val="0"/>
          <w:color w:val="auto"/>
          <w:szCs w:val="24"/>
          <w:highlight w:val="none"/>
        </w:rPr>
        <w:t>18.1 分包工程移交时间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_Toc6394 \h </w:instrText>
      </w:r>
      <w:r>
        <w:rPr>
          <w:i w:val="0"/>
          <w:iCs w:val="0"/>
          <w:color w:val="auto"/>
          <w:highlight w:val="none"/>
        </w:rPr>
        <w:fldChar w:fldCharType="separate"/>
      </w:r>
      <w:r>
        <w:rPr>
          <w:i w:val="0"/>
          <w:iCs w:val="0"/>
          <w:color w:val="auto"/>
          <w:highlight w:val="none"/>
        </w:rPr>
        <w:t>- 25 -</w:t>
      </w:r>
      <w:r>
        <w:rPr>
          <w:i w:val="0"/>
          <w:iCs w:val="0"/>
          <w:color w:val="auto"/>
          <w:highlight w:val="none"/>
        </w:rPr>
        <w:fldChar w:fldCharType="end"/>
      </w:r>
      <w:r>
        <w:rPr>
          <w:i w:val="0"/>
          <w:iCs w:val="0"/>
          <w:color w:val="auto"/>
          <w:highlight w:val="none"/>
        </w:rPr>
        <w:fldChar w:fldCharType="end"/>
      </w:r>
    </w:p>
    <w:p w14:paraId="50960DC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"_Toc19773" </w:instrText>
      </w:r>
      <w:r>
        <w:rPr>
          <w:i w:val="0"/>
          <w:iCs w:val="0"/>
          <w:color w:val="auto"/>
          <w:highlight w:val="none"/>
        </w:rPr>
        <w:fldChar w:fldCharType="separate"/>
      </w:r>
      <w:r>
        <w:rPr>
          <w:rFonts w:ascii="Times New Roman" w:hAnsi="Times New Roman"/>
          <w:i w:val="0"/>
          <w:iCs w:val="0"/>
          <w:color w:val="auto"/>
          <w:szCs w:val="24"/>
          <w:highlight w:val="none"/>
        </w:rPr>
        <w:t>18.2 拒绝接收全部或部分分包工程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_Toc19773 \h </w:instrText>
      </w:r>
      <w:r>
        <w:rPr>
          <w:i w:val="0"/>
          <w:iCs w:val="0"/>
          <w:color w:val="auto"/>
          <w:highlight w:val="none"/>
        </w:rPr>
        <w:fldChar w:fldCharType="separate"/>
      </w:r>
      <w:r>
        <w:rPr>
          <w:i w:val="0"/>
          <w:iCs w:val="0"/>
          <w:color w:val="auto"/>
          <w:highlight w:val="none"/>
        </w:rPr>
        <w:t>- 25 -</w:t>
      </w:r>
      <w:r>
        <w:rPr>
          <w:i w:val="0"/>
          <w:iCs w:val="0"/>
          <w:color w:val="auto"/>
          <w:highlight w:val="none"/>
        </w:rPr>
        <w:fldChar w:fldCharType="end"/>
      </w:r>
      <w:r>
        <w:rPr>
          <w:i w:val="0"/>
          <w:iCs w:val="0"/>
          <w:color w:val="auto"/>
          <w:highlight w:val="none"/>
        </w:rPr>
        <w:fldChar w:fldCharType="end"/>
      </w:r>
    </w:p>
    <w:p w14:paraId="5B1460E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"_Toc23138" </w:instrText>
      </w:r>
      <w:r>
        <w:rPr>
          <w:i w:val="0"/>
          <w:iCs w:val="0"/>
          <w:color w:val="auto"/>
          <w:highlight w:val="none"/>
        </w:rPr>
        <w:fldChar w:fldCharType="separate"/>
      </w:r>
      <w:r>
        <w:rPr>
          <w:rFonts w:ascii="Times New Roman" w:hAnsi="Times New Roman"/>
          <w:i w:val="0"/>
          <w:iCs w:val="0"/>
          <w:color w:val="auto"/>
          <w:szCs w:val="24"/>
          <w:highlight w:val="none"/>
        </w:rPr>
        <w:t>19. 结算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_Toc23138 \h </w:instrText>
      </w:r>
      <w:r>
        <w:rPr>
          <w:i w:val="0"/>
          <w:iCs w:val="0"/>
          <w:color w:val="auto"/>
          <w:highlight w:val="none"/>
        </w:rPr>
        <w:fldChar w:fldCharType="separate"/>
      </w:r>
      <w:r>
        <w:rPr>
          <w:i w:val="0"/>
          <w:iCs w:val="0"/>
          <w:color w:val="auto"/>
          <w:highlight w:val="none"/>
        </w:rPr>
        <w:t>- 26 -</w:t>
      </w:r>
      <w:r>
        <w:rPr>
          <w:i w:val="0"/>
          <w:iCs w:val="0"/>
          <w:color w:val="auto"/>
          <w:highlight w:val="none"/>
        </w:rPr>
        <w:fldChar w:fldCharType="end"/>
      </w:r>
      <w:r>
        <w:rPr>
          <w:i w:val="0"/>
          <w:iCs w:val="0"/>
          <w:color w:val="auto"/>
          <w:highlight w:val="none"/>
        </w:rPr>
        <w:fldChar w:fldCharType="end"/>
      </w:r>
    </w:p>
    <w:p w14:paraId="166A60F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"_Toc12566" </w:instrText>
      </w:r>
      <w:r>
        <w:rPr>
          <w:i w:val="0"/>
          <w:iCs w:val="0"/>
          <w:color w:val="auto"/>
          <w:highlight w:val="none"/>
        </w:rPr>
        <w:fldChar w:fldCharType="separate"/>
      </w:r>
      <w:r>
        <w:rPr>
          <w:rFonts w:ascii="Times New Roman" w:hAnsi="Times New Roman"/>
          <w:i w:val="0"/>
          <w:iCs w:val="0"/>
          <w:color w:val="auto"/>
          <w:szCs w:val="24"/>
          <w:highlight w:val="none"/>
        </w:rPr>
        <w:t>19.1</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结算申请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_Toc12566 \h </w:instrText>
      </w:r>
      <w:r>
        <w:rPr>
          <w:i w:val="0"/>
          <w:iCs w:val="0"/>
          <w:color w:val="auto"/>
          <w:highlight w:val="none"/>
        </w:rPr>
        <w:fldChar w:fldCharType="separate"/>
      </w:r>
      <w:r>
        <w:rPr>
          <w:i w:val="0"/>
          <w:iCs w:val="0"/>
          <w:color w:val="auto"/>
          <w:highlight w:val="none"/>
        </w:rPr>
        <w:t>- 26 -</w:t>
      </w:r>
      <w:r>
        <w:rPr>
          <w:i w:val="0"/>
          <w:iCs w:val="0"/>
          <w:color w:val="auto"/>
          <w:highlight w:val="none"/>
        </w:rPr>
        <w:fldChar w:fldCharType="end"/>
      </w:r>
      <w:r>
        <w:rPr>
          <w:i w:val="0"/>
          <w:iCs w:val="0"/>
          <w:color w:val="auto"/>
          <w:highlight w:val="none"/>
        </w:rPr>
        <w:fldChar w:fldCharType="end"/>
      </w:r>
    </w:p>
    <w:p w14:paraId="7586005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"_Toc32443" </w:instrText>
      </w:r>
      <w:r>
        <w:rPr>
          <w:i w:val="0"/>
          <w:iCs w:val="0"/>
          <w:color w:val="auto"/>
          <w:highlight w:val="none"/>
        </w:rPr>
        <w:fldChar w:fldCharType="separate"/>
      </w:r>
      <w:r>
        <w:rPr>
          <w:rFonts w:ascii="Times New Roman" w:hAnsi="Times New Roman"/>
          <w:i w:val="0"/>
          <w:iCs w:val="0"/>
          <w:color w:val="auto"/>
          <w:szCs w:val="24"/>
          <w:highlight w:val="none"/>
        </w:rPr>
        <w:t>19.2 结算审核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_Toc32443 \h </w:instrText>
      </w:r>
      <w:r>
        <w:rPr>
          <w:i w:val="0"/>
          <w:iCs w:val="0"/>
          <w:color w:val="auto"/>
          <w:highlight w:val="none"/>
        </w:rPr>
        <w:fldChar w:fldCharType="separate"/>
      </w:r>
      <w:r>
        <w:rPr>
          <w:i w:val="0"/>
          <w:iCs w:val="0"/>
          <w:color w:val="auto"/>
          <w:highlight w:val="none"/>
        </w:rPr>
        <w:t>- 26 -</w:t>
      </w:r>
      <w:r>
        <w:rPr>
          <w:i w:val="0"/>
          <w:iCs w:val="0"/>
          <w:color w:val="auto"/>
          <w:highlight w:val="none"/>
        </w:rPr>
        <w:fldChar w:fldCharType="end"/>
      </w:r>
      <w:r>
        <w:rPr>
          <w:i w:val="0"/>
          <w:iCs w:val="0"/>
          <w:color w:val="auto"/>
          <w:highlight w:val="none"/>
        </w:rPr>
        <w:fldChar w:fldCharType="end"/>
      </w:r>
    </w:p>
    <w:p w14:paraId="47FB55A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"_Toc31741" </w:instrText>
      </w:r>
      <w:r>
        <w:rPr>
          <w:i w:val="0"/>
          <w:iCs w:val="0"/>
          <w:color w:val="auto"/>
          <w:highlight w:val="none"/>
        </w:rPr>
        <w:fldChar w:fldCharType="separate"/>
      </w:r>
      <w:r>
        <w:rPr>
          <w:rFonts w:ascii="Times New Roman" w:hAnsi="Times New Roman"/>
          <w:i w:val="0"/>
          <w:iCs w:val="0"/>
          <w:color w:val="auto"/>
          <w:szCs w:val="24"/>
          <w:highlight w:val="none"/>
        </w:rPr>
        <w:t>19.3 最终结清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_Toc31741 \h </w:instrText>
      </w:r>
      <w:r>
        <w:rPr>
          <w:i w:val="0"/>
          <w:iCs w:val="0"/>
          <w:color w:val="auto"/>
          <w:highlight w:val="none"/>
        </w:rPr>
        <w:fldChar w:fldCharType="separate"/>
      </w:r>
      <w:r>
        <w:rPr>
          <w:i w:val="0"/>
          <w:iCs w:val="0"/>
          <w:color w:val="auto"/>
          <w:highlight w:val="none"/>
        </w:rPr>
        <w:t>- 27 -</w:t>
      </w:r>
      <w:r>
        <w:rPr>
          <w:i w:val="0"/>
          <w:iCs w:val="0"/>
          <w:color w:val="auto"/>
          <w:highlight w:val="none"/>
        </w:rPr>
        <w:fldChar w:fldCharType="end"/>
      </w:r>
      <w:r>
        <w:rPr>
          <w:i w:val="0"/>
          <w:iCs w:val="0"/>
          <w:color w:val="auto"/>
          <w:highlight w:val="none"/>
        </w:rPr>
        <w:fldChar w:fldCharType="end"/>
      </w:r>
    </w:p>
    <w:p w14:paraId="4894CEBE">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"_Toc32600" </w:instrText>
      </w:r>
      <w:r>
        <w:rPr>
          <w:i w:val="0"/>
          <w:iCs w:val="0"/>
          <w:color w:val="auto"/>
          <w:highlight w:val="none"/>
        </w:rPr>
        <w:fldChar w:fldCharType="separate"/>
      </w:r>
      <w:r>
        <w:rPr>
          <w:rFonts w:ascii="Times New Roman" w:hAnsi="Times New Roman"/>
          <w:i w:val="0"/>
          <w:iCs w:val="0"/>
          <w:color w:val="auto"/>
          <w:szCs w:val="24"/>
          <w:highlight w:val="none"/>
        </w:rPr>
        <w:t>20. 缺陷责任期与保修期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_Toc32600 \h </w:instrText>
      </w:r>
      <w:r>
        <w:rPr>
          <w:i w:val="0"/>
          <w:iCs w:val="0"/>
          <w:color w:val="auto"/>
          <w:highlight w:val="none"/>
        </w:rPr>
        <w:fldChar w:fldCharType="separate"/>
      </w:r>
      <w:r>
        <w:rPr>
          <w:i w:val="0"/>
          <w:iCs w:val="0"/>
          <w:color w:val="auto"/>
          <w:highlight w:val="none"/>
        </w:rPr>
        <w:t>- 27 -</w:t>
      </w:r>
      <w:r>
        <w:rPr>
          <w:i w:val="0"/>
          <w:iCs w:val="0"/>
          <w:color w:val="auto"/>
          <w:highlight w:val="none"/>
        </w:rPr>
        <w:fldChar w:fldCharType="end"/>
      </w:r>
      <w:r>
        <w:rPr>
          <w:i w:val="0"/>
          <w:iCs w:val="0"/>
          <w:color w:val="auto"/>
          <w:highlight w:val="none"/>
        </w:rPr>
        <w:fldChar w:fldCharType="end"/>
      </w:r>
    </w:p>
    <w:p w14:paraId="1162C3A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"_Toc15060" </w:instrText>
      </w:r>
      <w:r>
        <w:rPr>
          <w:i w:val="0"/>
          <w:iCs w:val="0"/>
          <w:color w:val="auto"/>
          <w:highlight w:val="none"/>
        </w:rPr>
        <w:fldChar w:fldCharType="separate"/>
      </w:r>
      <w:r>
        <w:rPr>
          <w:rFonts w:ascii="Times New Roman" w:hAnsi="Times New Roman"/>
          <w:i w:val="0"/>
          <w:iCs w:val="0"/>
          <w:color w:val="auto"/>
          <w:szCs w:val="24"/>
          <w:highlight w:val="none"/>
        </w:rPr>
        <w:t>20.1 缺陷责任期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_Toc15060 \h </w:instrText>
      </w:r>
      <w:r>
        <w:rPr>
          <w:i w:val="0"/>
          <w:iCs w:val="0"/>
          <w:color w:val="auto"/>
          <w:highlight w:val="none"/>
        </w:rPr>
        <w:fldChar w:fldCharType="separate"/>
      </w:r>
      <w:r>
        <w:rPr>
          <w:i w:val="0"/>
          <w:iCs w:val="0"/>
          <w:color w:val="auto"/>
          <w:highlight w:val="none"/>
        </w:rPr>
        <w:t>- 27 -</w:t>
      </w:r>
      <w:r>
        <w:rPr>
          <w:i w:val="0"/>
          <w:iCs w:val="0"/>
          <w:color w:val="auto"/>
          <w:highlight w:val="none"/>
        </w:rPr>
        <w:fldChar w:fldCharType="end"/>
      </w:r>
      <w:r>
        <w:rPr>
          <w:i w:val="0"/>
          <w:iCs w:val="0"/>
          <w:color w:val="auto"/>
          <w:highlight w:val="none"/>
        </w:rPr>
        <w:fldChar w:fldCharType="end"/>
      </w:r>
    </w:p>
    <w:p w14:paraId="4123F68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"_Toc21225" </w:instrText>
      </w:r>
      <w:r>
        <w:rPr>
          <w:i w:val="0"/>
          <w:iCs w:val="0"/>
          <w:color w:val="auto"/>
          <w:highlight w:val="none"/>
        </w:rPr>
        <w:fldChar w:fldCharType="separate"/>
      </w:r>
      <w:r>
        <w:rPr>
          <w:rFonts w:ascii="Times New Roman" w:hAnsi="Times New Roman"/>
          <w:i w:val="0"/>
          <w:iCs w:val="0"/>
          <w:color w:val="auto"/>
          <w:szCs w:val="24"/>
          <w:highlight w:val="none"/>
        </w:rPr>
        <w:t>20.2 保修期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_Toc21225 \h </w:instrText>
      </w:r>
      <w:r>
        <w:rPr>
          <w:i w:val="0"/>
          <w:iCs w:val="0"/>
          <w:color w:val="auto"/>
          <w:highlight w:val="none"/>
        </w:rPr>
        <w:fldChar w:fldCharType="separate"/>
      </w:r>
      <w:r>
        <w:rPr>
          <w:i w:val="0"/>
          <w:iCs w:val="0"/>
          <w:color w:val="auto"/>
          <w:highlight w:val="none"/>
        </w:rPr>
        <w:t>- 27 -</w:t>
      </w:r>
      <w:r>
        <w:rPr>
          <w:i w:val="0"/>
          <w:iCs w:val="0"/>
          <w:color w:val="auto"/>
          <w:highlight w:val="none"/>
        </w:rPr>
        <w:fldChar w:fldCharType="end"/>
      </w:r>
      <w:r>
        <w:rPr>
          <w:i w:val="0"/>
          <w:iCs w:val="0"/>
          <w:color w:val="auto"/>
          <w:highlight w:val="none"/>
        </w:rPr>
        <w:fldChar w:fldCharType="end"/>
      </w:r>
    </w:p>
    <w:p w14:paraId="6050E5F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"_Toc6527" </w:instrText>
      </w:r>
      <w:r>
        <w:rPr>
          <w:i w:val="0"/>
          <w:iCs w:val="0"/>
          <w:color w:val="auto"/>
          <w:highlight w:val="none"/>
        </w:rPr>
        <w:fldChar w:fldCharType="separate"/>
      </w:r>
      <w:r>
        <w:rPr>
          <w:rFonts w:ascii="Times New Roman" w:hAnsi="Times New Roman"/>
          <w:i w:val="0"/>
          <w:iCs w:val="0"/>
          <w:color w:val="auto"/>
          <w:szCs w:val="24"/>
          <w:highlight w:val="none"/>
        </w:rPr>
        <w:t>20.3 质量保证金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_Toc6527 \h </w:instrText>
      </w:r>
      <w:r>
        <w:rPr>
          <w:i w:val="0"/>
          <w:iCs w:val="0"/>
          <w:color w:val="auto"/>
          <w:highlight w:val="none"/>
        </w:rPr>
        <w:fldChar w:fldCharType="separate"/>
      </w:r>
      <w:r>
        <w:rPr>
          <w:i w:val="0"/>
          <w:iCs w:val="0"/>
          <w:color w:val="auto"/>
          <w:highlight w:val="none"/>
        </w:rPr>
        <w:t>- 28 -</w:t>
      </w:r>
      <w:r>
        <w:rPr>
          <w:i w:val="0"/>
          <w:iCs w:val="0"/>
          <w:color w:val="auto"/>
          <w:highlight w:val="none"/>
        </w:rPr>
        <w:fldChar w:fldCharType="end"/>
      </w:r>
      <w:r>
        <w:rPr>
          <w:i w:val="0"/>
          <w:iCs w:val="0"/>
          <w:color w:val="auto"/>
          <w:highlight w:val="none"/>
        </w:rPr>
        <w:fldChar w:fldCharType="end"/>
      </w:r>
    </w:p>
    <w:p w14:paraId="66AA0BE7">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"_Toc3564" </w:instrText>
      </w:r>
      <w:r>
        <w:rPr>
          <w:i w:val="0"/>
          <w:iCs w:val="0"/>
          <w:color w:val="auto"/>
          <w:highlight w:val="none"/>
        </w:rPr>
        <w:fldChar w:fldCharType="separate"/>
      </w:r>
      <w:r>
        <w:rPr>
          <w:rFonts w:ascii="Times New Roman" w:hAnsi="Times New Roman"/>
          <w:i w:val="0"/>
          <w:iCs w:val="0"/>
          <w:color w:val="auto"/>
          <w:szCs w:val="24"/>
          <w:highlight w:val="none"/>
        </w:rPr>
        <w:t>21. 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_Toc3564 \h </w:instrText>
      </w:r>
      <w:r>
        <w:rPr>
          <w:i w:val="0"/>
          <w:iCs w:val="0"/>
          <w:color w:val="auto"/>
          <w:highlight w:val="none"/>
        </w:rPr>
        <w:fldChar w:fldCharType="separate"/>
      </w:r>
      <w:r>
        <w:rPr>
          <w:i w:val="0"/>
          <w:iCs w:val="0"/>
          <w:color w:val="auto"/>
          <w:highlight w:val="none"/>
        </w:rPr>
        <w:t>- 28 -</w:t>
      </w:r>
      <w:r>
        <w:rPr>
          <w:i w:val="0"/>
          <w:iCs w:val="0"/>
          <w:color w:val="auto"/>
          <w:highlight w:val="none"/>
        </w:rPr>
        <w:fldChar w:fldCharType="end"/>
      </w:r>
      <w:r>
        <w:rPr>
          <w:i w:val="0"/>
          <w:iCs w:val="0"/>
          <w:color w:val="auto"/>
          <w:highlight w:val="none"/>
        </w:rPr>
        <w:fldChar w:fldCharType="end"/>
      </w:r>
    </w:p>
    <w:p w14:paraId="4B2F446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"_Toc14855" </w:instrText>
      </w:r>
      <w:r>
        <w:rPr>
          <w:i w:val="0"/>
          <w:iCs w:val="0"/>
          <w:color w:val="auto"/>
          <w:highlight w:val="none"/>
        </w:rPr>
        <w:fldChar w:fldCharType="separate"/>
      </w:r>
      <w:r>
        <w:rPr>
          <w:rFonts w:ascii="Times New Roman" w:hAnsi="Times New Roman"/>
          <w:i w:val="0"/>
          <w:iCs w:val="0"/>
          <w:color w:val="auto"/>
          <w:szCs w:val="24"/>
          <w:highlight w:val="none"/>
        </w:rPr>
        <w:t>21.1 承包人违约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_Toc14855 \h </w:instrText>
      </w:r>
      <w:r>
        <w:rPr>
          <w:i w:val="0"/>
          <w:iCs w:val="0"/>
          <w:color w:val="auto"/>
          <w:highlight w:val="none"/>
        </w:rPr>
        <w:fldChar w:fldCharType="separate"/>
      </w:r>
      <w:r>
        <w:rPr>
          <w:i w:val="0"/>
          <w:iCs w:val="0"/>
          <w:color w:val="auto"/>
          <w:highlight w:val="none"/>
        </w:rPr>
        <w:t>- 28 -</w:t>
      </w:r>
      <w:r>
        <w:rPr>
          <w:i w:val="0"/>
          <w:iCs w:val="0"/>
          <w:color w:val="auto"/>
          <w:highlight w:val="none"/>
        </w:rPr>
        <w:fldChar w:fldCharType="end"/>
      </w:r>
      <w:r>
        <w:rPr>
          <w:i w:val="0"/>
          <w:iCs w:val="0"/>
          <w:color w:val="auto"/>
          <w:highlight w:val="none"/>
        </w:rPr>
        <w:fldChar w:fldCharType="end"/>
      </w:r>
    </w:p>
    <w:p w14:paraId="5428DA6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"_Toc13250" </w:instrText>
      </w:r>
      <w:r>
        <w:rPr>
          <w:i w:val="0"/>
          <w:iCs w:val="0"/>
          <w:color w:val="auto"/>
          <w:highlight w:val="none"/>
        </w:rPr>
        <w:fldChar w:fldCharType="separate"/>
      </w:r>
      <w:r>
        <w:rPr>
          <w:rFonts w:ascii="Times New Roman" w:hAnsi="Times New Roman"/>
          <w:i w:val="0"/>
          <w:iCs w:val="0"/>
          <w:color w:val="auto"/>
          <w:szCs w:val="24"/>
          <w:highlight w:val="none"/>
        </w:rPr>
        <w:t>21.2 分包人违约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_Toc13250 \h </w:instrText>
      </w:r>
      <w:r>
        <w:rPr>
          <w:i w:val="0"/>
          <w:iCs w:val="0"/>
          <w:color w:val="auto"/>
          <w:highlight w:val="none"/>
        </w:rPr>
        <w:fldChar w:fldCharType="separate"/>
      </w:r>
      <w:r>
        <w:rPr>
          <w:i w:val="0"/>
          <w:iCs w:val="0"/>
          <w:color w:val="auto"/>
          <w:highlight w:val="none"/>
        </w:rPr>
        <w:t>- 28 -</w:t>
      </w:r>
      <w:r>
        <w:rPr>
          <w:i w:val="0"/>
          <w:iCs w:val="0"/>
          <w:color w:val="auto"/>
          <w:highlight w:val="none"/>
        </w:rPr>
        <w:fldChar w:fldCharType="end"/>
      </w:r>
      <w:r>
        <w:rPr>
          <w:i w:val="0"/>
          <w:iCs w:val="0"/>
          <w:color w:val="auto"/>
          <w:highlight w:val="none"/>
        </w:rPr>
        <w:fldChar w:fldCharType="end"/>
      </w:r>
    </w:p>
    <w:p w14:paraId="43CA35B4">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"_Toc15833" </w:instrText>
      </w:r>
      <w:r>
        <w:rPr>
          <w:i w:val="0"/>
          <w:iCs w:val="0"/>
          <w:color w:val="auto"/>
          <w:highlight w:val="none"/>
        </w:rPr>
        <w:fldChar w:fldCharType="separate"/>
      </w:r>
      <w:r>
        <w:rPr>
          <w:rFonts w:ascii="Times New Roman" w:hAnsi="Times New Roman"/>
          <w:i w:val="0"/>
          <w:iCs w:val="0"/>
          <w:color w:val="auto"/>
          <w:szCs w:val="24"/>
          <w:highlight w:val="none"/>
        </w:rPr>
        <w:t>22. 不可抗力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_Toc15833 \h </w:instrText>
      </w:r>
      <w:r>
        <w:rPr>
          <w:i w:val="0"/>
          <w:iCs w:val="0"/>
          <w:color w:val="auto"/>
          <w:highlight w:val="none"/>
        </w:rPr>
        <w:fldChar w:fldCharType="separate"/>
      </w:r>
      <w:r>
        <w:rPr>
          <w:i w:val="0"/>
          <w:iCs w:val="0"/>
          <w:color w:val="auto"/>
          <w:highlight w:val="none"/>
        </w:rPr>
        <w:t>- 29 -</w:t>
      </w:r>
      <w:r>
        <w:rPr>
          <w:i w:val="0"/>
          <w:iCs w:val="0"/>
          <w:color w:val="auto"/>
          <w:highlight w:val="none"/>
        </w:rPr>
        <w:fldChar w:fldCharType="end"/>
      </w:r>
      <w:r>
        <w:rPr>
          <w:i w:val="0"/>
          <w:iCs w:val="0"/>
          <w:color w:val="auto"/>
          <w:highlight w:val="none"/>
        </w:rPr>
        <w:fldChar w:fldCharType="end"/>
      </w:r>
    </w:p>
    <w:p w14:paraId="6890AE1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"_Toc9584" </w:instrText>
      </w:r>
      <w:r>
        <w:rPr>
          <w:i w:val="0"/>
          <w:iCs w:val="0"/>
          <w:color w:val="auto"/>
          <w:highlight w:val="none"/>
        </w:rPr>
        <w:fldChar w:fldCharType="separate"/>
      </w:r>
      <w:r>
        <w:rPr>
          <w:rFonts w:ascii="Times New Roman" w:hAnsi="Times New Roman"/>
          <w:i w:val="0"/>
          <w:iCs w:val="0"/>
          <w:color w:val="auto"/>
          <w:szCs w:val="24"/>
          <w:highlight w:val="none"/>
        </w:rPr>
        <w:t>22.1 不可抗力的确认</w:t>
      </w:r>
      <w:r>
        <w:rPr>
          <w:rFonts w:hint="eastAsia" w:ascii="Times New Roman" w:hAnsi="Times New Roman"/>
          <w:i w:val="0"/>
          <w:iCs w:val="0"/>
          <w:color w:val="auto"/>
          <w:szCs w:val="24"/>
          <w:highlight w:val="none"/>
        </w:rPr>
        <w:t>和通知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_Toc9584 \h </w:instrText>
      </w:r>
      <w:r>
        <w:rPr>
          <w:i w:val="0"/>
          <w:iCs w:val="0"/>
          <w:color w:val="auto"/>
          <w:highlight w:val="none"/>
        </w:rPr>
        <w:fldChar w:fldCharType="separate"/>
      </w:r>
      <w:r>
        <w:rPr>
          <w:i w:val="0"/>
          <w:iCs w:val="0"/>
          <w:color w:val="auto"/>
          <w:highlight w:val="none"/>
        </w:rPr>
        <w:t>- 29 -</w:t>
      </w:r>
      <w:r>
        <w:rPr>
          <w:i w:val="0"/>
          <w:iCs w:val="0"/>
          <w:color w:val="auto"/>
          <w:highlight w:val="none"/>
        </w:rPr>
        <w:fldChar w:fldCharType="end"/>
      </w:r>
      <w:r>
        <w:rPr>
          <w:i w:val="0"/>
          <w:iCs w:val="0"/>
          <w:color w:val="auto"/>
          <w:highlight w:val="none"/>
        </w:rPr>
        <w:fldChar w:fldCharType="end"/>
      </w:r>
    </w:p>
    <w:p w14:paraId="0DB69C7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"_Toc23050" </w:instrText>
      </w:r>
      <w:r>
        <w:rPr>
          <w:i w:val="0"/>
          <w:iCs w:val="0"/>
          <w:color w:val="auto"/>
          <w:highlight w:val="none"/>
        </w:rPr>
        <w:fldChar w:fldCharType="separate"/>
      </w:r>
      <w:r>
        <w:rPr>
          <w:rFonts w:ascii="Times New Roman" w:hAnsi="Times New Roman"/>
          <w:i w:val="0"/>
          <w:iCs w:val="0"/>
          <w:color w:val="auto"/>
          <w:szCs w:val="24"/>
          <w:highlight w:val="none"/>
        </w:rPr>
        <w:t>22.</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 xml:space="preserve"> 不可抗力</w:t>
      </w:r>
      <w:r>
        <w:rPr>
          <w:rFonts w:hint="eastAsia" w:ascii="Times New Roman" w:hAnsi="Times New Roman"/>
          <w:i w:val="0"/>
          <w:iCs w:val="0"/>
          <w:color w:val="auto"/>
          <w:szCs w:val="24"/>
          <w:highlight w:val="none"/>
        </w:rPr>
        <w:t>风险</w:t>
      </w:r>
      <w:r>
        <w:rPr>
          <w:rFonts w:ascii="Times New Roman" w:hAnsi="Times New Roman"/>
          <w:i w:val="0"/>
          <w:iCs w:val="0"/>
          <w:color w:val="auto"/>
          <w:szCs w:val="24"/>
          <w:highlight w:val="none"/>
        </w:rPr>
        <w:t>的承担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_Toc23050 \h </w:instrText>
      </w:r>
      <w:r>
        <w:rPr>
          <w:i w:val="0"/>
          <w:iCs w:val="0"/>
          <w:color w:val="auto"/>
          <w:highlight w:val="none"/>
        </w:rPr>
        <w:fldChar w:fldCharType="separate"/>
      </w:r>
      <w:r>
        <w:rPr>
          <w:i w:val="0"/>
          <w:iCs w:val="0"/>
          <w:color w:val="auto"/>
          <w:highlight w:val="none"/>
        </w:rPr>
        <w:t>- 29 -</w:t>
      </w:r>
      <w:r>
        <w:rPr>
          <w:i w:val="0"/>
          <w:iCs w:val="0"/>
          <w:color w:val="auto"/>
          <w:highlight w:val="none"/>
        </w:rPr>
        <w:fldChar w:fldCharType="end"/>
      </w:r>
      <w:r>
        <w:rPr>
          <w:i w:val="0"/>
          <w:iCs w:val="0"/>
          <w:color w:val="auto"/>
          <w:highlight w:val="none"/>
        </w:rPr>
        <w:fldChar w:fldCharType="end"/>
      </w:r>
    </w:p>
    <w:p w14:paraId="23E6E8E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"_Toc17226" </w:instrText>
      </w:r>
      <w:r>
        <w:rPr>
          <w:i w:val="0"/>
          <w:iCs w:val="0"/>
          <w:color w:val="auto"/>
          <w:highlight w:val="none"/>
        </w:rPr>
        <w:fldChar w:fldCharType="separate"/>
      </w:r>
      <w:r>
        <w:rPr>
          <w:rFonts w:ascii="Times New Roman" w:hAnsi="Times New Roman"/>
          <w:i w:val="0"/>
          <w:iCs w:val="0"/>
          <w:color w:val="auto"/>
          <w:szCs w:val="24"/>
          <w:highlight w:val="none"/>
        </w:rPr>
        <w:t>22.3 因不可抗力解除合同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_Toc17226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03AACEB6">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"_Toc22225" </w:instrText>
      </w:r>
      <w:r>
        <w:rPr>
          <w:i w:val="0"/>
          <w:iCs w:val="0"/>
          <w:color w:val="auto"/>
          <w:highlight w:val="none"/>
        </w:rPr>
        <w:fldChar w:fldCharType="separate"/>
      </w:r>
      <w:r>
        <w:rPr>
          <w:rFonts w:ascii="Times New Roman" w:hAnsi="Times New Roman"/>
          <w:i w:val="0"/>
          <w:iCs w:val="0"/>
          <w:color w:val="auto"/>
          <w:szCs w:val="24"/>
          <w:highlight w:val="none"/>
        </w:rPr>
        <w:t>23. 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_Toc22225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2A640E6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"_Toc16669" </w:instrText>
      </w:r>
      <w:r>
        <w:rPr>
          <w:i w:val="0"/>
          <w:iCs w:val="0"/>
          <w:color w:val="auto"/>
          <w:highlight w:val="none"/>
        </w:rPr>
        <w:fldChar w:fldCharType="separate"/>
      </w:r>
      <w:r>
        <w:rPr>
          <w:rFonts w:ascii="Times New Roman" w:hAnsi="Times New Roman"/>
          <w:i w:val="0"/>
          <w:iCs w:val="0"/>
          <w:color w:val="auto"/>
          <w:szCs w:val="24"/>
          <w:highlight w:val="none"/>
        </w:rPr>
        <w:t>23.1</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工伤保险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_Toc16669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1E35C19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"_Toc7044" </w:instrText>
      </w:r>
      <w:r>
        <w:rPr>
          <w:i w:val="0"/>
          <w:iCs w:val="0"/>
          <w:color w:val="auto"/>
          <w:highlight w:val="none"/>
        </w:rPr>
        <w:fldChar w:fldCharType="separate"/>
      </w:r>
      <w:r>
        <w:rPr>
          <w:rFonts w:ascii="Times New Roman" w:hAnsi="Times New Roman"/>
          <w:i w:val="0"/>
          <w:iCs w:val="0"/>
          <w:color w:val="auto"/>
          <w:szCs w:val="24"/>
          <w:highlight w:val="none"/>
        </w:rPr>
        <w:t>23.2 其他保险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_Toc7044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4B28032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"_Toc26778" </w:instrText>
      </w:r>
      <w:r>
        <w:rPr>
          <w:i w:val="0"/>
          <w:iCs w:val="0"/>
          <w:color w:val="auto"/>
          <w:highlight w:val="none"/>
        </w:rPr>
        <w:fldChar w:fldCharType="separate"/>
      </w:r>
      <w:r>
        <w:rPr>
          <w:rFonts w:ascii="Times New Roman" w:hAnsi="Times New Roman"/>
          <w:i w:val="0"/>
          <w:iCs w:val="0"/>
          <w:color w:val="auto"/>
          <w:szCs w:val="24"/>
          <w:highlight w:val="none"/>
        </w:rPr>
        <w:t>23.3 保险凭证</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_Toc26778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422B9BEA">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"_Toc13286" </w:instrText>
      </w:r>
      <w:r>
        <w:rPr>
          <w:i w:val="0"/>
          <w:iCs w:val="0"/>
          <w:color w:val="auto"/>
          <w:highlight w:val="none"/>
        </w:rPr>
        <w:fldChar w:fldCharType="separate"/>
      </w:r>
      <w:r>
        <w:rPr>
          <w:rFonts w:ascii="Times New Roman" w:hAnsi="Times New Roman"/>
          <w:i w:val="0"/>
          <w:iCs w:val="0"/>
          <w:color w:val="auto"/>
          <w:szCs w:val="24"/>
          <w:highlight w:val="none"/>
        </w:rPr>
        <w:t>24. 索赔</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_Toc13286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369E4C6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"_Toc24717" </w:instrText>
      </w:r>
      <w:r>
        <w:rPr>
          <w:i w:val="0"/>
          <w:iCs w:val="0"/>
          <w:color w:val="auto"/>
          <w:highlight w:val="none"/>
        </w:rPr>
        <w:fldChar w:fldCharType="separate"/>
      </w:r>
      <w:r>
        <w:rPr>
          <w:rFonts w:ascii="Times New Roman" w:hAnsi="Times New Roman"/>
          <w:i w:val="0"/>
          <w:iCs w:val="0"/>
          <w:color w:val="auto"/>
          <w:szCs w:val="24"/>
          <w:highlight w:val="none"/>
        </w:rPr>
        <w:t>24.1 分包人的索赔</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_Toc24717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119E7B8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"_Toc15227" </w:instrText>
      </w:r>
      <w:r>
        <w:rPr>
          <w:i w:val="0"/>
          <w:iCs w:val="0"/>
          <w:color w:val="auto"/>
          <w:highlight w:val="none"/>
        </w:rPr>
        <w:fldChar w:fldCharType="separate"/>
      </w:r>
      <w:r>
        <w:rPr>
          <w:rFonts w:ascii="Times New Roman" w:hAnsi="Times New Roman"/>
          <w:i w:val="0"/>
          <w:iCs w:val="0"/>
          <w:color w:val="auto"/>
          <w:szCs w:val="24"/>
          <w:highlight w:val="none"/>
        </w:rPr>
        <w:t>24.2 对分包人索赔的处理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_Toc15227 \h </w:instrText>
      </w:r>
      <w:r>
        <w:rPr>
          <w:i w:val="0"/>
          <w:iCs w:val="0"/>
          <w:color w:val="auto"/>
          <w:highlight w:val="none"/>
        </w:rPr>
        <w:fldChar w:fldCharType="separate"/>
      </w:r>
      <w:r>
        <w:rPr>
          <w:i w:val="0"/>
          <w:iCs w:val="0"/>
          <w:color w:val="auto"/>
          <w:highlight w:val="none"/>
        </w:rPr>
        <w:t>- 30 -</w:t>
      </w:r>
      <w:r>
        <w:rPr>
          <w:i w:val="0"/>
          <w:iCs w:val="0"/>
          <w:color w:val="auto"/>
          <w:highlight w:val="none"/>
        </w:rPr>
        <w:fldChar w:fldCharType="end"/>
      </w:r>
      <w:r>
        <w:rPr>
          <w:i w:val="0"/>
          <w:iCs w:val="0"/>
          <w:color w:val="auto"/>
          <w:highlight w:val="none"/>
        </w:rPr>
        <w:fldChar w:fldCharType="end"/>
      </w:r>
    </w:p>
    <w:p w14:paraId="7448B02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"_Toc5013" </w:instrText>
      </w:r>
      <w:r>
        <w:rPr>
          <w:i w:val="0"/>
          <w:iCs w:val="0"/>
          <w:color w:val="auto"/>
          <w:highlight w:val="none"/>
        </w:rPr>
        <w:fldChar w:fldCharType="separate"/>
      </w:r>
      <w:r>
        <w:rPr>
          <w:rFonts w:ascii="Times New Roman" w:hAnsi="Times New Roman"/>
          <w:i w:val="0"/>
          <w:iCs w:val="0"/>
          <w:color w:val="auto"/>
          <w:szCs w:val="24"/>
          <w:highlight w:val="none"/>
        </w:rPr>
        <w:t>24.3 承包人的索赔</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_Toc5013 \h </w:instrText>
      </w:r>
      <w:r>
        <w:rPr>
          <w:i w:val="0"/>
          <w:iCs w:val="0"/>
          <w:color w:val="auto"/>
          <w:highlight w:val="none"/>
        </w:rPr>
        <w:fldChar w:fldCharType="separate"/>
      </w:r>
      <w:r>
        <w:rPr>
          <w:i w:val="0"/>
          <w:iCs w:val="0"/>
          <w:color w:val="auto"/>
          <w:highlight w:val="none"/>
        </w:rPr>
        <w:t>- 31 -</w:t>
      </w:r>
      <w:r>
        <w:rPr>
          <w:i w:val="0"/>
          <w:iCs w:val="0"/>
          <w:color w:val="auto"/>
          <w:highlight w:val="none"/>
        </w:rPr>
        <w:fldChar w:fldCharType="end"/>
      </w:r>
      <w:r>
        <w:rPr>
          <w:i w:val="0"/>
          <w:iCs w:val="0"/>
          <w:color w:val="auto"/>
          <w:highlight w:val="none"/>
        </w:rPr>
        <w:fldChar w:fldCharType="end"/>
      </w:r>
    </w:p>
    <w:p w14:paraId="3A1488F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"_Toc16714" </w:instrText>
      </w:r>
      <w:r>
        <w:rPr>
          <w:i w:val="0"/>
          <w:iCs w:val="0"/>
          <w:color w:val="auto"/>
          <w:highlight w:val="none"/>
        </w:rPr>
        <w:fldChar w:fldCharType="separate"/>
      </w:r>
      <w:r>
        <w:rPr>
          <w:rFonts w:ascii="Times New Roman" w:hAnsi="Times New Roman"/>
          <w:i w:val="0"/>
          <w:iCs w:val="0"/>
          <w:color w:val="auto"/>
          <w:szCs w:val="24"/>
          <w:highlight w:val="none"/>
        </w:rPr>
        <w:t>24.4 对承包人索赔的处理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_Toc16714 \h </w:instrText>
      </w:r>
      <w:r>
        <w:rPr>
          <w:i w:val="0"/>
          <w:iCs w:val="0"/>
          <w:color w:val="auto"/>
          <w:highlight w:val="none"/>
        </w:rPr>
        <w:fldChar w:fldCharType="separate"/>
      </w:r>
      <w:r>
        <w:rPr>
          <w:i w:val="0"/>
          <w:iCs w:val="0"/>
          <w:color w:val="auto"/>
          <w:highlight w:val="none"/>
        </w:rPr>
        <w:t>- 31 -</w:t>
      </w:r>
      <w:r>
        <w:rPr>
          <w:i w:val="0"/>
          <w:iCs w:val="0"/>
          <w:color w:val="auto"/>
          <w:highlight w:val="none"/>
        </w:rPr>
        <w:fldChar w:fldCharType="end"/>
      </w:r>
      <w:r>
        <w:rPr>
          <w:i w:val="0"/>
          <w:iCs w:val="0"/>
          <w:color w:val="auto"/>
          <w:highlight w:val="none"/>
        </w:rPr>
        <w:fldChar w:fldCharType="end"/>
      </w:r>
    </w:p>
    <w:p w14:paraId="26D4454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"_Toc1042" </w:instrText>
      </w:r>
      <w:r>
        <w:rPr>
          <w:i w:val="0"/>
          <w:iCs w:val="0"/>
          <w:color w:val="auto"/>
          <w:highlight w:val="none"/>
        </w:rPr>
        <w:fldChar w:fldCharType="separate"/>
      </w:r>
      <w:r>
        <w:rPr>
          <w:rFonts w:ascii="Times New Roman" w:hAnsi="Times New Roman"/>
          <w:i w:val="0"/>
          <w:iCs w:val="0"/>
          <w:color w:val="auto"/>
          <w:szCs w:val="24"/>
          <w:highlight w:val="none"/>
        </w:rPr>
        <w:t>24.5 提出索赔的期限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_Toc1042 \h </w:instrText>
      </w:r>
      <w:r>
        <w:rPr>
          <w:i w:val="0"/>
          <w:iCs w:val="0"/>
          <w:color w:val="auto"/>
          <w:highlight w:val="none"/>
        </w:rPr>
        <w:fldChar w:fldCharType="separate"/>
      </w:r>
      <w:r>
        <w:rPr>
          <w:i w:val="0"/>
          <w:iCs w:val="0"/>
          <w:color w:val="auto"/>
          <w:highlight w:val="none"/>
        </w:rPr>
        <w:t>- 31 -</w:t>
      </w:r>
      <w:r>
        <w:rPr>
          <w:i w:val="0"/>
          <w:iCs w:val="0"/>
          <w:color w:val="auto"/>
          <w:highlight w:val="none"/>
        </w:rPr>
        <w:fldChar w:fldCharType="end"/>
      </w:r>
      <w:r>
        <w:rPr>
          <w:i w:val="0"/>
          <w:iCs w:val="0"/>
          <w:color w:val="auto"/>
          <w:highlight w:val="none"/>
        </w:rPr>
        <w:fldChar w:fldCharType="end"/>
      </w:r>
    </w:p>
    <w:p w14:paraId="5E6D959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"_Toc5589" </w:instrText>
      </w:r>
      <w:r>
        <w:rPr>
          <w:i w:val="0"/>
          <w:iCs w:val="0"/>
          <w:color w:val="auto"/>
          <w:highlight w:val="none"/>
        </w:rPr>
        <w:fldChar w:fldCharType="separate"/>
      </w:r>
      <w:r>
        <w:rPr>
          <w:rFonts w:ascii="Times New Roman" w:hAnsi="Times New Roman"/>
          <w:i w:val="0"/>
          <w:iCs w:val="0"/>
          <w:color w:val="auto"/>
          <w:szCs w:val="24"/>
          <w:highlight w:val="none"/>
        </w:rPr>
        <w:t>24.6 分包人索赔配合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_Toc5589 \h </w:instrText>
      </w:r>
      <w:r>
        <w:rPr>
          <w:i w:val="0"/>
          <w:iCs w:val="0"/>
          <w:color w:val="auto"/>
          <w:highlight w:val="none"/>
        </w:rPr>
        <w:fldChar w:fldCharType="separate"/>
      </w:r>
      <w:r>
        <w:rPr>
          <w:i w:val="0"/>
          <w:iCs w:val="0"/>
          <w:color w:val="auto"/>
          <w:highlight w:val="none"/>
        </w:rPr>
        <w:t>- 31 -</w:t>
      </w:r>
      <w:r>
        <w:rPr>
          <w:i w:val="0"/>
          <w:iCs w:val="0"/>
          <w:color w:val="auto"/>
          <w:highlight w:val="none"/>
        </w:rPr>
        <w:fldChar w:fldCharType="end"/>
      </w:r>
      <w:r>
        <w:rPr>
          <w:i w:val="0"/>
          <w:iCs w:val="0"/>
          <w:color w:val="auto"/>
          <w:highlight w:val="none"/>
        </w:rPr>
        <w:fldChar w:fldCharType="end"/>
      </w:r>
    </w:p>
    <w:p w14:paraId="5C4D4E69">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"_Toc29838" </w:instrText>
      </w:r>
      <w:r>
        <w:rPr>
          <w:i w:val="0"/>
          <w:iCs w:val="0"/>
          <w:color w:val="auto"/>
          <w:highlight w:val="none"/>
        </w:rPr>
        <w:fldChar w:fldCharType="separate"/>
      </w:r>
      <w:r>
        <w:rPr>
          <w:rFonts w:ascii="Times New Roman" w:hAnsi="Times New Roman"/>
          <w:i w:val="0"/>
          <w:iCs w:val="0"/>
          <w:color w:val="auto"/>
          <w:szCs w:val="24"/>
          <w:highlight w:val="none"/>
        </w:rPr>
        <w:t>25. 争议解决</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_Toc29838 \h </w:instrText>
      </w:r>
      <w:r>
        <w:rPr>
          <w:i w:val="0"/>
          <w:iCs w:val="0"/>
          <w:color w:val="auto"/>
          <w:highlight w:val="none"/>
        </w:rPr>
        <w:fldChar w:fldCharType="separate"/>
      </w:r>
      <w:r>
        <w:rPr>
          <w:i w:val="0"/>
          <w:iCs w:val="0"/>
          <w:color w:val="auto"/>
          <w:highlight w:val="none"/>
        </w:rPr>
        <w:t>- 32 -</w:t>
      </w:r>
      <w:r>
        <w:rPr>
          <w:i w:val="0"/>
          <w:iCs w:val="0"/>
          <w:color w:val="auto"/>
          <w:highlight w:val="none"/>
        </w:rPr>
        <w:fldChar w:fldCharType="end"/>
      </w:r>
      <w:r>
        <w:rPr>
          <w:i w:val="0"/>
          <w:iCs w:val="0"/>
          <w:color w:val="auto"/>
          <w:highlight w:val="none"/>
        </w:rPr>
        <w:fldChar w:fldCharType="end"/>
      </w:r>
    </w:p>
    <w:p w14:paraId="3B0EAB8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"_Toc122" </w:instrText>
      </w:r>
      <w:r>
        <w:rPr>
          <w:i w:val="0"/>
          <w:iCs w:val="0"/>
          <w:color w:val="auto"/>
          <w:highlight w:val="none"/>
        </w:rPr>
        <w:fldChar w:fldCharType="separate"/>
      </w:r>
      <w:r>
        <w:rPr>
          <w:rFonts w:ascii="Times New Roman" w:hAnsi="Times New Roman"/>
          <w:i w:val="0"/>
          <w:iCs w:val="0"/>
          <w:color w:val="auto"/>
          <w:szCs w:val="24"/>
          <w:highlight w:val="none"/>
        </w:rPr>
        <w:t>25.1 调解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_Toc122 \h </w:instrText>
      </w:r>
      <w:r>
        <w:rPr>
          <w:i w:val="0"/>
          <w:iCs w:val="0"/>
          <w:color w:val="auto"/>
          <w:highlight w:val="none"/>
        </w:rPr>
        <w:fldChar w:fldCharType="separate"/>
      </w:r>
      <w:r>
        <w:rPr>
          <w:i w:val="0"/>
          <w:iCs w:val="0"/>
          <w:color w:val="auto"/>
          <w:highlight w:val="none"/>
        </w:rPr>
        <w:t>- 32 -</w:t>
      </w:r>
      <w:r>
        <w:rPr>
          <w:i w:val="0"/>
          <w:iCs w:val="0"/>
          <w:color w:val="auto"/>
          <w:highlight w:val="none"/>
        </w:rPr>
        <w:fldChar w:fldCharType="end"/>
      </w:r>
      <w:r>
        <w:rPr>
          <w:i w:val="0"/>
          <w:iCs w:val="0"/>
          <w:color w:val="auto"/>
          <w:highlight w:val="none"/>
        </w:rPr>
        <w:fldChar w:fldCharType="end"/>
      </w:r>
    </w:p>
    <w:p w14:paraId="0EBF04E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"_Toc18847" </w:instrText>
      </w:r>
      <w:r>
        <w:rPr>
          <w:i w:val="0"/>
          <w:iCs w:val="0"/>
          <w:color w:val="auto"/>
          <w:highlight w:val="none"/>
        </w:rPr>
        <w:fldChar w:fldCharType="separate"/>
      </w:r>
      <w:r>
        <w:rPr>
          <w:rFonts w:ascii="Times New Roman" w:hAnsi="Times New Roman"/>
          <w:i w:val="0"/>
          <w:iCs w:val="0"/>
          <w:color w:val="auto"/>
          <w:szCs w:val="24"/>
          <w:highlight w:val="none"/>
        </w:rPr>
        <w:t>25.2 仲裁或诉讼</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_Toc18847 \h </w:instrText>
      </w:r>
      <w:r>
        <w:rPr>
          <w:i w:val="0"/>
          <w:iCs w:val="0"/>
          <w:color w:val="auto"/>
          <w:highlight w:val="none"/>
        </w:rPr>
        <w:fldChar w:fldCharType="separate"/>
      </w:r>
      <w:r>
        <w:rPr>
          <w:i w:val="0"/>
          <w:iCs w:val="0"/>
          <w:color w:val="auto"/>
          <w:highlight w:val="none"/>
        </w:rPr>
        <w:t>- 32 -</w:t>
      </w:r>
      <w:r>
        <w:rPr>
          <w:i w:val="0"/>
          <w:iCs w:val="0"/>
          <w:color w:val="auto"/>
          <w:highlight w:val="none"/>
        </w:rPr>
        <w:fldChar w:fldCharType="end"/>
      </w:r>
      <w:r>
        <w:rPr>
          <w:i w:val="0"/>
          <w:iCs w:val="0"/>
          <w:color w:val="auto"/>
          <w:highlight w:val="none"/>
        </w:rPr>
        <w:fldChar w:fldCharType="end"/>
      </w:r>
    </w:p>
    <w:p w14:paraId="010238B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"_Toc14308" </w:instrText>
      </w:r>
      <w:r>
        <w:rPr>
          <w:i w:val="0"/>
          <w:iCs w:val="0"/>
          <w:color w:val="auto"/>
          <w:highlight w:val="none"/>
        </w:rPr>
        <w:fldChar w:fldCharType="separate"/>
      </w:r>
      <w:r>
        <w:rPr>
          <w:rFonts w:ascii="Times New Roman" w:hAnsi="Times New Roman"/>
          <w:i w:val="0"/>
          <w:iCs w:val="0"/>
          <w:color w:val="auto"/>
          <w:szCs w:val="24"/>
          <w:highlight w:val="none"/>
        </w:rPr>
        <w:t>25.3 与争议解决有关的事项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_Toc14308 \h </w:instrText>
      </w:r>
      <w:r>
        <w:rPr>
          <w:i w:val="0"/>
          <w:iCs w:val="0"/>
          <w:color w:val="auto"/>
          <w:highlight w:val="none"/>
        </w:rPr>
        <w:fldChar w:fldCharType="separate"/>
      </w:r>
      <w:r>
        <w:rPr>
          <w:i w:val="0"/>
          <w:iCs w:val="0"/>
          <w:color w:val="auto"/>
          <w:highlight w:val="none"/>
        </w:rPr>
        <w:t>- 32 -</w:t>
      </w:r>
      <w:r>
        <w:rPr>
          <w:i w:val="0"/>
          <w:iCs w:val="0"/>
          <w:color w:val="auto"/>
          <w:highlight w:val="none"/>
        </w:rPr>
        <w:fldChar w:fldCharType="end"/>
      </w:r>
      <w:r>
        <w:rPr>
          <w:i w:val="0"/>
          <w:iCs w:val="0"/>
          <w:color w:val="auto"/>
          <w:highlight w:val="none"/>
        </w:rPr>
        <w:fldChar w:fldCharType="end"/>
      </w:r>
    </w:p>
    <w:p w14:paraId="36CB4822">
      <w:pPr>
        <w:pStyle w:val="12"/>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"_Toc7850" </w:instrText>
      </w:r>
      <w:r>
        <w:rPr>
          <w:i w:val="0"/>
          <w:iCs w:val="0"/>
          <w:color w:val="auto"/>
          <w:highlight w:val="none"/>
        </w:rPr>
        <w:fldChar w:fldCharType="separate"/>
      </w:r>
      <w:r>
        <w:rPr>
          <w:rFonts w:ascii="Times New Roman" w:hAnsi="Times New Roman" w:eastAsia="华文中宋"/>
          <w:i w:val="0"/>
          <w:iCs w:val="0"/>
          <w:color w:val="auto"/>
          <w:szCs w:val="36"/>
          <w:highlight w:val="none"/>
        </w:rPr>
        <w:t>第三部分 专用合同条款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_Toc7850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0B03B50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"_Toc27017" </w:instrText>
      </w:r>
      <w:r>
        <w:rPr>
          <w:i w:val="0"/>
          <w:iCs w:val="0"/>
          <w:color w:val="auto"/>
          <w:highlight w:val="none"/>
        </w:rPr>
        <w:fldChar w:fldCharType="separate"/>
      </w:r>
      <w:r>
        <w:rPr>
          <w:rFonts w:ascii="Times New Roman" w:hAnsi="Times New Roman"/>
          <w:i w:val="0"/>
          <w:iCs w:val="0"/>
          <w:color w:val="auto"/>
          <w:szCs w:val="24"/>
          <w:highlight w:val="none"/>
        </w:rPr>
        <w:t>1. 一般约定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_Toc27017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2451854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"_Toc3970" </w:instrText>
      </w:r>
      <w:r>
        <w:rPr>
          <w:i w:val="0"/>
          <w:iCs w:val="0"/>
          <w:color w:val="auto"/>
          <w:highlight w:val="none"/>
        </w:rPr>
        <w:fldChar w:fldCharType="separate"/>
      </w:r>
      <w:r>
        <w:rPr>
          <w:rFonts w:ascii="Times New Roman" w:hAnsi="Times New Roman"/>
          <w:i w:val="0"/>
          <w:iCs w:val="0"/>
          <w:color w:val="auto"/>
          <w:szCs w:val="24"/>
          <w:highlight w:val="none"/>
        </w:rPr>
        <w:t>1.1 词语定义</w:t>
      </w:r>
      <w:r>
        <w:rPr>
          <w:rFonts w:hint="eastAsia" w:ascii="Times New Roman" w:hAnsi="Times New Roman"/>
          <w:i w:val="0"/>
          <w:iCs w:val="0"/>
          <w:color w:val="auto"/>
          <w:szCs w:val="24"/>
          <w:highlight w:val="none"/>
        </w:rPr>
        <w:t>与</w:t>
      </w:r>
      <w:r>
        <w:rPr>
          <w:rFonts w:ascii="Times New Roman" w:hAnsi="Times New Roman"/>
          <w:i w:val="0"/>
          <w:iCs w:val="0"/>
          <w:color w:val="auto"/>
          <w:szCs w:val="24"/>
          <w:highlight w:val="none"/>
        </w:rPr>
        <w:t>解释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_Toc3970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2285D66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"_Toc15685"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i w:val="0"/>
          <w:iCs w:val="0"/>
          <w:color w:val="auto"/>
          <w:szCs w:val="24"/>
          <w:highlight w:val="none"/>
        </w:rPr>
        <w:t>2</w:t>
      </w:r>
      <w:r>
        <w:rPr>
          <w:rFonts w:ascii="Times New Roman" w:hAnsi="Times New Roman"/>
          <w:i w:val="0"/>
          <w:iCs w:val="0"/>
          <w:color w:val="auto"/>
          <w:szCs w:val="24"/>
          <w:highlight w:val="none"/>
        </w:rPr>
        <w:t xml:space="preserve"> 标准和规范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_Toc15685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1C8E56B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"_Toc31395"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i w:val="0"/>
          <w:iCs w:val="0"/>
          <w:color w:val="auto"/>
          <w:szCs w:val="24"/>
          <w:highlight w:val="none"/>
        </w:rPr>
        <w:t>3</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分包</w:t>
      </w:r>
      <w:r>
        <w:rPr>
          <w:rFonts w:ascii="Times New Roman" w:hAnsi="Times New Roman"/>
          <w:i w:val="0"/>
          <w:iCs w:val="0"/>
          <w:color w:val="auto"/>
          <w:szCs w:val="24"/>
          <w:highlight w:val="none"/>
        </w:rPr>
        <w:t>合同文件的优先顺序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_Toc31395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4A7023F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"_Toc15749"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i w:val="0"/>
          <w:iCs w:val="0"/>
          <w:color w:val="auto"/>
          <w:szCs w:val="24"/>
          <w:highlight w:val="none"/>
        </w:rPr>
        <w:t>4</w:t>
      </w:r>
      <w:r>
        <w:rPr>
          <w:rFonts w:ascii="Times New Roman" w:hAnsi="Times New Roman"/>
          <w:i w:val="0"/>
          <w:iCs w:val="0"/>
          <w:color w:val="auto"/>
          <w:szCs w:val="24"/>
          <w:highlight w:val="none"/>
        </w:rPr>
        <w:t xml:space="preserve"> 图纸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_Toc15749 \h </w:instrText>
      </w:r>
      <w:r>
        <w:rPr>
          <w:i w:val="0"/>
          <w:iCs w:val="0"/>
          <w:color w:val="auto"/>
          <w:highlight w:val="none"/>
        </w:rPr>
        <w:fldChar w:fldCharType="separate"/>
      </w:r>
      <w:r>
        <w:rPr>
          <w:i w:val="0"/>
          <w:iCs w:val="0"/>
          <w:color w:val="auto"/>
          <w:highlight w:val="none"/>
        </w:rPr>
        <w:t>- 33 -</w:t>
      </w:r>
      <w:r>
        <w:rPr>
          <w:i w:val="0"/>
          <w:iCs w:val="0"/>
          <w:color w:val="auto"/>
          <w:highlight w:val="none"/>
        </w:rPr>
        <w:fldChar w:fldCharType="end"/>
      </w:r>
      <w:r>
        <w:rPr>
          <w:i w:val="0"/>
          <w:iCs w:val="0"/>
          <w:color w:val="auto"/>
          <w:highlight w:val="none"/>
        </w:rPr>
        <w:fldChar w:fldCharType="end"/>
      </w:r>
    </w:p>
    <w:p w14:paraId="1A2D4A0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"_Toc22301"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i w:val="0"/>
          <w:iCs w:val="0"/>
          <w:color w:val="auto"/>
          <w:szCs w:val="24"/>
          <w:highlight w:val="none"/>
        </w:rPr>
        <w:t>5</w:t>
      </w:r>
      <w:r>
        <w:rPr>
          <w:rFonts w:ascii="Times New Roman" w:hAnsi="Times New Roman"/>
          <w:i w:val="0"/>
          <w:iCs w:val="0"/>
          <w:color w:val="auto"/>
          <w:szCs w:val="24"/>
          <w:highlight w:val="none"/>
        </w:rPr>
        <w:t xml:space="preserve"> 联络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_Toc22301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169102B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"_Toc10762"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i w:val="0"/>
          <w:iCs w:val="0"/>
          <w:color w:val="auto"/>
          <w:szCs w:val="24"/>
          <w:highlight w:val="none"/>
        </w:rPr>
        <w:t>6</w:t>
      </w:r>
      <w:r>
        <w:rPr>
          <w:rFonts w:ascii="Times New Roman" w:hAnsi="Times New Roman"/>
          <w:i w:val="0"/>
          <w:iCs w:val="0"/>
          <w:color w:val="auto"/>
          <w:szCs w:val="24"/>
          <w:highlight w:val="none"/>
        </w:rPr>
        <w:t xml:space="preserve"> 知识产权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_Toc10762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71E3C85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"_Toc16090" </w:instrText>
      </w:r>
      <w:r>
        <w:rPr>
          <w:i w:val="0"/>
          <w:iCs w:val="0"/>
          <w:color w:val="auto"/>
          <w:highlight w:val="none"/>
        </w:rPr>
        <w:fldChar w:fldCharType="separate"/>
      </w:r>
      <w:r>
        <w:rPr>
          <w:rFonts w:ascii="Times New Roman" w:hAnsi="Times New Roman"/>
          <w:i w:val="0"/>
          <w:iCs w:val="0"/>
          <w:color w:val="auto"/>
          <w:szCs w:val="24"/>
          <w:highlight w:val="none"/>
        </w:rPr>
        <w:t>2. 承包人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_Toc16090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7C17214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"_Toc20888"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1</w:t>
      </w:r>
      <w:r>
        <w:rPr>
          <w:rFonts w:ascii="Times New Roman" w:hAnsi="Times New Roman"/>
          <w:i w:val="0"/>
          <w:iCs w:val="0"/>
          <w:color w:val="auto"/>
          <w:szCs w:val="24"/>
          <w:highlight w:val="none"/>
        </w:rPr>
        <w:t xml:space="preserve"> 提供基础资料、施工条件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_Toc20888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58C16A8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"_Toc30720"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i w:val="0"/>
          <w:iCs w:val="0"/>
          <w:color w:val="auto"/>
          <w:szCs w:val="24"/>
          <w:highlight w:val="none"/>
        </w:rPr>
        <w:t>2</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承包人</w:t>
      </w:r>
      <w:r>
        <w:rPr>
          <w:rFonts w:ascii="Times New Roman" w:hAnsi="Times New Roman"/>
          <w:i w:val="0"/>
          <w:iCs w:val="0"/>
          <w:color w:val="auto"/>
          <w:szCs w:val="24"/>
          <w:highlight w:val="none"/>
        </w:rPr>
        <w:t>项目经理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_Toc30720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58115FDC">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"_Toc12879" </w:instrText>
      </w:r>
      <w:r>
        <w:rPr>
          <w:i w:val="0"/>
          <w:iCs w:val="0"/>
          <w:color w:val="auto"/>
          <w:highlight w:val="none"/>
        </w:rPr>
        <w:fldChar w:fldCharType="separate"/>
      </w:r>
      <w:r>
        <w:rPr>
          <w:rFonts w:ascii="Times New Roman" w:hAnsi="Times New Roman"/>
          <w:i w:val="0"/>
          <w:iCs w:val="0"/>
          <w:color w:val="auto"/>
          <w:szCs w:val="24"/>
          <w:highlight w:val="none"/>
        </w:rPr>
        <w:t>3. 分包人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_Toc12879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42B767C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"_Toc24194" </w:instrText>
      </w:r>
      <w:r>
        <w:rPr>
          <w:i w:val="0"/>
          <w:iCs w:val="0"/>
          <w:color w:val="auto"/>
          <w:highlight w:val="none"/>
        </w:rPr>
        <w:fldChar w:fldCharType="separate"/>
      </w:r>
      <w:r>
        <w:rPr>
          <w:rFonts w:ascii="Times New Roman" w:hAnsi="Times New Roman"/>
          <w:i w:val="0"/>
          <w:iCs w:val="0"/>
          <w:color w:val="auto"/>
          <w:szCs w:val="24"/>
          <w:highlight w:val="none"/>
        </w:rPr>
        <w:t>3.1 分包人的一般义务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_Toc24194 \h </w:instrText>
      </w:r>
      <w:r>
        <w:rPr>
          <w:i w:val="0"/>
          <w:iCs w:val="0"/>
          <w:color w:val="auto"/>
          <w:highlight w:val="none"/>
        </w:rPr>
        <w:fldChar w:fldCharType="separate"/>
      </w:r>
      <w:r>
        <w:rPr>
          <w:i w:val="0"/>
          <w:iCs w:val="0"/>
          <w:color w:val="auto"/>
          <w:highlight w:val="none"/>
        </w:rPr>
        <w:t>- 34 -</w:t>
      </w:r>
      <w:r>
        <w:rPr>
          <w:i w:val="0"/>
          <w:iCs w:val="0"/>
          <w:color w:val="auto"/>
          <w:highlight w:val="none"/>
        </w:rPr>
        <w:fldChar w:fldCharType="end"/>
      </w:r>
      <w:r>
        <w:rPr>
          <w:i w:val="0"/>
          <w:iCs w:val="0"/>
          <w:color w:val="auto"/>
          <w:highlight w:val="none"/>
        </w:rPr>
        <w:fldChar w:fldCharType="end"/>
      </w:r>
    </w:p>
    <w:p w14:paraId="3C23AEA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"_Toc23926" </w:instrText>
      </w:r>
      <w:r>
        <w:rPr>
          <w:i w:val="0"/>
          <w:iCs w:val="0"/>
          <w:color w:val="auto"/>
          <w:highlight w:val="none"/>
        </w:rPr>
        <w:fldChar w:fldCharType="separate"/>
      </w:r>
      <w:r>
        <w:rPr>
          <w:rFonts w:ascii="Times New Roman" w:hAnsi="Times New Roman"/>
          <w:i w:val="0"/>
          <w:iCs w:val="0"/>
          <w:color w:val="auto"/>
          <w:szCs w:val="24"/>
          <w:highlight w:val="none"/>
        </w:rPr>
        <w:t>3.2 分包人项目经理</w:t>
      </w:r>
      <w:r>
        <w:rPr>
          <w:rFonts w:hint="eastAsia" w:ascii="Times New Roman" w:hAnsi="Times New Roman"/>
          <w:i w:val="0"/>
          <w:iCs w:val="0"/>
          <w:color w:val="auto"/>
          <w:szCs w:val="24"/>
          <w:highlight w:val="none"/>
        </w:rPr>
        <w:t>和</w:t>
      </w:r>
      <w:r>
        <w:rPr>
          <w:rFonts w:ascii="Times New Roman" w:hAnsi="Times New Roman"/>
          <w:i w:val="0"/>
          <w:iCs w:val="0"/>
          <w:color w:val="auto"/>
          <w:szCs w:val="24"/>
          <w:highlight w:val="none"/>
        </w:rPr>
        <w:t>其他主要项目管理人员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_Toc23926 \h </w:instrText>
      </w:r>
      <w:r>
        <w:rPr>
          <w:i w:val="0"/>
          <w:iCs w:val="0"/>
          <w:color w:val="auto"/>
          <w:highlight w:val="none"/>
        </w:rPr>
        <w:fldChar w:fldCharType="separate"/>
      </w:r>
      <w:r>
        <w:rPr>
          <w:i w:val="0"/>
          <w:iCs w:val="0"/>
          <w:color w:val="auto"/>
          <w:highlight w:val="none"/>
        </w:rPr>
        <w:t>- 35 -</w:t>
      </w:r>
      <w:r>
        <w:rPr>
          <w:i w:val="0"/>
          <w:iCs w:val="0"/>
          <w:color w:val="auto"/>
          <w:highlight w:val="none"/>
        </w:rPr>
        <w:fldChar w:fldCharType="end"/>
      </w:r>
      <w:r>
        <w:rPr>
          <w:i w:val="0"/>
          <w:iCs w:val="0"/>
          <w:color w:val="auto"/>
          <w:highlight w:val="none"/>
        </w:rPr>
        <w:fldChar w:fldCharType="end"/>
      </w:r>
    </w:p>
    <w:p w14:paraId="39D2034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"_Toc17159" </w:instrText>
      </w:r>
      <w:r>
        <w:rPr>
          <w:i w:val="0"/>
          <w:iCs w:val="0"/>
          <w:color w:val="auto"/>
          <w:highlight w:val="none"/>
        </w:rPr>
        <w:fldChar w:fldCharType="separate"/>
      </w:r>
      <w:r>
        <w:rPr>
          <w:rFonts w:ascii="Times New Roman" w:hAnsi="Times New Roman"/>
          <w:i w:val="0"/>
          <w:iCs w:val="0"/>
          <w:color w:val="auto"/>
          <w:szCs w:val="24"/>
          <w:highlight w:val="none"/>
        </w:rPr>
        <w:t>3.3 特殊工种上岗作业要求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_Toc17159 \h </w:instrText>
      </w:r>
      <w:r>
        <w:rPr>
          <w:i w:val="0"/>
          <w:iCs w:val="0"/>
          <w:color w:val="auto"/>
          <w:highlight w:val="none"/>
        </w:rPr>
        <w:fldChar w:fldCharType="separate"/>
      </w:r>
      <w:r>
        <w:rPr>
          <w:i w:val="0"/>
          <w:iCs w:val="0"/>
          <w:color w:val="auto"/>
          <w:highlight w:val="none"/>
        </w:rPr>
        <w:t>- 36 -</w:t>
      </w:r>
      <w:r>
        <w:rPr>
          <w:i w:val="0"/>
          <w:iCs w:val="0"/>
          <w:color w:val="auto"/>
          <w:highlight w:val="none"/>
        </w:rPr>
        <w:fldChar w:fldCharType="end"/>
      </w:r>
      <w:r>
        <w:rPr>
          <w:i w:val="0"/>
          <w:iCs w:val="0"/>
          <w:color w:val="auto"/>
          <w:highlight w:val="none"/>
        </w:rPr>
        <w:fldChar w:fldCharType="end"/>
      </w:r>
    </w:p>
    <w:p w14:paraId="255C8F2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"_Toc32599" </w:instrText>
      </w:r>
      <w:r>
        <w:rPr>
          <w:i w:val="0"/>
          <w:iCs w:val="0"/>
          <w:color w:val="auto"/>
          <w:highlight w:val="none"/>
        </w:rPr>
        <w:fldChar w:fldCharType="separate"/>
      </w:r>
      <w:r>
        <w:rPr>
          <w:rFonts w:ascii="Times New Roman" w:hAnsi="Times New Roman"/>
          <w:i w:val="0"/>
          <w:iCs w:val="0"/>
          <w:color w:val="auto"/>
          <w:szCs w:val="24"/>
          <w:highlight w:val="none"/>
        </w:rPr>
        <w:t>3.</w:t>
      </w:r>
      <w:r>
        <w:rPr>
          <w:rFonts w:hint="eastAsia" w:ascii="Times New Roman" w:hAnsi="Times New Roman"/>
          <w:i w:val="0"/>
          <w:iCs w:val="0"/>
          <w:color w:val="auto"/>
          <w:szCs w:val="24"/>
          <w:highlight w:val="none"/>
        </w:rPr>
        <w:t xml:space="preserve">4 </w:t>
      </w:r>
      <w:r>
        <w:rPr>
          <w:rFonts w:ascii="Times New Roman" w:hAnsi="Times New Roman"/>
          <w:i w:val="0"/>
          <w:iCs w:val="0"/>
          <w:color w:val="auto"/>
          <w:szCs w:val="24"/>
          <w:highlight w:val="none"/>
        </w:rPr>
        <w:t>禁止转包和再分包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_Toc32599 \h </w:instrText>
      </w:r>
      <w:r>
        <w:rPr>
          <w:i w:val="0"/>
          <w:iCs w:val="0"/>
          <w:color w:val="auto"/>
          <w:highlight w:val="none"/>
        </w:rPr>
        <w:fldChar w:fldCharType="separate"/>
      </w:r>
      <w:r>
        <w:rPr>
          <w:i w:val="0"/>
          <w:iCs w:val="0"/>
          <w:color w:val="auto"/>
          <w:highlight w:val="none"/>
        </w:rPr>
        <w:t>- 36 -</w:t>
      </w:r>
      <w:r>
        <w:rPr>
          <w:i w:val="0"/>
          <w:iCs w:val="0"/>
          <w:color w:val="auto"/>
          <w:highlight w:val="none"/>
        </w:rPr>
        <w:fldChar w:fldCharType="end"/>
      </w:r>
      <w:r>
        <w:rPr>
          <w:i w:val="0"/>
          <w:iCs w:val="0"/>
          <w:color w:val="auto"/>
          <w:highlight w:val="none"/>
        </w:rPr>
        <w:fldChar w:fldCharType="end"/>
      </w:r>
    </w:p>
    <w:p w14:paraId="7575815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"_Toc27199" </w:instrText>
      </w:r>
      <w:r>
        <w:rPr>
          <w:i w:val="0"/>
          <w:iCs w:val="0"/>
          <w:color w:val="auto"/>
          <w:highlight w:val="none"/>
        </w:rPr>
        <w:fldChar w:fldCharType="separate"/>
      </w:r>
      <w:r>
        <w:rPr>
          <w:rFonts w:ascii="Times New Roman" w:hAnsi="Times New Roman"/>
          <w:i w:val="0"/>
          <w:iCs w:val="0"/>
          <w:color w:val="auto"/>
          <w:szCs w:val="24"/>
          <w:highlight w:val="none"/>
        </w:rPr>
        <w:t>3.</w:t>
      </w:r>
      <w:r>
        <w:rPr>
          <w:rFonts w:hint="eastAsia" w:ascii="Times New Roman" w:hAnsi="Times New Roman"/>
          <w:i w:val="0"/>
          <w:iCs w:val="0"/>
          <w:color w:val="auto"/>
          <w:szCs w:val="24"/>
          <w:highlight w:val="none"/>
        </w:rPr>
        <w:t xml:space="preserve">5 </w:t>
      </w:r>
      <w:r>
        <w:rPr>
          <w:rFonts w:ascii="Times New Roman" w:hAnsi="Times New Roman"/>
          <w:i w:val="0"/>
          <w:iCs w:val="0"/>
          <w:color w:val="auto"/>
          <w:szCs w:val="24"/>
          <w:highlight w:val="none"/>
        </w:rPr>
        <w:t>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_Toc27199 \h </w:instrText>
      </w:r>
      <w:r>
        <w:rPr>
          <w:i w:val="0"/>
          <w:iCs w:val="0"/>
          <w:color w:val="auto"/>
          <w:highlight w:val="none"/>
        </w:rPr>
        <w:fldChar w:fldCharType="separate"/>
      </w:r>
      <w:r>
        <w:rPr>
          <w:i w:val="0"/>
          <w:iCs w:val="0"/>
          <w:color w:val="auto"/>
          <w:highlight w:val="none"/>
        </w:rPr>
        <w:t>- 36 -</w:t>
      </w:r>
      <w:r>
        <w:rPr>
          <w:i w:val="0"/>
          <w:iCs w:val="0"/>
          <w:color w:val="auto"/>
          <w:highlight w:val="none"/>
        </w:rPr>
        <w:fldChar w:fldCharType="end"/>
      </w:r>
      <w:r>
        <w:rPr>
          <w:i w:val="0"/>
          <w:iCs w:val="0"/>
          <w:color w:val="auto"/>
          <w:highlight w:val="none"/>
        </w:rPr>
        <w:fldChar w:fldCharType="end"/>
      </w:r>
    </w:p>
    <w:p w14:paraId="369F3F97">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"_Toc10792" </w:instrText>
      </w:r>
      <w:r>
        <w:rPr>
          <w:i w:val="0"/>
          <w:iCs w:val="0"/>
          <w:color w:val="auto"/>
          <w:highlight w:val="none"/>
        </w:rPr>
        <w:fldChar w:fldCharType="separate"/>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 总包合同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_Toc10792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6E34904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"_Toc2043" </w:instrText>
      </w:r>
      <w:r>
        <w:rPr>
          <w:i w:val="0"/>
          <w:iCs w:val="0"/>
          <w:color w:val="auto"/>
          <w:highlight w:val="none"/>
        </w:rPr>
        <w:fldChar w:fldCharType="separate"/>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 xml:space="preserve"> 总包合同提供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_Toc2043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09667A2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"_Toc30605" </w:instrText>
      </w:r>
      <w:r>
        <w:rPr>
          <w:i w:val="0"/>
          <w:iCs w:val="0"/>
          <w:color w:val="auto"/>
          <w:highlight w:val="none"/>
        </w:rPr>
        <w:fldChar w:fldCharType="separate"/>
      </w:r>
      <w:r>
        <w:rPr>
          <w:rFonts w:ascii="Times New Roman" w:hAnsi="Times New Roman"/>
          <w:i w:val="0"/>
          <w:iCs w:val="0"/>
          <w:color w:val="auto"/>
          <w:szCs w:val="24"/>
          <w:highlight w:val="none"/>
        </w:rPr>
        <w:t>4.2 与总包合同有关的分包人义务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_Toc30605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343F2B2B">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"_Toc10407" </w:instrText>
      </w:r>
      <w:r>
        <w:rPr>
          <w:i w:val="0"/>
          <w:iCs w:val="0"/>
          <w:color w:val="auto"/>
          <w:highlight w:val="none"/>
        </w:rPr>
        <w:fldChar w:fldCharType="separate"/>
      </w:r>
      <w:r>
        <w:rPr>
          <w:rFonts w:ascii="Times New Roman" w:hAnsi="Times New Roman"/>
          <w:i w:val="0"/>
          <w:iCs w:val="0"/>
          <w:color w:val="auto"/>
          <w:szCs w:val="24"/>
          <w:highlight w:val="none"/>
        </w:rPr>
        <w:t>5. 分包工程质量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_Toc10407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26A50FB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"_Toc1300" </w:instrText>
      </w:r>
      <w:r>
        <w:rPr>
          <w:i w:val="0"/>
          <w:iCs w:val="0"/>
          <w:color w:val="auto"/>
          <w:highlight w:val="none"/>
        </w:rPr>
        <w:fldChar w:fldCharType="separate"/>
      </w:r>
      <w:r>
        <w:rPr>
          <w:rFonts w:ascii="Times New Roman" w:hAnsi="Times New Roman"/>
          <w:i w:val="0"/>
          <w:iCs w:val="0"/>
          <w:color w:val="auto"/>
          <w:szCs w:val="24"/>
          <w:highlight w:val="none"/>
        </w:rPr>
        <w:t>5.1</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质量要求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_Toc1300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61B5375D">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"_Toc4879" </w:instrText>
      </w:r>
      <w:r>
        <w:rPr>
          <w:i w:val="0"/>
          <w:iCs w:val="0"/>
          <w:color w:val="auto"/>
          <w:highlight w:val="none"/>
        </w:rPr>
        <w:fldChar w:fldCharType="separate"/>
      </w:r>
      <w:r>
        <w:rPr>
          <w:rFonts w:ascii="Times New Roman" w:hAnsi="Times New Roman"/>
          <w:i w:val="0"/>
          <w:iCs w:val="0"/>
          <w:color w:val="auto"/>
          <w:szCs w:val="24"/>
          <w:highlight w:val="none"/>
        </w:rPr>
        <w:t>6. 安全文明施工、环境保护与劳动用工管理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_Toc4879 \h </w:instrText>
      </w:r>
      <w:r>
        <w:rPr>
          <w:i w:val="0"/>
          <w:iCs w:val="0"/>
          <w:color w:val="auto"/>
          <w:highlight w:val="none"/>
        </w:rPr>
        <w:fldChar w:fldCharType="separate"/>
      </w:r>
      <w:r>
        <w:rPr>
          <w:i w:val="0"/>
          <w:iCs w:val="0"/>
          <w:color w:val="auto"/>
          <w:highlight w:val="none"/>
        </w:rPr>
        <w:t>- 37 -</w:t>
      </w:r>
      <w:r>
        <w:rPr>
          <w:i w:val="0"/>
          <w:iCs w:val="0"/>
          <w:color w:val="auto"/>
          <w:highlight w:val="none"/>
        </w:rPr>
        <w:fldChar w:fldCharType="end"/>
      </w:r>
      <w:r>
        <w:rPr>
          <w:i w:val="0"/>
          <w:iCs w:val="0"/>
          <w:color w:val="auto"/>
          <w:highlight w:val="none"/>
        </w:rPr>
        <w:fldChar w:fldCharType="end"/>
      </w:r>
    </w:p>
    <w:p w14:paraId="31B937A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"_Toc29268" </w:instrText>
      </w:r>
      <w:r>
        <w:rPr>
          <w:i w:val="0"/>
          <w:iCs w:val="0"/>
          <w:color w:val="auto"/>
          <w:highlight w:val="none"/>
        </w:rPr>
        <w:fldChar w:fldCharType="separate"/>
      </w:r>
      <w:r>
        <w:rPr>
          <w:rFonts w:ascii="Times New Roman" w:hAnsi="Times New Roman"/>
          <w:i w:val="0"/>
          <w:iCs w:val="0"/>
          <w:color w:val="auto"/>
          <w:szCs w:val="24"/>
          <w:highlight w:val="none"/>
        </w:rPr>
        <w:t>6.</w:t>
      </w:r>
      <w:r>
        <w:rPr>
          <w:rFonts w:hint="eastAsia"/>
          <w:i w:val="0"/>
          <w:iCs w:val="0"/>
          <w:color w:val="auto"/>
          <w:szCs w:val="24"/>
          <w:highlight w:val="none"/>
        </w:rPr>
        <w:t>1</w:t>
      </w:r>
      <w:r>
        <w:rPr>
          <w:rFonts w:ascii="Times New Roman" w:hAnsi="Times New Roman"/>
          <w:i w:val="0"/>
          <w:iCs w:val="0"/>
          <w:color w:val="auto"/>
          <w:szCs w:val="24"/>
          <w:highlight w:val="none"/>
        </w:rPr>
        <w:t xml:space="preserve"> 劳动用工管理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_Toc29268 \h </w:instrText>
      </w:r>
      <w:r>
        <w:rPr>
          <w:i w:val="0"/>
          <w:iCs w:val="0"/>
          <w:color w:val="auto"/>
          <w:highlight w:val="none"/>
        </w:rPr>
        <w:fldChar w:fldCharType="separate"/>
      </w:r>
      <w:r>
        <w:rPr>
          <w:i w:val="0"/>
          <w:iCs w:val="0"/>
          <w:color w:val="auto"/>
          <w:highlight w:val="none"/>
        </w:rPr>
        <w:t>- 38 -</w:t>
      </w:r>
      <w:r>
        <w:rPr>
          <w:i w:val="0"/>
          <w:iCs w:val="0"/>
          <w:color w:val="auto"/>
          <w:highlight w:val="none"/>
        </w:rPr>
        <w:fldChar w:fldCharType="end"/>
      </w:r>
      <w:r>
        <w:rPr>
          <w:i w:val="0"/>
          <w:iCs w:val="0"/>
          <w:color w:val="auto"/>
          <w:highlight w:val="none"/>
        </w:rPr>
        <w:fldChar w:fldCharType="end"/>
      </w:r>
    </w:p>
    <w:p w14:paraId="5149EBBF">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"_Toc26109"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 工期和进度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_Toc26109 \h </w:instrText>
      </w:r>
      <w:r>
        <w:rPr>
          <w:i w:val="0"/>
          <w:iCs w:val="0"/>
          <w:color w:val="auto"/>
          <w:highlight w:val="none"/>
        </w:rPr>
        <w:fldChar w:fldCharType="separate"/>
      </w:r>
      <w:r>
        <w:rPr>
          <w:i w:val="0"/>
          <w:iCs w:val="0"/>
          <w:color w:val="auto"/>
          <w:highlight w:val="none"/>
        </w:rPr>
        <w:t>- 39 -</w:t>
      </w:r>
      <w:r>
        <w:rPr>
          <w:i w:val="0"/>
          <w:iCs w:val="0"/>
          <w:color w:val="auto"/>
          <w:highlight w:val="none"/>
        </w:rPr>
        <w:fldChar w:fldCharType="end"/>
      </w:r>
      <w:r>
        <w:rPr>
          <w:i w:val="0"/>
          <w:iCs w:val="0"/>
          <w:color w:val="auto"/>
          <w:highlight w:val="none"/>
        </w:rPr>
        <w:fldChar w:fldCharType="end"/>
      </w:r>
    </w:p>
    <w:p w14:paraId="166EFA1B">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"_Toc2247"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.1 施工组织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_Toc2247 \h </w:instrText>
      </w:r>
      <w:r>
        <w:rPr>
          <w:i w:val="0"/>
          <w:iCs w:val="0"/>
          <w:color w:val="auto"/>
          <w:highlight w:val="none"/>
        </w:rPr>
        <w:fldChar w:fldCharType="separate"/>
      </w:r>
      <w:r>
        <w:rPr>
          <w:i w:val="0"/>
          <w:iCs w:val="0"/>
          <w:color w:val="auto"/>
          <w:highlight w:val="none"/>
        </w:rPr>
        <w:t>- 39 -</w:t>
      </w:r>
      <w:r>
        <w:rPr>
          <w:i w:val="0"/>
          <w:iCs w:val="0"/>
          <w:color w:val="auto"/>
          <w:highlight w:val="none"/>
        </w:rPr>
        <w:fldChar w:fldCharType="end"/>
      </w:r>
      <w:r>
        <w:rPr>
          <w:i w:val="0"/>
          <w:iCs w:val="0"/>
          <w:color w:val="auto"/>
          <w:highlight w:val="none"/>
        </w:rPr>
        <w:fldChar w:fldCharType="end"/>
      </w:r>
    </w:p>
    <w:p w14:paraId="35F1EF0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"_Toc18122"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 xml:space="preserve">.2 </w:t>
      </w:r>
      <w:r>
        <w:rPr>
          <w:rFonts w:hint="eastAsia" w:ascii="Times New Roman" w:hAnsi="Times New Roman"/>
          <w:i w:val="0"/>
          <w:iCs w:val="0"/>
          <w:color w:val="auto"/>
          <w:szCs w:val="24"/>
          <w:highlight w:val="none"/>
        </w:rPr>
        <w:t>开工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_Toc18122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65A48F2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"_Toc31368"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 xml:space="preserve">.3 </w:t>
      </w:r>
      <w:r>
        <w:rPr>
          <w:rFonts w:hint="eastAsia" w:ascii="Times New Roman" w:hAnsi="Times New Roman"/>
          <w:i w:val="0"/>
          <w:iCs w:val="0"/>
          <w:color w:val="auto"/>
          <w:szCs w:val="24"/>
          <w:highlight w:val="none"/>
        </w:rPr>
        <w:t>测量放线</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_Toc31368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58E4846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"_Toc13103" </w:instrText>
      </w:r>
      <w:r>
        <w:rPr>
          <w:i w:val="0"/>
          <w:iCs w:val="0"/>
          <w:color w:val="auto"/>
          <w:highlight w:val="none"/>
        </w:rPr>
        <w:fldChar w:fldCharType="separate"/>
      </w:r>
      <w:r>
        <w:rPr>
          <w:rFonts w:hint="eastAsia" w:ascii="Times New Roman" w:hAnsi="Times New Roman"/>
          <w:i w:val="0"/>
          <w:iCs w:val="0"/>
          <w:color w:val="auto"/>
          <w:szCs w:val="24"/>
          <w:highlight w:val="none"/>
        </w:rPr>
        <w:t>7.4 工期延误</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_Toc13103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65ACB39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"_Toc30219"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.5 不利物质条件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_Toc30219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76A2983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"_Toc28081" </w:instrText>
      </w:r>
      <w:r>
        <w:rPr>
          <w:i w:val="0"/>
          <w:iCs w:val="0"/>
          <w:color w:val="auto"/>
          <w:highlight w:val="none"/>
        </w:rPr>
        <w:fldChar w:fldCharType="separate"/>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.6 异常恶劣的气候条件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_Toc28081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6172E178">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"_Toc29183" </w:instrText>
      </w:r>
      <w:r>
        <w:rPr>
          <w:i w:val="0"/>
          <w:iCs w:val="0"/>
          <w:color w:val="auto"/>
          <w:highlight w:val="none"/>
        </w:rPr>
        <w:fldChar w:fldCharType="separate"/>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 材料与设备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_Toc29183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1398FBE7">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"_Toc24449" </w:instrText>
      </w:r>
      <w:r>
        <w:rPr>
          <w:i w:val="0"/>
          <w:iCs w:val="0"/>
          <w:color w:val="auto"/>
          <w:highlight w:val="none"/>
        </w:rPr>
        <w:fldChar w:fldCharType="separate"/>
      </w:r>
      <w:r>
        <w:rPr>
          <w:rFonts w:hint="eastAsia"/>
          <w:i w:val="0"/>
          <w:iCs w:val="0"/>
          <w:color w:val="auto"/>
          <w:highlight w:val="none"/>
        </w:rPr>
        <w:t>8</w:t>
      </w:r>
      <w:r>
        <w:rPr>
          <w:i w:val="0"/>
          <w:iCs w:val="0"/>
          <w:color w:val="auto"/>
          <w:highlight w:val="none"/>
        </w:rPr>
        <w:t xml:space="preserve">.1 </w:t>
      </w:r>
      <w:r>
        <w:rPr>
          <w:rFonts w:hint="eastAsia"/>
          <w:i w:val="0"/>
          <w:iCs w:val="0"/>
          <w:color w:val="auto"/>
          <w:highlight w:val="none"/>
        </w:rPr>
        <w:t>承包人供应</w:t>
      </w:r>
      <w:r>
        <w:rPr>
          <w:i w:val="0"/>
          <w:iCs w:val="0"/>
          <w:color w:val="auto"/>
          <w:highlight w:val="none"/>
        </w:rPr>
        <w:t>材料</w:t>
      </w:r>
      <w:r>
        <w:rPr>
          <w:rFonts w:hint="eastAsia"/>
          <w:i w:val="0"/>
          <w:iCs w:val="0"/>
          <w:color w:val="auto"/>
          <w:highlight w:val="none"/>
        </w:rPr>
        <w:t>与工程</w:t>
      </w:r>
      <w:r>
        <w:rPr>
          <w:i w:val="0"/>
          <w:iCs w:val="0"/>
          <w:color w:val="auto"/>
          <w:highlight w:val="none"/>
        </w:rPr>
        <w:t>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_Toc24449 \h </w:instrText>
      </w:r>
      <w:r>
        <w:rPr>
          <w:i w:val="0"/>
          <w:iCs w:val="0"/>
          <w:color w:val="auto"/>
          <w:highlight w:val="none"/>
        </w:rPr>
        <w:fldChar w:fldCharType="separate"/>
      </w:r>
      <w:r>
        <w:rPr>
          <w:i w:val="0"/>
          <w:iCs w:val="0"/>
          <w:color w:val="auto"/>
          <w:highlight w:val="none"/>
        </w:rPr>
        <w:t>- 40 -</w:t>
      </w:r>
      <w:r>
        <w:rPr>
          <w:i w:val="0"/>
          <w:iCs w:val="0"/>
          <w:color w:val="auto"/>
          <w:highlight w:val="none"/>
        </w:rPr>
        <w:fldChar w:fldCharType="end"/>
      </w:r>
      <w:r>
        <w:rPr>
          <w:i w:val="0"/>
          <w:iCs w:val="0"/>
          <w:color w:val="auto"/>
          <w:highlight w:val="none"/>
        </w:rPr>
        <w:fldChar w:fldCharType="end"/>
      </w:r>
    </w:p>
    <w:p w14:paraId="0AC06FE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"_Toc13095" </w:instrText>
      </w:r>
      <w:r>
        <w:rPr>
          <w:i w:val="0"/>
          <w:iCs w:val="0"/>
          <w:color w:val="auto"/>
          <w:highlight w:val="none"/>
        </w:rPr>
        <w:fldChar w:fldCharType="separate"/>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 xml:space="preserve">.2 </w:t>
      </w:r>
      <w:r>
        <w:rPr>
          <w:rFonts w:hint="eastAsia" w:ascii="Times New Roman" w:hAnsi="Times New Roman"/>
          <w:i w:val="0"/>
          <w:iCs w:val="0"/>
          <w:color w:val="auto"/>
          <w:szCs w:val="24"/>
          <w:highlight w:val="none"/>
        </w:rPr>
        <w:t>分包人供应材料与工程</w:t>
      </w:r>
      <w:r>
        <w:rPr>
          <w:rFonts w:ascii="Times New Roman" w:hAnsi="Times New Roman"/>
          <w:i w:val="0"/>
          <w:iCs w:val="0"/>
          <w:color w:val="auto"/>
          <w:szCs w:val="24"/>
          <w:highlight w:val="none"/>
        </w:rPr>
        <w:t>设备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_Toc13095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47B8247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"_Toc354" </w:instrText>
      </w:r>
      <w:r>
        <w:rPr>
          <w:i w:val="0"/>
          <w:iCs w:val="0"/>
          <w:color w:val="auto"/>
          <w:highlight w:val="none"/>
        </w:rPr>
        <w:fldChar w:fldCharType="separate"/>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w:t>
      </w:r>
      <w:r>
        <w:rPr>
          <w:rFonts w:hint="eastAsia"/>
          <w:i w:val="0"/>
          <w:iCs w:val="0"/>
          <w:color w:val="auto"/>
          <w:szCs w:val="24"/>
          <w:highlight w:val="none"/>
        </w:rPr>
        <w:t>3</w:t>
      </w:r>
      <w:r>
        <w:rPr>
          <w:rFonts w:ascii="Times New Roman" w:hAnsi="Times New Roman"/>
          <w:i w:val="0"/>
          <w:iCs w:val="0"/>
          <w:color w:val="auto"/>
          <w:szCs w:val="24"/>
          <w:highlight w:val="none"/>
        </w:rPr>
        <w:t>样品</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_Toc354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15174DA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"_Toc8731" </w:instrText>
      </w:r>
      <w:r>
        <w:rPr>
          <w:i w:val="0"/>
          <w:iCs w:val="0"/>
          <w:color w:val="auto"/>
          <w:highlight w:val="none"/>
        </w:rPr>
        <w:fldChar w:fldCharType="separate"/>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w:t>
      </w:r>
      <w:r>
        <w:rPr>
          <w:rFonts w:hint="eastAsia"/>
          <w:i w:val="0"/>
          <w:iCs w:val="0"/>
          <w:color w:val="auto"/>
          <w:szCs w:val="24"/>
          <w:highlight w:val="none"/>
        </w:rPr>
        <w:t>4</w:t>
      </w:r>
      <w:r>
        <w:rPr>
          <w:rFonts w:ascii="Times New Roman" w:hAnsi="Times New Roman"/>
          <w:i w:val="0"/>
          <w:iCs w:val="0"/>
          <w:color w:val="auto"/>
          <w:szCs w:val="24"/>
          <w:highlight w:val="none"/>
        </w:rPr>
        <w:t xml:space="preserve"> 材料与工程设备的替代</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_Toc8731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7DB7C6FC">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"_Toc10470" </w:instrText>
      </w:r>
      <w:r>
        <w:rPr>
          <w:i w:val="0"/>
          <w:iCs w:val="0"/>
          <w:color w:val="auto"/>
          <w:highlight w:val="none"/>
        </w:rPr>
        <w:fldChar w:fldCharType="separate"/>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w:t>
      </w:r>
      <w:r>
        <w:rPr>
          <w:rFonts w:hint="eastAsia"/>
          <w:i w:val="0"/>
          <w:iCs w:val="0"/>
          <w:color w:val="auto"/>
          <w:szCs w:val="24"/>
          <w:highlight w:val="none"/>
        </w:rPr>
        <w:t>5</w:t>
      </w:r>
      <w:r>
        <w:rPr>
          <w:rFonts w:ascii="Times New Roman" w:hAnsi="Times New Roman"/>
          <w:i w:val="0"/>
          <w:iCs w:val="0"/>
          <w:color w:val="auto"/>
          <w:szCs w:val="24"/>
          <w:highlight w:val="none"/>
        </w:rPr>
        <w:t xml:space="preserve"> 施工设备和临时设施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_Toc10470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3D328908">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"_Toc30742" </w:instrText>
      </w:r>
      <w:r>
        <w:rPr>
          <w:i w:val="0"/>
          <w:iCs w:val="0"/>
          <w:color w:val="auto"/>
          <w:highlight w:val="none"/>
        </w:rPr>
        <w:fldChar w:fldCharType="separate"/>
      </w:r>
      <w:r>
        <w:rPr>
          <w:rFonts w:hint="eastAsia" w:ascii="Times New Roman" w:hAnsi="Times New Roman"/>
          <w:i w:val="0"/>
          <w:iCs w:val="0"/>
          <w:color w:val="auto"/>
          <w:szCs w:val="24"/>
          <w:highlight w:val="none"/>
        </w:rPr>
        <w:t>9</w:t>
      </w:r>
      <w:r>
        <w:rPr>
          <w:rFonts w:ascii="Times New Roman" w:hAnsi="Times New Roman"/>
          <w:i w:val="0"/>
          <w:iCs w:val="0"/>
          <w:color w:val="auto"/>
          <w:szCs w:val="24"/>
          <w:highlight w:val="none"/>
        </w:rPr>
        <w:t>.</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试验和检验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_Toc30742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1CFA9D06">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"_Toc17536"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分包合同</w:t>
      </w:r>
      <w:r>
        <w:rPr>
          <w:rFonts w:ascii="Times New Roman" w:hAnsi="Times New Roman"/>
          <w:i w:val="0"/>
          <w:iCs w:val="0"/>
          <w:color w:val="auto"/>
          <w:szCs w:val="24"/>
          <w:highlight w:val="none"/>
        </w:rPr>
        <w:t>变更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_Toc17536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08908D5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"_Toc17214"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.1 分包合同变更的范围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_Toc17214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4838403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"_Toc9535"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w:t>
      </w:r>
      <w:r>
        <w:rPr>
          <w:rFonts w:hint="eastAsia"/>
          <w:i w:val="0"/>
          <w:iCs w:val="0"/>
          <w:color w:val="auto"/>
          <w:szCs w:val="24"/>
          <w:highlight w:val="none"/>
        </w:rPr>
        <w:t>2</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分包合同变更估价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_Toc9535 \h </w:instrText>
      </w:r>
      <w:r>
        <w:rPr>
          <w:i w:val="0"/>
          <w:iCs w:val="0"/>
          <w:color w:val="auto"/>
          <w:highlight w:val="none"/>
        </w:rPr>
        <w:fldChar w:fldCharType="separate"/>
      </w:r>
      <w:r>
        <w:rPr>
          <w:i w:val="0"/>
          <w:iCs w:val="0"/>
          <w:color w:val="auto"/>
          <w:highlight w:val="none"/>
        </w:rPr>
        <w:t>- 41 -</w:t>
      </w:r>
      <w:r>
        <w:rPr>
          <w:i w:val="0"/>
          <w:iCs w:val="0"/>
          <w:color w:val="auto"/>
          <w:highlight w:val="none"/>
        </w:rPr>
        <w:fldChar w:fldCharType="end"/>
      </w:r>
      <w:r>
        <w:rPr>
          <w:i w:val="0"/>
          <w:iCs w:val="0"/>
          <w:color w:val="auto"/>
          <w:highlight w:val="none"/>
        </w:rPr>
        <w:fldChar w:fldCharType="end"/>
      </w:r>
    </w:p>
    <w:p w14:paraId="716BF7F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"_Toc1536"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w:t>
      </w:r>
      <w:r>
        <w:rPr>
          <w:rFonts w:hint="eastAsia"/>
          <w:i w:val="0"/>
          <w:iCs w:val="0"/>
          <w:color w:val="auto"/>
          <w:szCs w:val="24"/>
          <w:highlight w:val="none"/>
        </w:rPr>
        <w:t>3</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变更引起的工期调整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_Toc1536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4CD0EE44">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"_Toc11043"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1</w:t>
      </w:r>
      <w:r>
        <w:rPr>
          <w:rFonts w:ascii="Times New Roman" w:hAnsi="Times New Roman"/>
          <w:i w:val="0"/>
          <w:iCs w:val="0"/>
          <w:color w:val="auto"/>
          <w:szCs w:val="24"/>
          <w:highlight w:val="none"/>
        </w:rPr>
        <w:t>. 合同价格</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_Toc11043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6E0FAAC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"_Toc4727" </w:instrText>
      </w:r>
      <w:r>
        <w:rPr>
          <w:i w:val="0"/>
          <w:iCs w:val="0"/>
          <w:color w:val="auto"/>
          <w:highlight w:val="none"/>
        </w:rPr>
        <w:fldChar w:fldCharType="separate"/>
      </w:r>
      <w:r>
        <w:rPr>
          <w:rFonts w:hint="eastAsia" w:ascii="Times New Roman" w:hAnsi="Times New Roman"/>
          <w:i w:val="0"/>
          <w:iCs w:val="0"/>
          <w:color w:val="auto"/>
          <w:szCs w:val="24"/>
          <w:highlight w:val="none"/>
        </w:rPr>
        <w:t>11.1 单价合同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_Toc4727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04ABA0C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"_Toc17029" </w:instrText>
      </w:r>
      <w:r>
        <w:rPr>
          <w:i w:val="0"/>
          <w:iCs w:val="0"/>
          <w:color w:val="auto"/>
          <w:highlight w:val="none"/>
        </w:rPr>
        <w:fldChar w:fldCharType="separate"/>
      </w:r>
      <w:r>
        <w:rPr>
          <w:rFonts w:hint="eastAsia" w:ascii="Times New Roman" w:hAnsi="Times New Roman"/>
          <w:i w:val="0"/>
          <w:iCs w:val="0"/>
          <w:color w:val="auto"/>
          <w:szCs w:val="24"/>
          <w:highlight w:val="none"/>
        </w:rPr>
        <w:t>11.2 总价合同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_Toc17029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17314C5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"_Toc27234"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 价格调整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_Toc27234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4ADD04E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"_Toc5826"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.1 市场价格波动引起的调整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_Toc5826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2D3C8B71">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"_Toc7468"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 计量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_Toc7468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2152F76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"_Toc16638"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.1 计量原则和计量周期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_Toc7468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3EA62DF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"_Toc25417"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.2 计量程序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_Toc7468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0143C162">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"_Toc31318"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 工程款支付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_Toc31318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679CF68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"_Toc1488"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.1 预付款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_Toc1488 \h </w:instrText>
      </w:r>
      <w:r>
        <w:rPr>
          <w:i w:val="0"/>
          <w:iCs w:val="0"/>
          <w:color w:val="auto"/>
          <w:highlight w:val="none"/>
        </w:rPr>
        <w:fldChar w:fldCharType="separate"/>
      </w:r>
      <w:r>
        <w:rPr>
          <w:i w:val="0"/>
          <w:iCs w:val="0"/>
          <w:color w:val="auto"/>
          <w:highlight w:val="none"/>
        </w:rPr>
        <w:t>- 42 -</w:t>
      </w:r>
      <w:r>
        <w:rPr>
          <w:i w:val="0"/>
          <w:iCs w:val="0"/>
          <w:color w:val="auto"/>
          <w:highlight w:val="none"/>
        </w:rPr>
        <w:fldChar w:fldCharType="end"/>
      </w:r>
      <w:r>
        <w:rPr>
          <w:i w:val="0"/>
          <w:iCs w:val="0"/>
          <w:color w:val="auto"/>
          <w:highlight w:val="none"/>
        </w:rPr>
        <w:fldChar w:fldCharType="end"/>
      </w:r>
    </w:p>
    <w:p w14:paraId="647E9D53">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"_Toc21042"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安全文明施工费的支付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_Toc21042 \h </w:instrText>
      </w:r>
      <w:r>
        <w:rPr>
          <w:i w:val="0"/>
          <w:iCs w:val="0"/>
          <w:color w:val="auto"/>
          <w:highlight w:val="none"/>
        </w:rPr>
        <w:fldChar w:fldCharType="separate"/>
      </w:r>
      <w:r>
        <w:rPr>
          <w:i w:val="0"/>
          <w:iCs w:val="0"/>
          <w:color w:val="auto"/>
          <w:highlight w:val="none"/>
        </w:rPr>
        <w:t>- 43 -</w:t>
      </w:r>
      <w:r>
        <w:rPr>
          <w:i w:val="0"/>
          <w:iCs w:val="0"/>
          <w:color w:val="auto"/>
          <w:highlight w:val="none"/>
        </w:rPr>
        <w:fldChar w:fldCharType="end"/>
      </w:r>
      <w:r>
        <w:rPr>
          <w:i w:val="0"/>
          <w:iCs w:val="0"/>
          <w:color w:val="auto"/>
          <w:highlight w:val="none"/>
        </w:rPr>
        <w:fldChar w:fldCharType="end"/>
      </w:r>
    </w:p>
    <w:p w14:paraId="0B3DB9C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"_Toc16015"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.3 工程进度款支付</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_Toc16015 \h </w:instrText>
      </w:r>
      <w:r>
        <w:rPr>
          <w:i w:val="0"/>
          <w:iCs w:val="0"/>
          <w:color w:val="auto"/>
          <w:highlight w:val="none"/>
        </w:rPr>
        <w:fldChar w:fldCharType="separate"/>
      </w:r>
      <w:r>
        <w:rPr>
          <w:i w:val="0"/>
          <w:iCs w:val="0"/>
          <w:color w:val="auto"/>
          <w:highlight w:val="none"/>
        </w:rPr>
        <w:t>- 43 -</w:t>
      </w:r>
      <w:r>
        <w:rPr>
          <w:i w:val="0"/>
          <w:iCs w:val="0"/>
          <w:color w:val="auto"/>
          <w:highlight w:val="none"/>
        </w:rPr>
        <w:fldChar w:fldCharType="end"/>
      </w:r>
      <w:r>
        <w:rPr>
          <w:i w:val="0"/>
          <w:iCs w:val="0"/>
          <w:color w:val="auto"/>
          <w:highlight w:val="none"/>
        </w:rPr>
        <w:fldChar w:fldCharType="end"/>
      </w:r>
    </w:p>
    <w:p w14:paraId="119D6BB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"_Toc27419" </w:instrText>
      </w:r>
      <w:r>
        <w:rPr>
          <w:i w:val="0"/>
          <w:iCs w:val="0"/>
          <w:color w:val="auto"/>
          <w:highlight w:val="none"/>
        </w:rPr>
        <w:fldChar w:fldCharType="separate"/>
      </w:r>
      <w:r>
        <w:rPr>
          <w:rFonts w:hint="eastAsia" w:ascii="Times New Roman" w:hAnsi="Times New Roman"/>
          <w:i w:val="0"/>
          <w:iCs w:val="0"/>
          <w:color w:val="auto"/>
          <w:szCs w:val="24"/>
          <w:highlight w:val="none"/>
        </w:rPr>
        <w:t>14.4 支付账户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_Toc27419 \h </w:instrText>
      </w:r>
      <w:r>
        <w:rPr>
          <w:i w:val="0"/>
          <w:iCs w:val="0"/>
          <w:color w:val="auto"/>
          <w:highlight w:val="none"/>
        </w:rPr>
        <w:fldChar w:fldCharType="separate"/>
      </w:r>
      <w:r>
        <w:rPr>
          <w:i w:val="0"/>
          <w:iCs w:val="0"/>
          <w:color w:val="auto"/>
          <w:highlight w:val="none"/>
        </w:rPr>
        <w:t>- 43 -</w:t>
      </w:r>
      <w:r>
        <w:rPr>
          <w:i w:val="0"/>
          <w:iCs w:val="0"/>
          <w:color w:val="auto"/>
          <w:highlight w:val="none"/>
        </w:rPr>
        <w:fldChar w:fldCharType="end"/>
      </w:r>
      <w:r>
        <w:rPr>
          <w:i w:val="0"/>
          <w:iCs w:val="0"/>
          <w:color w:val="auto"/>
          <w:highlight w:val="none"/>
        </w:rPr>
        <w:fldChar w:fldCharType="end"/>
      </w:r>
    </w:p>
    <w:p w14:paraId="52AB6E4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"_Toc7673" </w:instrText>
      </w:r>
      <w:r>
        <w:rPr>
          <w:i w:val="0"/>
          <w:iCs w:val="0"/>
          <w:color w:val="auto"/>
          <w:highlight w:val="none"/>
        </w:rPr>
        <w:fldChar w:fldCharType="separate"/>
      </w:r>
      <w:r>
        <w:rPr>
          <w:rFonts w:hint="eastAsia" w:ascii="Times New Roman" w:hAnsi="Times New Roman"/>
          <w:i w:val="0"/>
          <w:iCs w:val="0"/>
          <w:color w:val="auto"/>
          <w:szCs w:val="24"/>
          <w:highlight w:val="none"/>
        </w:rPr>
        <w:t>14.5 付款条件和发票条款</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_Toc7673 \h </w:instrText>
      </w:r>
      <w:r>
        <w:rPr>
          <w:i w:val="0"/>
          <w:iCs w:val="0"/>
          <w:color w:val="auto"/>
          <w:highlight w:val="none"/>
        </w:rPr>
        <w:fldChar w:fldCharType="separate"/>
      </w:r>
      <w:r>
        <w:rPr>
          <w:i w:val="0"/>
          <w:iCs w:val="0"/>
          <w:color w:val="auto"/>
          <w:highlight w:val="none"/>
        </w:rPr>
        <w:t>- 43 -</w:t>
      </w:r>
      <w:r>
        <w:rPr>
          <w:i w:val="0"/>
          <w:iCs w:val="0"/>
          <w:color w:val="auto"/>
          <w:highlight w:val="none"/>
        </w:rPr>
        <w:fldChar w:fldCharType="end"/>
      </w:r>
      <w:r>
        <w:rPr>
          <w:i w:val="0"/>
          <w:iCs w:val="0"/>
          <w:color w:val="auto"/>
          <w:highlight w:val="none"/>
        </w:rPr>
        <w:fldChar w:fldCharType="end"/>
      </w:r>
    </w:p>
    <w:p w14:paraId="0B34FC0A">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"_Toc29577" </w:instrText>
      </w:r>
      <w:r>
        <w:rPr>
          <w:i w:val="0"/>
          <w:iCs w:val="0"/>
          <w:color w:val="auto"/>
          <w:highlight w:val="none"/>
        </w:rPr>
        <w:fldChar w:fldCharType="separate"/>
      </w:r>
      <w:r>
        <w:rPr>
          <w:rFonts w:hint="eastAsia" w:ascii="Times New Roman" w:hAnsi="Times New Roman"/>
          <w:i w:val="0"/>
          <w:iCs w:val="0"/>
          <w:color w:val="auto"/>
          <w:szCs w:val="24"/>
          <w:highlight w:val="none"/>
        </w:rPr>
        <w:t>15. 成品保护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_Toc29577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6ED6023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"_Toc8527"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6</w:t>
      </w:r>
      <w:r>
        <w:rPr>
          <w:rFonts w:ascii="Times New Roman" w:hAnsi="Times New Roman"/>
          <w:i w:val="0"/>
          <w:iCs w:val="0"/>
          <w:color w:val="auto"/>
          <w:szCs w:val="24"/>
          <w:highlight w:val="none"/>
        </w:rPr>
        <w:t>. 试车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_Toc8527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49BD3B5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"_Toc25041"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6</w:t>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试车的组织和配合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_Toc25041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4CDC7AE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"_Toc826" </w:instrText>
      </w:r>
      <w:r>
        <w:rPr>
          <w:i w:val="0"/>
          <w:iCs w:val="0"/>
          <w:color w:val="auto"/>
          <w:highlight w:val="none"/>
        </w:rPr>
        <w:fldChar w:fldCharType="separate"/>
      </w:r>
      <w:r>
        <w:rPr>
          <w:rFonts w:ascii="Times New Roman" w:hAnsi="Times New Roman"/>
          <w:i w:val="0"/>
          <w:iCs w:val="0"/>
          <w:color w:val="auto"/>
          <w:kern w:val="0"/>
          <w:szCs w:val="24"/>
          <w:highlight w:val="none"/>
        </w:rPr>
        <w:t>1</w:t>
      </w:r>
      <w:r>
        <w:rPr>
          <w:rFonts w:hint="eastAsia" w:ascii="Times New Roman" w:hAnsi="Times New Roman"/>
          <w:i w:val="0"/>
          <w:iCs w:val="0"/>
          <w:color w:val="auto"/>
          <w:kern w:val="0"/>
          <w:szCs w:val="24"/>
          <w:highlight w:val="none"/>
        </w:rPr>
        <w:t>6</w:t>
      </w:r>
      <w:r>
        <w:rPr>
          <w:rFonts w:ascii="Times New Roman" w:hAnsi="Times New Roman"/>
          <w:i w:val="0"/>
          <w:iCs w:val="0"/>
          <w:color w:val="auto"/>
          <w:kern w:val="0"/>
          <w:szCs w:val="24"/>
          <w:highlight w:val="none"/>
        </w:rPr>
        <w:t>.2 试车的费用承担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_Toc826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54194AB4">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"_Toc29919"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 完工验收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_Toc29919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17EABEB1">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"_Toc25152" </w:instrText>
      </w:r>
      <w:r>
        <w:rPr>
          <w:i w:val="0"/>
          <w:iCs w:val="0"/>
          <w:color w:val="auto"/>
          <w:highlight w:val="none"/>
        </w:rPr>
        <w:fldChar w:fldCharType="separate"/>
      </w:r>
      <w:r>
        <w:rPr>
          <w:rFonts w:hint="eastAsia" w:ascii="Times New Roman" w:hAnsi="Times New Roman"/>
          <w:i w:val="0"/>
          <w:iCs w:val="0"/>
          <w:color w:val="auto"/>
          <w:szCs w:val="24"/>
          <w:highlight w:val="none"/>
        </w:rPr>
        <w:t>17.1 完工验收条件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_Toc25152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6334885D">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"_Toc18272"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 xml:space="preserve"> </w:t>
      </w:r>
      <w:r>
        <w:rPr>
          <w:rFonts w:ascii="Times New Roman" w:hAnsi="Times New Roman"/>
          <w:i w:val="0"/>
          <w:iCs w:val="0"/>
          <w:color w:val="auto"/>
          <w:szCs w:val="24"/>
          <w:highlight w:val="none"/>
        </w:rPr>
        <w:t>完工验收程序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_Toc18272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144A1E9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"_Toc29610"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 xml:space="preserve"> 完工日期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_Toc29610 \h </w:instrText>
      </w:r>
      <w:r>
        <w:rPr>
          <w:i w:val="0"/>
          <w:iCs w:val="0"/>
          <w:color w:val="auto"/>
          <w:highlight w:val="none"/>
        </w:rPr>
        <w:fldChar w:fldCharType="separate"/>
      </w:r>
      <w:r>
        <w:rPr>
          <w:i w:val="0"/>
          <w:iCs w:val="0"/>
          <w:color w:val="auto"/>
          <w:highlight w:val="none"/>
        </w:rPr>
        <w:t>- 45 -</w:t>
      </w:r>
      <w:r>
        <w:rPr>
          <w:i w:val="0"/>
          <w:iCs w:val="0"/>
          <w:color w:val="auto"/>
          <w:highlight w:val="none"/>
        </w:rPr>
        <w:fldChar w:fldCharType="end"/>
      </w:r>
      <w:r>
        <w:rPr>
          <w:i w:val="0"/>
          <w:iCs w:val="0"/>
          <w:color w:val="auto"/>
          <w:highlight w:val="none"/>
        </w:rPr>
        <w:fldChar w:fldCharType="end"/>
      </w:r>
    </w:p>
    <w:p w14:paraId="2C7C0EE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"_Toc29053"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7</w:t>
      </w:r>
      <w:r>
        <w:rPr>
          <w:rFonts w:ascii="Times New Roman" w:hAnsi="Times New Roman"/>
          <w:i w:val="0"/>
          <w:iCs w:val="0"/>
          <w:color w:val="auto"/>
          <w:szCs w:val="24"/>
          <w:highlight w:val="none"/>
        </w:rPr>
        <w:t>.4 完工退场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_Toc29053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6D14F4D9">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"_Toc28380"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 分包工程移交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_Toc28380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0A0642F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"_Toc21867" </w:instrText>
      </w:r>
      <w:r>
        <w:rPr>
          <w:i w:val="0"/>
          <w:iCs w:val="0"/>
          <w:color w:val="auto"/>
          <w:highlight w:val="none"/>
        </w:rPr>
        <w:fldChar w:fldCharType="separate"/>
      </w:r>
      <w:r>
        <w:rPr>
          <w:rFonts w:ascii="Times New Roman" w:hAnsi="Times New Roman"/>
          <w:i w:val="0"/>
          <w:iCs w:val="0"/>
          <w:color w:val="auto"/>
          <w:szCs w:val="24"/>
          <w:highlight w:val="none"/>
        </w:rPr>
        <w:t>1</w:t>
      </w:r>
      <w:r>
        <w:rPr>
          <w:rFonts w:hint="eastAsia" w:ascii="Times New Roman" w:hAnsi="Times New Roman"/>
          <w:i w:val="0"/>
          <w:iCs w:val="0"/>
          <w:color w:val="auto"/>
          <w:szCs w:val="24"/>
          <w:highlight w:val="none"/>
        </w:rPr>
        <w:t>8</w:t>
      </w:r>
      <w:r>
        <w:rPr>
          <w:rFonts w:ascii="Times New Roman" w:hAnsi="Times New Roman"/>
          <w:i w:val="0"/>
          <w:iCs w:val="0"/>
          <w:color w:val="auto"/>
          <w:szCs w:val="24"/>
          <w:highlight w:val="none"/>
        </w:rPr>
        <w:t>.1 分包工程移交时间</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_Toc21867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2A92363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"_Toc31789" </w:instrText>
      </w:r>
      <w:r>
        <w:rPr>
          <w:i w:val="0"/>
          <w:iCs w:val="0"/>
          <w:color w:val="auto"/>
          <w:highlight w:val="none"/>
        </w:rPr>
        <w:fldChar w:fldCharType="separate"/>
      </w:r>
      <w:r>
        <w:rPr>
          <w:rFonts w:hint="eastAsia" w:ascii="Times New Roman" w:hAnsi="Times New Roman"/>
          <w:i w:val="0"/>
          <w:iCs w:val="0"/>
          <w:color w:val="auto"/>
          <w:szCs w:val="24"/>
          <w:highlight w:val="none"/>
        </w:rPr>
        <w:t>19</w:t>
      </w:r>
      <w:r>
        <w:rPr>
          <w:rFonts w:ascii="Times New Roman" w:hAnsi="Times New Roman"/>
          <w:i w:val="0"/>
          <w:iCs w:val="0"/>
          <w:color w:val="auto"/>
          <w:szCs w:val="24"/>
          <w:highlight w:val="none"/>
        </w:rPr>
        <w:t>. 结算</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_Toc31789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7CBF4056">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"_Toc21832" </w:instrText>
      </w:r>
      <w:r>
        <w:rPr>
          <w:i w:val="0"/>
          <w:iCs w:val="0"/>
          <w:color w:val="auto"/>
          <w:highlight w:val="none"/>
        </w:rPr>
        <w:fldChar w:fldCharType="separate"/>
      </w:r>
      <w:r>
        <w:rPr>
          <w:rFonts w:hint="eastAsia" w:ascii="Times New Roman" w:hAnsi="Times New Roman"/>
          <w:i w:val="0"/>
          <w:iCs w:val="0"/>
          <w:color w:val="auto"/>
          <w:szCs w:val="24"/>
          <w:highlight w:val="none"/>
        </w:rPr>
        <w:t>19</w:t>
      </w:r>
      <w:r>
        <w:rPr>
          <w:rFonts w:ascii="Times New Roman" w:hAnsi="Times New Roman"/>
          <w:i w:val="0"/>
          <w:iCs w:val="0"/>
          <w:color w:val="auto"/>
          <w:szCs w:val="24"/>
          <w:highlight w:val="none"/>
        </w:rPr>
        <w:t>.1 结算申请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_Toc21832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3921133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"_Toc3009" </w:instrText>
      </w:r>
      <w:r>
        <w:rPr>
          <w:i w:val="0"/>
          <w:iCs w:val="0"/>
          <w:color w:val="auto"/>
          <w:highlight w:val="none"/>
        </w:rPr>
        <w:fldChar w:fldCharType="separate"/>
      </w:r>
      <w:r>
        <w:rPr>
          <w:rFonts w:hint="eastAsia" w:ascii="Times New Roman" w:hAnsi="Times New Roman"/>
          <w:i w:val="0"/>
          <w:iCs w:val="0"/>
          <w:color w:val="auto"/>
          <w:szCs w:val="24"/>
          <w:highlight w:val="none"/>
        </w:rPr>
        <w:t>19</w:t>
      </w:r>
      <w:r>
        <w:rPr>
          <w:rFonts w:ascii="Times New Roman" w:hAnsi="Times New Roman"/>
          <w:i w:val="0"/>
          <w:iCs w:val="0"/>
          <w:color w:val="auto"/>
          <w:szCs w:val="24"/>
          <w:highlight w:val="none"/>
        </w:rPr>
        <w:t>.2 结算审核</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_Toc3009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738DE0B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"_Toc25895" </w:instrText>
      </w:r>
      <w:r>
        <w:rPr>
          <w:i w:val="0"/>
          <w:iCs w:val="0"/>
          <w:color w:val="auto"/>
          <w:highlight w:val="none"/>
        </w:rPr>
        <w:fldChar w:fldCharType="separate"/>
      </w:r>
      <w:r>
        <w:rPr>
          <w:rFonts w:hint="eastAsia" w:ascii="Times New Roman" w:hAnsi="Times New Roman"/>
          <w:i w:val="0"/>
          <w:iCs w:val="0"/>
          <w:color w:val="auto"/>
          <w:szCs w:val="24"/>
          <w:highlight w:val="none"/>
        </w:rPr>
        <w:t>19</w:t>
      </w:r>
      <w:r>
        <w:rPr>
          <w:rFonts w:ascii="Times New Roman" w:hAnsi="Times New Roman"/>
          <w:i w:val="0"/>
          <w:iCs w:val="0"/>
          <w:color w:val="auto"/>
          <w:szCs w:val="24"/>
          <w:highlight w:val="none"/>
        </w:rPr>
        <w:t>.3 最终结清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_Toc25895 \h </w:instrText>
      </w:r>
      <w:r>
        <w:rPr>
          <w:i w:val="0"/>
          <w:iCs w:val="0"/>
          <w:color w:val="auto"/>
          <w:highlight w:val="none"/>
        </w:rPr>
        <w:fldChar w:fldCharType="separate"/>
      </w:r>
      <w:r>
        <w:rPr>
          <w:i w:val="0"/>
          <w:iCs w:val="0"/>
          <w:color w:val="auto"/>
          <w:highlight w:val="none"/>
        </w:rPr>
        <w:t>- 46 -</w:t>
      </w:r>
      <w:r>
        <w:rPr>
          <w:i w:val="0"/>
          <w:iCs w:val="0"/>
          <w:color w:val="auto"/>
          <w:highlight w:val="none"/>
        </w:rPr>
        <w:fldChar w:fldCharType="end"/>
      </w:r>
      <w:r>
        <w:rPr>
          <w:i w:val="0"/>
          <w:iCs w:val="0"/>
          <w:color w:val="auto"/>
          <w:highlight w:val="none"/>
        </w:rPr>
        <w:fldChar w:fldCharType="end"/>
      </w:r>
    </w:p>
    <w:p w14:paraId="10908E33">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"_Toc23541"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 缺陷责任期与保修期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_Toc23541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0DFF764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"_Toc16953" </w:instrText>
      </w:r>
      <w:r>
        <w:rPr>
          <w:i w:val="0"/>
          <w:iCs w:val="0"/>
          <w:color w:val="auto"/>
          <w:highlight w:val="none"/>
        </w:rPr>
        <w:fldChar w:fldCharType="separate"/>
      </w:r>
      <w:r>
        <w:rPr>
          <w:rFonts w:ascii="Times New Roman" w:hAnsi="Times New Roman"/>
          <w:i w:val="0"/>
          <w:iCs w:val="0"/>
          <w:color w:val="auto"/>
          <w:kern w:val="0"/>
          <w:szCs w:val="24"/>
          <w:highlight w:val="none"/>
        </w:rPr>
        <w:t>2</w:t>
      </w:r>
      <w:r>
        <w:rPr>
          <w:rFonts w:hint="eastAsia" w:ascii="Times New Roman" w:hAnsi="Times New Roman"/>
          <w:i w:val="0"/>
          <w:iCs w:val="0"/>
          <w:color w:val="auto"/>
          <w:kern w:val="0"/>
          <w:szCs w:val="24"/>
          <w:highlight w:val="none"/>
        </w:rPr>
        <w:t>0</w:t>
      </w:r>
      <w:r>
        <w:rPr>
          <w:rFonts w:ascii="Times New Roman" w:hAnsi="Times New Roman"/>
          <w:i w:val="0"/>
          <w:iCs w:val="0"/>
          <w:color w:val="auto"/>
          <w:kern w:val="0"/>
          <w:szCs w:val="24"/>
          <w:highlight w:val="none"/>
        </w:rPr>
        <w:t>.1 缺陷责任期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_Toc16953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1A623C69">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"_Toc29783"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.2 保修期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_Toc29783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6789ABE4">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"_Toc8302"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0</w:t>
      </w:r>
      <w:r>
        <w:rPr>
          <w:rFonts w:ascii="Times New Roman" w:hAnsi="Times New Roman"/>
          <w:i w:val="0"/>
          <w:iCs w:val="0"/>
          <w:color w:val="auto"/>
          <w:szCs w:val="24"/>
          <w:highlight w:val="none"/>
        </w:rPr>
        <w:t>.3 质量保证金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_Toc8302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603775AA">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"_Toc16712"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1.</w:t>
      </w:r>
      <w:r>
        <w:rPr>
          <w:rFonts w:ascii="Times New Roman" w:hAnsi="Times New Roman"/>
          <w:i w:val="0"/>
          <w:iCs w:val="0"/>
          <w:color w:val="auto"/>
          <w:szCs w:val="24"/>
          <w:highlight w:val="none"/>
        </w:rPr>
        <w:t xml:space="preserve"> 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_Toc16712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7744F48A">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"_Toc27149" </w:instrText>
      </w:r>
      <w:r>
        <w:rPr>
          <w:i w:val="0"/>
          <w:iCs w:val="0"/>
          <w:color w:val="auto"/>
          <w:highlight w:val="none"/>
        </w:rPr>
        <w:fldChar w:fldCharType="separate"/>
      </w:r>
      <w:r>
        <w:rPr>
          <w:rFonts w:hint="eastAsia" w:ascii="Times New Roman" w:hAnsi="Times New Roman"/>
          <w:i w:val="0"/>
          <w:iCs w:val="0"/>
          <w:color w:val="auto"/>
          <w:szCs w:val="24"/>
          <w:highlight w:val="none"/>
        </w:rPr>
        <w:t>21.1 承包人违约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_Toc27149 \h </w:instrText>
      </w:r>
      <w:r>
        <w:rPr>
          <w:i w:val="0"/>
          <w:iCs w:val="0"/>
          <w:color w:val="auto"/>
          <w:highlight w:val="none"/>
        </w:rPr>
        <w:fldChar w:fldCharType="separate"/>
      </w:r>
      <w:r>
        <w:rPr>
          <w:i w:val="0"/>
          <w:iCs w:val="0"/>
          <w:color w:val="auto"/>
          <w:highlight w:val="none"/>
        </w:rPr>
        <w:t>- 47 -</w:t>
      </w:r>
      <w:r>
        <w:rPr>
          <w:i w:val="0"/>
          <w:iCs w:val="0"/>
          <w:color w:val="auto"/>
          <w:highlight w:val="none"/>
        </w:rPr>
        <w:fldChar w:fldCharType="end"/>
      </w:r>
      <w:r>
        <w:rPr>
          <w:i w:val="0"/>
          <w:iCs w:val="0"/>
          <w:color w:val="auto"/>
          <w:highlight w:val="none"/>
        </w:rPr>
        <w:fldChar w:fldCharType="end"/>
      </w:r>
    </w:p>
    <w:p w14:paraId="57C175C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"_Toc7603" </w:instrText>
      </w:r>
      <w:r>
        <w:rPr>
          <w:i w:val="0"/>
          <w:iCs w:val="0"/>
          <w:color w:val="auto"/>
          <w:highlight w:val="none"/>
        </w:rPr>
        <w:fldChar w:fldCharType="separate"/>
      </w:r>
      <w:r>
        <w:rPr>
          <w:rFonts w:hint="eastAsia" w:ascii="Times New Roman" w:hAnsi="Times New Roman"/>
          <w:i w:val="0"/>
          <w:iCs w:val="0"/>
          <w:color w:val="auto"/>
          <w:szCs w:val="24"/>
          <w:highlight w:val="none"/>
        </w:rPr>
        <w:t>21.2 分包人违约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_Toc7603 \h </w:instrText>
      </w:r>
      <w:r>
        <w:rPr>
          <w:i w:val="0"/>
          <w:iCs w:val="0"/>
          <w:color w:val="auto"/>
          <w:highlight w:val="none"/>
        </w:rPr>
        <w:fldChar w:fldCharType="separate"/>
      </w:r>
      <w:r>
        <w:rPr>
          <w:i w:val="0"/>
          <w:iCs w:val="0"/>
          <w:color w:val="auto"/>
          <w:highlight w:val="none"/>
        </w:rPr>
        <w:t>- 48 -</w:t>
      </w:r>
      <w:r>
        <w:rPr>
          <w:i w:val="0"/>
          <w:iCs w:val="0"/>
          <w:color w:val="auto"/>
          <w:highlight w:val="none"/>
        </w:rPr>
        <w:fldChar w:fldCharType="end"/>
      </w:r>
      <w:r>
        <w:rPr>
          <w:i w:val="0"/>
          <w:iCs w:val="0"/>
          <w:color w:val="auto"/>
          <w:highlight w:val="none"/>
        </w:rPr>
        <w:fldChar w:fldCharType="end"/>
      </w:r>
    </w:p>
    <w:p w14:paraId="7AFB6365">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"_Toc18703"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 不可抗力</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_Toc18703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6A80EEE2">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"_Toc17283"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.1 不可抗力的确认</w:t>
      </w:r>
      <w:r>
        <w:rPr>
          <w:rFonts w:hint="eastAsia" w:ascii="Times New Roman" w:hAnsi="Times New Roman"/>
          <w:i w:val="0"/>
          <w:iCs w:val="0"/>
          <w:color w:val="auto"/>
          <w:szCs w:val="24"/>
          <w:highlight w:val="none"/>
        </w:rPr>
        <w:t>和通知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_Toc17283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16703218">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"_Toc12350"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2</w:t>
      </w:r>
      <w:r>
        <w:rPr>
          <w:rFonts w:ascii="Times New Roman" w:hAnsi="Times New Roman"/>
          <w:i w:val="0"/>
          <w:iCs w:val="0"/>
          <w:color w:val="auto"/>
          <w:szCs w:val="24"/>
          <w:highlight w:val="none"/>
        </w:rPr>
        <w:t>.</w:t>
      </w:r>
      <w:r>
        <w:rPr>
          <w:rFonts w:hint="eastAsia"/>
          <w:i w:val="0"/>
          <w:iCs w:val="0"/>
          <w:color w:val="auto"/>
          <w:szCs w:val="24"/>
          <w:highlight w:val="none"/>
        </w:rPr>
        <w:t>2</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因</w:t>
      </w:r>
      <w:r>
        <w:rPr>
          <w:rFonts w:ascii="Times New Roman" w:hAnsi="Times New Roman"/>
          <w:i w:val="0"/>
          <w:iCs w:val="0"/>
          <w:color w:val="auto"/>
          <w:szCs w:val="24"/>
          <w:highlight w:val="none"/>
        </w:rPr>
        <w:t>不可抗力解除合同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_Toc12350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6A8C36F1">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"_Toc8379"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_Toc8379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41176655">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"_Toc15967"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w:t>
      </w:r>
      <w:r>
        <w:rPr>
          <w:rFonts w:hint="eastAsia"/>
          <w:i w:val="0"/>
          <w:iCs w:val="0"/>
          <w:color w:val="auto"/>
          <w:szCs w:val="24"/>
          <w:highlight w:val="none"/>
        </w:rPr>
        <w:t>1</w:t>
      </w:r>
      <w:r>
        <w:rPr>
          <w:rFonts w:ascii="Times New Roman" w:hAnsi="Times New Roman"/>
          <w:i w:val="0"/>
          <w:iCs w:val="0"/>
          <w:color w:val="auto"/>
          <w:szCs w:val="24"/>
          <w:highlight w:val="none"/>
        </w:rPr>
        <w:t xml:space="preserve"> 其他保险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_Toc15967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24211270">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"_Toc10289"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3</w:t>
      </w:r>
      <w:r>
        <w:rPr>
          <w:rFonts w:ascii="Times New Roman" w:hAnsi="Times New Roman"/>
          <w:i w:val="0"/>
          <w:iCs w:val="0"/>
          <w:color w:val="auto"/>
          <w:szCs w:val="24"/>
          <w:highlight w:val="none"/>
        </w:rPr>
        <w:t>.</w:t>
      </w:r>
      <w:r>
        <w:rPr>
          <w:rFonts w:hint="eastAsia"/>
          <w:i w:val="0"/>
          <w:iCs w:val="0"/>
          <w:color w:val="auto"/>
          <w:szCs w:val="24"/>
          <w:highlight w:val="none"/>
        </w:rPr>
        <w:t>2</w:t>
      </w:r>
      <w:r>
        <w:rPr>
          <w:rFonts w:ascii="Times New Roman" w:hAnsi="Times New Roman"/>
          <w:i w:val="0"/>
          <w:iCs w:val="0"/>
          <w:color w:val="auto"/>
          <w:szCs w:val="24"/>
          <w:highlight w:val="none"/>
        </w:rPr>
        <w:t xml:space="preserve"> 保险凭证</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_Toc10289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428BE7EB">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"_Toc3979"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 xml:space="preserve">. </w:t>
      </w:r>
      <w:r>
        <w:rPr>
          <w:rFonts w:hint="eastAsia" w:ascii="Times New Roman" w:hAnsi="Times New Roman"/>
          <w:i w:val="0"/>
          <w:iCs w:val="0"/>
          <w:color w:val="auto"/>
          <w:szCs w:val="24"/>
          <w:highlight w:val="none"/>
        </w:rPr>
        <w:t>索赔</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_Toc3979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2DA1890F">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"_Toc2360"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w:t>
      </w:r>
      <w:r>
        <w:rPr>
          <w:rFonts w:hint="eastAsia"/>
          <w:i w:val="0"/>
          <w:iCs w:val="0"/>
          <w:color w:val="auto"/>
          <w:szCs w:val="24"/>
          <w:highlight w:val="none"/>
        </w:rPr>
        <w:t>1</w:t>
      </w:r>
      <w:r>
        <w:rPr>
          <w:rFonts w:ascii="Times New Roman" w:hAnsi="Times New Roman"/>
          <w:i w:val="0"/>
          <w:iCs w:val="0"/>
          <w:color w:val="auto"/>
          <w:szCs w:val="24"/>
          <w:highlight w:val="none"/>
        </w:rPr>
        <w:t xml:space="preserve"> 对分包人索赔的处理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_Toc2360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294F4E3E">
      <w:pPr>
        <w:pStyle w:val="8"/>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"_Toc29299"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4</w:t>
      </w:r>
      <w:r>
        <w:rPr>
          <w:rFonts w:ascii="Times New Roman" w:hAnsi="Times New Roman"/>
          <w:i w:val="0"/>
          <w:iCs w:val="0"/>
          <w:color w:val="auto"/>
          <w:szCs w:val="24"/>
          <w:highlight w:val="none"/>
        </w:rPr>
        <w:t>.</w:t>
      </w:r>
      <w:r>
        <w:rPr>
          <w:rFonts w:hint="eastAsia"/>
          <w:i w:val="0"/>
          <w:iCs w:val="0"/>
          <w:color w:val="auto"/>
          <w:szCs w:val="24"/>
          <w:highlight w:val="none"/>
        </w:rPr>
        <w:t>2</w:t>
      </w:r>
      <w:r>
        <w:rPr>
          <w:rFonts w:ascii="Times New Roman" w:hAnsi="Times New Roman"/>
          <w:i w:val="0"/>
          <w:iCs w:val="0"/>
          <w:color w:val="auto"/>
          <w:szCs w:val="24"/>
          <w:highlight w:val="none"/>
        </w:rPr>
        <w:t xml:space="preserve"> 对承包人索赔的处理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_Toc29299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4ABB6301">
      <w:pPr>
        <w:pStyle w:val="14"/>
        <w:tabs>
          <w:tab w:val="right" w:leader="dot" w:pos="8820"/>
        </w:tabs>
        <w:rPr>
          <w:i w:val="0"/>
          <w:iCs w:val="0"/>
          <w:color w:val="auto"/>
          <w:highlight w:val="none"/>
        </w:rPr>
      </w:pPr>
      <w:r>
        <w:rPr>
          <w:i w:val="0"/>
          <w:iCs w:val="0"/>
          <w:color w:val="auto"/>
          <w:highlight w:val="none"/>
        </w:rPr>
        <w:fldChar w:fldCharType="begin"/>
      </w:r>
      <w:r>
        <w:rPr>
          <w:i w:val="0"/>
          <w:iCs w:val="0"/>
          <w:color w:val="auto"/>
          <w:highlight w:val="none"/>
        </w:rPr>
        <w:instrText xml:space="preserve"> HYPERLINK \l "_Toc17329" </w:instrText>
      </w:r>
      <w:r>
        <w:rPr>
          <w:i w:val="0"/>
          <w:iCs w:val="0"/>
          <w:color w:val="auto"/>
          <w:highlight w:val="none"/>
        </w:rPr>
        <w:fldChar w:fldCharType="separate"/>
      </w:r>
      <w:r>
        <w:rPr>
          <w:rFonts w:ascii="Times New Roman" w:hAnsi="Times New Roman"/>
          <w:i w:val="0"/>
          <w:iCs w:val="0"/>
          <w:color w:val="auto"/>
          <w:szCs w:val="24"/>
          <w:highlight w:val="none"/>
        </w:rPr>
        <w:t>2</w:t>
      </w:r>
      <w:r>
        <w:rPr>
          <w:rFonts w:hint="eastAsia" w:ascii="Times New Roman" w:hAnsi="Times New Roman"/>
          <w:i w:val="0"/>
          <w:iCs w:val="0"/>
          <w:color w:val="auto"/>
          <w:szCs w:val="24"/>
          <w:highlight w:val="none"/>
        </w:rPr>
        <w:t>5</w:t>
      </w:r>
      <w:r>
        <w:rPr>
          <w:rFonts w:ascii="Times New Roman" w:hAnsi="Times New Roman"/>
          <w:i w:val="0"/>
          <w:iCs w:val="0"/>
          <w:color w:val="auto"/>
          <w:szCs w:val="24"/>
          <w:highlight w:val="none"/>
        </w:rPr>
        <w:t>. 争议解决</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_Toc17329 \h </w:instrText>
      </w:r>
      <w:r>
        <w:rPr>
          <w:i w:val="0"/>
          <w:iCs w:val="0"/>
          <w:color w:val="auto"/>
          <w:highlight w:val="none"/>
        </w:rPr>
        <w:fldChar w:fldCharType="separate"/>
      </w:r>
      <w:r>
        <w:rPr>
          <w:i w:val="0"/>
          <w:iCs w:val="0"/>
          <w:color w:val="auto"/>
          <w:highlight w:val="none"/>
        </w:rPr>
        <w:t>- 49 -</w:t>
      </w:r>
      <w:r>
        <w:rPr>
          <w:i w:val="0"/>
          <w:iCs w:val="0"/>
          <w:color w:val="auto"/>
          <w:highlight w:val="none"/>
        </w:rPr>
        <w:fldChar w:fldCharType="end"/>
      </w:r>
      <w:r>
        <w:rPr>
          <w:i w:val="0"/>
          <w:iCs w:val="0"/>
          <w:color w:val="auto"/>
          <w:highlight w:val="none"/>
        </w:rPr>
        <w:fldChar w:fldCharType="end"/>
      </w:r>
    </w:p>
    <w:p w14:paraId="77998533">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"_Toc14872"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附件1：法定代表人身份证明书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_Toc14872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- 51 -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73FED8F6">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"_Toc9646"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附件2：法定代表人授权委托书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_Toc9646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- 52 -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02EDB460">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"_Toc3834"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附件3：承诺书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_Toc3834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- 53 -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22AA3F38">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"_Toc17820"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附件4：工程质量保修书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181E3D08">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"_Toc9747"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附件5：</w:t>
      </w:r>
      <w:r>
        <w:rPr>
          <w:rFonts w:hint="eastAsia" w:asciiTheme="minorEastAsia" w:hAnsiTheme="minorEastAsia" w:eastAsiaTheme="minorEastAsia" w:cstheme="minorEastAsia"/>
          <w:i w:val="0"/>
          <w:iCs w:val="0"/>
          <w:color w:val="auto"/>
          <w:szCs w:val="36"/>
          <w:highlight w:val="none"/>
        </w:rPr>
        <w:t>安全生产协议书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0717982F">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"_Toc19676"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附件6：</w:t>
      </w:r>
      <w:r>
        <w:rPr>
          <w:rFonts w:hint="eastAsia" w:asciiTheme="minorEastAsia" w:hAnsiTheme="minorEastAsia" w:eastAsiaTheme="minorEastAsia" w:cstheme="minorEastAsia"/>
          <w:i w:val="0"/>
          <w:iCs w:val="0"/>
          <w:color w:val="auto"/>
          <w:szCs w:val="36"/>
          <w:highlight w:val="none"/>
        </w:rPr>
        <w:t>安全生产责任书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0B6816B4">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"_Toc2969"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附件7：</w:t>
      </w:r>
      <w:r>
        <w:rPr>
          <w:rFonts w:hint="eastAsia" w:asciiTheme="minorEastAsia" w:hAnsiTheme="minorEastAsia" w:eastAsiaTheme="minorEastAsia" w:cstheme="minorEastAsia"/>
          <w:i w:val="0"/>
          <w:iCs w:val="0"/>
          <w:color w:val="auto"/>
          <w:szCs w:val="36"/>
          <w:highlight w:val="none"/>
        </w:rPr>
        <w:t>廉政建设协议书</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06966E42">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"_Toc2969"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w:t>
      </w:r>
      <w:r>
        <w:rPr>
          <w:rFonts w:hint="eastAsia" w:asciiTheme="minorEastAsia" w:hAnsiTheme="minorEastAsia" w:eastAsiaTheme="minorEastAsia" w:cstheme="minorEastAsia"/>
          <w:i w:val="0"/>
          <w:iCs w:val="0"/>
          <w:color w:val="auto"/>
          <w:szCs w:val="24"/>
          <w:highlight w:val="none"/>
          <w:lang w:val="en-US" w:eastAsia="zh-CN"/>
        </w:rPr>
        <w:t>8</w:t>
      </w:r>
      <w:r>
        <w:rPr>
          <w:rFonts w:hint="eastAsia" w:asciiTheme="minorEastAsia" w:hAnsiTheme="minorEastAsia" w:eastAsiaTheme="minorEastAsia" w:cstheme="minorEastAsia"/>
          <w:i w:val="0"/>
          <w:iCs w:val="0"/>
          <w:color w:val="auto"/>
          <w:szCs w:val="24"/>
          <w:highlight w:val="none"/>
        </w:rPr>
        <w:t>：</w:t>
      </w:r>
      <w:r>
        <w:rPr>
          <w:rFonts w:hint="eastAsia" w:asciiTheme="minorEastAsia" w:hAnsiTheme="minorEastAsia" w:eastAsiaTheme="minorEastAsia" w:cstheme="minorEastAsia"/>
          <w:bCs/>
          <w:i w:val="0"/>
          <w:iCs w:val="0"/>
          <w:color w:val="auto"/>
          <w:szCs w:val="24"/>
          <w:highlight w:val="none"/>
        </w:rPr>
        <w:t>承包人供应材料、设备一览表</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6D829527">
      <w:pPr>
        <w:pStyle w:val="14"/>
        <w:tabs>
          <w:tab w:val="right" w:leader="dot" w:pos="8820"/>
        </w:tabs>
        <w:rPr>
          <w:rFonts w:hint="eastAsia"/>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"_Toc2969"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szCs w:val="24"/>
          <w:highlight w:val="none"/>
        </w:rPr>
        <w:t>附件</w:t>
      </w:r>
      <w:r>
        <w:rPr>
          <w:rFonts w:hint="eastAsia" w:asciiTheme="minorEastAsia" w:hAnsiTheme="minorEastAsia" w:eastAsiaTheme="minorEastAsia" w:cstheme="minorEastAsia"/>
          <w:i w:val="0"/>
          <w:iCs w:val="0"/>
          <w:color w:val="auto"/>
          <w:szCs w:val="24"/>
          <w:highlight w:val="none"/>
          <w:lang w:val="en-US" w:eastAsia="zh-CN"/>
        </w:rPr>
        <w:t>9</w:t>
      </w:r>
      <w:r>
        <w:rPr>
          <w:rFonts w:hint="eastAsia" w:asciiTheme="minorEastAsia" w:hAnsiTheme="minorEastAsia" w:eastAsiaTheme="minorEastAsia" w:cstheme="minorEastAsia"/>
          <w:i w:val="0"/>
          <w:iCs w:val="0"/>
          <w:color w:val="auto"/>
          <w:szCs w:val="24"/>
          <w:highlight w:val="none"/>
        </w:rPr>
        <w:t>：</w:t>
      </w:r>
      <w:r>
        <w:rPr>
          <w:rFonts w:hint="eastAsia" w:asciiTheme="minorEastAsia" w:hAnsiTheme="minorEastAsia" w:eastAsiaTheme="minorEastAsia" w:cstheme="minorEastAsia"/>
          <w:i w:val="0"/>
          <w:iCs w:val="0"/>
          <w:color w:val="auto"/>
          <w:szCs w:val="36"/>
          <w:highlight w:val="none"/>
        </w:rPr>
        <w:t>分包方违约清单</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61780943">
      <w:pPr>
        <w:pStyle w:val="14"/>
        <w:tabs>
          <w:tab w:val="right" w:leader="dot" w:pos="8820"/>
        </w:tabs>
        <w:rPr>
          <w:rFonts w:hint="eastAsia" w:asciiTheme="minorEastAsia" w:hAnsiTheme="minorEastAsia" w:eastAsiaTheme="minorEastAsia" w:cstheme="minorEastAsia"/>
          <w:i w:val="0"/>
          <w:iCs w:val="0"/>
          <w:color w:val="auto"/>
          <w:highlight w:val="none"/>
        </w:rPr>
      </w:pP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HYPERLINK \l "_Toc25953"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bCs/>
          <w:i w:val="0"/>
          <w:iCs w:val="0"/>
          <w:color w:val="auto"/>
          <w:szCs w:val="24"/>
          <w:highlight w:val="none"/>
        </w:rPr>
        <w:t>附件8：分包方投入本合同工程主要人员情况表</w:t>
      </w:r>
      <w:r>
        <w:rPr>
          <w:rFonts w:hint="eastAsia" w:asciiTheme="minorEastAsia" w:hAnsiTheme="minorEastAsia" w:eastAsiaTheme="minorEastAsia" w:cstheme="minorEastAsia"/>
          <w:i w:val="0"/>
          <w:iCs w:val="0"/>
          <w:color w:val="auto"/>
          <w:highlight w:val="none"/>
        </w:rPr>
        <w:tab/>
      </w:r>
      <w:r>
        <w:rPr>
          <w:rFonts w:hint="eastAsia" w:asciiTheme="minorEastAsia" w:hAnsiTheme="minorEastAsia" w:eastAsiaTheme="minorEastAsia" w:cstheme="minorEastAsia"/>
          <w:i w:val="0"/>
          <w:iCs w:val="0"/>
          <w:color w:val="auto"/>
          <w:highlight w:val="none"/>
        </w:rPr>
        <w:fldChar w:fldCharType="begin"/>
      </w:r>
      <w:r>
        <w:rPr>
          <w:rFonts w:hint="eastAsia" w:asciiTheme="minorEastAsia" w:hAnsiTheme="minorEastAsia" w:eastAsiaTheme="minorEastAsia" w:cstheme="minorEastAsia"/>
          <w:i w:val="0"/>
          <w:iCs w:val="0"/>
          <w:color w:val="auto"/>
          <w:highlight w:val="none"/>
        </w:rPr>
        <w:instrText xml:space="preserve"> PAGEREF _Toc17820 \h </w:instrText>
      </w:r>
      <w:r>
        <w:rPr>
          <w:rFonts w:hint="eastAsia" w:asciiTheme="minorEastAsia" w:hAnsiTheme="minorEastAsia" w:eastAsiaTheme="minorEastAsia" w:cstheme="minorEastAsia"/>
          <w:i w:val="0"/>
          <w:iCs w:val="0"/>
          <w:color w:val="auto"/>
          <w:highlight w:val="none"/>
        </w:rPr>
        <w:fldChar w:fldCharType="separate"/>
      </w:r>
      <w:r>
        <w:rPr>
          <w:rFonts w:hint="eastAsia" w:asciiTheme="minorEastAsia" w:hAnsiTheme="minorEastAsia" w:eastAsiaTheme="minorEastAsia" w:cstheme="minorEastAsia"/>
          <w:i w:val="0"/>
          <w:iCs w:val="0"/>
          <w:color w:val="auto"/>
          <w:highlight w:val="none"/>
        </w:rPr>
        <w:t>- 55 -</w:t>
      </w:r>
      <w:r>
        <w:rPr>
          <w:rFonts w:hint="eastAsia" w:asciiTheme="minorEastAsia" w:hAnsiTheme="minorEastAsia" w:eastAsiaTheme="minorEastAsia" w:cstheme="minorEastAsia"/>
          <w:i w:val="0"/>
          <w:iCs w:val="0"/>
          <w:color w:val="auto"/>
          <w:highlight w:val="none"/>
        </w:rPr>
        <w:fldChar w:fldCharType="end"/>
      </w:r>
      <w:r>
        <w:rPr>
          <w:rFonts w:hint="eastAsia" w:asciiTheme="minorEastAsia" w:hAnsiTheme="minorEastAsia" w:eastAsiaTheme="minorEastAsia" w:cstheme="minorEastAsia"/>
          <w:i w:val="0"/>
          <w:iCs w:val="0"/>
          <w:color w:val="auto"/>
          <w:highlight w:val="none"/>
        </w:rPr>
        <w:fldChar w:fldCharType="end"/>
      </w:r>
    </w:p>
    <w:p w14:paraId="72116D6C">
      <w:pPr>
        <w:pStyle w:val="3"/>
        <w:ind w:firstLine="883" w:firstLineChars="200"/>
        <w:jc w:val="center"/>
        <w:rPr>
          <w:color w:val="auto"/>
          <w:highlight w:val="none"/>
        </w:rPr>
        <w:sectPr>
          <w:headerReference r:id="rId4" w:type="first"/>
          <w:footerReference r:id="rId6" w:type="first"/>
          <w:headerReference r:id="rId3" w:type="default"/>
          <w:footerReference r:id="rId5" w:type="default"/>
          <w:pgSz w:w="11906" w:h="16838"/>
          <w:pgMar w:top="1418" w:right="1555" w:bottom="1418" w:left="1531" w:header="454" w:footer="992" w:gutter="0"/>
          <w:pgNumType w:fmt="numberInDash" w:start="0"/>
          <w:cols w:space="720" w:num="1"/>
          <w:titlePg/>
          <w:docGrid w:type="lines" w:linePitch="312" w:charSpace="0"/>
        </w:sectPr>
      </w:pPr>
      <w:r>
        <w:rPr>
          <w:color w:val="auto"/>
          <w:szCs w:val="52"/>
          <w:highlight w:val="none"/>
        </w:rPr>
        <w:fldChar w:fldCharType="end"/>
      </w:r>
    </w:p>
    <w:p w14:paraId="1248E3C0">
      <w:pPr>
        <w:pStyle w:val="3"/>
        <w:spacing w:line="240" w:lineRule="atLeast"/>
        <w:jc w:val="center"/>
        <w:rPr>
          <w:rFonts w:hint="eastAsia" w:ascii="方正小标宋简体" w:hAnsi="方正小标宋简体" w:eastAsia="方正小标宋简体" w:cs="方正小标宋简体"/>
          <w:b w:val="0"/>
          <w:bCs w:val="0"/>
          <w:color w:val="auto"/>
          <w:sz w:val="36"/>
          <w:szCs w:val="36"/>
          <w:highlight w:val="none"/>
        </w:rPr>
      </w:pPr>
      <w:bookmarkStart w:id="4" w:name="_Toc25974"/>
      <w:bookmarkStart w:id="5" w:name="_Toc389586295"/>
      <w:bookmarkStart w:id="6" w:name="_Toc27480"/>
      <w:bookmarkStart w:id="7" w:name="_Toc6545"/>
      <w:bookmarkStart w:id="8" w:name="_Toc3362"/>
      <w:bookmarkStart w:id="9" w:name="_Toc23401"/>
      <w:bookmarkStart w:id="10" w:name="_Toc1913"/>
      <w:r>
        <w:rPr>
          <w:rFonts w:hint="eastAsia" w:asciiTheme="majorEastAsia" w:hAnsiTheme="majorEastAsia" w:eastAsiaTheme="majorEastAsia" w:cstheme="majorEastAsia"/>
          <w:b w:val="0"/>
          <w:bCs w:val="0"/>
          <w:color w:val="auto"/>
          <w:sz w:val="36"/>
          <w:szCs w:val="36"/>
          <w:highlight w:val="none"/>
        </w:rPr>
        <w:t>第一部分 分包合同协议书</w:t>
      </w:r>
      <w:bookmarkEnd w:id="0"/>
      <w:bookmarkEnd w:id="1"/>
      <w:bookmarkEnd w:id="2"/>
      <w:bookmarkEnd w:id="3"/>
      <w:bookmarkEnd w:id="4"/>
      <w:bookmarkEnd w:id="5"/>
      <w:bookmarkEnd w:id="6"/>
      <w:bookmarkEnd w:id="7"/>
      <w:bookmarkEnd w:id="8"/>
      <w:bookmarkEnd w:id="9"/>
      <w:bookmarkEnd w:id="10"/>
    </w:p>
    <w:p w14:paraId="491B0CD6">
      <w:pPr>
        <w:wordWrap w:val="0"/>
        <w:adjustRightInd w:val="0"/>
        <w:snapToGrid w:val="0"/>
        <w:spacing w:line="240" w:lineRule="atLeast"/>
        <w:rPr>
          <w:b/>
          <w:color w:val="auto"/>
          <w:sz w:val="28"/>
          <w:szCs w:val="28"/>
          <w:highlight w:val="none"/>
        </w:rPr>
      </w:pPr>
    </w:p>
    <w:p w14:paraId="5DB41653">
      <w:pPr>
        <w:keepNext w:val="0"/>
        <w:keepLines w:val="0"/>
        <w:pageBreakBefore w:val="0"/>
        <w:widowControl w:val="0"/>
        <w:kinsoku/>
        <w:wordWrap w:val="0"/>
        <w:overflowPunct/>
        <w:topLinePunct w:val="0"/>
        <w:autoSpaceDE/>
        <w:autoSpaceDN/>
        <w:bidi w:val="0"/>
        <w:adjustRightInd w:val="0"/>
        <w:snapToGrid w:val="0"/>
        <w:spacing w:line="380" w:lineRule="exact"/>
        <w:ind w:firstLine="560" w:firstLineChars="200"/>
        <w:textAlignment w:val="auto"/>
        <w:rPr>
          <w:rFonts w:hint="eastAsia" w:ascii="黑体" w:hAnsi="黑体" w:eastAsia="黑体" w:cs="黑体"/>
          <w:b w:val="0"/>
          <w:bCs/>
          <w:strike w:val="0"/>
          <w:dstrike w:val="0"/>
          <w:color w:val="auto"/>
          <w:sz w:val="28"/>
          <w:szCs w:val="28"/>
          <w:highlight w:val="none"/>
          <w:u w:val="thick"/>
          <w:lang w:val="en-US" w:eastAsia="zh-CN"/>
        </w:rPr>
      </w:pPr>
      <w:r>
        <w:rPr>
          <w:rFonts w:hint="eastAsia" w:ascii="黑体" w:hAnsi="黑体" w:eastAsia="黑体" w:cs="黑体"/>
          <w:b w:val="0"/>
          <w:bCs/>
          <w:color w:val="auto"/>
          <w:sz w:val="28"/>
          <w:szCs w:val="28"/>
          <w:highlight w:val="none"/>
        </w:rPr>
        <w:t>承包人（</w:t>
      </w:r>
      <w:r>
        <w:rPr>
          <w:rFonts w:hint="eastAsia" w:ascii="黑体" w:hAnsi="黑体" w:eastAsia="黑体" w:cs="黑体"/>
          <w:b w:val="0"/>
          <w:bCs/>
          <w:color w:val="auto"/>
          <w:sz w:val="28"/>
          <w:szCs w:val="28"/>
          <w:highlight w:val="none"/>
          <w:lang w:eastAsia="zh-CN"/>
        </w:rPr>
        <w:t>甲方</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u w:val="single"/>
          <w:lang w:val="en-US" w:eastAsia="zh-CN"/>
        </w:rPr>
        <w:t>广东省源天工程有限公司</w:t>
      </w:r>
    </w:p>
    <w:p w14:paraId="2131BCBD">
      <w:pPr>
        <w:keepNext w:val="0"/>
        <w:keepLines w:val="0"/>
        <w:pageBreakBefore w:val="0"/>
        <w:widowControl w:val="0"/>
        <w:kinsoku/>
        <w:wordWrap w:val="0"/>
        <w:overflowPunct/>
        <w:topLinePunct w:val="0"/>
        <w:autoSpaceDE/>
        <w:autoSpaceDN/>
        <w:bidi w:val="0"/>
        <w:adjustRightInd w:val="0"/>
        <w:snapToGrid w:val="0"/>
        <w:spacing w:line="380" w:lineRule="exact"/>
        <w:ind w:firstLine="560" w:firstLineChars="200"/>
        <w:textAlignment w:val="auto"/>
        <w:rPr>
          <w:rFonts w:hint="eastAsia" w:ascii="黑体" w:hAnsi="黑体" w:eastAsia="黑体" w:cs="黑体"/>
          <w:b w:val="0"/>
          <w:bCs/>
          <w:color w:val="auto"/>
          <w:sz w:val="28"/>
          <w:szCs w:val="28"/>
          <w:highlight w:val="none"/>
          <w:u w:val="thick"/>
          <w:lang w:val="en-US" w:eastAsia="zh-CN"/>
        </w:rPr>
      </w:pPr>
      <w:r>
        <w:rPr>
          <w:rFonts w:hint="eastAsia" w:ascii="黑体" w:hAnsi="黑体" w:eastAsia="黑体" w:cs="黑体"/>
          <w:b w:val="0"/>
          <w:bCs/>
          <w:color w:val="auto"/>
          <w:sz w:val="28"/>
          <w:szCs w:val="28"/>
          <w:highlight w:val="none"/>
        </w:rPr>
        <w:t>分包人（</w:t>
      </w:r>
      <w:r>
        <w:rPr>
          <w:rFonts w:hint="eastAsia" w:ascii="黑体" w:hAnsi="黑体" w:eastAsia="黑体" w:cs="黑体"/>
          <w:b w:val="0"/>
          <w:bCs/>
          <w:color w:val="auto"/>
          <w:sz w:val="28"/>
          <w:szCs w:val="28"/>
          <w:highlight w:val="none"/>
          <w:lang w:eastAsia="zh-CN"/>
        </w:rPr>
        <w:t>乙方</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36F63BE3">
      <w:pPr>
        <w:keepNext/>
        <w:keepLines/>
        <w:pageBreakBefore w:val="0"/>
        <w:widowControl w:val="0"/>
        <w:kinsoku/>
        <w:wordWrap/>
        <w:overflowPunct/>
        <w:topLinePunct w:val="0"/>
        <w:autoSpaceDE/>
        <w:autoSpaceDN/>
        <w:bidi w:val="0"/>
        <w:adjustRightInd w:val="0"/>
        <w:snapToGrid w:val="0"/>
        <w:spacing w:before="0" w:after="0" w:line="380" w:lineRule="exact"/>
        <w:ind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p>
    <w:p w14:paraId="6014A5AB">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根据《中华人民共和国民法典》《中华人民共和国建筑法》及有关法律规定，遵循平等、自愿、公平和诚实信用的原则，</w:t>
      </w:r>
      <w:r>
        <w:rPr>
          <w:rFonts w:hint="eastAsia" w:ascii="仿宋_GB2312" w:hAnsi="仿宋_GB2312" w:eastAsia="仿宋_GB2312" w:cs="仿宋_GB2312"/>
          <w:color w:val="auto"/>
          <w:sz w:val="24"/>
          <w:szCs w:val="24"/>
          <w:highlight w:val="none"/>
          <w:lang w:val="en-US" w:eastAsia="zh-CN"/>
        </w:rPr>
        <w:t>甲、乙</w:t>
      </w:r>
      <w:r>
        <w:rPr>
          <w:rFonts w:hint="eastAsia" w:ascii="仿宋_GB2312" w:hAnsi="仿宋_GB2312" w:eastAsia="仿宋_GB2312" w:cs="仿宋_GB2312"/>
          <w:color w:val="auto"/>
          <w:sz w:val="24"/>
          <w:szCs w:val="24"/>
          <w:highlight w:val="none"/>
        </w:rPr>
        <w:t>双方就</w:t>
      </w:r>
      <w:r>
        <w:rPr>
          <w:rFonts w:hint="eastAsia" w:ascii="仿宋_GB2312" w:hAnsi="仿宋_GB2312" w:eastAsia="仿宋_GB2312" w:cs="仿宋_GB2312"/>
          <w:color w:val="auto"/>
          <w:sz w:val="24"/>
          <w:szCs w:val="24"/>
          <w:highlight w:val="none"/>
          <w:u w:val="single"/>
        </w:rPr>
        <w:t>增城区开发区下沉式污水处理厂-新装22500kVA配电工程</w:t>
      </w:r>
      <w:r>
        <w:rPr>
          <w:rFonts w:hint="eastAsia" w:ascii="仿宋_GB2312" w:hAnsi="仿宋_GB2312" w:eastAsia="仿宋_GB2312" w:cs="仿宋_GB2312"/>
          <w:color w:val="auto"/>
          <w:sz w:val="24"/>
          <w:szCs w:val="24"/>
          <w:highlight w:val="none"/>
        </w:rPr>
        <w:t>分包工程施工及有关事项协商一致，共同达成如下协议：</w:t>
      </w:r>
      <w:bookmarkStart w:id="11" w:name="_Toc14126"/>
      <w:bookmarkStart w:id="12" w:name="_Toc15368"/>
      <w:bookmarkStart w:id="13" w:name="_Toc14441"/>
      <w:bookmarkStart w:id="14" w:name="_Toc389586296"/>
      <w:bookmarkStart w:id="15" w:name="_Toc19184"/>
      <w:bookmarkStart w:id="16" w:name="_Toc351203481"/>
      <w:bookmarkStart w:id="17" w:name="_Toc277"/>
      <w:bookmarkStart w:id="18" w:name="_Toc25451"/>
      <w:bookmarkStart w:id="19" w:name="_Toc371493141"/>
    </w:p>
    <w:p w14:paraId="50B9F9AD">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一、分包工程概况</w:t>
      </w:r>
      <w:bookmarkEnd w:id="11"/>
      <w:bookmarkEnd w:id="12"/>
      <w:bookmarkEnd w:id="13"/>
      <w:bookmarkEnd w:id="14"/>
      <w:bookmarkEnd w:id="15"/>
      <w:bookmarkEnd w:id="16"/>
      <w:bookmarkEnd w:id="17"/>
      <w:bookmarkEnd w:id="18"/>
      <w:bookmarkEnd w:id="19"/>
    </w:p>
    <w:p w14:paraId="3FC39CA2">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分包工程名称：</w:t>
      </w:r>
      <w:r>
        <w:rPr>
          <w:rFonts w:hint="eastAsia" w:ascii="仿宋_GB2312" w:hAnsi="仿宋_GB2312" w:eastAsia="仿宋_GB2312" w:cs="仿宋_GB2312"/>
          <w:color w:val="auto"/>
          <w:sz w:val="24"/>
          <w:szCs w:val="24"/>
          <w:highlight w:val="none"/>
          <w:u w:val="single"/>
        </w:rPr>
        <w:t>增城区开发区下沉式污水处理厂-新装22500kVA配电工程</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本招标项目属于增城区开发区下沉式污水处理厂及配套管网工程设计采购施工总承包标段二合同（以下简称“总包合同”</w:t>
      </w:r>
      <w:bookmarkStart w:id="1884" w:name="_GoBack"/>
      <w:bookmarkEnd w:id="1884"/>
      <w:r>
        <w:rPr>
          <w:rFonts w:hint="eastAsia" w:ascii="仿宋_GB2312" w:hAnsi="仿宋_GB2312" w:eastAsia="仿宋_GB2312" w:cs="仿宋_GB2312"/>
          <w:color w:val="auto"/>
          <w:sz w:val="24"/>
          <w:szCs w:val="24"/>
          <w:highlight w:val="none"/>
          <w:u w:val="single"/>
          <w:lang w:val="en-US" w:eastAsia="zh-CN"/>
        </w:rPr>
        <w:t>）外电工程暂估价</w:t>
      </w:r>
      <w:r>
        <w:rPr>
          <w:rFonts w:hint="eastAsia" w:ascii="仿宋_GB2312" w:hAnsi="仿宋_GB2312" w:eastAsia="仿宋_GB2312" w:cs="仿宋_GB2312"/>
          <w:color w:val="auto"/>
          <w:sz w:val="24"/>
          <w:szCs w:val="24"/>
          <w:highlight w:val="none"/>
          <w:u w:val="single"/>
          <w:lang w:val="en-US" w:eastAsia="zh-CN"/>
        </w:rPr>
        <w:t>项目</w:t>
      </w:r>
      <w:r>
        <w:rPr>
          <w:rFonts w:hint="eastAsia" w:ascii="仿宋_GB2312" w:hAnsi="仿宋_GB2312" w:eastAsia="仿宋_GB2312" w:cs="仿宋_GB2312"/>
          <w:bCs/>
          <w:color w:val="auto"/>
          <w:sz w:val="24"/>
          <w:szCs w:val="24"/>
          <w:highlight w:val="none"/>
        </w:rPr>
        <w:t>。</w:t>
      </w:r>
    </w:p>
    <w:p w14:paraId="3FBC438A">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分包工程地点：</w:t>
      </w:r>
      <w:r>
        <w:rPr>
          <w:rFonts w:hint="eastAsia" w:ascii="仿宋_GB2312" w:hAnsi="仿宋_GB2312" w:eastAsia="仿宋_GB2312" w:cs="仿宋_GB2312"/>
          <w:bCs/>
          <w:color w:val="auto"/>
          <w:sz w:val="24"/>
          <w:szCs w:val="24"/>
          <w:highlight w:val="none"/>
          <w:u w:val="single"/>
          <w:lang w:val="en-US" w:eastAsia="zh-CN"/>
        </w:rPr>
        <w:t>本工程位于增城区永宁街长岗村、宁西街创誉路，服务范围为永宁街道，宁西街道和增城区技术开发区</w:t>
      </w:r>
      <w:r>
        <w:rPr>
          <w:rFonts w:hint="eastAsia" w:ascii="仿宋_GB2312" w:hAnsi="仿宋_GB2312" w:eastAsia="仿宋_GB2312" w:cs="仿宋_GB2312"/>
          <w:color w:val="auto"/>
          <w:sz w:val="24"/>
          <w:szCs w:val="24"/>
          <w:highlight w:val="none"/>
        </w:rPr>
        <w:t>。</w:t>
      </w:r>
    </w:p>
    <w:p w14:paraId="571AED27">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分包工程承包范围：</w:t>
      </w:r>
      <w:r>
        <w:rPr>
          <w:rFonts w:hint="eastAsia" w:ascii="仿宋_GB2312" w:hAnsi="仿宋_GB2312" w:eastAsia="仿宋_GB2312" w:cs="仿宋_GB2312"/>
          <w:color w:val="auto"/>
          <w:sz w:val="24"/>
          <w:szCs w:val="24"/>
          <w:highlight w:val="none"/>
          <w:u w:val="single"/>
          <w:lang w:val="en-US" w:eastAsia="zh-CN"/>
        </w:rPr>
        <w:t xml:space="preserve"> 增城区开发区下沉式污水处理厂新装22500kVA配电工程，采用10kV电源两主一备供电方式。本次招标范围为备供电源施工专业分包工程，电源三（备供）：由110kV臻园站(原开发区站)新出一回10kV线路F20至新建1号公用开关房,由新建1号公用开关房新敷10kV电缆依次至本期新建污水厂#1高压室、至本期新建污水厂#2高压室,由本期新建1号公用开关房新敷10kV电缆至本期新建2号公用开关房,110kV臻园站(原开发区站)F4与110kV臻园站(原开发区站)F20与110kV臻园站(原开发区站)F7三个母排依次环网)</w:t>
      </w:r>
      <w:r>
        <w:rPr>
          <w:rFonts w:hint="eastAsia" w:ascii="仿宋_GB2312" w:hAnsi="仿宋_GB2312" w:eastAsia="仿宋_GB2312" w:cs="仿宋_GB2312"/>
          <w:color w:val="auto"/>
          <w:sz w:val="24"/>
          <w:szCs w:val="24"/>
          <w:highlight w:val="none"/>
          <w:u w:val="single"/>
        </w:rPr>
        <w:t xml:space="preserve">，具体内容以承包人提供的图纸及分包工程量清单为准 </w:t>
      </w:r>
      <w:r>
        <w:rPr>
          <w:rFonts w:hint="eastAsia" w:ascii="仿宋_GB2312" w:hAnsi="仿宋_GB2312" w:eastAsia="仿宋_GB2312" w:cs="仿宋_GB2312"/>
          <w:color w:val="auto"/>
          <w:sz w:val="24"/>
          <w:szCs w:val="24"/>
          <w:highlight w:val="none"/>
        </w:rPr>
        <w:t>。</w:t>
      </w:r>
    </w:p>
    <w:p w14:paraId="39D5DB32">
      <w:pPr>
        <w:pStyle w:val="2"/>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rPr>
        <w:t>分包人符合分包工程要求的</w:t>
      </w:r>
      <w:r>
        <w:rPr>
          <w:rFonts w:hint="eastAsia" w:ascii="仿宋_GB2312" w:hAnsi="仿宋_GB2312" w:eastAsia="仿宋_GB2312" w:cs="仿宋_GB2312"/>
          <w:color w:val="auto"/>
          <w:sz w:val="24"/>
          <w:szCs w:val="24"/>
          <w:highlight w:val="none"/>
          <w:u w:val="single"/>
        </w:rPr>
        <w:t xml:space="preserve">资质名称：            资质证号：            </w:t>
      </w:r>
      <w:bookmarkStart w:id="20" w:name="_Toc24084"/>
      <w:bookmarkStart w:id="21" w:name="_Toc28075"/>
      <w:bookmarkStart w:id="22" w:name="_Toc351203482"/>
      <w:bookmarkStart w:id="23" w:name="_Toc371493142"/>
      <w:bookmarkStart w:id="24" w:name="_Toc5219"/>
      <w:bookmarkStart w:id="25" w:name="_Toc389586297"/>
      <w:bookmarkStart w:id="26" w:name="_Toc17183"/>
      <w:bookmarkStart w:id="27" w:name="_Toc402"/>
      <w:bookmarkStart w:id="28" w:name="_Toc16646"/>
      <w:r>
        <w:rPr>
          <w:rFonts w:hint="eastAsia" w:ascii="仿宋_GB2312" w:hAnsi="仿宋_GB2312" w:eastAsia="仿宋_GB2312" w:cs="仿宋_GB2312"/>
          <w:color w:val="auto"/>
          <w:sz w:val="24"/>
          <w:szCs w:val="24"/>
          <w:highlight w:val="none"/>
          <w:u w:val="none"/>
          <w:lang w:eastAsia="zh-CN"/>
        </w:rPr>
        <w:t>。</w:t>
      </w:r>
    </w:p>
    <w:p w14:paraId="577E9CF5">
      <w:pPr>
        <w:pStyle w:val="2"/>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二、分包合同工期</w:t>
      </w:r>
      <w:bookmarkEnd w:id="20"/>
      <w:bookmarkEnd w:id="21"/>
      <w:bookmarkEnd w:id="22"/>
      <w:bookmarkEnd w:id="23"/>
      <w:bookmarkEnd w:id="24"/>
      <w:bookmarkEnd w:id="25"/>
      <w:bookmarkEnd w:id="26"/>
      <w:bookmarkEnd w:id="27"/>
      <w:bookmarkEnd w:id="28"/>
    </w:p>
    <w:p w14:paraId="621771BA">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计划开工日期：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eastAsia="zh-CN"/>
        </w:rPr>
        <w:t>。</w:t>
      </w:r>
    </w:p>
    <w:p w14:paraId="48A007A3">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计划完工日期：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p>
    <w:p w14:paraId="627440CE">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工期总日历天数：</w:t>
      </w:r>
      <w:r>
        <w:rPr>
          <w:rFonts w:hint="eastAsia" w:ascii="仿宋_GB2312" w:hAnsi="仿宋_GB2312" w:eastAsia="仿宋_GB2312" w:cs="仿宋_GB2312"/>
          <w:color w:val="auto"/>
          <w:sz w:val="24"/>
          <w:szCs w:val="24"/>
          <w:highlight w:val="none"/>
          <w:u w:val="single"/>
          <w:lang w:val="en-US" w:eastAsia="zh-CN"/>
        </w:rPr>
        <w:t xml:space="preserve"> 60 </w:t>
      </w:r>
      <w:r>
        <w:rPr>
          <w:rFonts w:hint="eastAsia" w:ascii="仿宋_GB2312" w:hAnsi="仿宋_GB2312" w:eastAsia="仿宋_GB2312" w:cs="仿宋_GB2312"/>
          <w:color w:val="auto"/>
          <w:sz w:val="24"/>
          <w:szCs w:val="24"/>
          <w:highlight w:val="none"/>
        </w:rPr>
        <w:t>天。</w:t>
      </w:r>
    </w:p>
    <w:p w14:paraId="21D82F32">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zh-CN" w:eastAsia="zh-CN"/>
        </w:rPr>
        <w:t>开工日期为合同签订日期的第三天，</w:t>
      </w:r>
      <w:r>
        <w:rPr>
          <w:rFonts w:hint="eastAsia" w:ascii="仿宋_GB2312" w:hAnsi="仿宋_GB2312" w:eastAsia="仿宋_GB2312" w:cs="仿宋_GB2312"/>
          <w:color w:val="auto"/>
          <w:sz w:val="24"/>
          <w:szCs w:val="24"/>
          <w:highlight w:val="none"/>
          <w:lang w:val="zh-CN"/>
        </w:rPr>
        <w:t>具体以</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的书面指令为准，</w:t>
      </w:r>
      <w:r>
        <w:rPr>
          <w:rFonts w:hint="eastAsia" w:ascii="仿宋_GB2312" w:hAnsi="仿宋_GB2312" w:eastAsia="仿宋_GB2312" w:cs="仿宋_GB2312"/>
          <w:color w:val="auto"/>
          <w:sz w:val="24"/>
          <w:szCs w:val="24"/>
          <w:highlight w:val="none"/>
        </w:rPr>
        <w:t>分包人</w:t>
      </w:r>
      <w:r>
        <w:rPr>
          <w:rFonts w:hint="eastAsia" w:ascii="仿宋_GB2312" w:hAnsi="仿宋_GB2312" w:eastAsia="仿宋_GB2312" w:cs="仿宋_GB2312"/>
          <w:color w:val="auto"/>
          <w:sz w:val="24"/>
          <w:szCs w:val="24"/>
          <w:highlight w:val="none"/>
          <w:lang w:val="zh-CN"/>
        </w:rPr>
        <w:t>不得无故延误；</w:t>
      </w:r>
      <w:r>
        <w:rPr>
          <w:rFonts w:hint="eastAsia" w:ascii="仿宋_GB2312" w:hAnsi="仿宋_GB2312" w:eastAsia="仿宋_GB2312" w:cs="仿宋_GB2312"/>
          <w:color w:val="auto"/>
          <w:sz w:val="24"/>
          <w:szCs w:val="24"/>
          <w:highlight w:val="none"/>
        </w:rPr>
        <w:t>工期</w:t>
      </w:r>
      <w:r>
        <w:rPr>
          <w:rFonts w:hint="eastAsia" w:ascii="仿宋_GB2312" w:hAnsi="仿宋_GB2312" w:eastAsia="仿宋_GB2312" w:cs="仿宋_GB2312"/>
          <w:color w:val="auto"/>
          <w:sz w:val="24"/>
          <w:szCs w:val="24"/>
          <w:highlight w:val="none"/>
          <w:lang w:val="zh-CN"/>
        </w:rPr>
        <w:t>总日历天数与根据前述计划</w:t>
      </w:r>
      <w:r>
        <w:rPr>
          <w:rFonts w:hint="eastAsia" w:ascii="仿宋_GB2312" w:hAnsi="仿宋_GB2312" w:eastAsia="仿宋_GB2312" w:cs="仿宋_GB2312"/>
          <w:color w:val="auto"/>
          <w:sz w:val="24"/>
          <w:szCs w:val="24"/>
          <w:highlight w:val="none"/>
        </w:rPr>
        <w:t>开工</w:t>
      </w:r>
      <w:r>
        <w:rPr>
          <w:rFonts w:hint="eastAsia" w:ascii="仿宋_GB2312" w:hAnsi="仿宋_GB2312" w:eastAsia="仿宋_GB2312" w:cs="仿宋_GB2312"/>
          <w:color w:val="auto"/>
          <w:sz w:val="24"/>
          <w:szCs w:val="24"/>
          <w:highlight w:val="none"/>
          <w:lang w:val="zh-CN"/>
        </w:rPr>
        <w:t>、完工日期计算的天数不一致的，以</w:t>
      </w:r>
      <w:r>
        <w:rPr>
          <w:rFonts w:hint="eastAsia" w:ascii="仿宋_GB2312" w:hAnsi="仿宋_GB2312" w:eastAsia="仿宋_GB2312" w:cs="仿宋_GB2312"/>
          <w:color w:val="auto"/>
          <w:sz w:val="24"/>
          <w:szCs w:val="24"/>
          <w:highlight w:val="none"/>
        </w:rPr>
        <w:t>工期</w:t>
      </w:r>
      <w:r>
        <w:rPr>
          <w:rFonts w:hint="eastAsia" w:ascii="仿宋_GB2312" w:hAnsi="仿宋_GB2312" w:eastAsia="仿宋_GB2312" w:cs="仿宋_GB2312"/>
          <w:color w:val="auto"/>
          <w:sz w:val="24"/>
          <w:szCs w:val="24"/>
          <w:highlight w:val="none"/>
          <w:lang w:val="zh-CN"/>
        </w:rPr>
        <w:t>总日历天数为准。</w:t>
      </w:r>
      <w:r>
        <w:rPr>
          <w:rFonts w:hint="eastAsia" w:ascii="仿宋_GB2312" w:hAnsi="仿宋_GB2312" w:eastAsia="仿宋_GB2312" w:cs="仿宋_GB2312"/>
          <w:color w:val="auto"/>
          <w:sz w:val="24"/>
          <w:szCs w:val="24"/>
          <w:highlight w:val="none"/>
        </w:rPr>
        <w:t>主要节点工期以承包人批复或发出的总体控制工期计划为准。</w:t>
      </w:r>
      <w:bookmarkStart w:id="29" w:name="_Toc19053"/>
      <w:bookmarkStart w:id="30" w:name="_Toc351203483"/>
      <w:bookmarkStart w:id="31" w:name="_Toc389586298"/>
      <w:bookmarkStart w:id="32" w:name="_Toc6066"/>
      <w:bookmarkStart w:id="33" w:name="_Toc371493143"/>
      <w:bookmarkStart w:id="34" w:name="_Toc20454"/>
      <w:bookmarkStart w:id="35" w:name="_Toc11855"/>
      <w:bookmarkStart w:id="36" w:name="_Toc31745"/>
      <w:bookmarkStart w:id="37" w:name="_Toc27462"/>
    </w:p>
    <w:p w14:paraId="2ED31B44">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黑体" w:hAnsi="黑体" w:eastAsia="黑体" w:cs="黑体"/>
          <w:color w:val="auto"/>
          <w:sz w:val="24"/>
          <w:szCs w:val="24"/>
          <w:highlight w:val="none"/>
        </w:rPr>
        <w:t>三、质量标准</w:t>
      </w:r>
      <w:bookmarkEnd w:id="29"/>
      <w:bookmarkEnd w:id="30"/>
      <w:bookmarkEnd w:id="31"/>
      <w:bookmarkEnd w:id="32"/>
      <w:bookmarkEnd w:id="33"/>
      <w:bookmarkEnd w:id="34"/>
      <w:bookmarkEnd w:id="35"/>
      <w:bookmarkEnd w:id="36"/>
      <w:bookmarkEnd w:id="37"/>
    </w:p>
    <w:p w14:paraId="03A94257">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本分包工程质量标准双方约定为：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合格</w:t>
      </w:r>
      <w:r>
        <w:rPr>
          <w:rFonts w:hint="eastAsia" w:ascii="仿宋_GB2312" w:hAnsi="仿宋_GB2312" w:eastAsia="仿宋_GB2312" w:cs="仿宋_GB2312"/>
          <w:color w:val="auto"/>
          <w:sz w:val="24"/>
          <w:szCs w:val="24"/>
          <w:highlight w:val="none"/>
          <w:u w:val="single"/>
        </w:rPr>
        <w:t xml:space="preserve">           。</w:t>
      </w:r>
    </w:p>
    <w:p w14:paraId="7A862AD6">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工程质量应符合总包合同约定的分包工程的质量标准，并符合现行《建筑工程施工质量验收统一标准》及国家、省市颁发的建筑工程标准、规范（含施工、设计规范）和有关施工质量验收标准，以及承包人三合一体系（质量、环境、职业健康安全管理体系）等相关文件执行。</w:t>
      </w:r>
    </w:p>
    <w:p w14:paraId="5B527DEE">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承包人有工程创优的需求，分包人明白且理解该需求对分包工程在工程质量上有更高的要求，分包人在施工时应予配合达到该标准，相关费用已包含在合同总价内</w:t>
      </w:r>
      <w:bookmarkStart w:id="38" w:name="_Toc371493144"/>
      <w:bookmarkStart w:id="39" w:name="_Toc389586299"/>
      <w:bookmarkStart w:id="40" w:name="_Toc16983"/>
      <w:bookmarkStart w:id="41" w:name="_Toc22528"/>
      <w:bookmarkStart w:id="42" w:name="_Toc13707"/>
      <w:bookmarkStart w:id="43" w:name="_Toc6859"/>
      <w:bookmarkStart w:id="44" w:name="_Toc3147"/>
      <w:bookmarkStart w:id="45" w:name="_Toc4152"/>
      <w:bookmarkStart w:id="46" w:name="_Toc351203484"/>
      <w:r>
        <w:rPr>
          <w:rFonts w:hint="eastAsia" w:ascii="仿宋_GB2312" w:hAnsi="仿宋_GB2312" w:eastAsia="仿宋_GB2312" w:cs="仿宋_GB2312"/>
          <w:color w:val="auto"/>
          <w:sz w:val="24"/>
          <w:szCs w:val="24"/>
          <w:highlight w:val="none"/>
          <w:lang w:eastAsia="zh-CN"/>
        </w:rPr>
        <w:t>。</w:t>
      </w:r>
    </w:p>
    <w:p w14:paraId="72FFFD53">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四、签约合同价与合同价格形式</w:t>
      </w:r>
      <w:bookmarkEnd w:id="38"/>
      <w:bookmarkEnd w:id="39"/>
      <w:bookmarkEnd w:id="40"/>
      <w:bookmarkEnd w:id="41"/>
      <w:bookmarkEnd w:id="42"/>
      <w:bookmarkEnd w:id="43"/>
      <w:bookmarkEnd w:id="44"/>
      <w:bookmarkEnd w:id="45"/>
      <w:bookmarkEnd w:id="46"/>
    </w:p>
    <w:p w14:paraId="02DC6E7D">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lang w:val="zh-CN"/>
        </w:rPr>
      </w:pPr>
      <w:r>
        <w:rPr>
          <w:rFonts w:hint="eastAsia" w:ascii="楷体_GB2312" w:hAnsi="楷体_GB2312" w:eastAsia="楷体_GB2312" w:cs="楷体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签约合同价（含税）为：人民币（大写）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元)，签约合同价（不含税）为：人民币（大写）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元)，税金人民币（大写）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lang w:val="zh-CN"/>
        </w:rPr>
        <w:t>本合同价款为本合同的最高限额，并以最终结算价格为准，超出的本合同金额必须签订补充协议。</w:t>
      </w:r>
    </w:p>
    <w:p w14:paraId="5B9F5535">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本合同工程所有安全防护与文明施工措施费均包含在合同价款之中计算。</w:t>
      </w:r>
    </w:p>
    <w:p w14:paraId="0D1219C6">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u w:val="none"/>
        </w:rPr>
      </w:pPr>
      <w:r>
        <w:rPr>
          <w:rFonts w:hint="eastAsia" w:ascii="楷体_GB2312" w:hAnsi="楷体_GB2312" w:eastAsia="楷体_GB2312" w:cs="楷体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分包合同价格形式：</w:t>
      </w:r>
      <w:r>
        <w:rPr>
          <w:rFonts w:hint="eastAsia" w:ascii="仿宋_GB2312" w:hAnsi="仿宋_GB2312" w:eastAsia="仿宋_GB2312" w:cs="仿宋_GB2312"/>
          <w:color w:val="auto"/>
          <w:sz w:val="24"/>
          <w:szCs w:val="24"/>
          <w:highlight w:val="none"/>
          <w:u w:val="single"/>
        </w:rPr>
        <w:t>综合单价包干</w:t>
      </w:r>
      <w:r>
        <w:rPr>
          <w:rFonts w:hint="eastAsia" w:ascii="仿宋_GB2312" w:hAnsi="仿宋_GB2312" w:eastAsia="仿宋_GB2312" w:cs="仿宋_GB2312"/>
          <w:color w:val="auto"/>
          <w:sz w:val="24"/>
          <w:szCs w:val="24"/>
          <w:highlight w:val="none"/>
          <w:u w:val="none"/>
        </w:rPr>
        <w:t>。</w:t>
      </w:r>
    </w:p>
    <w:p w14:paraId="17E0FB06">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u w:val="none"/>
          <w:lang w:eastAsia="zh-CN"/>
        </w:rPr>
      </w:pPr>
      <w:r>
        <w:rPr>
          <w:rFonts w:hint="eastAsia" w:ascii="仿宋_GB2312" w:hAnsi="仿宋_GB2312" w:eastAsia="仿宋_GB2312" w:cs="仿宋_GB2312"/>
          <w:color w:val="auto"/>
          <w:sz w:val="24"/>
          <w:szCs w:val="24"/>
          <w:highlight w:val="none"/>
          <w:u w:val="single"/>
        </w:rPr>
        <w:t>包工包料，包安全、包工期、包安全文明施工、</w:t>
      </w:r>
      <w:r>
        <w:rPr>
          <w:rFonts w:hint="eastAsia" w:ascii="仿宋_GB2312" w:hAnsi="仿宋_GB2312" w:eastAsia="仿宋_GB2312" w:cs="仿宋_GB2312"/>
          <w:color w:val="auto"/>
          <w:sz w:val="24"/>
          <w:szCs w:val="24"/>
          <w:highlight w:val="none"/>
          <w:u w:val="single"/>
          <w:lang w:val="en-US" w:eastAsia="zh-CN"/>
        </w:rPr>
        <w:t>包验收送电、</w:t>
      </w:r>
      <w:r>
        <w:rPr>
          <w:rFonts w:hint="eastAsia" w:ascii="仿宋_GB2312" w:hAnsi="仿宋_GB2312" w:eastAsia="仿宋_GB2312" w:cs="仿宋_GB2312"/>
          <w:color w:val="auto"/>
          <w:sz w:val="24"/>
          <w:szCs w:val="24"/>
          <w:highlight w:val="none"/>
          <w:u w:val="single"/>
        </w:rPr>
        <w:t xml:space="preserve">包税 </w:t>
      </w:r>
      <w:r>
        <w:rPr>
          <w:rFonts w:hint="eastAsia" w:ascii="仿宋_GB2312" w:hAnsi="仿宋_GB2312" w:eastAsia="仿宋_GB2312" w:cs="仿宋_GB2312"/>
          <w:color w:val="auto"/>
          <w:sz w:val="24"/>
          <w:szCs w:val="24"/>
          <w:highlight w:val="none"/>
          <w:u w:val="none"/>
          <w:lang w:eastAsia="zh-CN"/>
        </w:rPr>
        <w:t>。</w:t>
      </w:r>
    </w:p>
    <w:p w14:paraId="7EB3E994">
      <w:pPr>
        <w:pageBreakBefore w:val="0"/>
        <w:widowControl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color w:val="auto"/>
          <w:sz w:val="24"/>
          <w:szCs w:val="24"/>
          <w:highlight w:val="none"/>
        </w:rPr>
        <w:t>3. 工程量清单</w:t>
      </w:r>
      <w:r>
        <w:rPr>
          <w:rFonts w:hint="eastAsia" w:ascii="仿宋_GB2312" w:hAnsi="仿宋_GB2312" w:eastAsia="仿宋_GB2312" w:cs="仿宋_GB2312"/>
          <w:color w:val="auto"/>
          <w:sz w:val="24"/>
          <w:szCs w:val="24"/>
          <w:highlight w:val="none"/>
        </w:rPr>
        <w:t>（详见附件   ）</w:t>
      </w:r>
    </w:p>
    <w:tbl>
      <w:tblPr>
        <w:tblStyle w:val="18"/>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614"/>
        <w:gridCol w:w="788"/>
        <w:gridCol w:w="1418"/>
        <w:gridCol w:w="1276"/>
        <w:gridCol w:w="1842"/>
        <w:gridCol w:w="1060"/>
      </w:tblGrid>
      <w:tr w14:paraId="7D30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79" w:type="dxa"/>
            <w:vAlign w:val="center"/>
          </w:tcPr>
          <w:p w14:paraId="69DDCFD4">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2614" w:type="dxa"/>
            <w:tcMar>
              <w:left w:w="57" w:type="dxa"/>
              <w:right w:w="57" w:type="dxa"/>
            </w:tcMar>
            <w:vAlign w:val="center"/>
          </w:tcPr>
          <w:p w14:paraId="7C6A6B9A">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分包项目名称</w:t>
            </w:r>
          </w:p>
        </w:tc>
        <w:tc>
          <w:tcPr>
            <w:tcW w:w="788" w:type="dxa"/>
            <w:tcMar>
              <w:left w:w="57" w:type="dxa"/>
              <w:right w:w="57" w:type="dxa"/>
            </w:tcMar>
            <w:vAlign w:val="center"/>
          </w:tcPr>
          <w:p w14:paraId="6651BDEC">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单位</w:t>
            </w:r>
          </w:p>
        </w:tc>
        <w:tc>
          <w:tcPr>
            <w:tcW w:w="1418" w:type="dxa"/>
            <w:tcMar>
              <w:left w:w="57" w:type="dxa"/>
              <w:right w:w="57" w:type="dxa"/>
            </w:tcMar>
            <w:vAlign w:val="center"/>
          </w:tcPr>
          <w:p w14:paraId="3114B209">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p w14:paraId="6F676288">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（暂定）</w:t>
            </w:r>
          </w:p>
        </w:tc>
        <w:tc>
          <w:tcPr>
            <w:tcW w:w="1276" w:type="dxa"/>
            <w:tcMar>
              <w:left w:w="57" w:type="dxa"/>
              <w:right w:w="57" w:type="dxa"/>
            </w:tcMar>
            <w:vAlign w:val="center"/>
          </w:tcPr>
          <w:p w14:paraId="71C1C494">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单价（元） (含税)</w:t>
            </w:r>
          </w:p>
        </w:tc>
        <w:tc>
          <w:tcPr>
            <w:tcW w:w="1842" w:type="dxa"/>
            <w:tcMar>
              <w:left w:w="57" w:type="dxa"/>
              <w:right w:w="57" w:type="dxa"/>
            </w:tcMar>
            <w:vAlign w:val="center"/>
          </w:tcPr>
          <w:p w14:paraId="19CBB330">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金额</w:t>
            </w:r>
          </w:p>
          <w:p w14:paraId="70CD511E">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（元）</w:t>
            </w:r>
          </w:p>
        </w:tc>
        <w:tc>
          <w:tcPr>
            <w:tcW w:w="1060" w:type="dxa"/>
            <w:tcMar>
              <w:left w:w="57" w:type="dxa"/>
              <w:right w:w="57" w:type="dxa"/>
            </w:tcMar>
            <w:vAlign w:val="center"/>
          </w:tcPr>
          <w:p w14:paraId="40F1676E">
            <w:pPr>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r>
      <w:tr w14:paraId="36EB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79" w:type="dxa"/>
            <w:vAlign w:val="center"/>
          </w:tcPr>
          <w:p w14:paraId="27554FDC">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1</w:t>
            </w:r>
          </w:p>
        </w:tc>
        <w:tc>
          <w:tcPr>
            <w:tcW w:w="2614" w:type="dxa"/>
            <w:tcMar>
              <w:left w:w="57" w:type="dxa"/>
              <w:right w:w="57" w:type="dxa"/>
            </w:tcMar>
            <w:vAlign w:val="center"/>
          </w:tcPr>
          <w:p w14:paraId="69319217">
            <w:pPr>
              <w:jc w:val="center"/>
              <w:rPr>
                <w:rFonts w:hint="eastAsia" w:ascii="仿宋_GB2312" w:hAnsi="仿宋_GB2312" w:eastAsia="仿宋_GB2312" w:cs="仿宋_GB2312"/>
                <w:color w:val="auto"/>
                <w:sz w:val="24"/>
                <w:szCs w:val="24"/>
                <w:highlight w:val="none"/>
              </w:rPr>
            </w:pPr>
          </w:p>
        </w:tc>
        <w:tc>
          <w:tcPr>
            <w:tcW w:w="788" w:type="dxa"/>
            <w:tcMar>
              <w:left w:w="57" w:type="dxa"/>
              <w:right w:w="57" w:type="dxa"/>
            </w:tcMar>
            <w:vAlign w:val="center"/>
          </w:tcPr>
          <w:p w14:paraId="2E4BA365">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418" w:type="dxa"/>
            <w:tcMar>
              <w:left w:w="57" w:type="dxa"/>
              <w:right w:w="57" w:type="dxa"/>
            </w:tcMar>
            <w:vAlign w:val="center"/>
          </w:tcPr>
          <w:p w14:paraId="31CF6398">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276" w:type="dxa"/>
            <w:tcMar>
              <w:left w:w="57" w:type="dxa"/>
              <w:right w:w="57" w:type="dxa"/>
            </w:tcMar>
            <w:vAlign w:val="center"/>
          </w:tcPr>
          <w:p w14:paraId="6B919B4E">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842" w:type="dxa"/>
            <w:tcMar>
              <w:left w:w="57" w:type="dxa"/>
              <w:right w:w="57" w:type="dxa"/>
            </w:tcMar>
            <w:vAlign w:val="center"/>
          </w:tcPr>
          <w:p w14:paraId="25E3C34B">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060" w:type="dxa"/>
            <w:tcMar>
              <w:left w:w="57" w:type="dxa"/>
              <w:right w:w="57" w:type="dxa"/>
            </w:tcMar>
            <w:vAlign w:val="center"/>
          </w:tcPr>
          <w:p w14:paraId="05146F3F">
            <w:pPr>
              <w:widowControl/>
              <w:jc w:val="left"/>
              <w:textAlignment w:val="center"/>
              <w:rPr>
                <w:rFonts w:hint="eastAsia" w:ascii="仿宋_GB2312" w:hAnsi="仿宋_GB2312" w:eastAsia="仿宋_GB2312" w:cs="仿宋_GB2312"/>
                <w:color w:val="auto"/>
                <w:sz w:val="24"/>
                <w:szCs w:val="24"/>
                <w:highlight w:val="none"/>
              </w:rPr>
            </w:pPr>
          </w:p>
        </w:tc>
      </w:tr>
      <w:tr w14:paraId="1EB7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79" w:type="dxa"/>
            <w:vAlign w:val="center"/>
          </w:tcPr>
          <w:p w14:paraId="5D3B68F1">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2</w:t>
            </w:r>
          </w:p>
        </w:tc>
        <w:tc>
          <w:tcPr>
            <w:tcW w:w="2614" w:type="dxa"/>
            <w:tcMar>
              <w:left w:w="57" w:type="dxa"/>
              <w:right w:w="57" w:type="dxa"/>
            </w:tcMar>
            <w:vAlign w:val="center"/>
          </w:tcPr>
          <w:p w14:paraId="566314B5">
            <w:pPr>
              <w:jc w:val="center"/>
              <w:rPr>
                <w:rFonts w:hint="eastAsia" w:ascii="仿宋_GB2312" w:hAnsi="仿宋_GB2312" w:eastAsia="仿宋_GB2312" w:cs="仿宋_GB2312"/>
                <w:color w:val="auto"/>
                <w:sz w:val="24"/>
                <w:szCs w:val="24"/>
                <w:highlight w:val="none"/>
              </w:rPr>
            </w:pPr>
          </w:p>
        </w:tc>
        <w:tc>
          <w:tcPr>
            <w:tcW w:w="788" w:type="dxa"/>
            <w:tcMar>
              <w:left w:w="57" w:type="dxa"/>
              <w:right w:w="57" w:type="dxa"/>
            </w:tcMar>
            <w:vAlign w:val="center"/>
          </w:tcPr>
          <w:p w14:paraId="7E73B32F">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418" w:type="dxa"/>
            <w:tcMar>
              <w:left w:w="57" w:type="dxa"/>
              <w:right w:w="57" w:type="dxa"/>
            </w:tcMar>
            <w:vAlign w:val="center"/>
          </w:tcPr>
          <w:p w14:paraId="3C69589C">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276" w:type="dxa"/>
            <w:tcMar>
              <w:left w:w="57" w:type="dxa"/>
              <w:right w:w="57" w:type="dxa"/>
            </w:tcMar>
            <w:vAlign w:val="center"/>
          </w:tcPr>
          <w:p w14:paraId="1D95CE26">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842" w:type="dxa"/>
            <w:tcMar>
              <w:left w:w="57" w:type="dxa"/>
              <w:right w:w="57" w:type="dxa"/>
            </w:tcMar>
            <w:vAlign w:val="center"/>
          </w:tcPr>
          <w:p w14:paraId="63809272">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060" w:type="dxa"/>
            <w:tcMar>
              <w:left w:w="57" w:type="dxa"/>
              <w:right w:w="57" w:type="dxa"/>
            </w:tcMar>
            <w:vAlign w:val="center"/>
          </w:tcPr>
          <w:p w14:paraId="33054EEB">
            <w:pPr>
              <w:widowControl/>
              <w:jc w:val="left"/>
              <w:textAlignment w:val="center"/>
              <w:rPr>
                <w:rFonts w:hint="eastAsia" w:ascii="仿宋_GB2312" w:hAnsi="仿宋_GB2312" w:eastAsia="仿宋_GB2312" w:cs="仿宋_GB2312"/>
                <w:color w:val="auto"/>
                <w:sz w:val="24"/>
                <w:szCs w:val="24"/>
                <w:highlight w:val="none"/>
              </w:rPr>
            </w:pPr>
          </w:p>
        </w:tc>
      </w:tr>
      <w:tr w14:paraId="2FE7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79" w:type="dxa"/>
            <w:vAlign w:val="center"/>
          </w:tcPr>
          <w:p w14:paraId="47027EF9">
            <w:pPr>
              <w:widowControl/>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3</w:t>
            </w:r>
          </w:p>
        </w:tc>
        <w:tc>
          <w:tcPr>
            <w:tcW w:w="2614" w:type="dxa"/>
            <w:tcMar>
              <w:left w:w="57" w:type="dxa"/>
              <w:right w:w="57" w:type="dxa"/>
            </w:tcMar>
            <w:vAlign w:val="center"/>
          </w:tcPr>
          <w:p w14:paraId="008BAF0B">
            <w:pPr>
              <w:jc w:val="center"/>
              <w:rPr>
                <w:rFonts w:hint="eastAsia" w:ascii="仿宋_GB2312" w:hAnsi="仿宋_GB2312" w:eastAsia="仿宋_GB2312" w:cs="仿宋_GB2312"/>
                <w:color w:val="auto"/>
                <w:sz w:val="24"/>
                <w:szCs w:val="24"/>
                <w:highlight w:val="none"/>
              </w:rPr>
            </w:pPr>
          </w:p>
        </w:tc>
        <w:tc>
          <w:tcPr>
            <w:tcW w:w="788" w:type="dxa"/>
            <w:tcMar>
              <w:left w:w="57" w:type="dxa"/>
              <w:right w:w="57" w:type="dxa"/>
            </w:tcMar>
            <w:vAlign w:val="center"/>
          </w:tcPr>
          <w:p w14:paraId="73677283">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418" w:type="dxa"/>
            <w:tcMar>
              <w:left w:w="57" w:type="dxa"/>
              <w:right w:w="57" w:type="dxa"/>
            </w:tcMar>
            <w:vAlign w:val="center"/>
          </w:tcPr>
          <w:p w14:paraId="36D3280C">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276" w:type="dxa"/>
            <w:tcMar>
              <w:left w:w="57" w:type="dxa"/>
              <w:right w:w="57" w:type="dxa"/>
            </w:tcMar>
            <w:vAlign w:val="center"/>
          </w:tcPr>
          <w:p w14:paraId="5F284139">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842" w:type="dxa"/>
            <w:tcMar>
              <w:left w:w="57" w:type="dxa"/>
              <w:right w:w="57" w:type="dxa"/>
            </w:tcMar>
            <w:vAlign w:val="center"/>
          </w:tcPr>
          <w:p w14:paraId="005AE6C8">
            <w:pPr>
              <w:widowControl/>
              <w:jc w:val="center"/>
              <w:textAlignment w:val="center"/>
              <w:rPr>
                <w:rFonts w:hint="eastAsia" w:ascii="仿宋_GB2312" w:hAnsi="仿宋_GB2312" w:eastAsia="仿宋_GB2312" w:cs="仿宋_GB2312"/>
                <w:color w:val="auto"/>
                <w:kern w:val="0"/>
                <w:sz w:val="24"/>
                <w:szCs w:val="24"/>
                <w:highlight w:val="none"/>
                <w:lang w:bidi="ar"/>
              </w:rPr>
            </w:pPr>
          </w:p>
        </w:tc>
        <w:tc>
          <w:tcPr>
            <w:tcW w:w="1060" w:type="dxa"/>
            <w:tcMar>
              <w:left w:w="57" w:type="dxa"/>
              <w:right w:w="57" w:type="dxa"/>
            </w:tcMar>
            <w:vAlign w:val="center"/>
          </w:tcPr>
          <w:p w14:paraId="765E984B">
            <w:pPr>
              <w:widowControl/>
              <w:jc w:val="left"/>
              <w:textAlignment w:val="center"/>
              <w:rPr>
                <w:rFonts w:hint="eastAsia" w:ascii="仿宋_GB2312" w:hAnsi="仿宋_GB2312" w:eastAsia="仿宋_GB2312" w:cs="仿宋_GB2312"/>
                <w:color w:val="auto"/>
                <w:sz w:val="24"/>
                <w:szCs w:val="24"/>
                <w:highlight w:val="none"/>
              </w:rPr>
            </w:pPr>
          </w:p>
        </w:tc>
      </w:tr>
      <w:tr w14:paraId="6E10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875" w:type="dxa"/>
            <w:gridSpan w:val="5"/>
            <w:vAlign w:val="center"/>
          </w:tcPr>
          <w:p w14:paraId="223F0BD3">
            <w:pPr>
              <w:widowControl/>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合计</w:t>
            </w:r>
          </w:p>
        </w:tc>
        <w:tc>
          <w:tcPr>
            <w:tcW w:w="1842" w:type="dxa"/>
            <w:tcMar>
              <w:left w:w="57" w:type="dxa"/>
              <w:right w:w="57" w:type="dxa"/>
            </w:tcMar>
            <w:vAlign w:val="center"/>
          </w:tcPr>
          <w:p w14:paraId="1F9022D0">
            <w:pPr>
              <w:widowControl/>
              <w:jc w:val="center"/>
              <w:textAlignment w:val="center"/>
              <w:rPr>
                <w:rFonts w:hint="eastAsia" w:ascii="仿宋_GB2312" w:hAnsi="仿宋_GB2312" w:eastAsia="仿宋_GB2312" w:cs="仿宋_GB2312"/>
                <w:color w:val="auto"/>
                <w:sz w:val="24"/>
                <w:szCs w:val="24"/>
                <w:highlight w:val="none"/>
              </w:rPr>
            </w:pPr>
          </w:p>
        </w:tc>
        <w:tc>
          <w:tcPr>
            <w:tcW w:w="1060" w:type="dxa"/>
            <w:tcMar>
              <w:left w:w="57" w:type="dxa"/>
              <w:right w:w="57" w:type="dxa"/>
            </w:tcMar>
            <w:vAlign w:val="center"/>
          </w:tcPr>
          <w:p w14:paraId="10588968">
            <w:pPr>
              <w:widowControl/>
              <w:jc w:val="left"/>
              <w:textAlignment w:val="center"/>
              <w:rPr>
                <w:rFonts w:hint="eastAsia" w:ascii="仿宋_GB2312" w:hAnsi="仿宋_GB2312" w:eastAsia="仿宋_GB2312" w:cs="仿宋_GB2312"/>
                <w:color w:val="auto"/>
                <w:sz w:val="24"/>
                <w:szCs w:val="24"/>
                <w:highlight w:val="none"/>
              </w:rPr>
            </w:pPr>
          </w:p>
        </w:tc>
      </w:tr>
      <w:tr w14:paraId="10A6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777" w:type="dxa"/>
            <w:gridSpan w:val="7"/>
            <w:vAlign w:val="center"/>
          </w:tcPr>
          <w:p w14:paraId="5099844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color w:val="auto"/>
                <w:sz w:val="24"/>
                <w:szCs w:val="24"/>
                <w:highlight w:val="none"/>
              </w:rPr>
              <w:t>合计含税总金额</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元（人民币大写：</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p>
          <w:p w14:paraId="4CB67A0A">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其中含增值税税金（增值税税率</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元（人民币大写：</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p>
          <w:p w14:paraId="7817DB3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rPr>
              <w:t>合计不含税总金额：¥</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元（人民币大写：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tc>
      </w:tr>
    </w:tbl>
    <w:p w14:paraId="5B69225A">
      <w:pPr>
        <w:keepNext w:val="0"/>
        <w:keepLines w:val="0"/>
        <w:pageBreakBefore w:val="0"/>
        <w:numPr>
          <w:ilvl w:val="255"/>
          <w:numId w:val="0"/>
        </w:numPr>
        <w:kinsoku/>
        <w:wordWrap w:val="0"/>
        <w:overflowPunct/>
        <w:topLinePunct w:val="0"/>
        <w:autoSpaceDE/>
        <w:autoSpaceDN/>
        <w:bidi w:val="0"/>
        <w:adjustRightInd w:val="0"/>
        <w:snapToGrid w:val="0"/>
        <w:spacing w:line="39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color w:val="auto"/>
          <w:sz w:val="24"/>
          <w:szCs w:val="24"/>
          <w:highlight w:val="none"/>
        </w:rPr>
        <w:t>4.工程税金</w:t>
      </w:r>
    </w:p>
    <w:p w14:paraId="6BC47CC8">
      <w:pPr>
        <w:keepNext w:val="0"/>
        <w:keepLines w:val="0"/>
        <w:pageBreakBefore w:val="0"/>
        <w:widowControl/>
        <w:kinsoku/>
        <w:wordWrap w:val="0"/>
        <w:overflowPunct/>
        <w:topLinePunct w:val="0"/>
        <w:autoSpaceDE/>
        <w:autoSpaceDN/>
        <w:bidi w:val="0"/>
        <w:adjustRightInd w:val="0"/>
        <w:snapToGrid w:val="0"/>
        <w:spacing w:line="390" w:lineRule="exact"/>
        <w:ind w:left="0" w:leftChars="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以上价格包含</w:t>
      </w:r>
      <w:r>
        <w:rPr>
          <w:rFonts w:hint="eastAsia"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9</w:t>
      </w:r>
      <w:r>
        <w:rPr>
          <w:rFonts w:hint="eastAsia"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%增值</w:t>
      </w:r>
      <w:r>
        <w:rPr>
          <w:rFonts w:hint="eastAsia" w:ascii="仿宋_GB2312" w:hAnsi="仿宋_GB2312" w:eastAsia="仿宋_GB2312" w:cs="仿宋_GB2312"/>
          <w:color w:val="auto"/>
          <w:sz w:val="24"/>
          <w:szCs w:val="24"/>
          <w:highlight w:val="none"/>
        </w:rPr>
        <w:t>税税金，分包人须按国家规定的行业税率，提供符合当地税务部门要求的合法有效的</w:t>
      </w:r>
      <w:r>
        <w:rPr>
          <w:rFonts w:hint="eastAsia" w:ascii="仿宋_GB2312" w:hAnsi="仿宋_GB2312" w:eastAsia="仿宋_GB2312" w:cs="仿宋_GB2312"/>
          <w:b/>
          <w:bCs/>
          <w:color w:val="auto"/>
          <w:sz w:val="24"/>
          <w:szCs w:val="24"/>
          <w:highlight w:val="none"/>
          <w:u w:val="single"/>
        </w:rPr>
        <w:t>增值税专用发票</w:t>
      </w:r>
      <w:r>
        <w:rPr>
          <w:rFonts w:hint="eastAsia" w:ascii="仿宋_GB2312" w:hAnsi="仿宋_GB2312" w:eastAsia="仿宋_GB2312" w:cs="仿宋_GB2312"/>
          <w:color w:val="auto"/>
          <w:sz w:val="24"/>
          <w:szCs w:val="24"/>
          <w:highlight w:val="none"/>
        </w:rPr>
        <w:t>，同时提供发票联和抵扣联，抵扣联不完整不应为有效发票。如分包人未能提供有效增值税专用发票，承包人有权在分包工程款中扣除由此产生的一切直接或间接税费及规费。</w:t>
      </w:r>
    </w:p>
    <w:p w14:paraId="092ED58F">
      <w:pPr>
        <w:keepNext w:val="0"/>
        <w:keepLines w:val="0"/>
        <w:pageBreakBefore w:val="0"/>
        <w:kinsoku/>
        <w:wordWrap w:val="0"/>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须承担为履行此合同在中华人民共和国境内所必须缴纳的一切直接或间接税费及规费，包括但不限于增值税、企业所得税、个人所得税等以及国家及地方政府规定的其它一切税收及费用。此等税费及规费应已包括于合同价格和合同约定的各种款项内以及可能涉及的合同价格调整。</w:t>
      </w:r>
    </w:p>
    <w:p w14:paraId="74CEEF6E">
      <w:pPr>
        <w:keepNext w:val="0"/>
        <w:keepLines w:val="0"/>
        <w:pageBreakBefore w:val="0"/>
        <w:widowControl w:val="0"/>
        <w:kinsoku/>
        <w:wordWrap w:val="0"/>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合同期内，由于分包人自身纳税人身份、纳税方式及国家税制改革原因带来税种及税率的变化，非经承包人书面同意，以上不含税合同价格不予调整。</w:t>
      </w:r>
    </w:p>
    <w:p w14:paraId="1E2B5E28">
      <w:pPr>
        <w:pStyle w:val="4"/>
        <w:pageBreakBefore w:val="0"/>
        <w:widowControl w:val="0"/>
        <w:kinsoku/>
        <w:wordWrap w:val="0"/>
        <w:overflowPunct/>
        <w:topLinePunct w:val="0"/>
        <w:bidi w:val="0"/>
        <w:adjustRightInd w:val="0"/>
        <w:snapToGrid w:val="0"/>
        <w:spacing w:before="0" w:after="0"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47" w:name="_Toc13614"/>
      <w:bookmarkStart w:id="48" w:name="_Toc13985"/>
      <w:bookmarkStart w:id="49" w:name="_Toc30570"/>
      <w:bookmarkStart w:id="50" w:name="_Toc25388"/>
      <w:bookmarkStart w:id="51" w:name="_Toc389586300"/>
      <w:bookmarkStart w:id="52" w:name="_Toc351203486"/>
      <w:bookmarkStart w:id="53" w:name="_Toc371493145"/>
      <w:bookmarkStart w:id="54" w:name="_Toc12191"/>
      <w:bookmarkStart w:id="55" w:name="_Toc30172"/>
      <w:r>
        <w:rPr>
          <w:rFonts w:hint="eastAsia" w:ascii="黑体" w:hAnsi="黑体" w:eastAsia="黑体" w:cs="黑体"/>
          <w:b w:val="0"/>
          <w:bCs w:val="0"/>
          <w:color w:val="auto"/>
          <w:sz w:val="24"/>
          <w:szCs w:val="24"/>
          <w:highlight w:val="none"/>
        </w:rPr>
        <w:t>五、合同文件构成</w:t>
      </w:r>
      <w:bookmarkEnd w:id="47"/>
      <w:bookmarkEnd w:id="48"/>
      <w:bookmarkEnd w:id="49"/>
      <w:bookmarkEnd w:id="50"/>
      <w:bookmarkEnd w:id="51"/>
      <w:bookmarkEnd w:id="52"/>
      <w:bookmarkEnd w:id="53"/>
      <w:bookmarkEnd w:id="54"/>
      <w:bookmarkEnd w:id="55"/>
    </w:p>
    <w:p w14:paraId="31BD8DF2">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本协议书与下列文件一起构成分包合同文件：</w:t>
      </w:r>
    </w:p>
    <w:p w14:paraId="15525362">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color w:val="auto"/>
          <w:sz w:val="24"/>
          <w:szCs w:val="24"/>
          <w:highlight w:val="none"/>
        </w:rPr>
        <w:t>合同补充协议（如果有，另外签订）；</w:t>
      </w:r>
    </w:p>
    <w:p w14:paraId="1494DA23">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（2）分包合同协议书</w:t>
      </w:r>
    </w:p>
    <w:p w14:paraId="4E2D175E">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（3）专用合同条款及其附件；</w:t>
      </w:r>
    </w:p>
    <w:p w14:paraId="44CCE402">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（4）中标通知书（如果有）</w:t>
      </w:r>
    </w:p>
    <w:p w14:paraId="14B7A853">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（5）投标函及其附录（如果有）； </w:t>
      </w:r>
    </w:p>
    <w:p w14:paraId="3BD9E89B">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（6）通用合同条款；</w:t>
      </w:r>
    </w:p>
    <w:p w14:paraId="6EF39A89">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（7）技术标准和要求；</w:t>
      </w:r>
    </w:p>
    <w:p w14:paraId="776EA78A">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（8）图纸；</w:t>
      </w:r>
    </w:p>
    <w:p w14:paraId="49E72429">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（9）已标价工程量清单或预算书；</w:t>
      </w:r>
    </w:p>
    <w:p w14:paraId="322D2F8D">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（10）其他分包合同文件。</w:t>
      </w:r>
    </w:p>
    <w:p w14:paraId="52917368">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在分包合同订立及履行过程中分包合同当事人签署的与分包合同有关且符合本合同实质性约定的指令、洽商、纪要或同类性质的文件均构成分包合同文件组成部分。</w:t>
      </w:r>
    </w:p>
    <w:p w14:paraId="2CD58D32">
      <w:pPr>
        <w:pageBreakBefore w:val="0"/>
        <w:widowControl w:val="0"/>
        <w:kinsoku/>
        <w:wordWrap w:val="0"/>
        <w:overflowPunct/>
        <w:topLinePunct w:val="0"/>
        <w:autoSpaceDE w:val="0"/>
        <w:autoSpaceDN w:val="0"/>
        <w:bidi w:val="0"/>
        <w:adjustRightInd w:val="0"/>
        <w:snapToGrid w:val="0"/>
        <w:spacing w:line="38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上述文件互相补充和解释。若合同文件中对本合同范围或乙方工作范围以及本工程质量、进度、安全等要求有不一致的，乙方应在施工前向甲方提出，除甲方明确指示乙方使用何种规定外，以对乙方义务、责任要求高者严者为准；合同文件对本合同范围或乙方工作范围有不一致的，以范围宽者为准；其他内容出现不一致的，除本合同另有明文规定外，按顺序排列在前者为准，同一顺序文件出现不一致的，以时间在后者为准；但经甲方认定乙方的有关承诺比顺序在前的文件对甲方更有利的，就该承诺事项以该特定承诺为准。</w:t>
      </w:r>
    </w:p>
    <w:p w14:paraId="190C2610">
      <w:pPr>
        <w:pStyle w:val="4"/>
        <w:pageBreakBefore w:val="0"/>
        <w:widowControl w:val="0"/>
        <w:kinsoku/>
        <w:wordWrap w:val="0"/>
        <w:overflowPunct/>
        <w:topLinePunct w:val="0"/>
        <w:bidi w:val="0"/>
        <w:adjustRightInd w:val="0"/>
        <w:snapToGrid w:val="0"/>
        <w:spacing w:before="0" w:after="0"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bookmarkStart w:id="56" w:name="_Toc371493146"/>
      <w:bookmarkStart w:id="57" w:name="_Toc351203487"/>
      <w:bookmarkStart w:id="58" w:name="_Toc13161"/>
      <w:bookmarkStart w:id="59" w:name="_Toc8633"/>
      <w:bookmarkStart w:id="60" w:name="_Toc389586301"/>
      <w:bookmarkStart w:id="61" w:name="_Toc4997"/>
      <w:bookmarkStart w:id="62" w:name="_Toc17054"/>
      <w:bookmarkStart w:id="63" w:name="_Toc1382"/>
      <w:bookmarkStart w:id="64" w:name="_Toc23233"/>
      <w:r>
        <w:rPr>
          <w:rFonts w:hint="eastAsia" w:ascii="黑体" w:hAnsi="黑体" w:eastAsia="黑体" w:cs="黑体"/>
          <w:b w:val="0"/>
          <w:bCs w:val="0"/>
          <w:color w:val="auto"/>
          <w:sz w:val="24"/>
          <w:szCs w:val="24"/>
          <w:highlight w:val="none"/>
        </w:rPr>
        <w:t>六、承诺</w:t>
      </w:r>
      <w:bookmarkEnd w:id="56"/>
      <w:bookmarkEnd w:id="57"/>
      <w:bookmarkEnd w:id="58"/>
      <w:bookmarkEnd w:id="59"/>
      <w:bookmarkEnd w:id="60"/>
      <w:bookmarkEnd w:id="61"/>
      <w:bookmarkEnd w:id="62"/>
      <w:bookmarkEnd w:id="63"/>
      <w:bookmarkEnd w:id="64"/>
    </w:p>
    <w:p w14:paraId="7A0E608B">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楷体_GB2312" w:hAnsi="楷体_GB2312" w:eastAsia="楷体_GB2312" w:cs="楷体_GB2312"/>
          <w:bCs/>
          <w:color w:val="auto"/>
          <w:sz w:val="24"/>
          <w:szCs w:val="24"/>
          <w:highlight w:val="none"/>
        </w:rPr>
        <w:t>1.</w:t>
      </w:r>
      <w:r>
        <w:rPr>
          <w:rFonts w:hint="eastAsia" w:ascii="仿宋_GB2312" w:hAnsi="仿宋_GB2312" w:eastAsia="仿宋_GB2312" w:cs="仿宋_GB2312"/>
          <w:bCs/>
          <w:color w:val="auto"/>
          <w:sz w:val="24"/>
          <w:szCs w:val="24"/>
          <w:highlight w:val="none"/>
        </w:rPr>
        <w:t>承包人承诺按照分包合同约定的期限和方式支付合同价款。</w:t>
      </w:r>
    </w:p>
    <w:p w14:paraId="36BA937B">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楷体_GB2312" w:hAnsi="楷体_GB2312" w:eastAsia="楷体_GB2312" w:cs="楷体_GB2312"/>
          <w:bCs/>
          <w:color w:val="auto"/>
          <w:sz w:val="24"/>
          <w:szCs w:val="24"/>
          <w:highlight w:val="none"/>
        </w:rPr>
        <w:t>2.</w:t>
      </w:r>
      <w:r>
        <w:rPr>
          <w:rFonts w:hint="eastAsia" w:ascii="仿宋_GB2312" w:hAnsi="仿宋_GB2312" w:eastAsia="仿宋_GB2312" w:cs="仿宋_GB2312"/>
          <w:bCs/>
          <w:color w:val="auto"/>
          <w:sz w:val="24"/>
          <w:szCs w:val="24"/>
          <w:highlight w:val="none"/>
        </w:rPr>
        <w:t>分包人承诺按照合同约定的工期和质量标准完成分包工程施工，并在缺陷责任期及保修期内履行分包工程维修义务。</w:t>
      </w:r>
    </w:p>
    <w:p w14:paraId="039EA3CF">
      <w:pPr>
        <w:pageBreakBefore w:val="0"/>
        <w:widowControl w:val="0"/>
        <w:kinsoku/>
        <w:wordWrap w:val="0"/>
        <w:overflowPunct/>
        <w:topLinePunct w:val="0"/>
        <w:bidi w:val="0"/>
        <w:adjustRightInd w:val="0"/>
        <w:snapToGrid w:val="0"/>
        <w:spacing w:line="380" w:lineRule="exact"/>
        <w:ind w:firstLine="480"/>
        <w:textAlignment w:val="auto"/>
        <w:rPr>
          <w:rFonts w:hint="eastAsia" w:ascii="仿宋_GB2312" w:hAnsi="仿宋_GB2312" w:eastAsia="仿宋_GB2312" w:cs="仿宋_GB2312"/>
          <w:bCs/>
          <w:color w:val="auto"/>
          <w:sz w:val="24"/>
          <w:szCs w:val="24"/>
          <w:highlight w:val="none"/>
        </w:rPr>
      </w:pPr>
      <w:r>
        <w:rPr>
          <w:rFonts w:hint="eastAsia" w:ascii="楷体_GB2312" w:hAnsi="楷体_GB2312" w:eastAsia="楷体_GB2312" w:cs="楷体_GB2312"/>
          <w:bCs/>
          <w:color w:val="auto"/>
          <w:sz w:val="24"/>
          <w:szCs w:val="24"/>
          <w:highlight w:val="none"/>
        </w:rPr>
        <w:t>3.</w:t>
      </w:r>
      <w:r>
        <w:rPr>
          <w:rFonts w:hint="eastAsia" w:ascii="仿宋_GB2312" w:hAnsi="仿宋_GB2312" w:eastAsia="仿宋_GB2312" w:cs="仿宋_GB2312"/>
          <w:bCs/>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5BCEB732">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楷体_GB2312" w:hAnsi="楷体_GB2312" w:eastAsia="楷体_GB2312" w:cs="楷体_GB2312"/>
          <w:bCs/>
          <w:color w:val="auto"/>
          <w:sz w:val="24"/>
          <w:szCs w:val="24"/>
          <w:highlight w:val="none"/>
        </w:rPr>
        <w:t>4.</w:t>
      </w:r>
      <w:r>
        <w:rPr>
          <w:rFonts w:hint="eastAsia" w:ascii="仿宋_GB2312" w:hAnsi="仿宋_GB2312" w:eastAsia="仿宋_GB2312" w:cs="仿宋_GB2312"/>
          <w:bCs/>
          <w:color w:val="auto"/>
          <w:sz w:val="24"/>
          <w:szCs w:val="24"/>
          <w:highlight w:val="none"/>
        </w:rPr>
        <w:t>分包人承诺不得将分包工程以任何形式进行再次分包和转包，一经发现承包人可终止合同并追究分包人一切经济和法律责任，产生的损失由分包人承担。</w:t>
      </w:r>
    </w:p>
    <w:p w14:paraId="48703FC5">
      <w:pPr>
        <w:pStyle w:val="4"/>
        <w:pageBreakBefore w:val="0"/>
        <w:widowControl w:val="0"/>
        <w:kinsoku/>
        <w:wordWrap w:val="0"/>
        <w:overflowPunct/>
        <w:topLinePunct w:val="0"/>
        <w:bidi w:val="0"/>
        <w:adjustRightInd w:val="0"/>
        <w:snapToGrid w:val="0"/>
        <w:spacing w:before="0" w:after="0" w:line="380" w:lineRule="exact"/>
        <w:textAlignment w:val="auto"/>
        <w:rPr>
          <w:rFonts w:hint="eastAsia" w:ascii="黑体" w:hAnsi="黑体" w:eastAsia="黑体" w:cs="黑体"/>
          <w:b w:val="0"/>
          <w:bCs w:val="0"/>
          <w:color w:val="auto"/>
          <w:sz w:val="24"/>
          <w:szCs w:val="24"/>
          <w:highlight w:val="none"/>
        </w:rPr>
      </w:pPr>
      <w:bookmarkStart w:id="65" w:name="_Toc351203488"/>
      <w:r>
        <w:rPr>
          <w:rFonts w:hint="eastAsia" w:ascii="仿宋_GB2312" w:hAnsi="仿宋_GB2312" w:eastAsia="仿宋_GB2312" w:cs="仿宋_GB2312"/>
          <w:color w:val="auto"/>
          <w:sz w:val="24"/>
          <w:szCs w:val="24"/>
          <w:highlight w:val="none"/>
        </w:rPr>
        <w:t xml:space="preserve">    </w:t>
      </w:r>
      <w:bookmarkStart w:id="66" w:name="_Toc21119"/>
      <w:bookmarkStart w:id="67" w:name="_Toc7169"/>
      <w:bookmarkStart w:id="68" w:name="_Toc24914"/>
      <w:bookmarkStart w:id="69" w:name="_Toc7029"/>
      <w:bookmarkStart w:id="70" w:name="_Toc1604"/>
      <w:bookmarkStart w:id="71" w:name="_Toc371493147"/>
      <w:bookmarkStart w:id="72" w:name="_Toc389586302"/>
      <w:bookmarkStart w:id="73" w:name="_Toc10958"/>
      <w:r>
        <w:rPr>
          <w:rFonts w:hint="eastAsia" w:ascii="黑体" w:hAnsi="黑体" w:eastAsia="黑体" w:cs="黑体"/>
          <w:b w:val="0"/>
          <w:bCs w:val="0"/>
          <w:color w:val="auto"/>
          <w:sz w:val="24"/>
          <w:szCs w:val="24"/>
          <w:highlight w:val="none"/>
        </w:rPr>
        <w:t>七、</w:t>
      </w:r>
      <w:bookmarkEnd w:id="65"/>
      <w:r>
        <w:rPr>
          <w:rFonts w:hint="eastAsia" w:ascii="黑体" w:hAnsi="黑体" w:eastAsia="黑体" w:cs="黑体"/>
          <w:b w:val="0"/>
          <w:bCs w:val="0"/>
          <w:color w:val="auto"/>
          <w:sz w:val="24"/>
          <w:szCs w:val="24"/>
          <w:highlight w:val="none"/>
        </w:rPr>
        <w:t>其他</w:t>
      </w:r>
      <w:bookmarkEnd w:id="66"/>
      <w:bookmarkEnd w:id="67"/>
      <w:bookmarkEnd w:id="68"/>
      <w:bookmarkEnd w:id="69"/>
      <w:bookmarkEnd w:id="70"/>
      <w:bookmarkEnd w:id="71"/>
      <w:bookmarkEnd w:id="72"/>
      <w:bookmarkEnd w:id="73"/>
    </w:p>
    <w:p w14:paraId="6248F64B">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bCs/>
          <w:color w:val="auto"/>
          <w:sz w:val="24"/>
          <w:szCs w:val="24"/>
          <w:highlight w:val="none"/>
        </w:rPr>
      </w:pPr>
      <w:r>
        <w:rPr>
          <w:rFonts w:hint="eastAsia" w:ascii="楷体_GB2312" w:hAnsi="楷体_GB2312" w:eastAsia="楷体_GB2312" w:cs="楷体_GB2312"/>
          <w:bCs/>
          <w:color w:val="auto"/>
          <w:sz w:val="24"/>
          <w:szCs w:val="24"/>
          <w:highlight w:val="none"/>
        </w:rPr>
        <w:t>1.</w:t>
      </w:r>
      <w:r>
        <w:rPr>
          <w:rFonts w:hint="eastAsia" w:ascii="仿宋_GB2312" w:hAnsi="仿宋_GB2312" w:eastAsia="仿宋_GB2312" w:cs="仿宋_GB2312"/>
          <w:bCs/>
          <w:color w:val="auto"/>
          <w:sz w:val="24"/>
          <w:szCs w:val="24"/>
          <w:highlight w:val="none"/>
        </w:rPr>
        <w:t>协议书中词语含义与第二部分通用合同条款中赋予的含义相同。</w:t>
      </w:r>
    </w:p>
    <w:p w14:paraId="03C62ED6">
      <w:pPr>
        <w:pStyle w:val="2"/>
        <w:pageBreakBefore w:val="0"/>
        <w:widowControl w:val="0"/>
        <w:kinsoku/>
        <w:overflowPunct/>
        <w:topLinePunct w:val="0"/>
        <w:bidi w:val="0"/>
        <w:adjustRightInd w:val="0"/>
        <w:snapToGrid w:val="0"/>
        <w:spacing w:line="380" w:lineRule="exact"/>
        <w:ind w:firstLine="48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Cs/>
          <w:color w:val="auto"/>
          <w:sz w:val="24"/>
          <w:szCs w:val="24"/>
          <w:highlight w:val="none"/>
        </w:rPr>
        <w:t>2.</w:t>
      </w:r>
      <w:r>
        <w:rPr>
          <w:rFonts w:hint="eastAsia" w:ascii="仿宋_GB2312" w:hAnsi="仿宋_GB2312" w:eastAsia="仿宋_GB2312" w:cs="仿宋_GB2312"/>
          <w:color w:val="auto"/>
          <w:sz w:val="24"/>
          <w:szCs w:val="24"/>
          <w:highlight w:val="none"/>
        </w:rPr>
        <w:t>通知与送达</w:t>
      </w:r>
    </w:p>
    <w:p w14:paraId="5E1E7B93">
      <w:pPr>
        <w:pStyle w:val="2"/>
        <w:pageBreakBefore w:val="0"/>
        <w:widowControl w:val="0"/>
        <w:kinsoku/>
        <w:overflowPunct/>
        <w:topLinePunct w:val="0"/>
        <w:bidi w:val="0"/>
        <w:adjustRightInd w:val="0"/>
        <w:snapToGrid w:val="0"/>
        <w:spacing w:line="3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任何一方就本合同发给另一方的任何书面通知、函件等须以书面形式进行。该书面文件如以专人送达，以文件签收时视为对方已接收；如以邮件寄形式送达，须以中国邮政EMS邮件方式，对方签收或拒签视为送达。若因预留地址、名称有误或有变更（应当在该变更发生后的7天之内书面通知对方）而未书面通知另一方的，自邮件注明不能送达原因的日期，视为送达。除非另行书面通知，双方对通讯送达地址确认。</w:t>
      </w:r>
    </w:p>
    <w:p w14:paraId="044E9DD6">
      <w:pPr>
        <w:pStyle w:val="2"/>
        <w:pageBreakBefore w:val="0"/>
        <w:widowControl w:val="0"/>
        <w:kinsoku/>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双方确认送达地址如下：</w:t>
      </w:r>
    </w:p>
    <w:p w14:paraId="5AA150D3">
      <w:pPr>
        <w:pStyle w:val="2"/>
        <w:pageBreakBefore w:val="0"/>
        <w:widowControl w:val="0"/>
        <w:kinsoku/>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甲方送达地址：    </w:t>
      </w:r>
    </w:p>
    <w:p w14:paraId="11960BF4">
      <w:pPr>
        <w:pStyle w:val="2"/>
        <w:pageBreakBefore w:val="0"/>
        <w:widowControl w:val="0"/>
        <w:kinsoku/>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邮政编码：              电话：               </w:t>
      </w:r>
    </w:p>
    <w:p w14:paraId="7D54C7DB">
      <w:pPr>
        <w:pStyle w:val="2"/>
        <w:pageBreakBefore w:val="0"/>
        <w:widowControl w:val="0"/>
        <w:kinsoku/>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乙方送达地址：                                                      </w:t>
      </w:r>
    </w:p>
    <w:p w14:paraId="0C328D7C">
      <w:pPr>
        <w:pStyle w:val="2"/>
        <w:pageBreakBefore w:val="0"/>
        <w:widowControl w:val="0"/>
        <w:kinsoku/>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邮政编码：              电话：               </w:t>
      </w:r>
    </w:p>
    <w:p w14:paraId="10CE3D76">
      <w:pPr>
        <w:pageBreakBefore w:val="0"/>
        <w:widowControl w:val="0"/>
        <w:kinsoku/>
        <w:wordWrap w:val="0"/>
        <w:overflowPunct/>
        <w:topLinePunct w:val="0"/>
        <w:bidi w:val="0"/>
        <w:adjustRightInd w:val="0"/>
        <w:snapToGrid w:val="0"/>
        <w:spacing w:line="38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Cs/>
          <w:color w:val="auto"/>
          <w:sz w:val="24"/>
          <w:szCs w:val="24"/>
          <w:highlight w:val="none"/>
        </w:rPr>
        <w:t>3.</w:t>
      </w:r>
      <w:r>
        <w:rPr>
          <w:rFonts w:hint="eastAsia" w:ascii="仿宋_GB2312" w:hAnsi="仿宋_GB2312" w:eastAsia="仿宋_GB2312" w:cs="仿宋_GB2312"/>
          <w:bCs/>
          <w:color w:val="auto"/>
          <w:sz w:val="24"/>
          <w:szCs w:val="24"/>
          <w:highlight w:val="none"/>
        </w:rPr>
        <w:t>本协议书于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日在</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签订，自</w:t>
      </w:r>
      <w:r>
        <w:rPr>
          <w:rFonts w:hint="eastAsia" w:ascii="仿宋_GB2312" w:hAnsi="仿宋_GB2312" w:eastAsia="仿宋_GB2312" w:cs="仿宋_GB2312"/>
          <w:color w:val="auto"/>
          <w:sz w:val="24"/>
          <w:szCs w:val="24"/>
          <w:highlight w:val="none"/>
          <w:lang w:val="zh-CN"/>
        </w:rPr>
        <w:t>双方签字并盖章后</w:t>
      </w:r>
      <w:r>
        <w:rPr>
          <w:rFonts w:hint="eastAsia" w:ascii="仿宋_GB2312" w:hAnsi="仿宋_GB2312" w:eastAsia="仿宋_GB2312" w:cs="仿宋_GB2312"/>
          <w:bCs/>
          <w:color w:val="auto"/>
          <w:sz w:val="24"/>
          <w:szCs w:val="24"/>
          <w:highlight w:val="none"/>
        </w:rPr>
        <w:t>生效</w:t>
      </w:r>
      <w:r>
        <w:rPr>
          <w:rFonts w:hint="eastAsia" w:ascii="仿宋_GB2312" w:hAnsi="仿宋_GB2312" w:eastAsia="仿宋_GB2312" w:cs="仿宋_GB2312"/>
          <w:color w:val="auto"/>
          <w:sz w:val="24"/>
          <w:szCs w:val="24"/>
          <w:highlight w:val="none"/>
          <w:lang w:val="zh-CN"/>
        </w:rPr>
        <w:t>（分包人在签订本合应当同时按照附件</w:t>
      </w:r>
      <w:r>
        <w:rPr>
          <w:rFonts w:hint="eastAsia" w:ascii="仿宋_GB2312" w:hAnsi="仿宋_GB2312" w:eastAsia="仿宋_GB2312" w:cs="仿宋_GB2312"/>
          <w:color w:val="auto"/>
          <w:sz w:val="24"/>
          <w:szCs w:val="24"/>
          <w:highlight w:val="none"/>
        </w:rPr>
        <w:t>的要求</w:t>
      </w:r>
      <w:r>
        <w:rPr>
          <w:rFonts w:hint="eastAsia" w:ascii="仿宋_GB2312" w:hAnsi="仿宋_GB2312" w:eastAsia="仿宋_GB2312" w:cs="仿宋_GB2312"/>
          <w:color w:val="auto"/>
          <w:sz w:val="24"/>
          <w:szCs w:val="24"/>
          <w:highlight w:val="none"/>
          <w:lang w:val="zh-CN"/>
        </w:rPr>
        <w:t>提供法定代表人证明书、法定代表人授权委托书和承诺书等材料，并与承包人签订工程质量保修书、安全生产协议书、安全生产责任书和廉政建设协议书）。</w:t>
      </w:r>
      <w:r>
        <w:rPr>
          <w:rFonts w:hint="eastAsia" w:ascii="仿宋_GB2312" w:hAnsi="仿宋_GB2312" w:eastAsia="仿宋_GB2312" w:cs="仿宋_GB2312"/>
          <w:bCs/>
          <w:color w:val="auto"/>
          <w:sz w:val="24"/>
          <w:szCs w:val="24"/>
          <w:highlight w:val="none"/>
        </w:rPr>
        <w:t>本协议书一式</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肆</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份，均具有同等法律效力，承包人执</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贰</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份，分包人执</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贰</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份。</w:t>
      </w:r>
      <w:r>
        <w:rPr>
          <w:rFonts w:hint="eastAsia" w:ascii="仿宋_GB2312" w:hAnsi="仿宋_GB2312" w:eastAsia="仿宋_GB2312" w:cs="仿宋_GB2312"/>
          <w:color w:val="auto"/>
          <w:sz w:val="24"/>
          <w:szCs w:val="24"/>
          <w:highlight w:val="none"/>
        </w:rPr>
        <w:t xml:space="preserve"> </w:t>
      </w:r>
    </w:p>
    <w:p w14:paraId="232786C3">
      <w:pPr>
        <w:pageBreakBefore w:val="0"/>
        <w:kinsoku/>
        <w:wordWrap w:val="0"/>
        <w:overflowPunct/>
        <w:topLinePunct w:val="0"/>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p w14:paraId="47884302">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p w14:paraId="492170CA">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承包人：广东省源天工程有限公司(公章)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分包人：  (公章)                    法定代表人或其委托代理人：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法定代表人或其委托代理人：</w:t>
      </w:r>
    </w:p>
    <w:p w14:paraId="566AE5D4">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（签字）                             （签字）</w:t>
      </w:r>
    </w:p>
    <w:p w14:paraId="71A71B10">
      <w:pPr>
        <w:pageBreakBefore w:val="0"/>
        <w:tabs>
          <w:tab w:val="left" w:pos="4410"/>
        </w:tabs>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统一社会信用代码：</w:t>
      </w:r>
      <w:r>
        <w:rPr>
          <w:rFonts w:hint="eastAsia" w:ascii="仿宋_GB2312" w:hAnsi="仿宋_GB2312" w:eastAsia="仿宋_GB2312" w:cs="仿宋_GB2312"/>
          <w:color w:val="auto"/>
          <w:sz w:val="24"/>
          <w:szCs w:val="24"/>
          <w:highlight w:val="none"/>
          <w:u w:val="single"/>
          <w:lang w:val="en-US" w:eastAsia="zh-CN"/>
        </w:rPr>
        <w:t>914400001903224486</w:t>
      </w:r>
      <w:r>
        <w:rPr>
          <w:rFonts w:hint="eastAsia" w:ascii="仿宋_GB2312" w:hAnsi="仿宋_GB2312" w:eastAsia="仿宋_GB2312" w:cs="仿宋_GB2312"/>
          <w:color w:val="auto"/>
          <w:sz w:val="24"/>
          <w:szCs w:val="24"/>
          <w:highlight w:val="none"/>
        </w:rPr>
        <w:t xml:space="preserve">  统一社会信用代码：</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 xml:space="preserve"> </w:t>
      </w:r>
    </w:p>
    <w:p w14:paraId="37D32CBD">
      <w:pPr>
        <w:pageBreakBefore w:val="0"/>
        <w:kinsoku/>
        <w:wordWrap w:val="0"/>
        <w:overflowPunct/>
        <w:topLinePunct w:val="0"/>
        <w:bidi w:val="0"/>
        <w:adjustRightInd w:val="0"/>
        <w:snapToGrid w:val="0"/>
        <w:spacing w:line="4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纳税人识别号：</w:t>
      </w:r>
      <w:r>
        <w:rPr>
          <w:rFonts w:hint="eastAsia" w:ascii="仿宋_GB2312" w:hAnsi="仿宋_GB2312" w:eastAsia="仿宋_GB2312" w:cs="仿宋_GB2312"/>
          <w:color w:val="auto"/>
          <w:sz w:val="24"/>
          <w:szCs w:val="24"/>
          <w:highlight w:val="none"/>
          <w:u w:val="single"/>
          <w:lang w:val="en-US" w:eastAsia="zh-CN"/>
        </w:rPr>
        <w:t>914400001903224486</w:t>
      </w:r>
      <w:r>
        <w:rPr>
          <w:rFonts w:hint="eastAsia" w:ascii="仿宋_GB2312" w:hAnsi="仿宋_GB2312" w:eastAsia="仿宋_GB2312" w:cs="仿宋_GB2312"/>
          <w:color w:val="auto"/>
          <w:sz w:val="24"/>
          <w:szCs w:val="24"/>
          <w:highlight w:val="none"/>
        </w:rPr>
        <w:t xml:space="preserve">      纳税人识别号：</w:t>
      </w:r>
      <w:r>
        <w:rPr>
          <w:rFonts w:hint="eastAsia" w:ascii="仿宋_GB2312" w:hAnsi="仿宋_GB2312" w:eastAsia="仿宋_GB2312" w:cs="仿宋_GB2312"/>
          <w:color w:val="auto"/>
          <w:sz w:val="24"/>
          <w:szCs w:val="24"/>
          <w:highlight w:val="none"/>
          <w:u w:val="single"/>
          <w:lang w:val="en-US" w:eastAsia="zh-CN"/>
        </w:rPr>
        <w:t xml:space="preserve">                   </w:t>
      </w:r>
    </w:p>
    <w:p w14:paraId="535EB3DB">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rPr>
        <w:t>广州市增城区新塘镇广深大道中46号</w:t>
      </w: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4FFD0DBC">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511340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邮政编码：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6A4FED00">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冯宝珍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法定代表人：</w:t>
      </w:r>
      <w:r>
        <w:rPr>
          <w:rFonts w:hint="eastAsia" w:ascii="仿宋_GB2312" w:hAnsi="仿宋_GB2312" w:eastAsia="仿宋_GB2312" w:cs="仿宋_GB2312"/>
          <w:color w:val="auto"/>
          <w:sz w:val="24"/>
          <w:szCs w:val="24"/>
          <w:highlight w:val="none"/>
          <w:u w:val="single"/>
        </w:rPr>
        <w:t xml:space="preserve">                 </w:t>
      </w:r>
    </w:p>
    <w:p w14:paraId="5EDEA72A">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许东龙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委托代理人：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5FF798E">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w:t>
      </w:r>
      <w:r>
        <w:rPr>
          <w:rFonts w:hint="eastAsia" w:ascii="仿宋_GB2312" w:hAnsi="仿宋_GB2312" w:eastAsia="仿宋_GB2312" w:cs="仿宋_GB2312"/>
          <w:color w:val="auto"/>
          <w:sz w:val="24"/>
          <w:szCs w:val="24"/>
          <w:highlight w:val="none"/>
          <w:u w:val="single"/>
          <w:lang w:val="en-US" w:eastAsia="zh-CN"/>
        </w:rPr>
        <w:t xml:space="preserve">          /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传真：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      </w:t>
      </w:r>
    </w:p>
    <w:p w14:paraId="4ED826F8">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电子信箱：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电子信箱：</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      </w:t>
      </w:r>
    </w:p>
    <w:p w14:paraId="4E872582">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z w:val="24"/>
          <w:szCs w:val="24"/>
          <w:highlight w:val="none"/>
          <w:u w:val="single"/>
          <w:lang w:val="en-US" w:eastAsia="zh-CN"/>
        </w:rPr>
        <w:t>中国建设银行广州增城开发区支行</w:t>
      </w:r>
      <w:r>
        <w:rPr>
          <w:rFonts w:hint="eastAsia" w:ascii="仿宋_GB2312" w:hAnsi="仿宋_GB2312" w:eastAsia="仿宋_GB2312" w:cs="仿宋_GB2312"/>
          <w:color w:val="auto"/>
          <w:sz w:val="24"/>
          <w:szCs w:val="24"/>
          <w:highlight w:val="none"/>
        </w:rPr>
        <w:t xml:space="preserve"> 开户银行：</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3FB4557">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z w:val="24"/>
          <w:szCs w:val="24"/>
          <w:highlight w:val="none"/>
          <w:u w:val="single"/>
          <w:lang w:val="en-US" w:eastAsia="zh-CN"/>
        </w:rPr>
        <w:t>4400 1541 7020 5009 9311</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账号：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32B5AE24">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增值税纳税人类型：</w:t>
      </w:r>
      <w:r>
        <w:rPr>
          <w:rFonts w:hint="eastAsia" w:ascii="仿宋_GB2312" w:hAnsi="仿宋_GB2312" w:eastAsia="仿宋_GB2312" w:cs="仿宋_GB2312"/>
          <w:color w:val="auto"/>
          <w:sz w:val="24"/>
          <w:szCs w:val="24"/>
          <w:highlight w:val="none"/>
          <w:u w:val="single"/>
        </w:rPr>
        <w:t>（请在下方勾选）</w:t>
      </w:r>
      <w:r>
        <w:rPr>
          <w:rFonts w:hint="eastAsia" w:ascii="仿宋_GB2312" w:hAnsi="仿宋_GB2312" w:eastAsia="仿宋_GB2312" w:cs="仿宋_GB2312"/>
          <w:color w:val="auto"/>
          <w:sz w:val="24"/>
          <w:szCs w:val="24"/>
          <w:highlight w:val="none"/>
        </w:rPr>
        <w:t xml:space="preserve">     </w:t>
      </w:r>
    </w:p>
    <w:p w14:paraId="4472AFBA">
      <w:pPr>
        <w:pageBreakBefore w:val="0"/>
        <w:kinsoku/>
        <w:wordWrap w:val="0"/>
        <w:overflowPunct/>
        <w:topLinePunct w:val="0"/>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一般纳税人                  □小规模纳税人                      </w:t>
      </w:r>
    </w:p>
    <w:p w14:paraId="4B3033DA">
      <w:pPr>
        <w:rPr>
          <w:rFonts w:hint="eastAsia" w:ascii="方正小标宋简体" w:hAnsi="方正小标宋简体" w:eastAsia="方正小标宋简体" w:cs="方正小标宋简体"/>
          <w:b w:val="0"/>
          <w:bCs w:val="0"/>
          <w:color w:val="auto"/>
          <w:sz w:val="36"/>
          <w:szCs w:val="36"/>
          <w:highlight w:val="none"/>
        </w:rPr>
      </w:pPr>
      <w:bookmarkStart w:id="74" w:name="_Toc32694"/>
      <w:bookmarkStart w:id="75" w:name="_Toc30851"/>
      <w:bookmarkStart w:id="76" w:name="_Toc20579"/>
      <w:bookmarkStart w:id="77" w:name="_Toc6306"/>
      <w:bookmarkStart w:id="78" w:name="_Toc1400"/>
      <w:bookmarkStart w:id="79" w:name="_Toc11016"/>
      <w:bookmarkStart w:id="80" w:name="_Toc351203494"/>
      <w:bookmarkStart w:id="81" w:name="_Toc371493148"/>
      <w:bookmarkStart w:id="82" w:name="_Toc389586303"/>
      <w:r>
        <w:rPr>
          <w:rFonts w:hint="eastAsia" w:ascii="方正小标宋简体" w:hAnsi="方正小标宋简体" w:eastAsia="方正小标宋简体" w:cs="方正小标宋简体"/>
          <w:b w:val="0"/>
          <w:bCs w:val="0"/>
          <w:color w:val="auto"/>
          <w:sz w:val="36"/>
          <w:szCs w:val="36"/>
          <w:highlight w:val="none"/>
        </w:rPr>
        <w:br w:type="page"/>
      </w:r>
    </w:p>
    <w:p w14:paraId="3F34D1EC">
      <w:pPr>
        <w:pStyle w:val="3"/>
        <w:pageBreakBefore w:val="0"/>
        <w:kinsoku/>
        <w:wordWrap w:val="0"/>
        <w:overflowPunct/>
        <w:topLinePunct w:val="0"/>
        <w:bidi w:val="0"/>
        <w:adjustRightInd w:val="0"/>
        <w:snapToGrid w:val="0"/>
        <w:spacing w:before="0" w:after="0" w:line="400" w:lineRule="exact"/>
        <w:jc w:val="center"/>
        <w:rPr>
          <w:rFonts w:hint="eastAsia" w:ascii="仿宋_GB2312" w:hAnsi="仿宋_GB2312" w:eastAsia="仿宋_GB2312" w:cs="仿宋_GB2312"/>
          <w:color w:val="auto"/>
          <w:sz w:val="24"/>
          <w:szCs w:val="24"/>
          <w:highlight w:val="none"/>
        </w:rPr>
      </w:pPr>
      <w:r>
        <w:rPr>
          <w:rFonts w:hint="eastAsia" w:asciiTheme="majorEastAsia" w:hAnsiTheme="majorEastAsia" w:eastAsiaTheme="majorEastAsia" w:cstheme="majorEastAsia"/>
          <w:b w:val="0"/>
          <w:bCs w:val="0"/>
          <w:color w:val="auto"/>
          <w:sz w:val="36"/>
          <w:szCs w:val="36"/>
          <w:highlight w:val="none"/>
        </w:rPr>
        <w:t>第二部分 通用合同条款</w:t>
      </w:r>
      <w:bookmarkEnd w:id="74"/>
      <w:bookmarkEnd w:id="75"/>
      <w:bookmarkEnd w:id="76"/>
      <w:bookmarkEnd w:id="77"/>
      <w:bookmarkEnd w:id="78"/>
      <w:bookmarkEnd w:id="79"/>
      <w:bookmarkEnd w:id="80"/>
      <w:bookmarkEnd w:id="81"/>
      <w:bookmarkEnd w:id="82"/>
      <w:bookmarkStart w:id="83" w:name="_Toc337558727"/>
    </w:p>
    <w:p w14:paraId="55609053">
      <w:pPr>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outlineLvl w:val="9"/>
        <w:rPr>
          <w:rFonts w:hint="eastAsia" w:ascii="黑体" w:hAnsi="黑体" w:eastAsia="黑体" w:cs="黑体"/>
          <w:b w:val="0"/>
          <w:bCs w:val="0"/>
          <w:color w:val="auto"/>
          <w:sz w:val="24"/>
          <w:szCs w:val="24"/>
          <w:highlight w:val="none"/>
        </w:rPr>
      </w:pPr>
      <w:bookmarkStart w:id="84" w:name="_Toc17973"/>
      <w:bookmarkStart w:id="85" w:name="_Toc2442"/>
      <w:bookmarkStart w:id="86" w:name="_Toc28454"/>
      <w:bookmarkStart w:id="87" w:name="_Toc32104"/>
      <w:bookmarkStart w:id="88" w:name="_Toc371493149"/>
      <w:bookmarkStart w:id="89" w:name="_Toc351203495"/>
      <w:bookmarkStart w:id="90" w:name="_Toc28000"/>
      <w:bookmarkStart w:id="91" w:name="_Toc10929"/>
      <w:bookmarkStart w:id="92" w:name="_Toc389586304"/>
    </w:p>
    <w:p w14:paraId="05527384">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1.</w:t>
      </w:r>
      <w:bookmarkStart w:id="93" w:name="_Toc303538974"/>
      <w:bookmarkEnd w:id="93"/>
      <w:bookmarkStart w:id="94" w:name="_Toc303538972"/>
      <w:bookmarkEnd w:id="94"/>
      <w:bookmarkStart w:id="95" w:name="_Toc303538976"/>
      <w:bookmarkEnd w:id="95"/>
      <w:bookmarkStart w:id="96" w:name="_Toc303538975"/>
      <w:bookmarkEnd w:id="96"/>
      <w:bookmarkStart w:id="97" w:name="_Toc303538973"/>
      <w:bookmarkEnd w:id="97"/>
      <w:bookmarkStart w:id="98" w:name="_Toc296503027"/>
      <w:bookmarkStart w:id="99" w:name="_Toc296346528"/>
      <w:r>
        <w:rPr>
          <w:rFonts w:hint="eastAsia" w:ascii="黑体" w:hAnsi="黑体" w:eastAsia="黑体" w:cs="黑体"/>
          <w:b w:val="0"/>
          <w:bCs w:val="0"/>
          <w:color w:val="auto"/>
          <w:sz w:val="24"/>
          <w:szCs w:val="24"/>
          <w:highlight w:val="none"/>
        </w:rPr>
        <w:t xml:space="preserve"> 一般约定</w:t>
      </w:r>
      <w:bookmarkEnd w:id="83"/>
      <w:bookmarkEnd w:id="84"/>
      <w:bookmarkEnd w:id="85"/>
      <w:bookmarkEnd w:id="86"/>
      <w:bookmarkEnd w:id="87"/>
      <w:bookmarkEnd w:id="88"/>
      <w:bookmarkEnd w:id="89"/>
      <w:bookmarkEnd w:id="90"/>
      <w:bookmarkEnd w:id="91"/>
      <w:bookmarkEnd w:id="92"/>
      <w:bookmarkEnd w:id="98"/>
      <w:bookmarkEnd w:id="99"/>
    </w:p>
    <w:p w14:paraId="2F582D40">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00" w:name="_Toc337558728"/>
      <w:bookmarkStart w:id="101" w:name="_Toc296346529"/>
      <w:bookmarkStart w:id="102" w:name="_Toc296503028"/>
      <w:bookmarkStart w:id="103" w:name="_Toc351203496"/>
      <w:bookmarkStart w:id="104" w:name="_Toc389586305"/>
      <w:bookmarkStart w:id="105" w:name="_Toc3766"/>
      <w:bookmarkStart w:id="106" w:name="_Toc26238"/>
      <w:bookmarkStart w:id="107" w:name="_Toc25074"/>
      <w:bookmarkStart w:id="108" w:name="_Toc21463"/>
      <w:bookmarkStart w:id="109" w:name="_Toc16248"/>
      <w:bookmarkStart w:id="110" w:name="_Toc371493150"/>
      <w:bookmarkStart w:id="111" w:name="_Toc20152"/>
      <w:r>
        <w:rPr>
          <w:rFonts w:hint="eastAsia" w:ascii="楷体_GB2312" w:hAnsi="楷体_GB2312" w:eastAsia="楷体_GB2312" w:cs="楷体_GB2312"/>
          <w:b w:val="0"/>
          <w:bCs w:val="0"/>
          <w:color w:val="auto"/>
          <w:sz w:val="24"/>
          <w:szCs w:val="24"/>
          <w:highlight w:val="none"/>
        </w:rPr>
        <w:t>1.1 词语定义</w:t>
      </w:r>
      <w:bookmarkEnd w:id="100"/>
      <w:bookmarkEnd w:id="101"/>
      <w:bookmarkEnd w:id="102"/>
      <w:r>
        <w:rPr>
          <w:rFonts w:hint="eastAsia" w:ascii="楷体_GB2312" w:hAnsi="楷体_GB2312" w:eastAsia="楷体_GB2312" w:cs="楷体_GB2312"/>
          <w:b w:val="0"/>
          <w:bCs w:val="0"/>
          <w:color w:val="auto"/>
          <w:sz w:val="24"/>
          <w:szCs w:val="24"/>
          <w:highlight w:val="none"/>
        </w:rPr>
        <w:t>与解释</w:t>
      </w:r>
      <w:bookmarkEnd w:id="103"/>
      <w:bookmarkEnd w:id="104"/>
      <w:bookmarkEnd w:id="105"/>
      <w:bookmarkEnd w:id="106"/>
      <w:bookmarkEnd w:id="107"/>
      <w:bookmarkEnd w:id="108"/>
      <w:bookmarkEnd w:id="109"/>
      <w:bookmarkEnd w:id="110"/>
      <w:bookmarkEnd w:id="111"/>
    </w:p>
    <w:p w14:paraId="1D4308D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分包合同协议书、通用合同条款、专用合同条款中的下列词语具有本款所赋予的含义：</w:t>
      </w:r>
    </w:p>
    <w:p w14:paraId="137848DD">
      <w:pPr>
        <w:pageBreakBefore w:val="0"/>
        <w:widowControl w:val="0"/>
        <w:kinsoku/>
        <w:wordWrap w:val="0"/>
        <w:overflowPunct/>
        <w:topLinePunct w:val="0"/>
        <w:autoSpaceDE w:val="0"/>
        <w:autoSpaceDN w:val="0"/>
        <w:bidi w:val="0"/>
        <w:adjustRightInd w:val="0"/>
        <w:snapToGrid w:val="0"/>
        <w:spacing w:line="39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rPr>
        <w:t>1.1.1 分包合同：是指根据法律规定和合同当事人约定具有约束力的文件，包括分包合同协议书、中标通知书（如果有）、投标函及其附录（如果有）、专用合同条款</w:t>
      </w:r>
      <w:r>
        <w:rPr>
          <w:rFonts w:hint="eastAsia" w:ascii="仿宋_GB2312" w:hAnsi="仿宋_GB2312" w:eastAsia="仿宋_GB2312" w:cs="仿宋_GB2312"/>
          <w:color w:val="auto"/>
          <w:sz w:val="24"/>
          <w:szCs w:val="24"/>
          <w:highlight w:val="none"/>
        </w:rPr>
        <w:t>及其附件</w:t>
      </w:r>
      <w:r>
        <w:rPr>
          <w:rFonts w:hint="eastAsia" w:ascii="仿宋_GB2312" w:hAnsi="仿宋_GB2312" w:eastAsia="仿宋_GB2312" w:cs="仿宋_GB2312"/>
          <w:color w:val="auto"/>
          <w:kern w:val="0"/>
          <w:sz w:val="24"/>
          <w:szCs w:val="24"/>
          <w:highlight w:val="none"/>
        </w:rPr>
        <w:t>、通用合同条款、技术标准和要求、图纸、已标价工程量清单或预算书以及专用合同条款约定的其他分包合同文件。</w:t>
      </w:r>
    </w:p>
    <w:p w14:paraId="311549D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 总包合同：是指发包人和承包人就总包工程签订的且在分包合同专用合同条款中指明的总承包合同。</w:t>
      </w:r>
    </w:p>
    <w:p w14:paraId="5F92AFF5">
      <w:pPr>
        <w:pageBreakBefore w:val="0"/>
        <w:widowControl w:val="0"/>
        <w:kinsoku/>
        <w:wordWrap w:val="0"/>
        <w:overflowPunct/>
        <w:topLinePunct w:val="0"/>
        <w:autoSpaceDE w:val="0"/>
        <w:autoSpaceDN w:val="0"/>
        <w:bidi w:val="0"/>
        <w:adjustRightInd w:val="0"/>
        <w:snapToGrid w:val="0"/>
        <w:spacing w:line="390" w:lineRule="exact"/>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rPr>
        <w:t>1.1.3 分包合同当事人：是指承包人和（或）分包人。</w:t>
      </w:r>
    </w:p>
    <w:p w14:paraId="135FB3A0">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1.1.4 承包人：是指与发包人签订总包合同，并经发包人同意与分包人签订分包合同的，具有总包工程承包资质的当事人及取得该当事人资格的合法继承人。</w:t>
      </w:r>
    </w:p>
    <w:p w14:paraId="09463BB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1.1.5 分包人：是指承包分包工程并与承包人签订分包合同的，具有分包工程施工承包资质的当事人及取得该当事人资格的合法继承人。</w:t>
      </w:r>
    </w:p>
    <w:p w14:paraId="70FA138E">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1.1.6 发包人：是指与承包人签订总包合同的当事人及取得该当事人资格的合法继承人。</w:t>
      </w:r>
    </w:p>
    <w:p w14:paraId="18414C39">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1.1.7 监理人：是指在总包合同中指明的，受发包人委托按照法律规定对总包工程进行监督管理的法人或其他组织。</w:t>
      </w:r>
    </w:p>
    <w:p w14:paraId="4DB7711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1.1.8 设计人：是指在总包合同中指明的，受发包人委托负责总包工程设计并具备相应工程设计资质的法人或其他组织。</w:t>
      </w:r>
    </w:p>
    <w:p w14:paraId="21AE0396">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1.1.9 承包人项目经理：是指由承包人任命并派驻施工现场，在承包人授权范围内负责分包合同履行，且按照法律规定具有相应资格的项目负责人。</w:t>
      </w:r>
    </w:p>
    <w:p w14:paraId="02906365">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1.1.10 分包人项目经理：是指由分包人任命并派驻施工现场，在分包人授权范围内负责分包合同履行的项目负责人。</w:t>
      </w:r>
    </w:p>
    <w:p w14:paraId="388ADB20">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1.1.11 总包工程：是指发包人和承包人在总包合同中约定的承包范围内的工程。</w:t>
      </w:r>
    </w:p>
    <w:p w14:paraId="0D980E3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1.1.12 分包工程：是指承包人和分包人在分包合同中约定的分包人承包范围内的工程。</w:t>
      </w:r>
    </w:p>
    <w:p w14:paraId="382859E3">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1.1.13 永久工程：是指分包人按分包合同约定建造并移交给承包人的工程，包括工程设备。</w:t>
      </w:r>
    </w:p>
    <w:p w14:paraId="7496D4B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1.1.14 临时工程：是指分包人为完成分包合同约定的永久工程所修建的各类临时性工程，不包括施工设备。</w:t>
      </w:r>
    </w:p>
    <w:p w14:paraId="3197299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1.1.15 工程设备：是指构成永久工程的机电设备、金属结构设备、仪器及其他类似的设备和装置。</w:t>
      </w:r>
    </w:p>
    <w:p w14:paraId="2F7767B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1.1.16 施工设备：是指为完成分包合同约定的各项工作所需的设备、器具和其他物品，但不包括工程设备、临时工程和材料。</w:t>
      </w:r>
    </w:p>
    <w:p w14:paraId="6E6EE0E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1.1.17 施工场地：是指用于分包工程施工的场所，以及在专用合同条款中指明作为分包工程施工场地组成部分的其他场所。</w:t>
      </w:r>
    </w:p>
    <w:p w14:paraId="18B4C63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1.1.18 临时设施：是指为完成分包合同约定的各项工作服务的临时性生产和生活设施。</w:t>
      </w:r>
    </w:p>
    <w:p w14:paraId="00A6D18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1.1.19 开工日期：包括计划开工日期和实际开工日期。计划开工日期是指合同协议书约定的开工日期；实际开工日期是指承包人按照第7.2款【开工】发出的开工通知中载明的开工日期。</w:t>
      </w:r>
    </w:p>
    <w:p w14:paraId="7E370CB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1.1.20 完工日期：包括计划完工日期和实际完工日期。计划完工日期是指合同协议书约定的完工日期；实际完工日期按照第17.3款【完工日期】确定。 </w:t>
      </w:r>
    </w:p>
    <w:p w14:paraId="6635345C">
      <w:pPr>
        <w:pageBreakBefore w:val="0"/>
        <w:kinsoku/>
        <w:wordWrap w:val="0"/>
        <w:overflowPunct/>
        <w:topLinePunct w:val="0"/>
        <w:bidi w:val="0"/>
        <w:adjustRightInd w:val="0"/>
        <w:snapToGrid w:val="0"/>
        <w:spacing w:line="400" w:lineRule="exact"/>
        <w:ind w:firstLine="487" w:firstLineChars="20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1.1.21 工期：是指在分包合同协议书约定的分包人完成分包工程所需的期限，包括按照分包合同约定所作的期限变更。</w:t>
      </w:r>
    </w:p>
    <w:p w14:paraId="7217306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1.1.22 缺陷责任期：是指分包人按照分包合同约定履行缺陷修复义务、承包人扣留质量保证金的期限。提前使用的分包工程自开始使用之日起计算，其他分包工程自总包工程实际竣工之日起计算。</w:t>
      </w:r>
    </w:p>
    <w:p w14:paraId="47EF842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1.1.23 保修期：是指分包人按照分包合同约定履行保修义务的期限。提前使用的分包工程自开始使用之日起计算，其他分包工程自总包工程验收合格之日起计算。</w:t>
      </w:r>
    </w:p>
    <w:p w14:paraId="7A89D51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1.1.24 基准日期：招标分包工程以投标截止日前第28天的日期为基准日期，直接分包工程以分包合同签订日前第28天的日期为基准日期。</w:t>
      </w:r>
    </w:p>
    <w:p w14:paraId="5EF8640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1.1.25 天：除特别指明外，均指日历天。合同中按天计算时间的，开始当天不计入，从次日开始计算，期限最后一天的截止时间为当天24:00时。</w:t>
      </w:r>
    </w:p>
    <w:p w14:paraId="28F1DA1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1.1.26 签约合同价：是指</w:t>
      </w:r>
      <w:r>
        <w:rPr>
          <w:rFonts w:hint="eastAsia" w:ascii="仿宋_GB2312" w:hAnsi="仿宋_GB2312" w:eastAsia="仿宋_GB2312" w:cs="仿宋_GB2312"/>
          <w:color w:val="auto"/>
          <w:sz w:val="24"/>
          <w:szCs w:val="24"/>
          <w:highlight w:val="none"/>
        </w:rPr>
        <w:t xml:space="preserve">承包人和分包人在分包合同协议书中确定的总金额。 </w:t>
      </w:r>
    </w:p>
    <w:p w14:paraId="016C705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1.1.27 分包合同价格：是指承包人用于支付分包人按照分包合同约定完成承包范围内全部工作的金额，包括分包合同履行过程中按分包合同约定发生的价格变化。</w:t>
      </w:r>
    </w:p>
    <w:p w14:paraId="7A093DF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1.1.28 费用：是指为履行分包合同所发生的或将要发生的所有必需的开支，包括管理费和应分摊的其他费用，但不包括利润。</w:t>
      </w:r>
    </w:p>
    <w:p w14:paraId="181B8DE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1.1.29 计日工：是指分包合同履行过程中，分包人完成承包人提出的零星工作或需要采用计日工计价的变更工作时，按分包合同中约定的单价计价的一种方式。</w:t>
      </w:r>
    </w:p>
    <w:p w14:paraId="19633BD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1.1.30 质量保证金</w:t>
      </w:r>
      <w:bookmarkStart w:id="112" w:name="#go2"/>
      <w:bookmarkEnd w:id="112"/>
      <w:r>
        <w:rPr>
          <w:rFonts w:hint="eastAsia" w:ascii="仿宋_GB2312" w:hAnsi="仿宋_GB2312" w:eastAsia="仿宋_GB2312" w:cs="仿宋_GB2312"/>
          <w:color w:val="auto"/>
          <w:kern w:val="0"/>
          <w:sz w:val="24"/>
          <w:szCs w:val="24"/>
          <w:highlight w:val="none"/>
        </w:rPr>
        <w:t>：是指分包人按照第20.3款【质量保证金】用于保证其在缺陷责任期内履行缺陷修补义务的担保</w:t>
      </w:r>
      <w:r>
        <w:rPr>
          <w:rFonts w:hint="eastAsia" w:ascii="仿宋_GB2312" w:hAnsi="仿宋_GB2312" w:eastAsia="仿宋_GB2312" w:cs="仿宋_GB2312"/>
          <w:color w:val="auto"/>
          <w:sz w:val="24"/>
          <w:szCs w:val="24"/>
          <w:highlight w:val="none"/>
        </w:rPr>
        <w:t>。</w:t>
      </w:r>
    </w:p>
    <w:p w14:paraId="1EFEFE54">
      <w:pPr>
        <w:pageBreakBefore w:val="0"/>
        <w:kinsoku/>
        <w:wordWrap w:val="0"/>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1.1.31 书面形式：是指信函、电报、传真等可以有形地表现所载内容的形式。</w:t>
      </w:r>
    </w:p>
    <w:p w14:paraId="6F9385F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1.1.32 深化设计：是指分包人在承包人提供的图纸基础上，结合现场实际情况，对图纸进行完善、补充并绘制直接指导施工的图纸的活动。</w:t>
      </w:r>
    </w:p>
    <w:p w14:paraId="1F305A8B">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1.1.33 法律：</w:t>
      </w:r>
      <w:r>
        <w:rPr>
          <w:rFonts w:hint="eastAsia" w:ascii="仿宋_GB2312" w:hAnsi="仿宋_GB2312" w:eastAsia="仿宋_GB2312" w:cs="仿宋_GB2312"/>
          <w:color w:val="auto"/>
          <w:kern w:val="0"/>
          <w:sz w:val="24"/>
          <w:szCs w:val="24"/>
          <w:highlight w:val="none"/>
        </w:rPr>
        <w:t>是指中华人民共和国法律、行政法规、部门规章，以及工程所在地的地方性法规、自治条例、单行条例和地方政府规章等。分包合同当事人可以在专用合同条款中约定分包合同适用的其他规范性文件。</w:t>
      </w:r>
    </w:p>
    <w:p w14:paraId="4329A9CA">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3" w:name="_Toc296503029"/>
      <w:bookmarkStart w:id="114" w:name="_Toc351203497"/>
      <w:bookmarkStart w:id="115" w:name="_Toc371493151"/>
      <w:bookmarkStart w:id="116" w:name="_Toc24300"/>
      <w:bookmarkStart w:id="117" w:name="_Toc29710"/>
      <w:bookmarkStart w:id="118" w:name="_Toc389586306"/>
      <w:bookmarkStart w:id="119" w:name="_Toc296346530"/>
      <w:bookmarkStart w:id="120" w:name="_Toc337558729"/>
      <w:bookmarkStart w:id="121" w:name="_Toc30366"/>
      <w:bookmarkStart w:id="122" w:name="_Toc21626"/>
      <w:bookmarkStart w:id="123" w:name="_Toc30497"/>
      <w:bookmarkStart w:id="124" w:name="_Toc3462"/>
      <w:r>
        <w:rPr>
          <w:rFonts w:hint="eastAsia" w:ascii="楷体_GB2312" w:hAnsi="楷体_GB2312" w:eastAsia="楷体_GB2312" w:cs="楷体_GB2312"/>
          <w:b w:val="0"/>
          <w:bCs w:val="0"/>
          <w:color w:val="auto"/>
          <w:sz w:val="24"/>
          <w:szCs w:val="24"/>
          <w:highlight w:val="none"/>
        </w:rPr>
        <w:t>1.2 语言文字</w:t>
      </w:r>
      <w:bookmarkEnd w:id="113"/>
      <w:bookmarkEnd w:id="114"/>
      <w:bookmarkEnd w:id="115"/>
      <w:bookmarkEnd w:id="116"/>
      <w:bookmarkEnd w:id="117"/>
      <w:bookmarkEnd w:id="118"/>
      <w:bookmarkEnd w:id="119"/>
      <w:bookmarkEnd w:id="120"/>
      <w:bookmarkEnd w:id="121"/>
      <w:bookmarkEnd w:id="122"/>
      <w:bookmarkEnd w:id="123"/>
      <w:bookmarkEnd w:id="124"/>
    </w:p>
    <w:p w14:paraId="40CADC9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分包合同以中国的汉语简体文字编写、解释和说明。</w:t>
      </w:r>
    </w:p>
    <w:p w14:paraId="6DB75CB5">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25" w:name="_Toc3869"/>
      <w:bookmarkStart w:id="126" w:name="_Toc24237"/>
      <w:bookmarkStart w:id="127" w:name="_Toc7473"/>
      <w:bookmarkStart w:id="128" w:name="_Toc10995"/>
      <w:bookmarkStart w:id="129" w:name="_Toc18821"/>
      <w:bookmarkStart w:id="130" w:name="_Toc21941"/>
      <w:bookmarkStart w:id="131" w:name="_Toc351203499"/>
      <w:bookmarkStart w:id="132" w:name="_Toc371493153"/>
      <w:bookmarkStart w:id="133" w:name="_Toc389586307"/>
      <w:r>
        <w:rPr>
          <w:rFonts w:hint="eastAsia" w:ascii="楷体_GB2312" w:hAnsi="楷体_GB2312" w:eastAsia="楷体_GB2312" w:cs="楷体_GB2312"/>
          <w:b w:val="0"/>
          <w:bCs w:val="0"/>
          <w:color w:val="auto"/>
          <w:sz w:val="24"/>
          <w:szCs w:val="24"/>
          <w:highlight w:val="none"/>
        </w:rPr>
        <w:t>1.3 标准和规范</w:t>
      </w:r>
      <w:bookmarkEnd w:id="125"/>
      <w:bookmarkEnd w:id="126"/>
      <w:bookmarkEnd w:id="127"/>
      <w:bookmarkEnd w:id="128"/>
      <w:bookmarkEnd w:id="129"/>
      <w:bookmarkEnd w:id="130"/>
      <w:bookmarkEnd w:id="131"/>
      <w:bookmarkEnd w:id="132"/>
      <w:bookmarkEnd w:id="133"/>
    </w:p>
    <w:p w14:paraId="304062E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1.3.1 适用于分包工程的标准和规范包括国家标准、行业标准、工程所在地的地方标准以及总包合同中约定的适用于分包工程的标准和规范等。分包合同当事人有特别要求的，应在专用合同条款中约定。</w:t>
      </w:r>
    </w:p>
    <w:p w14:paraId="313613F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1.3.2 除专用合同条款另有约定外，分包人在签订分包合同前已充分了解前述标准和要求的复杂程度，签约合同价中已包含由此产生的费用。</w:t>
      </w:r>
      <w:bookmarkStart w:id="134" w:name="_Toc31645"/>
      <w:bookmarkStart w:id="135" w:name="_Toc371493154"/>
      <w:bookmarkStart w:id="136" w:name="_Toc20731"/>
      <w:bookmarkStart w:id="137" w:name="_Toc10747"/>
      <w:bookmarkStart w:id="138" w:name="_Toc26488"/>
      <w:bookmarkStart w:id="139" w:name="_Toc351203500"/>
      <w:bookmarkStart w:id="140" w:name="_Toc22500"/>
      <w:bookmarkStart w:id="141" w:name="_Toc389586308"/>
      <w:bookmarkStart w:id="142" w:name="_Toc77"/>
    </w:p>
    <w:p w14:paraId="505BEAF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楷体_GB2312" w:hAnsi="楷体_GB2312" w:eastAsia="楷体_GB2312" w:cs="楷体_GB2312"/>
          <w:b w:val="0"/>
          <w:bCs w:val="0"/>
          <w:color w:val="auto"/>
          <w:kern w:val="2"/>
          <w:sz w:val="24"/>
          <w:szCs w:val="24"/>
          <w:highlight w:val="none"/>
          <w:lang w:val="en-US" w:eastAsia="zh-CN" w:bidi="ar-SA"/>
        </w:rPr>
      </w:pPr>
      <w:r>
        <w:rPr>
          <w:rFonts w:hint="eastAsia" w:ascii="楷体_GB2312" w:hAnsi="楷体_GB2312" w:eastAsia="楷体_GB2312" w:cs="楷体_GB2312"/>
          <w:b w:val="0"/>
          <w:bCs w:val="0"/>
          <w:color w:val="auto"/>
          <w:kern w:val="2"/>
          <w:sz w:val="24"/>
          <w:szCs w:val="24"/>
          <w:highlight w:val="none"/>
          <w:lang w:val="en-US" w:eastAsia="zh-CN" w:bidi="ar-SA"/>
        </w:rPr>
        <w:t>1</w:t>
      </w:r>
      <w:bookmarkStart w:id="143" w:name="_Toc337558731"/>
      <w:bookmarkStart w:id="144" w:name="_Toc296346532"/>
      <w:bookmarkStart w:id="145" w:name="_Toc296503031"/>
      <w:r>
        <w:rPr>
          <w:rFonts w:hint="eastAsia" w:ascii="楷体_GB2312" w:hAnsi="楷体_GB2312" w:eastAsia="楷体_GB2312" w:cs="楷体_GB2312"/>
          <w:b w:val="0"/>
          <w:bCs w:val="0"/>
          <w:color w:val="auto"/>
          <w:kern w:val="2"/>
          <w:sz w:val="24"/>
          <w:szCs w:val="24"/>
          <w:highlight w:val="none"/>
          <w:lang w:val="en-US" w:eastAsia="zh-CN" w:bidi="ar-SA"/>
        </w:rPr>
        <w:t>.4 分包合同文件的优先顺序</w:t>
      </w:r>
      <w:bookmarkEnd w:id="134"/>
      <w:bookmarkEnd w:id="135"/>
      <w:bookmarkEnd w:id="136"/>
      <w:bookmarkEnd w:id="137"/>
      <w:bookmarkEnd w:id="138"/>
      <w:bookmarkEnd w:id="139"/>
      <w:bookmarkEnd w:id="140"/>
      <w:bookmarkEnd w:id="141"/>
      <w:bookmarkEnd w:id="142"/>
    </w:p>
    <w:bookmarkEnd w:id="143"/>
    <w:bookmarkEnd w:id="144"/>
    <w:bookmarkEnd w:id="145"/>
    <w:p w14:paraId="6DC13C3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组成分包合同的各项文件应互相解释，互为说明。除专用合同条款另有约定外，解释分包合同文件的优先顺序如下：</w:t>
      </w:r>
    </w:p>
    <w:p w14:paraId="7AA4C62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（1）分包合同协议书及其补充协议；</w:t>
      </w:r>
    </w:p>
    <w:p w14:paraId="2CDEF9E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（2）专用合同条款</w:t>
      </w:r>
      <w:r>
        <w:rPr>
          <w:rFonts w:hint="eastAsia" w:ascii="仿宋_GB2312" w:hAnsi="仿宋_GB2312" w:eastAsia="仿宋_GB2312" w:cs="仿宋_GB2312"/>
          <w:color w:val="auto"/>
          <w:sz w:val="24"/>
          <w:szCs w:val="24"/>
          <w:highlight w:val="none"/>
        </w:rPr>
        <w:t>及其附件</w:t>
      </w:r>
      <w:r>
        <w:rPr>
          <w:rFonts w:hint="eastAsia" w:ascii="仿宋_GB2312" w:hAnsi="仿宋_GB2312" w:eastAsia="仿宋_GB2312" w:cs="仿宋_GB2312"/>
          <w:color w:val="auto"/>
          <w:kern w:val="0"/>
          <w:sz w:val="24"/>
          <w:szCs w:val="24"/>
          <w:highlight w:val="none"/>
        </w:rPr>
        <w:t>；</w:t>
      </w:r>
    </w:p>
    <w:p w14:paraId="14E3253B">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（3）中标通知书（如果有）；</w:t>
      </w:r>
    </w:p>
    <w:p w14:paraId="5F8A919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（4）投标函及其附录（如果有）；</w:t>
      </w:r>
    </w:p>
    <w:p w14:paraId="4DB314C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（5）通用合同条款；</w:t>
      </w:r>
    </w:p>
    <w:p w14:paraId="6A31187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（6）技术标准和要求；</w:t>
      </w:r>
    </w:p>
    <w:p w14:paraId="54B76EB4">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（7）图纸；</w:t>
      </w:r>
    </w:p>
    <w:p w14:paraId="13410C18">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（8）已标价工程量清单或预算书；</w:t>
      </w:r>
    </w:p>
    <w:p w14:paraId="3209FB8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（9）其他分包合同文件。</w:t>
      </w:r>
    </w:p>
    <w:p w14:paraId="3DDA65AB">
      <w:pPr>
        <w:pageBreakBefore w:val="0"/>
        <w:widowControl w:val="0"/>
        <w:kinsoku/>
        <w:wordWrap w:val="0"/>
        <w:overflowPunct/>
        <w:topLinePunct w:val="0"/>
        <w:bidi w:val="0"/>
        <w:adjustRightInd w:val="0"/>
        <w:snapToGrid w:val="0"/>
        <w:spacing w:line="390" w:lineRule="exact"/>
        <w:ind w:firstLine="511" w:firstLineChars="213"/>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上述文件互相补充和解释。若合同文件中对本合同范围或乙方工作范围以及本工程质量、进度、安全等要求有不一致的，乙方应在施工前向甲方提出，除甲方明确指示乙方使用何种规定外，以对乙方义务、责任要求高者严者为准；合同文件对本合同范围或乙方工作范围有不一致的，以范围宽者为准；其他内容出现不一致的，除本合同另有明文规定外，按顺序排列在前者为准，同一顺序文件出现不一致的，以时间在后者为准；但经甲方认定乙方的有关承诺比顺序在前的文件对甲方更有利的，就该承诺事项以该特定承诺为准。</w:t>
      </w:r>
    </w:p>
    <w:p w14:paraId="51A35F2D">
      <w:pPr>
        <w:pageBreakBefore w:val="0"/>
        <w:widowControl w:val="0"/>
        <w:kinsoku/>
        <w:wordWrap w:val="0"/>
        <w:overflowPunct/>
        <w:topLinePunct w:val="0"/>
        <w:bidi w:val="0"/>
        <w:adjustRightInd w:val="0"/>
        <w:snapToGrid w:val="0"/>
        <w:spacing w:line="390" w:lineRule="exact"/>
        <w:ind w:firstLine="511" w:firstLineChars="213"/>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在分包合同订立及履行过程中分包合同当事人签署的与分包合同有关的文件均构成分包合同文件组成部分，并根据其性质确定优先解释顺序。</w:t>
      </w:r>
    </w:p>
    <w:p w14:paraId="3D0F1DE9">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kern w:val="2"/>
          <w:sz w:val="24"/>
          <w:szCs w:val="24"/>
          <w:highlight w:val="none"/>
          <w:lang w:val="en-US" w:eastAsia="zh-CN" w:bidi="ar-SA"/>
        </w:rPr>
      </w:pPr>
      <w:bookmarkStart w:id="146" w:name="_Toc24491"/>
      <w:bookmarkStart w:id="147" w:name="_Toc389586309"/>
      <w:bookmarkStart w:id="148" w:name="_Toc13739"/>
      <w:bookmarkStart w:id="149" w:name="_Toc1513"/>
      <w:bookmarkStart w:id="150" w:name="_Toc17936"/>
      <w:bookmarkStart w:id="151" w:name="_Toc26090"/>
      <w:bookmarkStart w:id="152" w:name="_Toc371493155"/>
      <w:bookmarkStart w:id="153" w:name="_Toc4544"/>
      <w:bookmarkStart w:id="154" w:name="_Toc351203501"/>
      <w:r>
        <w:rPr>
          <w:rFonts w:hint="eastAsia" w:ascii="楷体_GB2312" w:hAnsi="楷体_GB2312" w:eastAsia="楷体_GB2312" w:cs="楷体_GB2312"/>
          <w:b w:val="0"/>
          <w:bCs w:val="0"/>
          <w:color w:val="auto"/>
          <w:kern w:val="2"/>
          <w:sz w:val="24"/>
          <w:szCs w:val="24"/>
          <w:highlight w:val="none"/>
          <w:lang w:val="en-US" w:eastAsia="zh-CN" w:bidi="ar-SA"/>
        </w:rPr>
        <w:t>1</w:t>
      </w:r>
      <w:bookmarkStart w:id="155" w:name="_Toc337558732"/>
      <w:bookmarkStart w:id="156" w:name="_Toc296346533"/>
      <w:bookmarkStart w:id="157" w:name="_Toc296503032"/>
      <w:r>
        <w:rPr>
          <w:rFonts w:hint="eastAsia" w:ascii="楷体_GB2312" w:hAnsi="楷体_GB2312" w:eastAsia="楷体_GB2312" w:cs="楷体_GB2312"/>
          <w:b w:val="0"/>
          <w:bCs w:val="0"/>
          <w:color w:val="auto"/>
          <w:kern w:val="2"/>
          <w:sz w:val="24"/>
          <w:szCs w:val="24"/>
          <w:highlight w:val="none"/>
          <w:lang w:val="en-US" w:eastAsia="zh-CN" w:bidi="ar-SA"/>
        </w:rPr>
        <w:t>.5 图纸</w:t>
      </w:r>
      <w:bookmarkEnd w:id="146"/>
      <w:bookmarkEnd w:id="147"/>
      <w:bookmarkEnd w:id="148"/>
      <w:bookmarkEnd w:id="149"/>
      <w:bookmarkEnd w:id="150"/>
      <w:bookmarkEnd w:id="151"/>
      <w:bookmarkEnd w:id="152"/>
      <w:bookmarkEnd w:id="153"/>
      <w:bookmarkEnd w:id="154"/>
    </w:p>
    <w:bookmarkEnd w:id="155"/>
    <w:bookmarkEnd w:id="156"/>
    <w:bookmarkEnd w:id="157"/>
    <w:p w14:paraId="13D621F1">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1.5.1 承包人应按照专用合同条款约定的期限、数量和内容向分包人免费提供图纸，并组织图纸会审和设计交底。承包人至迟不得晚于实际开工日期前7天向分包人提供图纸。除专用合同条款另有约定外，分包人应在施工场地保存一套完整的图纸，供承包人和有关人员进行工程检查时使用。</w:t>
      </w:r>
    </w:p>
    <w:p w14:paraId="1CEAF4D3">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1.5.2 分包人在收到图纸后，发现图纸存在差错、遗漏或缺陷的，应及时通知承包人。承包人应及时向分包人提供修改补充后的图纸或处理意见。</w:t>
      </w:r>
    </w:p>
    <w:p w14:paraId="0F5A5DA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1.5.3 深化设计</w:t>
      </w:r>
    </w:p>
    <w:p w14:paraId="3F4F463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委托分包人完成分包工程的施工图深化设计的，深化设计需要相应的设计资质的，分包人应在其设计资质等级和业务允许的范围内，在承包人提供图纸的基础上，根据国家有关工程建设标准进行深化设计；如分包人不具备相应的设计资质，应由分包人委托具有相应资质的单位进行深化设计。深化设计不需要相应设计资质的，分包人在承包人提供图纸的基础上根据国家有关工程建设标准自行完成深化设计。</w:t>
      </w:r>
    </w:p>
    <w:p w14:paraId="1B6394B3">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分包人的深化设计须经过承包人确认后方可进行施工。分包人对自行或委托设计的图纸负有相应的法律责任。关于承包人委托分包人进行深化设计的范围及发生的费用，双方应在专用合同条款中约定。</w:t>
      </w:r>
    </w:p>
    <w:p w14:paraId="27D60D7F">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8" w:name="_Toc7314"/>
      <w:bookmarkStart w:id="159" w:name="_Toc389586310"/>
      <w:bookmarkStart w:id="160" w:name="_Toc16641"/>
      <w:bookmarkStart w:id="161" w:name="_Toc29197"/>
      <w:bookmarkStart w:id="162" w:name="_Toc12779"/>
      <w:bookmarkStart w:id="163" w:name="_Toc371493156"/>
      <w:bookmarkStart w:id="164" w:name="_Toc16414"/>
      <w:bookmarkStart w:id="165" w:name="_Toc351203502"/>
      <w:bookmarkStart w:id="166" w:name="_Toc20421"/>
      <w:r>
        <w:rPr>
          <w:rFonts w:hint="eastAsia" w:ascii="楷体_GB2312" w:hAnsi="楷体_GB2312" w:eastAsia="楷体_GB2312" w:cs="楷体_GB2312"/>
          <w:b w:val="0"/>
          <w:bCs w:val="0"/>
          <w:color w:val="auto"/>
          <w:sz w:val="24"/>
          <w:szCs w:val="24"/>
          <w:highlight w:val="none"/>
        </w:rPr>
        <w:t>1</w:t>
      </w:r>
      <w:bookmarkStart w:id="167" w:name="_Toc296503033"/>
      <w:bookmarkStart w:id="168" w:name="_Toc337558733"/>
      <w:bookmarkStart w:id="169" w:name="_Toc296346534"/>
      <w:r>
        <w:rPr>
          <w:rFonts w:hint="eastAsia" w:ascii="楷体_GB2312" w:hAnsi="楷体_GB2312" w:eastAsia="楷体_GB2312" w:cs="楷体_GB2312"/>
          <w:b w:val="0"/>
          <w:bCs w:val="0"/>
          <w:color w:val="auto"/>
          <w:sz w:val="24"/>
          <w:szCs w:val="24"/>
          <w:highlight w:val="none"/>
        </w:rPr>
        <w:t>.6 联络</w:t>
      </w:r>
      <w:bookmarkEnd w:id="158"/>
      <w:bookmarkEnd w:id="159"/>
      <w:bookmarkEnd w:id="160"/>
      <w:bookmarkEnd w:id="161"/>
      <w:bookmarkEnd w:id="162"/>
      <w:bookmarkEnd w:id="163"/>
      <w:bookmarkEnd w:id="164"/>
      <w:bookmarkEnd w:id="165"/>
      <w:bookmarkEnd w:id="166"/>
    </w:p>
    <w:bookmarkEnd w:id="167"/>
    <w:bookmarkEnd w:id="168"/>
    <w:bookmarkEnd w:id="169"/>
    <w:p w14:paraId="088F3E93">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bookmarkStart w:id="170" w:name="_Toc371493157"/>
      <w:bookmarkStart w:id="171" w:name="_Toc17938"/>
      <w:bookmarkStart w:id="172" w:name="_Toc28980"/>
      <w:bookmarkStart w:id="173" w:name="_Toc389586311"/>
      <w:bookmarkStart w:id="174" w:name="_Toc22437"/>
      <w:bookmarkStart w:id="175" w:name="_Toc351203504"/>
      <w:bookmarkStart w:id="176" w:name="_Toc31532"/>
      <w:bookmarkStart w:id="177" w:name="_Toc5019"/>
      <w:bookmarkStart w:id="178" w:name="_Toc4225"/>
    </w:p>
    <w:p w14:paraId="413DD64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楷体_GB2312" w:hAnsi="楷体_GB2312" w:eastAsia="楷体_GB2312" w:cs="楷体_GB2312"/>
          <w:b w:val="0"/>
          <w:bCs w:val="0"/>
          <w:color w:val="auto"/>
          <w:kern w:val="2"/>
          <w:sz w:val="24"/>
          <w:szCs w:val="24"/>
          <w:highlight w:val="none"/>
          <w:lang w:val="en-US" w:eastAsia="zh-CN" w:bidi="ar-SA"/>
        </w:rPr>
      </w:pPr>
      <w:r>
        <w:rPr>
          <w:rFonts w:hint="eastAsia" w:ascii="楷体_GB2312" w:hAnsi="楷体_GB2312" w:eastAsia="楷体_GB2312" w:cs="楷体_GB2312"/>
          <w:b w:val="0"/>
          <w:bCs w:val="0"/>
          <w:color w:val="auto"/>
          <w:kern w:val="2"/>
          <w:sz w:val="24"/>
          <w:szCs w:val="24"/>
          <w:highlight w:val="none"/>
          <w:lang w:val="en-US" w:eastAsia="zh-CN" w:bidi="ar-SA"/>
        </w:rPr>
        <w:t>1</w:t>
      </w:r>
      <w:bookmarkStart w:id="179" w:name="_Toc337558735"/>
      <w:bookmarkStart w:id="180" w:name="_Toc296503036"/>
      <w:bookmarkStart w:id="181" w:name="_Toc296346537"/>
      <w:r>
        <w:rPr>
          <w:rFonts w:hint="eastAsia" w:ascii="楷体_GB2312" w:hAnsi="楷体_GB2312" w:eastAsia="楷体_GB2312" w:cs="楷体_GB2312"/>
          <w:b w:val="0"/>
          <w:bCs w:val="0"/>
          <w:color w:val="auto"/>
          <w:kern w:val="2"/>
          <w:sz w:val="24"/>
          <w:szCs w:val="24"/>
          <w:highlight w:val="none"/>
          <w:lang w:val="en-US" w:eastAsia="zh-CN" w:bidi="ar-SA"/>
        </w:rPr>
        <w:t>.7 化石、文物</w:t>
      </w:r>
      <w:bookmarkEnd w:id="170"/>
      <w:bookmarkEnd w:id="171"/>
      <w:bookmarkEnd w:id="172"/>
      <w:bookmarkEnd w:id="173"/>
      <w:bookmarkEnd w:id="174"/>
      <w:bookmarkEnd w:id="175"/>
      <w:bookmarkEnd w:id="176"/>
      <w:bookmarkEnd w:id="177"/>
      <w:bookmarkEnd w:id="178"/>
    </w:p>
    <w:bookmarkEnd w:id="179"/>
    <w:bookmarkEnd w:id="180"/>
    <w:bookmarkEnd w:id="181"/>
    <w:p w14:paraId="61D92944">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承包人应根据总包合同将施工场地内需要保护的化石、文物等通知分包人，分包人应予保护，因采取保护措施发生的费用由承包人承担。</w:t>
      </w:r>
    </w:p>
    <w:p w14:paraId="24CE2E9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在施工过程中发现化石、文物的，分包人应立即以书面形式通知承包人，通知中应载明化石或文物的数量、需要采取的保护措施以及因此发生的费用。承包人收到通知后应指示分包人采取合理有效的保护措施，防止任何人员移动或损坏前述物品，因分包人采取保护措施增加的费用和（或）延误的工期由承包人承担。</w:t>
      </w:r>
      <w:bookmarkStart w:id="182" w:name="_Toc19539"/>
      <w:bookmarkStart w:id="183" w:name="_Toc389586312"/>
      <w:bookmarkStart w:id="184" w:name="_Toc27146"/>
      <w:bookmarkStart w:id="185" w:name="_Toc28369"/>
      <w:bookmarkStart w:id="186" w:name="_Toc371493158"/>
      <w:bookmarkStart w:id="187" w:name="_Toc5995"/>
      <w:bookmarkStart w:id="188" w:name="_Toc351203506"/>
      <w:bookmarkStart w:id="189" w:name="_Toc5504"/>
      <w:bookmarkStart w:id="190" w:name="_Toc15115"/>
    </w:p>
    <w:p w14:paraId="456DD8B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kern w:val="2"/>
          <w:sz w:val="24"/>
          <w:szCs w:val="24"/>
          <w:highlight w:val="none"/>
          <w:lang w:val="en-US" w:eastAsia="zh-CN" w:bidi="ar-SA"/>
        </w:rPr>
        <w:t>1</w:t>
      </w:r>
      <w:bookmarkStart w:id="191" w:name="_Toc337558737"/>
      <w:bookmarkStart w:id="192" w:name="_Toc296503037"/>
      <w:bookmarkStart w:id="193" w:name="_Toc296346538"/>
      <w:r>
        <w:rPr>
          <w:rFonts w:hint="eastAsia" w:ascii="楷体_GB2312" w:hAnsi="楷体_GB2312" w:eastAsia="楷体_GB2312" w:cs="楷体_GB2312"/>
          <w:b w:val="0"/>
          <w:bCs w:val="0"/>
          <w:color w:val="auto"/>
          <w:kern w:val="2"/>
          <w:sz w:val="24"/>
          <w:szCs w:val="24"/>
          <w:highlight w:val="none"/>
          <w:lang w:val="en-US" w:eastAsia="zh-CN" w:bidi="ar-SA"/>
        </w:rPr>
        <w:t>.8 知识产权</w:t>
      </w:r>
      <w:bookmarkEnd w:id="182"/>
      <w:bookmarkEnd w:id="183"/>
      <w:bookmarkEnd w:id="184"/>
      <w:bookmarkEnd w:id="185"/>
      <w:bookmarkEnd w:id="186"/>
      <w:bookmarkEnd w:id="187"/>
      <w:bookmarkEnd w:id="188"/>
      <w:bookmarkEnd w:id="189"/>
      <w:bookmarkEnd w:id="190"/>
      <w:r>
        <w:rPr>
          <w:rFonts w:hint="eastAsia" w:ascii="楷体_GB2312" w:hAnsi="楷体_GB2312" w:eastAsia="楷体_GB2312" w:cs="楷体_GB2312"/>
          <w:b w:val="0"/>
          <w:bCs w:val="0"/>
          <w:color w:val="auto"/>
          <w:kern w:val="2"/>
          <w:sz w:val="24"/>
          <w:szCs w:val="24"/>
          <w:highlight w:val="none"/>
          <w:lang w:val="en-US" w:eastAsia="zh-CN" w:bidi="ar-SA"/>
        </w:rPr>
        <w:t xml:space="preserve"> </w:t>
      </w:r>
      <w:bookmarkEnd w:id="191"/>
    </w:p>
    <w:bookmarkEnd w:id="192"/>
    <w:bookmarkEnd w:id="193"/>
    <w:p w14:paraId="443FDD0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1.8.1 承包人提供给分包人的图纸和文件，分包人可以为实现合同目的而复制、使用，但不能用于与分包合同无关的其他事项。</w:t>
      </w:r>
    </w:p>
    <w:p w14:paraId="0B328E83">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1.8.2 分包合同当事人保证在履行分包合同过程中不侵犯对方及第三方的知识产权。分包人在深化设计、使用材料、施工设备、工程设备或采用施工工艺时，因侵犯他人的专利权或其他知识产权所引起的责任，由分包人承担；因使用承包人提供的材料、施工设备、工程设备或施工工艺导致侵权的，由承包人承担责任。</w:t>
      </w:r>
    </w:p>
    <w:p w14:paraId="333FD88F">
      <w:pPr>
        <w:pageBreakBefore w:val="0"/>
        <w:kinsoku/>
        <w:wordWrap w:val="0"/>
        <w:overflowPunct/>
        <w:topLinePunct w:val="0"/>
        <w:bidi w:val="0"/>
        <w:adjustRightInd w:val="0"/>
        <w:snapToGrid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sz w:val="24"/>
          <w:szCs w:val="24"/>
          <w:highlight w:val="none"/>
        </w:rPr>
        <w:t>1.8.3 除专用合同条款另有约定外，分包人在合同签订前和签订时已确定采用的专利、专有技术、技术秘密的使用费已包含在签约合同价中。</w:t>
      </w:r>
    </w:p>
    <w:p w14:paraId="376BD49E">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kern w:val="2"/>
          <w:sz w:val="24"/>
          <w:szCs w:val="24"/>
          <w:highlight w:val="none"/>
          <w:lang w:val="en-US" w:eastAsia="zh-CN" w:bidi="ar-SA"/>
        </w:rPr>
      </w:pPr>
      <w:bookmarkStart w:id="194" w:name="_Toc389586313"/>
      <w:bookmarkStart w:id="195" w:name="_Toc351203507"/>
      <w:bookmarkStart w:id="196" w:name="_Toc10702"/>
      <w:bookmarkStart w:id="197" w:name="_Toc16374"/>
      <w:bookmarkStart w:id="198" w:name="_Toc6925"/>
      <w:bookmarkStart w:id="199" w:name="_Toc15066"/>
      <w:bookmarkStart w:id="200" w:name="_Toc371493159"/>
      <w:bookmarkStart w:id="201" w:name="_Toc15812"/>
      <w:bookmarkStart w:id="202" w:name="_Toc15406"/>
      <w:r>
        <w:rPr>
          <w:rFonts w:hint="eastAsia" w:ascii="楷体_GB2312" w:hAnsi="楷体_GB2312" w:eastAsia="楷体_GB2312" w:cs="楷体_GB2312"/>
          <w:b w:val="0"/>
          <w:bCs w:val="0"/>
          <w:color w:val="auto"/>
          <w:kern w:val="2"/>
          <w:sz w:val="24"/>
          <w:szCs w:val="24"/>
          <w:highlight w:val="none"/>
          <w:lang w:val="en-US" w:eastAsia="zh-CN" w:bidi="ar-SA"/>
        </w:rPr>
        <w:t>1</w:t>
      </w:r>
      <w:bookmarkStart w:id="203" w:name="_Toc337558738"/>
      <w:r>
        <w:rPr>
          <w:rFonts w:hint="eastAsia" w:ascii="楷体_GB2312" w:hAnsi="楷体_GB2312" w:eastAsia="楷体_GB2312" w:cs="楷体_GB2312"/>
          <w:b w:val="0"/>
          <w:bCs w:val="0"/>
          <w:color w:val="auto"/>
          <w:kern w:val="2"/>
          <w:sz w:val="24"/>
          <w:szCs w:val="24"/>
          <w:highlight w:val="none"/>
          <w:lang w:val="en-US" w:eastAsia="zh-CN" w:bidi="ar-SA"/>
        </w:rPr>
        <w:t>.9 保密</w:t>
      </w:r>
      <w:bookmarkEnd w:id="194"/>
      <w:bookmarkEnd w:id="195"/>
      <w:bookmarkEnd w:id="196"/>
      <w:bookmarkEnd w:id="197"/>
      <w:bookmarkEnd w:id="198"/>
      <w:bookmarkEnd w:id="199"/>
      <w:bookmarkEnd w:id="200"/>
      <w:bookmarkEnd w:id="201"/>
      <w:bookmarkEnd w:id="202"/>
    </w:p>
    <w:bookmarkEnd w:id="203"/>
    <w:p w14:paraId="3AD835CB">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除法律规定或分包合同另有约定外，未经对方当事人同意，任何一方当事人不得将对方提供的图纸、文件以及声明需要保密的资料信息等商业秘密泄露给第三方。</w:t>
      </w:r>
    </w:p>
    <w:p w14:paraId="7E4DD01C">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204" w:name="_Toc351203509"/>
      <w:bookmarkStart w:id="205" w:name="_Toc18469"/>
      <w:bookmarkStart w:id="206" w:name="_Toc389586314"/>
      <w:bookmarkStart w:id="207" w:name="_Toc27271"/>
      <w:bookmarkStart w:id="208" w:name="_Toc7861"/>
      <w:bookmarkStart w:id="209" w:name="_Toc30971"/>
      <w:bookmarkStart w:id="210" w:name="_Toc371493160"/>
      <w:bookmarkStart w:id="211" w:name="_Toc16540"/>
      <w:bookmarkStart w:id="212" w:name="_Toc4611"/>
      <w:r>
        <w:rPr>
          <w:rFonts w:hint="eastAsia" w:ascii="黑体" w:hAnsi="黑体" w:eastAsia="黑体" w:cs="黑体"/>
          <w:b w:val="0"/>
          <w:bCs w:val="0"/>
          <w:color w:val="auto"/>
          <w:kern w:val="2"/>
          <w:sz w:val="24"/>
          <w:szCs w:val="24"/>
          <w:highlight w:val="none"/>
          <w:lang w:val="en-US" w:eastAsia="zh-CN" w:bidi="ar-SA"/>
        </w:rPr>
        <w:t>2</w:t>
      </w:r>
      <w:bookmarkStart w:id="213" w:name="OLE_LINK1"/>
      <w:bookmarkStart w:id="214" w:name="OLE_LINK2"/>
      <w:bookmarkStart w:id="215" w:name="_Toc337558739"/>
      <w:bookmarkStart w:id="216" w:name="_Toc296346539"/>
      <w:bookmarkStart w:id="217" w:name="_Toc296503038"/>
      <w:r>
        <w:rPr>
          <w:rFonts w:hint="eastAsia" w:ascii="黑体" w:hAnsi="黑体" w:eastAsia="黑体" w:cs="黑体"/>
          <w:b w:val="0"/>
          <w:bCs w:val="0"/>
          <w:color w:val="auto"/>
          <w:kern w:val="2"/>
          <w:sz w:val="24"/>
          <w:szCs w:val="24"/>
          <w:highlight w:val="none"/>
          <w:lang w:val="en-US" w:eastAsia="zh-CN" w:bidi="ar-SA"/>
        </w:rPr>
        <w:t>.</w:t>
      </w:r>
      <w:bookmarkEnd w:id="204"/>
      <w:bookmarkEnd w:id="213"/>
      <w:bookmarkEnd w:id="214"/>
      <w:bookmarkEnd w:id="215"/>
      <w:bookmarkEnd w:id="216"/>
      <w:bookmarkEnd w:id="217"/>
      <w:bookmarkStart w:id="218" w:name="_Toc351203518"/>
      <w:bookmarkStart w:id="219" w:name="_Toc337558746"/>
      <w:bookmarkStart w:id="220" w:name="_Toc296346546"/>
      <w:bookmarkStart w:id="221" w:name="_Toc296503045"/>
      <w:r>
        <w:rPr>
          <w:rFonts w:hint="eastAsia" w:ascii="黑体" w:hAnsi="黑体" w:eastAsia="黑体" w:cs="黑体"/>
          <w:b w:val="0"/>
          <w:bCs w:val="0"/>
          <w:color w:val="auto"/>
          <w:kern w:val="2"/>
          <w:sz w:val="24"/>
          <w:szCs w:val="24"/>
          <w:highlight w:val="none"/>
          <w:lang w:val="en-US" w:eastAsia="zh-CN" w:bidi="ar-SA"/>
        </w:rPr>
        <w:t xml:space="preserve"> 承包人</w:t>
      </w:r>
      <w:bookmarkEnd w:id="205"/>
      <w:bookmarkEnd w:id="206"/>
      <w:bookmarkEnd w:id="207"/>
      <w:bookmarkEnd w:id="208"/>
      <w:bookmarkEnd w:id="209"/>
      <w:bookmarkEnd w:id="210"/>
      <w:bookmarkEnd w:id="211"/>
      <w:bookmarkEnd w:id="212"/>
      <w:bookmarkEnd w:id="218"/>
    </w:p>
    <w:bookmarkEnd w:id="219"/>
    <w:bookmarkEnd w:id="220"/>
    <w:bookmarkEnd w:id="221"/>
    <w:p w14:paraId="174FC287">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kern w:val="2"/>
          <w:sz w:val="24"/>
          <w:szCs w:val="24"/>
          <w:highlight w:val="none"/>
          <w:lang w:val="en-US" w:eastAsia="zh-CN" w:bidi="ar-SA"/>
        </w:rPr>
      </w:pPr>
      <w:bookmarkStart w:id="222" w:name="_Toc351203519"/>
      <w:bookmarkStart w:id="223" w:name="_Toc16325"/>
      <w:bookmarkStart w:id="224" w:name="_Toc30340"/>
      <w:bookmarkStart w:id="225" w:name="_Toc25762"/>
      <w:bookmarkStart w:id="226" w:name="_Toc15382"/>
      <w:bookmarkStart w:id="227" w:name="_Toc389586315"/>
      <w:bookmarkStart w:id="228" w:name="_Toc2322"/>
      <w:bookmarkStart w:id="229" w:name="_Toc2161"/>
      <w:bookmarkStart w:id="230" w:name="_Toc296346547"/>
      <w:bookmarkStart w:id="231" w:name="_Toc371493161"/>
      <w:bookmarkStart w:id="232" w:name="_Toc337558747"/>
      <w:bookmarkStart w:id="233" w:name="_Toc296503046"/>
      <w:r>
        <w:rPr>
          <w:rFonts w:hint="eastAsia" w:ascii="楷体_GB2312" w:hAnsi="楷体_GB2312" w:eastAsia="楷体_GB2312" w:cs="楷体_GB2312"/>
          <w:b w:val="0"/>
          <w:bCs w:val="0"/>
          <w:color w:val="auto"/>
          <w:kern w:val="2"/>
          <w:sz w:val="24"/>
          <w:szCs w:val="24"/>
          <w:highlight w:val="none"/>
          <w:lang w:val="en-US" w:eastAsia="zh-CN" w:bidi="ar-SA"/>
        </w:rPr>
        <w:t xml:space="preserve">2.1 </w:t>
      </w:r>
      <w:bookmarkEnd w:id="222"/>
      <w:r>
        <w:rPr>
          <w:rFonts w:hint="eastAsia" w:ascii="楷体_GB2312" w:hAnsi="楷体_GB2312" w:eastAsia="楷体_GB2312" w:cs="楷体_GB2312"/>
          <w:b w:val="0"/>
          <w:bCs w:val="0"/>
          <w:color w:val="auto"/>
          <w:kern w:val="2"/>
          <w:sz w:val="24"/>
          <w:szCs w:val="24"/>
          <w:highlight w:val="none"/>
          <w:lang w:val="en-US" w:eastAsia="zh-CN" w:bidi="ar-SA"/>
        </w:rPr>
        <w:t>承包人的一般义务</w:t>
      </w:r>
      <w:bookmarkEnd w:id="223"/>
      <w:bookmarkEnd w:id="224"/>
      <w:bookmarkEnd w:id="225"/>
      <w:bookmarkEnd w:id="226"/>
      <w:bookmarkEnd w:id="227"/>
      <w:bookmarkEnd w:id="228"/>
      <w:bookmarkEnd w:id="229"/>
    </w:p>
    <w:p w14:paraId="70074D7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2.1.1 </w:t>
      </w:r>
      <w:bookmarkEnd w:id="230"/>
      <w:bookmarkEnd w:id="231"/>
      <w:bookmarkEnd w:id="232"/>
      <w:bookmarkEnd w:id="233"/>
      <w:r>
        <w:rPr>
          <w:rFonts w:hint="eastAsia" w:ascii="仿宋_GB2312" w:hAnsi="仿宋_GB2312" w:eastAsia="仿宋_GB2312" w:cs="仿宋_GB2312"/>
          <w:color w:val="auto"/>
          <w:kern w:val="0"/>
          <w:sz w:val="24"/>
          <w:szCs w:val="24"/>
          <w:highlight w:val="none"/>
        </w:rPr>
        <w:t>承包人应向分包人提供履行分包合同所需的相应资料。</w:t>
      </w:r>
    </w:p>
    <w:p w14:paraId="4EF4170B">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2.1.2 承包人应按法律规定和总包合同的约定对分包人和分包工程进行管理并承担总包管理责任。承包人负责协调分包人与其他分包人之间的交叉施工作业。</w:t>
      </w:r>
    </w:p>
    <w:p w14:paraId="74CFEDD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2.1.3 承包人应保证分包人免于承担因承包人、其他分包人的行为或疏忽造成的人员伤亡、财产损失、或与此有关的任何索赔。</w:t>
      </w:r>
    </w:p>
    <w:p w14:paraId="04813790">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kern w:val="0"/>
          <w:sz w:val="24"/>
          <w:szCs w:val="24"/>
          <w:highlight w:val="none"/>
        </w:rPr>
      </w:pPr>
      <w:bookmarkStart w:id="234" w:name="_Toc30655"/>
      <w:bookmarkStart w:id="235" w:name="_Toc389586316"/>
      <w:bookmarkStart w:id="236" w:name="_Toc27283"/>
      <w:bookmarkStart w:id="237" w:name="_Toc9221"/>
      <w:bookmarkStart w:id="238" w:name="_Toc14928"/>
      <w:bookmarkStart w:id="239" w:name="_Toc24478"/>
      <w:bookmarkStart w:id="240" w:name="_Toc7035"/>
      <w:r>
        <w:rPr>
          <w:rFonts w:hint="eastAsia" w:ascii="楷体_GB2312" w:hAnsi="楷体_GB2312" w:eastAsia="楷体_GB2312" w:cs="楷体_GB2312"/>
          <w:b w:val="0"/>
          <w:bCs w:val="0"/>
          <w:color w:val="auto"/>
          <w:kern w:val="2"/>
          <w:sz w:val="24"/>
          <w:szCs w:val="24"/>
          <w:highlight w:val="none"/>
          <w:lang w:val="en-US" w:eastAsia="zh-CN" w:bidi="ar-SA"/>
        </w:rPr>
        <w:t>2.2 提供基础资料、施工条件</w:t>
      </w:r>
      <w:bookmarkEnd w:id="234"/>
      <w:bookmarkEnd w:id="235"/>
      <w:bookmarkEnd w:id="236"/>
      <w:bookmarkEnd w:id="237"/>
      <w:bookmarkEnd w:id="238"/>
      <w:bookmarkEnd w:id="239"/>
      <w:bookmarkEnd w:id="240"/>
    </w:p>
    <w:p w14:paraId="6B33159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2.2.1 承包人应当在移交施工场地前向分包人提供分包工程施工所必需的地下管线资料、地质勘察资料、相邻建筑物、构筑物和地下工程等有关基础资料。分包人应对依据前述基础资料所做出的解释和推断负责，但因基础资料存在错误、遗漏导致分包人解释或推断失实的，由承包人承担责任。</w:t>
      </w:r>
    </w:p>
    <w:p w14:paraId="33C92A6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2.2.2 除专用合同条款另有约定外，承包人应最迟于实际开工日期3天前向分包人移交施工场地并提供以下施工条件：</w:t>
      </w:r>
    </w:p>
    <w:p w14:paraId="61474E8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（1）水、电接驳点；</w:t>
      </w:r>
    </w:p>
    <w:p w14:paraId="7FBCCEF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（2）正常施工所需要的进入施工场地的交通条件；</w:t>
      </w:r>
    </w:p>
    <w:p w14:paraId="3778ED9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（3）正常施工所需要的作业面；</w:t>
      </w:r>
    </w:p>
    <w:p w14:paraId="39D4F6E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（4）按照专用合同条款约定应提供的其他设施和条件。</w:t>
      </w:r>
    </w:p>
    <w:p w14:paraId="7BAECF82">
      <w:pPr>
        <w:pageBreakBefore w:val="0"/>
        <w:widowControl w:val="0"/>
        <w:kinsoku/>
        <w:wordWrap w:val="0"/>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向分包人移交施工场地时，承包人和分包人应对全部施工条件和分包工程施工前的工程质量进行检查，并在检查记录上签字确认。施工条件不满足或分包工程施工前的工程质量不合格的，承包人负责完善施工条件或修复相关工程直至质量合格。</w:t>
      </w:r>
    </w:p>
    <w:p w14:paraId="608BDC00">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kern w:val="2"/>
          <w:sz w:val="24"/>
          <w:szCs w:val="24"/>
          <w:highlight w:val="none"/>
          <w:lang w:val="en-US" w:eastAsia="zh-CN" w:bidi="ar-SA"/>
        </w:rPr>
      </w:pPr>
      <w:bookmarkStart w:id="241" w:name="_Toc16993"/>
      <w:bookmarkStart w:id="242" w:name="_Toc10640"/>
      <w:bookmarkStart w:id="243" w:name="_Toc22305"/>
      <w:bookmarkStart w:id="244" w:name="_Toc3335"/>
      <w:bookmarkStart w:id="245" w:name="_Toc371493163"/>
      <w:bookmarkStart w:id="246" w:name="_Toc25172"/>
      <w:bookmarkStart w:id="247" w:name="_Toc3380"/>
      <w:bookmarkStart w:id="248" w:name="_Toc389586317"/>
      <w:r>
        <w:rPr>
          <w:rFonts w:hint="eastAsia" w:ascii="楷体_GB2312" w:hAnsi="楷体_GB2312" w:eastAsia="楷体_GB2312" w:cs="楷体_GB2312"/>
          <w:b w:val="0"/>
          <w:bCs w:val="0"/>
          <w:color w:val="auto"/>
          <w:kern w:val="2"/>
          <w:sz w:val="24"/>
          <w:szCs w:val="24"/>
          <w:highlight w:val="none"/>
          <w:lang w:val="en-US" w:eastAsia="zh-CN" w:bidi="ar-SA"/>
        </w:rPr>
        <w:t>2.3 承包人项目经理</w:t>
      </w:r>
      <w:bookmarkEnd w:id="241"/>
      <w:bookmarkEnd w:id="242"/>
      <w:bookmarkEnd w:id="243"/>
      <w:bookmarkEnd w:id="244"/>
      <w:bookmarkEnd w:id="245"/>
      <w:bookmarkEnd w:id="246"/>
      <w:bookmarkEnd w:id="247"/>
      <w:bookmarkEnd w:id="248"/>
      <w:bookmarkStart w:id="249" w:name="_Toc337558748"/>
      <w:bookmarkStart w:id="250" w:name="_Toc296503047"/>
      <w:bookmarkStart w:id="251" w:name="_Toc296346548"/>
    </w:p>
    <w:bookmarkEnd w:id="249"/>
    <w:bookmarkEnd w:id="250"/>
    <w:bookmarkEnd w:id="251"/>
    <w:p w14:paraId="3B8190D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w:t>
      </w:r>
      <w:r>
        <w:rPr>
          <w:rFonts w:hint="eastAsia" w:ascii="仿宋_GB2312" w:hAnsi="仿宋_GB2312" w:eastAsia="仿宋_GB2312" w:cs="仿宋_GB2312"/>
          <w:color w:val="auto"/>
          <w:spacing w:val="-6"/>
          <w:kern w:val="0"/>
          <w:sz w:val="24"/>
          <w:szCs w:val="24"/>
          <w:highlight w:val="none"/>
        </w:rPr>
        <w:t>范围内的行为由承包人承担责任。承包人更换项目经理的，应提前7天书面通知分包人。</w:t>
      </w:r>
    </w:p>
    <w:p w14:paraId="52AA141E">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kern w:val="2"/>
          <w:sz w:val="24"/>
          <w:szCs w:val="24"/>
          <w:highlight w:val="none"/>
          <w:lang w:val="en-US" w:eastAsia="zh-CN" w:bidi="ar-SA"/>
        </w:rPr>
      </w:pPr>
      <w:bookmarkStart w:id="252" w:name="_Toc919"/>
      <w:bookmarkStart w:id="253" w:name="_Toc16628"/>
      <w:bookmarkStart w:id="254" w:name="_Toc12220"/>
      <w:bookmarkStart w:id="255" w:name="_Toc5764"/>
      <w:bookmarkStart w:id="256" w:name="_Toc389586318"/>
      <w:bookmarkStart w:id="257" w:name="_Toc21839"/>
      <w:bookmarkStart w:id="258" w:name="_Toc371493165"/>
      <w:bookmarkStart w:id="259" w:name="_Toc13817"/>
      <w:r>
        <w:rPr>
          <w:rFonts w:hint="eastAsia" w:ascii="楷体_GB2312" w:hAnsi="楷体_GB2312" w:eastAsia="楷体_GB2312" w:cs="楷体_GB2312"/>
          <w:b w:val="0"/>
          <w:bCs w:val="0"/>
          <w:color w:val="auto"/>
          <w:kern w:val="2"/>
          <w:sz w:val="24"/>
          <w:szCs w:val="24"/>
          <w:highlight w:val="none"/>
          <w:lang w:val="en-US" w:eastAsia="zh-CN" w:bidi="ar-SA"/>
        </w:rPr>
        <w:t>2.4 指令和决定</w:t>
      </w:r>
      <w:bookmarkEnd w:id="252"/>
      <w:bookmarkEnd w:id="253"/>
      <w:bookmarkEnd w:id="254"/>
      <w:bookmarkEnd w:id="255"/>
      <w:bookmarkEnd w:id="256"/>
      <w:bookmarkEnd w:id="257"/>
      <w:bookmarkEnd w:id="258"/>
      <w:bookmarkEnd w:id="259"/>
    </w:p>
    <w:p w14:paraId="667DC9C9">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2.4.1 承包人指令</w:t>
      </w:r>
    </w:p>
    <w:p w14:paraId="5C237B4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就分包工程范围内的工作，承包人随时可以向分包人发出指令，分包人应执行承包人发出的指令，承包人指令违反法律或强制性标准的除外。如果分包人在收到承包人指令后3日内未向承包人提出异议且未执行指令，或者分包人提出异议但在承包人再次确认指令后3日内仍未执行指令的，承包人可委托其它施工单位完成该指令事项，因此发生的费用由分包人承担。</w:t>
      </w:r>
    </w:p>
    <w:p w14:paraId="31D1CE59">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的指令应以书面形式发出。紧急情况下，为了保证施工人员的安全或避免工程受损，承包人可以口头形式发出指令，该指令与书面形式的指令具有同等法律效力，但承包人应在口头指令发出后48小时内补发书面指令，补发的书面指令应与口头指令一致。</w:t>
      </w:r>
    </w:p>
    <w:p w14:paraId="7B014C1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2.4.2 发包人或监理人指令</w:t>
      </w:r>
    </w:p>
    <w:p w14:paraId="25281FC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就分包工程范围内的工作，分包人应接受并执行经承包人确认并转发的发包人或监理人发出的指令。分包人不应接受或执行未经承包人确认的发包人或监理人发出的指令。分包人一旦收到了发包人或监理人直接向分包人发出的指令，应立即将此类指令通知承包人。</w:t>
      </w:r>
    </w:p>
    <w:p w14:paraId="4BA309FB">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黑体" w:hAnsi="黑体" w:eastAsia="黑体" w:cs="黑体"/>
          <w:b w:val="0"/>
          <w:bCs w:val="0"/>
          <w:color w:val="auto"/>
          <w:sz w:val="24"/>
          <w:szCs w:val="24"/>
          <w:highlight w:val="none"/>
        </w:rPr>
      </w:pPr>
      <w:bookmarkStart w:id="260" w:name="_Toc15986"/>
      <w:bookmarkStart w:id="261" w:name="_Toc3054"/>
      <w:bookmarkStart w:id="262" w:name="_Toc8628"/>
      <w:bookmarkStart w:id="263" w:name="_Toc389586319"/>
      <w:bookmarkStart w:id="264" w:name="_Toc371493174"/>
      <w:bookmarkStart w:id="265" w:name="_Toc7978"/>
      <w:bookmarkStart w:id="266" w:name="_Toc7753"/>
      <w:bookmarkStart w:id="267" w:name="_Toc12890"/>
      <w:r>
        <w:rPr>
          <w:rFonts w:hint="eastAsia" w:ascii="黑体" w:hAnsi="黑体" w:eastAsia="黑体" w:cs="黑体"/>
          <w:b w:val="0"/>
          <w:bCs w:val="0"/>
          <w:color w:val="auto"/>
          <w:sz w:val="24"/>
          <w:szCs w:val="24"/>
          <w:highlight w:val="none"/>
        </w:rPr>
        <w:t>3. 分包人</w:t>
      </w:r>
      <w:bookmarkEnd w:id="260"/>
      <w:bookmarkEnd w:id="261"/>
      <w:bookmarkEnd w:id="262"/>
      <w:bookmarkEnd w:id="263"/>
      <w:bookmarkEnd w:id="264"/>
      <w:bookmarkEnd w:id="265"/>
      <w:bookmarkEnd w:id="266"/>
      <w:bookmarkEnd w:id="267"/>
    </w:p>
    <w:p w14:paraId="22D3D562">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268" w:name="_Toc13722"/>
      <w:bookmarkStart w:id="269" w:name="_Toc7258"/>
      <w:bookmarkStart w:id="270" w:name="_Toc389586320"/>
      <w:bookmarkStart w:id="271" w:name="_Toc26755"/>
      <w:bookmarkStart w:id="272" w:name="_Toc13352"/>
      <w:bookmarkStart w:id="273" w:name="_Toc371493175"/>
      <w:bookmarkStart w:id="274" w:name="_Toc32164"/>
      <w:bookmarkStart w:id="275" w:name="_Toc29864"/>
      <w:r>
        <w:rPr>
          <w:rFonts w:hint="eastAsia" w:ascii="楷体_GB2312" w:hAnsi="楷体_GB2312" w:eastAsia="楷体_GB2312" w:cs="楷体_GB2312"/>
          <w:b w:val="0"/>
          <w:bCs w:val="0"/>
          <w:color w:val="auto"/>
          <w:sz w:val="24"/>
          <w:szCs w:val="24"/>
          <w:highlight w:val="none"/>
        </w:rPr>
        <w:t>3.1 分包人的一般义务</w:t>
      </w:r>
      <w:bookmarkEnd w:id="268"/>
      <w:bookmarkEnd w:id="269"/>
      <w:bookmarkEnd w:id="270"/>
      <w:bookmarkEnd w:id="271"/>
      <w:bookmarkEnd w:id="272"/>
      <w:bookmarkEnd w:id="273"/>
      <w:bookmarkEnd w:id="274"/>
      <w:bookmarkEnd w:id="275"/>
    </w:p>
    <w:p w14:paraId="1C9CFA14">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3.1.1 办理专用合同条款约定的与分包工程有关的许可和批准手续。</w:t>
      </w:r>
    </w:p>
    <w:p w14:paraId="340E8E1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3.1.2 按法律规定和分包合同约定完成分包工程，对所有施工作业和施工方法的完备性和安全可靠性负责，并在保修期内履行保修义务。</w:t>
      </w:r>
    </w:p>
    <w:p w14:paraId="5FAF2695">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3.1.3 对施工场地进行查勘，并充分了解分包工程所在地的气象条件、交通条件、风俗习惯以及与履行分包合同有关的其他情况。</w:t>
      </w:r>
    </w:p>
    <w:p w14:paraId="525E359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3.1.4 按照法律规定完成分包工程资料的编写、管理和归档；确保分包工程资料的准确完整。</w:t>
      </w:r>
    </w:p>
    <w:p w14:paraId="36116D3F">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276" w:name="_Toc371493176"/>
      <w:bookmarkStart w:id="277" w:name="_Toc8432"/>
      <w:bookmarkStart w:id="278" w:name="_Toc5749"/>
      <w:bookmarkStart w:id="279" w:name="_Toc24533"/>
      <w:bookmarkStart w:id="280" w:name="_Toc11377"/>
      <w:bookmarkStart w:id="281" w:name="_Toc20582"/>
      <w:bookmarkStart w:id="282" w:name="_Toc9401"/>
      <w:bookmarkStart w:id="283" w:name="_Toc389586321"/>
      <w:r>
        <w:rPr>
          <w:rFonts w:hint="eastAsia" w:ascii="楷体_GB2312" w:hAnsi="楷体_GB2312" w:eastAsia="楷体_GB2312" w:cs="楷体_GB2312"/>
          <w:b w:val="0"/>
          <w:bCs w:val="0"/>
          <w:color w:val="auto"/>
          <w:sz w:val="24"/>
          <w:szCs w:val="24"/>
          <w:highlight w:val="none"/>
        </w:rPr>
        <w:t>3.2 分包人项目经理</w:t>
      </w:r>
      <w:bookmarkEnd w:id="276"/>
      <w:r>
        <w:rPr>
          <w:rFonts w:hint="eastAsia" w:ascii="楷体_GB2312" w:hAnsi="楷体_GB2312" w:eastAsia="楷体_GB2312" w:cs="楷体_GB2312"/>
          <w:b w:val="0"/>
          <w:bCs w:val="0"/>
          <w:color w:val="auto"/>
          <w:sz w:val="24"/>
          <w:szCs w:val="24"/>
          <w:highlight w:val="none"/>
        </w:rPr>
        <w:t>和其他主要项目管理人员</w:t>
      </w:r>
      <w:bookmarkEnd w:id="277"/>
      <w:bookmarkEnd w:id="278"/>
      <w:bookmarkEnd w:id="279"/>
      <w:bookmarkEnd w:id="280"/>
      <w:bookmarkEnd w:id="281"/>
      <w:bookmarkEnd w:id="282"/>
      <w:bookmarkEnd w:id="283"/>
    </w:p>
    <w:p w14:paraId="632A72B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3.2.1 除专用合同条款另有约定外，分包人应在收到开工通知后7天内向承包人提交分包人项目管理机构及施工人员安排的报告。分包人项目管理机构包括分包人项目经理和其他主要项目管理人员。分包合同当事人应在专用合同条款中约定分包人项目经理的姓名、职称、联系方式及授权范围等事项。其他主要项目管理人员的姓名和岗位详见专用合同条款。合同当事人通过招投标方式订立分包合同的，专用合同条款或其附件中载明的分包人项目经理和其他主要项目管理人员应与分包人投标文件保持一致。</w:t>
      </w:r>
    </w:p>
    <w:p w14:paraId="7CF99E5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在收到开工通知后7天内向承包人提交分包人为前述人员缴纳社会保险的有效证明。分包人不提交上述文件的，前述人员无权履行职责，承包人有权要求更换，由此增加的费用和（或）延误的工期由分包人承担。</w:t>
      </w:r>
    </w:p>
    <w:p w14:paraId="3EBB3A75">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3.2.2 分包人项目经理为分包人派驻施工场地的负责人，在分包人授权范围内决定分包合同履行过程中与分包人有关的具体事宜。除专用合同条款另有约定外，分包人项目经理不得同时担任其他项目的项目经理；否则，分包人应按专用合同条款的约定承担违约责任。</w:t>
      </w:r>
    </w:p>
    <w:p w14:paraId="2D44FF4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3.2.3 分包人项目经理和其他主要项目管理人员应常驻施工场地。前述人员因故需要离开施工场地时，应事先取得承包人的书面同意；否则，分包人应按照专用合同条款的约定承担违约责任。</w:t>
      </w:r>
    </w:p>
    <w:p w14:paraId="140EB503">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3.2.4 分包人需要更换分包人项目经理或其他主要项目管理人员的，应提前7天书面通知承包人，并征得承包人书面同意。未经承包人书面同意，分包人不得擅自更换。分包人擅自更换的，应按照专用合同条款的约定承担违约责任。</w:t>
      </w:r>
    </w:p>
    <w:p w14:paraId="5DA9C276">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承包人有权书面通知分包人更换不称职的分包人项目经理或其他主要项目管理人员的，分包人应在接到更换通知后7天内进行更换。分包人无正当理由拒绝更换，应按照专用合同条款的约定承担违约责任。</w:t>
      </w:r>
    </w:p>
    <w:p w14:paraId="6376CD5A">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kern w:val="0"/>
          <w:sz w:val="24"/>
          <w:szCs w:val="24"/>
          <w:highlight w:val="none"/>
        </w:rPr>
      </w:pPr>
      <w:bookmarkStart w:id="284" w:name="_Toc371493177"/>
      <w:bookmarkStart w:id="285" w:name="_Toc351203521"/>
      <w:bookmarkStart w:id="286" w:name="_Toc5596"/>
      <w:bookmarkStart w:id="287" w:name="_Toc19838"/>
      <w:bookmarkStart w:id="288" w:name="_Toc14454"/>
      <w:bookmarkStart w:id="289" w:name="_Toc21643"/>
      <w:bookmarkStart w:id="290" w:name="_Toc3949"/>
      <w:bookmarkStart w:id="291" w:name="_Toc389586322"/>
      <w:bookmarkStart w:id="292" w:name="_Toc15702"/>
      <w:r>
        <w:rPr>
          <w:rFonts w:hint="eastAsia" w:ascii="楷体_GB2312" w:hAnsi="楷体_GB2312" w:eastAsia="楷体_GB2312" w:cs="楷体_GB2312"/>
          <w:b w:val="0"/>
          <w:bCs w:val="0"/>
          <w:color w:val="auto"/>
          <w:sz w:val="24"/>
          <w:szCs w:val="24"/>
          <w:highlight w:val="none"/>
        </w:rPr>
        <w:t>3</w:t>
      </w:r>
      <w:bookmarkStart w:id="293" w:name="_Toc296503048"/>
      <w:bookmarkStart w:id="294" w:name="_Toc296346549"/>
      <w:bookmarkStart w:id="295" w:name="_Toc337558749"/>
      <w:r>
        <w:rPr>
          <w:rFonts w:hint="eastAsia" w:ascii="楷体_GB2312" w:hAnsi="楷体_GB2312" w:eastAsia="楷体_GB2312" w:cs="楷体_GB2312"/>
          <w:b w:val="0"/>
          <w:bCs w:val="0"/>
          <w:color w:val="auto"/>
          <w:sz w:val="24"/>
          <w:szCs w:val="24"/>
          <w:highlight w:val="none"/>
        </w:rPr>
        <w:t>.3</w:t>
      </w:r>
      <w:bookmarkEnd w:id="284"/>
      <w:bookmarkEnd w:id="285"/>
      <w:bookmarkEnd w:id="293"/>
      <w:bookmarkEnd w:id="294"/>
      <w:bookmarkEnd w:id="295"/>
      <w:r>
        <w:rPr>
          <w:rFonts w:hint="eastAsia" w:ascii="楷体_GB2312" w:hAnsi="楷体_GB2312" w:eastAsia="楷体_GB2312" w:cs="楷体_GB2312"/>
          <w:b w:val="0"/>
          <w:bCs w:val="0"/>
          <w:color w:val="auto"/>
          <w:sz w:val="24"/>
          <w:szCs w:val="24"/>
          <w:highlight w:val="none"/>
        </w:rPr>
        <w:t xml:space="preserve"> </w:t>
      </w:r>
      <w:r>
        <w:rPr>
          <w:rFonts w:hint="eastAsia" w:ascii="楷体_GB2312" w:hAnsi="楷体_GB2312" w:eastAsia="楷体_GB2312" w:cs="楷体_GB2312"/>
          <w:b w:val="0"/>
          <w:bCs w:val="0"/>
          <w:color w:val="auto"/>
          <w:kern w:val="0"/>
          <w:sz w:val="24"/>
          <w:szCs w:val="24"/>
          <w:highlight w:val="none"/>
        </w:rPr>
        <w:t>特殊工种上岗作业要求</w:t>
      </w:r>
      <w:bookmarkEnd w:id="286"/>
      <w:bookmarkEnd w:id="287"/>
      <w:bookmarkEnd w:id="288"/>
      <w:bookmarkEnd w:id="289"/>
      <w:bookmarkEnd w:id="290"/>
      <w:bookmarkEnd w:id="291"/>
      <w:bookmarkEnd w:id="292"/>
    </w:p>
    <w:p w14:paraId="2A51BA9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不具备上岗证的，分包人应按专用合同条款的约定承担违约责任。</w:t>
      </w:r>
    </w:p>
    <w:p w14:paraId="6CCA1DDC">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296" w:name="_Toc3286"/>
      <w:bookmarkStart w:id="297" w:name="_Toc2147"/>
      <w:bookmarkStart w:id="298" w:name="_Toc1487"/>
      <w:bookmarkStart w:id="299" w:name="_Toc389586323"/>
      <w:bookmarkStart w:id="300" w:name="_Toc19729"/>
      <w:bookmarkStart w:id="301" w:name="_Toc28197"/>
      <w:bookmarkStart w:id="302" w:name="_Toc32299"/>
      <w:r>
        <w:rPr>
          <w:rFonts w:hint="eastAsia" w:ascii="楷体_GB2312" w:hAnsi="楷体_GB2312" w:eastAsia="楷体_GB2312" w:cs="楷体_GB2312"/>
          <w:b w:val="0"/>
          <w:bCs w:val="0"/>
          <w:color w:val="auto"/>
          <w:sz w:val="24"/>
          <w:szCs w:val="24"/>
          <w:highlight w:val="none"/>
        </w:rPr>
        <w:t>3.4</w:t>
      </w:r>
      <w:bookmarkStart w:id="303" w:name="_Toc351203523"/>
      <w:bookmarkStart w:id="304" w:name="_Toc371493179"/>
      <w:bookmarkStart w:id="305" w:name="_Toc296346552"/>
      <w:bookmarkStart w:id="306" w:name="_Toc296503051"/>
      <w:bookmarkStart w:id="307" w:name="_Toc337558751"/>
      <w:r>
        <w:rPr>
          <w:rFonts w:hint="eastAsia" w:ascii="楷体_GB2312" w:hAnsi="楷体_GB2312" w:eastAsia="楷体_GB2312" w:cs="楷体_GB2312"/>
          <w:b w:val="0"/>
          <w:bCs w:val="0"/>
          <w:color w:val="auto"/>
          <w:sz w:val="24"/>
          <w:szCs w:val="24"/>
          <w:highlight w:val="none"/>
        </w:rPr>
        <w:t xml:space="preserve"> 禁止转包</w:t>
      </w:r>
      <w:bookmarkEnd w:id="303"/>
      <w:r>
        <w:rPr>
          <w:rFonts w:hint="eastAsia" w:ascii="楷体_GB2312" w:hAnsi="楷体_GB2312" w:eastAsia="楷体_GB2312" w:cs="楷体_GB2312"/>
          <w:b w:val="0"/>
          <w:bCs w:val="0"/>
          <w:color w:val="auto"/>
          <w:sz w:val="24"/>
          <w:szCs w:val="24"/>
          <w:highlight w:val="none"/>
        </w:rPr>
        <w:t>和</w:t>
      </w:r>
      <w:bookmarkEnd w:id="304"/>
      <w:r>
        <w:rPr>
          <w:rFonts w:hint="eastAsia" w:ascii="楷体_GB2312" w:hAnsi="楷体_GB2312" w:eastAsia="楷体_GB2312" w:cs="楷体_GB2312"/>
          <w:b w:val="0"/>
          <w:bCs w:val="0"/>
          <w:color w:val="auto"/>
          <w:sz w:val="24"/>
          <w:szCs w:val="24"/>
          <w:highlight w:val="none"/>
        </w:rPr>
        <w:t>再分包</w:t>
      </w:r>
      <w:bookmarkEnd w:id="296"/>
      <w:bookmarkEnd w:id="297"/>
      <w:bookmarkEnd w:id="298"/>
      <w:bookmarkEnd w:id="299"/>
      <w:bookmarkEnd w:id="300"/>
      <w:bookmarkEnd w:id="301"/>
      <w:bookmarkEnd w:id="302"/>
    </w:p>
    <w:bookmarkEnd w:id="305"/>
    <w:bookmarkEnd w:id="306"/>
    <w:bookmarkEnd w:id="307"/>
    <w:p w14:paraId="01E3562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3.4.1 分包人不得将分包工程转包给第三人。分包人转包分包工程的，应按专用合同条款的约定承担违约责任。</w:t>
      </w:r>
    </w:p>
    <w:p w14:paraId="1C61021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3.4.2 分包人不得将分包工程的任何部分违法分包给任何第三人。分包人违法分包工程的，应按专用合同条款的约定承担违约责任。</w:t>
      </w:r>
    </w:p>
    <w:p w14:paraId="76F42F2A">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308" w:name="_Toc3794"/>
      <w:bookmarkStart w:id="309" w:name="_Toc9440"/>
      <w:bookmarkStart w:id="310" w:name="_Toc351203525"/>
      <w:bookmarkStart w:id="311" w:name="_Toc9233"/>
      <w:bookmarkStart w:id="312" w:name="_Toc13995"/>
      <w:bookmarkStart w:id="313" w:name="_Toc389586324"/>
      <w:bookmarkStart w:id="314" w:name="_Toc371493181"/>
      <w:bookmarkStart w:id="315" w:name="_Toc2128"/>
      <w:bookmarkStart w:id="316" w:name="_Toc8574"/>
      <w:r>
        <w:rPr>
          <w:rFonts w:hint="eastAsia" w:ascii="楷体_GB2312" w:hAnsi="楷体_GB2312" w:eastAsia="楷体_GB2312" w:cs="楷体_GB2312"/>
          <w:b w:val="0"/>
          <w:bCs w:val="0"/>
          <w:color w:val="auto"/>
          <w:sz w:val="24"/>
          <w:szCs w:val="24"/>
          <w:highlight w:val="none"/>
        </w:rPr>
        <w:t>3</w:t>
      </w:r>
      <w:bookmarkStart w:id="317" w:name="_Toc296346553"/>
      <w:bookmarkStart w:id="318" w:name="_Toc337558752"/>
      <w:bookmarkStart w:id="319" w:name="_Toc296503052"/>
      <w:r>
        <w:rPr>
          <w:rFonts w:hint="eastAsia" w:ascii="楷体_GB2312" w:hAnsi="楷体_GB2312" w:eastAsia="楷体_GB2312" w:cs="楷体_GB2312"/>
          <w:b w:val="0"/>
          <w:bCs w:val="0"/>
          <w:color w:val="auto"/>
          <w:sz w:val="24"/>
          <w:szCs w:val="24"/>
          <w:highlight w:val="none"/>
        </w:rPr>
        <w:t>.5 履约担保</w:t>
      </w:r>
      <w:bookmarkEnd w:id="308"/>
      <w:bookmarkEnd w:id="309"/>
      <w:bookmarkEnd w:id="310"/>
      <w:bookmarkEnd w:id="311"/>
      <w:bookmarkEnd w:id="312"/>
      <w:bookmarkEnd w:id="313"/>
      <w:bookmarkEnd w:id="314"/>
      <w:bookmarkEnd w:id="315"/>
      <w:bookmarkEnd w:id="316"/>
    </w:p>
    <w:bookmarkEnd w:id="317"/>
    <w:bookmarkEnd w:id="318"/>
    <w:bookmarkEnd w:id="319"/>
    <w:p w14:paraId="52C5B0F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承包人需要分包人提供履约担保的，由合同当事人在专用合同条款中约定履约担保的方式、金额及期限等。</w:t>
      </w:r>
    </w:p>
    <w:p w14:paraId="64E7174C">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320" w:name="_Toc31740"/>
      <w:bookmarkStart w:id="321" w:name="_Toc371493182"/>
      <w:bookmarkStart w:id="322" w:name="_Toc3408"/>
      <w:bookmarkStart w:id="323" w:name="_Toc23477"/>
      <w:bookmarkStart w:id="324" w:name="_Toc7872"/>
      <w:bookmarkStart w:id="325" w:name="_Toc351203526"/>
      <w:bookmarkStart w:id="326" w:name="_Toc12400"/>
      <w:bookmarkStart w:id="327" w:name="_Toc5420"/>
      <w:bookmarkStart w:id="328" w:name="_Toc389586325"/>
      <w:r>
        <w:rPr>
          <w:rFonts w:hint="eastAsia" w:ascii="楷体_GB2312" w:hAnsi="楷体_GB2312" w:eastAsia="楷体_GB2312" w:cs="楷体_GB2312"/>
          <w:b w:val="0"/>
          <w:bCs w:val="0"/>
          <w:color w:val="auto"/>
          <w:sz w:val="24"/>
          <w:szCs w:val="24"/>
          <w:highlight w:val="none"/>
        </w:rPr>
        <w:t>3.6 联合体</w:t>
      </w:r>
      <w:bookmarkEnd w:id="320"/>
      <w:bookmarkEnd w:id="321"/>
      <w:bookmarkEnd w:id="322"/>
      <w:bookmarkEnd w:id="323"/>
      <w:bookmarkEnd w:id="324"/>
      <w:bookmarkEnd w:id="325"/>
      <w:bookmarkEnd w:id="326"/>
      <w:bookmarkEnd w:id="327"/>
      <w:bookmarkEnd w:id="328"/>
    </w:p>
    <w:p w14:paraId="5EECF33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3.6.1 联合体各方应共同与承包人签订合同协议书；联合体各方应为履行分包合同向承包人承担连带责任。</w:t>
      </w:r>
    </w:p>
    <w:p w14:paraId="3E71CCE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3.6.2 联合体协议经承包人确认后作为专用合同条款附件。在履行分包合同过程中，未经承包人书面同意，不得修改联合体协议。</w:t>
      </w:r>
    </w:p>
    <w:p w14:paraId="07056CB8">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329" w:name="_Toc32019"/>
      <w:bookmarkStart w:id="330" w:name="_Toc16954"/>
      <w:bookmarkStart w:id="331" w:name="_Toc13637"/>
      <w:bookmarkStart w:id="332" w:name="_Toc371493183"/>
      <w:bookmarkStart w:id="333" w:name="_Toc27158"/>
      <w:bookmarkStart w:id="334" w:name="_Toc29977"/>
      <w:bookmarkStart w:id="335" w:name="_Toc10379"/>
      <w:bookmarkStart w:id="336" w:name="_Toc389586326"/>
      <w:bookmarkStart w:id="337" w:name="_Toc351203527"/>
      <w:r>
        <w:rPr>
          <w:rFonts w:hint="eastAsia" w:ascii="黑体" w:hAnsi="黑体" w:eastAsia="黑体" w:cs="黑体"/>
          <w:b w:val="0"/>
          <w:bCs w:val="0"/>
          <w:color w:val="auto"/>
          <w:sz w:val="24"/>
          <w:szCs w:val="24"/>
          <w:highlight w:val="none"/>
        </w:rPr>
        <w:t>4. 总包合同</w:t>
      </w:r>
      <w:bookmarkEnd w:id="329"/>
      <w:bookmarkEnd w:id="330"/>
      <w:bookmarkEnd w:id="331"/>
      <w:bookmarkEnd w:id="332"/>
      <w:bookmarkEnd w:id="333"/>
      <w:bookmarkEnd w:id="334"/>
      <w:bookmarkEnd w:id="335"/>
      <w:bookmarkEnd w:id="336"/>
    </w:p>
    <w:p w14:paraId="0397FD40">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338" w:name="_Toc371493184"/>
      <w:bookmarkStart w:id="339" w:name="_Toc8303"/>
      <w:bookmarkStart w:id="340" w:name="_Toc25031"/>
      <w:bookmarkStart w:id="341" w:name="_Toc15545"/>
      <w:bookmarkStart w:id="342" w:name="_Toc5645"/>
      <w:bookmarkStart w:id="343" w:name="_Toc15086"/>
      <w:bookmarkStart w:id="344" w:name="_Toc19507"/>
      <w:bookmarkStart w:id="345" w:name="_Toc389586327"/>
      <w:r>
        <w:rPr>
          <w:rFonts w:hint="eastAsia" w:ascii="楷体_GB2312" w:hAnsi="楷体_GB2312" w:eastAsia="楷体_GB2312" w:cs="楷体_GB2312"/>
          <w:b w:val="0"/>
          <w:bCs w:val="0"/>
          <w:color w:val="auto"/>
          <w:sz w:val="24"/>
          <w:szCs w:val="24"/>
          <w:highlight w:val="none"/>
        </w:rPr>
        <w:t xml:space="preserve">4.1 </w:t>
      </w:r>
      <w:bookmarkEnd w:id="338"/>
      <w:r>
        <w:rPr>
          <w:rFonts w:hint="eastAsia" w:ascii="楷体_GB2312" w:hAnsi="楷体_GB2312" w:eastAsia="楷体_GB2312" w:cs="楷体_GB2312"/>
          <w:b w:val="0"/>
          <w:bCs w:val="0"/>
          <w:color w:val="auto"/>
          <w:sz w:val="24"/>
          <w:szCs w:val="24"/>
          <w:highlight w:val="none"/>
        </w:rPr>
        <w:t>总包合同的提供</w:t>
      </w:r>
      <w:bookmarkEnd w:id="339"/>
      <w:bookmarkEnd w:id="340"/>
      <w:bookmarkEnd w:id="341"/>
      <w:bookmarkEnd w:id="342"/>
      <w:bookmarkEnd w:id="343"/>
      <w:bookmarkEnd w:id="344"/>
      <w:bookmarkEnd w:id="345"/>
    </w:p>
    <w:p w14:paraId="0D86ACA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提供总包合同供分包人查阅，并且在分包人要求时向分包人提供一份总包合同复印件，但有关总包工程价格及支付内容除外。分包人应仔细阅读并全面了解总包合同的各项约定，分包合同的签订视为分包人完全知悉承包人在总包合同项下与分包工程有关的义务和责任。</w:t>
      </w:r>
    </w:p>
    <w:p w14:paraId="2C374E38">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346" w:name="_Toc371493185"/>
      <w:bookmarkStart w:id="347" w:name="_Toc30584"/>
      <w:bookmarkStart w:id="348" w:name="_Toc7176"/>
      <w:bookmarkStart w:id="349" w:name="_Toc10900"/>
      <w:bookmarkStart w:id="350" w:name="_Toc5932"/>
      <w:bookmarkStart w:id="351" w:name="_Toc30620"/>
      <w:bookmarkStart w:id="352" w:name="_Toc389586328"/>
      <w:bookmarkStart w:id="353" w:name="_Toc792"/>
      <w:r>
        <w:rPr>
          <w:rFonts w:hint="eastAsia" w:ascii="楷体_GB2312" w:hAnsi="楷体_GB2312" w:eastAsia="楷体_GB2312" w:cs="楷体_GB2312"/>
          <w:b w:val="0"/>
          <w:bCs w:val="0"/>
          <w:color w:val="auto"/>
          <w:sz w:val="24"/>
          <w:szCs w:val="24"/>
          <w:highlight w:val="none"/>
        </w:rPr>
        <w:t xml:space="preserve">4.2 </w:t>
      </w:r>
      <w:bookmarkEnd w:id="346"/>
      <w:r>
        <w:rPr>
          <w:rFonts w:hint="eastAsia" w:ascii="楷体_GB2312" w:hAnsi="楷体_GB2312" w:eastAsia="楷体_GB2312" w:cs="楷体_GB2312"/>
          <w:b w:val="0"/>
          <w:bCs w:val="0"/>
          <w:color w:val="auto"/>
          <w:sz w:val="24"/>
          <w:szCs w:val="24"/>
          <w:highlight w:val="none"/>
        </w:rPr>
        <w:t>与总包合同有关的分包人义务</w:t>
      </w:r>
      <w:bookmarkEnd w:id="347"/>
      <w:bookmarkEnd w:id="348"/>
      <w:bookmarkEnd w:id="349"/>
      <w:bookmarkEnd w:id="350"/>
      <w:bookmarkEnd w:id="351"/>
      <w:bookmarkEnd w:id="352"/>
      <w:bookmarkEnd w:id="353"/>
    </w:p>
    <w:p w14:paraId="785EE09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分包人应履行总包合同中与分包工程有关的承包人的所有义务，但分包合同明确约定由承包人履行的义务除外。分包人应避免因其自身行为或疏忽造成承包人违反总包合同约定。</w:t>
      </w:r>
    </w:p>
    <w:bookmarkEnd w:id="337"/>
    <w:p w14:paraId="5C65DAE0">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354" w:name="_Toc32084"/>
      <w:bookmarkStart w:id="355" w:name="_Toc2823"/>
      <w:bookmarkStart w:id="356" w:name="_Toc8777"/>
      <w:bookmarkStart w:id="357" w:name="_Toc26494"/>
      <w:bookmarkStart w:id="358" w:name="_Toc7608"/>
      <w:bookmarkStart w:id="359" w:name="_Toc351203532"/>
      <w:bookmarkStart w:id="360" w:name="_Toc4950"/>
      <w:bookmarkStart w:id="361" w:name="_Toc389586329"/>
      <w:bookmarkStart w:id="362" w:name="_Toc371493187"/>
      <w:bookmarkStart w:id="363" w:name="_Toc337558758"/>
      <w:r>
        <w:rPr>
          <w:rFonts w:hint="eastAsia" w:ascii="黑体" w:hAnsi="黑体" w:eastAsia="黑体" w:cs="黑体"/>
          <w:b w:val="0"/>
          <w:bCs w:val="0"/>
          <w:color w:val="auto"/>
          <w:sz w:val="24"/>
          <w:szCs w:val="24"/>
          <w:highlight w:val="none"/>
        </w:rPr>
        <w:t>5. 分包工程质量</w:t>
      </w:r>
      <w:bookmarkEnd w:id="354"/>
      <w:bookmarkEnd w:id="355"/>
      <w:bookmarkEnd w:id="356"/>
      <w:bookmarkEnd w:id="357"/>
      <w:bookmarkEnd w:id="358"/>
      <w:bookmarkEnd w:id="359"/>
      <w:bookmarkEnd w:id="360"/>
      <w:bookmarkEnd w:id="361"/>
      <w:bookmarkEnd w:id="362"/>
    </w:p>
    <w:bookmarkEnd w:id="363"/>
    <w:p w14:paraId="41D69E1F">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364" w:name="_Toc2577"/>
      <w:bookmarkStart w:id="365" w:name="_Toc25925"/>
      <w:bookmarkStart w:id="366" w:name="_Toc389586330"/>
      <w:bookmarkStart w:id="367" w:name="_Toc29547"/>
      <w:bookmarkStart w:id="368" w:name="_Toc351203533"/>
      <w:bookmarkStart w:id="369" w:name="_Toc9724"/>
      <w:bookmarkStart w:id="370" w:name="_Toc6581"/>
      <w:bookmarkStart w:id="371" w:name="_Toc371493188"/>
      <w:bookmarkStart w:id="372" w:name="_Toc16608"/>
      <w:bookmarkStart w:id="373" w:name="_Toc337558759"/>
      <w:r>
        <w:rPr>
          <w:rFonts w:hint="eastAsia" w:ascii="楷体_GB2312" w:hAnsi="楷体_GB2312" w:eastAsia="楷体_GB2312" w:cs="楷体_GB2312"/>
          <w:b w:val="0"/>
          <w:bCs w:val="0"/>
          <w:color w:val="auto"/>
          <w:sz w:val="24"/>
          <w:szCs w:val="24"/>
          <w:highlight w:val="none"/>
        </w:rPr>
        <w:t>5.1 质量要求</w:t>
      </w:r>
      <w:bookmarkEnd w:id="364"/>
      <w:bookmarkEnd w:id="365"/>
      <w:bookmarkEnd w:id="366"/>
      <w:bookmarkEnd w:id="367"/>
      <w:bookmarkEnd w:id="368"/>
      <w:bookmarkEnd w:id="369"/>
      <w:bookmarkEnd w:id="370"/>
      <w:bookmarkEnd w:id="371"/>
      <w:bookmarkEnd w:id="372"/>
    </w:p>
    <w:bookmarkEnd w:id="373"/>
    <w:p w14:paraId="4771B6F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质量必须符合国家、行业及工程所在地的强制性技术标准和要求，同时应符合总包合同约定的质量标准。除分包合同协议书约定的质量标准外，有关分包工程质量的特殊标准或要求可以由分包合同当事人在专用合同条款中约定。</w:t>
      </w:r>
    </w:p>
    <w:p w14:paraId="55B83290">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374" w:name="_Toc6025"/>
      <w:bookmarkStart w:id="375" w:name="_Toc6302"/>
      <w:bookmarkStart w:id="376" w:name="_Toc389586331"/>
      <w:bookmarkStart w:id="377" w:name="_Toc21150"/>
      <w:bookmarkStart w:id="378" w:name="_Toc9012"/>
      <w:bookmarkStart w:id="379" w:name="_Toc11622"/>
      <w:bookmarkStart w:id="380" w:name="_Toc4010"/>
      <w:r>
        <w:rPr>
          <w:rFonts w:hint="eastAsia" w:ascii="楷体_GB2312" w:hAnsi="楷体_GB2312" w:eastAsia="楷体_GB2312" w:cs="楷体_GB2312"/>
          <w:b w:val="0"/>
          <w:bCs w:val="0"/>
          <w:color w:val="auto"/>
          <w:sz w:val="24"/>
          <w:szCs w:val="24"/>
          <w:highlight w:val="none"/>
        </w:rPr>
        <w:t>5.2 分包人的质量管理</w:t>
      </w:r>
      <w:bookmarkEnd w:id="374"/>
      <w:bookmarkEnd w:id="375"/>
      <w:bookmarkEnd w:id="376"/>
      <w:bookmarkEnd w:id="377"/>
      <w:bookmarkEnd w:id="378"/>
      <w:bookmarkEnd w:id="379"/>
      <w:bookmarkEnd w:id="380"/>
    </w:p>
    <w:p w14:paraId="5419AFC8">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分包人应按照第7.1款【施工组织】向承包人提交分包工程质量保证体系及措施文件，建立完善的质量检查制度并严格执行。</w:t>
      </w:r>
    </w:p>
    <w:p w14:paraId="77D5073E">
      <w:pPr>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5.3 不合格工程的处理</w:t>
      </w:r>
    </w:p>
    <w:p w14:paraId="195EF93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5.3.1 因分包人原因造成分包工程不合格的，承包人有权随时要求分包人采取补救措施，直至达到分包合同要求的质量标准，由此增加的费用和（或）延误的工期由分包人承担。无法采取措施补救的，按照第18.2款【拒绝接收全部或部分分包工程】执行。</w:t>
      </w:r>
    </w:p>
    <w:p w14:paraId="65E0A9B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5.3.2 因承包人原因造成分包工程不合格的，分包人应采取补救措施，由此增加的费用和（或）延误的工期由承包人承担，并支付分包人合理的利润。</w:t>
      </w:r>
    </w:p>
    <w:p w14:paraId="16A9D3A3">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381" w:name="_Toc351203538"/>
      <w:bookmarkStart w:id="382" w:name="_Toc21087"/>
      <w:bookmarkStart w:id="383" w:name="_Toc371493192"/>
      <w:bookmarkStart w:id="384" w:name="_Toc5205"/>
      <w:bookmarkStart w:id="385" w:name="_Toc32351"/>
      <w:bookmarkStart w:id="386" w:name="_Toc21202"/>
      <w:bookmarkStart w:id="387" w:name="_Toc389586334"/>
      <w:bookmarkStart w:id="388" w:name="_Toc10141"/>
      <w:bookmarkStart w:id="389" w:name="_Toc21766"/>
      <w:bookmarkStart w:id="390" w:name="_Toc337558763"/>
      <w:r>
        <w:rPr>
          <w:rFonts w:hint="eastAsia" w:ascii="黑体" w:hAnsi="黑体" w:eastAsia="黑体" w:cs="黑体"/>
          <w:b w:val="0"/>
          <w:bCs w:val="0"/>
          <w:color w:val="auto"/>
          <w:sz w:val="24"/>
          <w:szCs w:val="24"/>
          <w:highlight w:val="none"/>
        </w:rPr>
        <w:t>6. 安全文明施工、环境保护</w:t>
      </w:r>
      <w:bookmarkEnd w:id="381"/>
      <w:r>
        <w:rPr>
          <w:rFonts w:hint="eastAsia" w:ascii="黑体" w:hAnsi="黑体" w:eastAsia="黑体" w:cs="黑体"/>
          <w:b w:val="0"/>
          <w:bCs w:val="0"/>
          <w:color w:val="auto"/>
          <w:sz w:val="24"/>
          <w:szCs w:val="24"/>
          <w:highlight w:val="none"/>
        </w:rPr>
        <w:t>与劳动用工管理</w:t>
      </w:r>
      <w:bookmarkEnd w:id="382"/>
      <w:bookmarkEnd w:id="383"/>
      <w:bookmarkEnd w:id="384"/>
      <w:bookmarkEnd w:id="385"/>
      <w:bookmarkEnd w:id="386"/>
      <w:bookmarkEnd w:id="387"/>
      <w:bookmarkEnd w:id="388"/>
      <w:bookmarkEnd w:id="389"/>
    </w:p>
    <w:bookmarkEnd w:id="390"/>
    <w:p w14:paraId="32EB90A5">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391" w:name="_Toc389586335"/>
      <w:bookmarkStart w:id="392" w:name="_Toc351203539"/>
      <w:bookmarkStart w:id="393" w:name="_Toc31746"/>
      <w:bookmarkStart w:id="394" w:name="_Toc371493193"/>
      <w:bookmarkStart w:id="395" w:name="_Toc17563"/>
      <w:bookmarkStart w:id="396" w:name="_Toc6135"/>
      <w:bookmarkStart w:id="397" w:name="_Toc7587"/>
      <w:bookmarkStart w:id="398" w:name="_Toc2521"/>
      <w:bookmarkStart w:id="399" w:name="_Toc12096"/>
      <w:bookmarkStart w:id="400" w:name="_Toc337558764"/>
      <w:r>
        <w:rPr>
          <w:rFonts w:hint="eastAsia" w:ascii="楷体_GB2312" w:hAnsi="楷体_GB2312" w:eastAsia="楷体_GB2312" w:cs="楷体_GB2312"/>
          <w:b w:val="0"/>
          <w:bCs w:val="0"/>
          <w:color w:val="auto"/>
          <w:sz w:val="24"/>
          <w:szCs w:val="24"/>
          <w:highlight w:val="none"/>
        </w:rPr>
        <w:t>6.1 安全文明施工</w:t>
      </w:r>
      <w:bookmarkEnd w:id="391"/>
      <w:bookmarkEnd w:id="392"/>
      <w:bookmarkEnd w:id="393"/>
      <w:bookmarkEnd w:id="394"/>
      <w:bookmarkEnd w:id="395"/>
      <w:bookmarkEnd w:id="396"/>
      <w:bookmarkEnd w:id="397"/>
      <w:bookmarkEnd w:id="398"/>
      <w:bookmarkEnd w:id="399"/>
    </w:p>
    <w:bookmarkEnd w:id="400"/>
    <w:p w14:paraId="2DACE22E">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6.1.1 安全文明施工</w:t>
      </w:r>
    </w:p>
    <w:p w14:paraId="7DAFAF45">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承包人和分包人应按法律和分包合同</w:t>
      </w:r>
      <w:r>
        <w:rPr>
          <w:rFonts w:hint="eastAsia" w:ascii="仿宋_GB2312" w:hAnsi="仿宋_GB2312" w:eastAsia="仿宋_GB2312" w:cs="仿宋_GB2312"/>
          <w:color w:val="auto"/>
          <w:kern w:val="0"/>
          <w:sz w:val="24"/>
          <w:szCs w:val="24"/>
          <w:highlight w:val="none"/>
        </w:rPr>
        <w:t>采取</w:t>
      </w:r>
      <w:r>
        <w:rPr>
          <w:rFonts w:hint="eastAsia" w:ascii="仿宋_GB2312" w:hAnsi="仿宋_GB2312" w:eastAsia="仿宋_GB2312" w:cs="仿宋_GB2312"/>
          <w:color w:val="auto"/>
          <w:sz w:val="24"/>
          <w:szCs w:val="24"/>
          <w:highlight w:val="none"/>
        </w:rPr>
        <w:t>安全文明施工措施并</w:t>
      </w:r>
      <w:r>
        <w:rPr>
          <w:rFonts w:hint="eastAsia" w:ascii="仿宋_GB2312" w:hAnsi="仿宋_GB2312" w:eastAsia="仿宋_GB2312" w:cs="仿宋_GB2312"/>
          <w:color w:val="auto"/>
          <w:kern w:val="0"/>
          <w:sz w:val="24"/>
          <w:szCs w:val="24"/>
          <w:highlight w:val="none"/>
        </w:rPr>
        <w:t>履行安全文明管理义务</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承包人应向分包人进行安全文明施工措施的详细交底</w:t>
      </w:r>
      <w:r>
        <w:rPr>
          <w:rFonts w:hint="eastAsia" w:ascii="仿宋_GB2312" w:hAnsi="仿宋_GB2312" w:eastAsia="仿宋_GB2312" w:cs="仿宋_GB2312"/>
          <w:color w:val="auto"/>
          <w:sz w:val="24"/>
          <w:szCs w:val="24"/>
          <w:highlight w:val="none"/>
        </w:rPr>
        <w:t>。因安全文明施工措施不到位而发生的安全生产事故由责任方承担责任</w:t>
      </w:r>
      <w:r>
        <w:rPr>
          <w:rFonts w:hint="eastAsia" w:ascii="仿宋_GB2312" w:hAnsi="仿宋_GB2312" w:eastAsia="仿宋_GB2312" w:cs="仿宋_GB2312"/>
          <w:color w:val="auto"/>
          <w:kern w:val="0"/>
          <w:sz w:val="24"/>
          <w:szCs w:val="24"/>
          <w:highlight w:val="none"/>
        </w:rPr>
        <w:t>。</w:t>
      </w:r>
    </w:p>
    <w:p w14:paraId="2DF7DC00">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对安全文明施工费应专款专用，并应在财务账目中单独列项备查，不得挪作他用，否则承包人有权责令其限期改正；逾期未改正的，承包人有权责令分包人暂停施工，由此增加的费用和（或）延误的工期由分包人承担。</w:t>
      </w:r>
    </w:p>
    <w:p w14:paraId="1A2F90F5">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6.1.2 安全保卫</w:t>
      </w:r>
    </w:p>
    <w:p w14:paraId="36B68FF8">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应负责分包工程施工期间施工场地的安全保卫工作，分包人应予以配合。在施工场地或生活区发生突发事件的，分包人应积极协助承包人、发包人和当地有关部门采取措施平息事态，尽量避免人员伤亡和财产损失。</w:t>
      </w:r>
    </w:p>
    <w:p w14:paraId="2859DB4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6.1.3 事故处理</w:t>
      </w:r>
    </w:p>
    <w:p w14:paraId="3C58BF3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照法律及时向有关部门报告事故有关情况。</w:t>
      </w:r>
    </w:p>
    <w:p w14:paraId="05A376F8">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401" w:name="_Toc18253"/>
      <w:bookmarkStart w:id="402" w:name="_Toc371493194"/>
      <w:bookmarkStart w:id="403" w:name="_Toc22130"/>
      <w:bookmarkStart w:id="404" w:name="_Toc30842"/>
      <w:bookmarkStart w:id="405" w:name="_Toc16785"/>
      <w:bookmarkStart w:id="406" w:name="_Toc18948"/>
      <w:bookmarkStart w:id="407" w:name="_Toc389586336"/>
      <w:bookmarkStart w:id="408" w:name="_Toc351203541"/>
      <w:bookmarkStart w:id="409" w:name="_Toc1393"/>
      <w:bookmarkStart w:id="410" w:name="_Toc337558766"/>
      <w:r>
        <w:rPr>
          <w:rFonts w:hint="eastAsia" w:ascii="楷体_GB2312" w:hAnsi="楷体_GB2312" w:eastAsia="楷体_GB2312" w:cs="楷体_GB2312"/>
          <w:b w:val="0"/>
          <w:bCs w:val="0"/>
          <w:color w:val="auto"/>
          <w:sz w:val="24"/>
          <w:szCs w:val="24"/>
          <w:highlight w:val="none"/>
        </w:rPr>
        <w:t>6.2 环境保护</w:t>
      </w:r>
      <w:bookmarkEnd w:id="401"/>
      <w:bookmarkEnd w:id="402"/>
      <w:bookmarkEnd w:id="403"/>
      <w:bookmarkEnd w:id="404"/>
      <w:bookmarkEnd w:id="405"/>
      <w:bookmarkEnd w:id="406"/>
      <w:bookmarkEnd w:id="407"/>
      <w:bookmarkEnd w:id="408"/>
      <w:bookmarkEnd w:id="409"/>
    </w:p>
    <w:bookmarkEnd w:id="410"/>
    <w:p w14:paraId="27135F0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分包人应在施工组织设计中列明环境保护的具体措施。分包人应按经承包人批准的施工组织设计采取环境保护具体措施，防止环境损害和环境污染。分包人应当承担因其原因引起的环境污染责任。</w:t>
      </w:r>
    </w:p>
    <w:p w14:paraId="0E53554E">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411" w:name="_Toc351203540"/>
      <w:bookmarkStart w:id="412" w:name="_Toc21420"/>
      <w:bookmarkStart w:id="413" w:name="_Toc9452"/>
      <w:bookmarkStart w:id="414" w:name="_Toc30352"/>
      <w:bookmarkStart w:id="415" w:name="_Toc389586337"/>
      <w:bookmarkStart w:id="416" w:name="_Toc18760"/>
      <w:bookmarkStart w:id="417" w:name="_Toc12384"/>
      <w:bookmarkStart w:id="418" w:name="_Toc5102"/>
      <w:bookmarkStart w:id="419" w:name="_Toc371493195"/>
      <w:bookmarkStart w:id="420" w:name="_Toc337558765"/>
      <w:r>
        <w:rPr>
          <w:rFonts w:hint="eastAsia" w:ascii="楷体_GB2312" w:hAnsi="楷体_GB2312" w:eastAsia="楷体_GB2312" w:cs="楷体_GB2312"/>
          <w:b w:val="0"/>
          <w:bCs w:val="0"/>
          <w:color w:val="auto"/>
          <w:sz w:val="24"/>
          <w:szCs w:val="24"/>
          <w:highlight w:val="none"/>
        </w:rPr>
        <w:t xml:space="preserve">6.3 </w:t>
      </w:r>
      <w:bookmarkEnd w:id="411"/>
      <w:r>
        <w:rPr>
          <w:rFonts w:hint="eastAsia" w:ascii="楷体_GB2312" w:hAnsi="楷体_GB2312" w:eastAsia="楷体_GB2312" w:cs="楷体_GB2312"/>
          <w:b w:val="0"/>
          <w:bCs w:val="0"/>
          <w:color w:val="auto"/>
          <w:sz w:val="24"/>
          <w:szCs w:val="24"/>
          <w:highlight w:val="none"/>
        </w:rPr>
        <w:t>劳动用工管理</w:t>
      </w:r>
      <w:bookmarkEnd w:id="412"/>
      <w:bookmarkEnd w:id="413"/>
      <w:bookmarkEnd w:id="414"/>
      <w:bookmarkEnd w:id="415"/>
      <w:bookmarkEnd w:id="416"/>
      <w:bookmarkEnd w:id="417"/>
      <w:bookmarkEnd w:id="418"/>
      <w:bookmarkEnd w:id="419"/>
    </w:p>
    <w:bookmarkEnd w:id="420"/>
    <w:p w14:paraId="6B13693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6.3.1 分包人应</w:t>
      </w:r>
      <w:r>
        <w:rPr>
          <w:rFonts w:hint="eastAsia" w:ascii="仿宋_GB2312" w:hAnsi="仿宋_GB2312" w:eastAsia="仿宋_GB2312" w:cs="仿宋_GB2312"/>
          <w:color w:val="auto"/>
          <w:sz w:val="24"/>
          <w:szCs w:val="24"/>
          <w:highlight w:val="none"/>
          <w:lang w:val="zh-CN"/>
        </w:rPr>
        <w:t>严格遵照《劳动合同法》等法律法规的有关要求，</w:t>
      </w:r>
      <w:r>
        <w:rPr>
          <w:rFonts w:hint="eastAsia" w:ascii="仿宋_GB2312" w:hAnsi="仿宋_GB2312" w:eastAsia="仿宋_GB2312" w:cs="仿宋_GB2312"/>
          <w:color w:val="auto"/>
          <w:kern w:val="0"/>
          <w:sz w:val="24"/>
          <w:szCs w:val="24"/>
          <w:highlight w:val="none"/>
        </w:rPr>
        <w:t>与其履行分包合同而雇佣的人员建立劳动关系或其他合法用人关系，并按法律规定保障劳动者的各项权利，包括且不限于须购买各类工伤、养老等社会保险。</w:t>
      </w:r>
      <w:r>
        <w:rPr>
          <w:rFonts w:hint="eastAsia" w:ascii="仿宋_GB2312" w:hAnsi="仿宋_GB2312" w:eastAsia="仿宋_GB2312" w:cs="仿宋_GB2312"/>
          <w:color w:val="auto"/>
          <w:kern w:val="0"/>
          <w:sz w:val="24"/>
          <w:szCs w:val="24"/>
          <w:highlight w:val="none"/>
          <w:lang w:val="zh-CN"/>
        </w:rPr>
        <w:t>在工程施工过程中，分包人应尽量保证人员相对稳定，不能随意变更备案人员，服从工程承包人的统筹安排，统一调动。如需要人员变更，应提前会知工程承包人，并及时将变更后的备案人员报给工程承包人。</w:t>
      </w:r>
    </w:p>
    <w:p w14:paraId="79FAC6B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6.3.2 分包人获得的工程款应优先支付分包人雇佣人员的劳动报酬和劳务分包单位的劳务费用。分包人拖欠前述劳动报酬或劳务费用给本项目造成不利影响的，分包人应按照专用合同条款的约定承担违约责任。 </w:t>
      </w:r>
    </w:p>
    <w:p w14:paraId="314BC252">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421" w:name="_Toc389586338"/>
      <w:bookmarkStart w:id="422" w:name="_Toc8513"/>
      <w:bookmarkStart w:id="423" w:name="_Toc8730"/>
      <w:bookmarkStart w:id="424" w:name="_Toc10878"/>
      <w:bookmarkStart w:id="425" w:name="_Toc13421"/>
      <w:bookmarkStart w:id="426" w:name="_Toc371493196"/>
      <w:bookmarkStart w:id="427" w:name="_Toc351203542"/>
      <w:bookmarkStart w:id="428" w:name="_Toc3487"/>
      <w:bookmarkStart w:id="429" w:name="_Toc12828"/>
      <w:bookmarkStart w:id="430" w:name="_Toc337558767"/>
      <w:r>
        <w:rPr>
          <w:rFonts w:hint="eastAsia" w:ascii="黑体" w:hAnsi="黑体" w:eastAsia="黑体" w:cs="黑体"/>
          <w:b w:val="0"/>
          <w:bCs w:val="0"/>
          <w:color w:val="auto"/>
          <w:sz w:val="24"/>
          <w:szCs w:val="24"/>
          <w:highlight w:val="none"/>
        </w:rPr>
        <w:t>7.工期和进度</w:t>
      </w:r>
      <w:bookmarkEnd w:id="421"/>
      <w:bookmarkEnd w:id="422"/>
      <w:bookmarkEnd w:id="423"/>
      <w:bookmarkEnd w:id="424"/>
      <w:bookmarkEnd w:id="425"/>
      <w:bookmarkEnd w:id="426"/>
      <w:bookmarkEnd w:id="427"/>
      <w:bookmarkEnd w:id="428"/>
      <w:bookmarkEnd w:id="429"/>
    </w:p>
    <w:bookmarkEnd w:id="430"/>
    <w:p w14:paraId="734A3BB1">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431" w:name="_Toc351203543"/>
      <w:bookmarkStart w:id="432" w:name="_Toc18971"/>
      <w:bookmarkStart w:id="433" w:name="_Toc18006"/>
      <w:bookmarkStart w:id="434" w:name="_Toc3181"/>
      <w:bookmarkStart w:id="435" w:name="_Toc26352"/>
      <w:bookmarkStart w:id="436" w:name="_Toc8294"/>
      <w:bookmarkStart w:id="437" w:name="_Toc371493197"/>
      <w:bookmarkStart w:id="438" w:name="_Toc389586339"/>
      <w:bookmarkStart w:id="439" w:name="_Toc997"/>
      <w:bookmarkStart w:id="440" w:name="_Toc337558768"/>
      <w:bookmarkStart w:id="441" w:name="_Toc296503066"/>
      <w:bookmarkStart w:id="442" w:name="_Toc296346567"/>
      <w:r>
        <w:rPr>
          <w:rFonts w:hint="eastAsia" w:ascii="楷体_GB2312" w:hAnsi="楷体_GB2312" w:eastAsia="楷体_GB2312" w:cs="楷体_GB2312"/>
          <w:b w:val="0"/>
          <w:bCs w:val="0"/>
          <w:color w:val="auto"/>
          <w:sz w:val="24"/>
          <w:szCs w:val="24"/>
          <w:highlight w:val="none"/>
        </w:rPr>
        <w:t>7.1 施工组织</w:t>
      </w:r>
      <w:bookmarkEnd w:id="431"/>
      <w:bookmarkEnd w:id="432"/>
      <w:bookmarkEnd w:id="433"/>
      <w:bookmarkEnd w:id="434"/>
      <w:bookmarkEnd w:id="435"/>
      <w:bookmarkEnd w:id="436"/>
      <w:bookmarkEnd w:id="437"/>
      <w:bookmarkEnd w:id="438"/>
      <w:bookmarkEnd w:id="439"/>
    </w:p>
    <w:bookmarkEnd w:id="440"/>
    <w:p w14:paraId="11B084D3">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7.1.1 </w:t>
      </w:r>
      <w:r>
        <w:rPr>
          <w:rFonts w:hint="eastAsia" w:ascii="仿宋_GB2312" w:hAnsi="仿宋_GB2312" w:eastAsia="仿宋_GB2312" w:cs="仿宋_GB2312"/>
          <w:color w:val="auto"/>
          <w:kern w:val="0"/>
          <w:sz w:val="24"/>
          <w:szCs w:val="24"/>
          <w:highlight w:val="none"/>
        </w:rPr>
        <w:t>施工组织设计的编制和批准</w:t>
      </w:r>
    </w:p>
    <w:p w14:paraId="08DD7E38">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分包人应在分包合同签订后14天内，至迟不得晚于实际开工日期前14天，向承包人提交分包工程详细施工组织设计。除专用合同条款另有约定外，承包人应在收到施工组织设计后14天内确认或提出修改意见。对承包人提出的合理意见和要求，分包人应予以修改完善。分包人未在前述期限内提交施工组织设计，或承包人未在前述期限内确认或提出修改意见的，应按专用合同条款的约定承担违约责任。</w:t>
      </w:r>
    </w:p>
    <w:p w14:paraId="27FDDAC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经承包人批准的施工组织设计是分包合同当事人控制分包工程进度的依据。需要修改施工组织设计的，分包人应向承包人提交修改后的施工组织设计并获得承包人的批准。</w:t>
      </w:r>
    </w:p>
    <w:p w14:paraId="54AB6F5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7.1.2 交叉作业的工期管理</w:t>
      </w:r>
    </w:p>
    <w:p w14:paraId="0778569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严格按总包工程施工组织设计对分包工程及其他工程的工期进行管理，并按分包工程施工组织设计向分包人提供正常施工所需的施工条件。因其他工程原因影响分包工程正常施工时，承包人应及时通知分包人，分包人应立即调整施工组织设计并取得承包人批准，因此产生的费用和（或）延误的工期由承包人承担。</w:t>
      </w:r>
    </w:p>
    <w:p w14:paraId="6DADE94A">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按经批准的施工组织设计组织分包工程的施工，在施工过程中应配合其他工程的施工。由于分包人原因造成分包工程施工影响其他工程正常施工的，分包人应立即通知承包人，调整施工组织设计并取得承包人批准，因此产生的费用和（或）延误的工期由分包人承担。</w:t>
      </w:r>
    </w:p>
    <w:p w14:paraId="07D7E64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7.1.3 劳动力保障</w:t>
      </w:r>
    </w:p>
    <w:p w14:paraId="71AE465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按照经批准的施工组织设计保证劳动力投入。因分包人劳动力短缺导致分包工程进度滞后的，分包人应在收到承包人书面通知后7日内补足劳动力，否则，承包人有权解除分包合同或取消分包人部分工作，且分包人应按照专用合同条款的约定承担违约责任。</w:t>
      </w:r>
    </w:p>
    <w:p w14:paraId="4B5F03AE">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443" w:name="_Toc389586340"/>
      <w:bookmarkStart w:id="444" w:name="_Toc10687"/>
      <w:bookmarkStart w:id="445" w:name="_Toc27795"/>
      <w:bookmarkStart w:id="446" w:name="_Toc28660"/>
      <w:bookmarkStart w:id="447" w:name="_Toc351203545"/>
      <w:bookmarkStart w:id="448" w:name="_Toc371493199"/>
      <w:bookmarkStart w:id="449" w:name="_Toc21733"/>
      <w:bookmarkStart w:id="450" w:name="_Toc17612"/>
      <w:bookmarkStart w:id="451" w:name="_Toc24276"/>
      <w:bookmarkStart w:id="452" w:name="_Toc337558770"/>
      <w:r>
        <w:rPr>
          <w:rFonts w:hint="eastAsia" w:ascii="楷体_GB2312" w:hAnsi="楷体_GB2312" w:eastAsia="楷体_GB2312" w:cs="楷体_GB2312"/>
          <w:b w:val="0"/>
          <w:bCs w:val="0"/>
          <w:color w:val="auto"/>
          <w:sz w:val="24"/>
          <w:szCs w:val="24"/>
          <w:highlight w:val="none"/>
        </w:rPr>
        <w:t>7.2 开工</w:t>
      </w:r>
      <w:bookmarkEnd w:id="443"/>
      <w:bookmarkEnd w:id="444"/>
      <w:bookmarkEnd w:id="445"/>
      <w:bookmarkEnd w:id="446"/>
      <w:bookmarkEnd w:id="447"/>
      <w:bookmarkEnd w:id="448"/>
      <w:bookmarkEnd w:id="449"/>
      <w:bookmarkEnd w:id="450"/>
      <w:bookmarkEnd w:id="451"/>
    </w:p>
    <w:bookmarkEnd w:id="452"/>
    <w:p w14:paraId="33C4C97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承包人应在计划开工日期7天前按照分包合同约定依法向分包人发出开工通知，工期自开工通知中载明的开工日期起算。</w:t>
      </w:r>
    </w:p>
    <w:p w14:paraId="7C3699B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除专用合同条款另有约定外，因承包人原因未能在计划开工日期之日起180天内发出开工通知的，分包人有权提出价格调整要求，或者解除合同。</w:t>
      </w:r>
    </w:p>
    <w:p w14:paraId="1FAB9807">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453" w:name="_Toc22078"/>
      <w:bookmarkStart w:id="454" w:name="_Toc389586341"/>
      <w:bookmarkStart w:id="455" w:name="_Toc13952"/>
      <w:bookmarkStart w:id="456" w:name="_Toc371493200"/>
      <w:bookmarkStart w:id="457" w:name="_Toc24045"/>
      <w:bookmarkStart w:id="458" w:name="_Toc10874"/>
      <w:bookmarkStart w:id="459" w:name="_Toc351203546"/>
      <w:bookmarkStart w:id="460" w:name="_Toc13540"/>
      <w:bookmarkStart w:id="461" w:name="_Toc5598"/>
      <w:r>
        <w:rPr>
          <w:rFonts w:hint="eastAsia" w:ascii="楷体_GB2312" w:hAnsi="楷体_GB2312" w:eastAsia="楷体_GB2312" w:cs="楷体_GB2312"/>
          <w:b w:val="0"/>
          <w:bCs w:val="0"/>
          <w:color w:val="auto"/>
          <w:sz w:val="24"/>
          <w:szCs w:val="24"/>
          <w:highlight w:val="none"/>
        </w:rPr>
        <w:t>7.3 测量放线</w:t>
      </w:r>
      <w:bookmarkEnd w:id="453"/>
      <w:bookmarkEnd w:id="454"/>
      <w:bookmarkEnd w:id="455"/>
      <w:bookmarkEnd w:id="456"/>
      <w:bookmarkEnd w:id="457"/>
      <w:bookmarkEnd w:id="458"/>
      <w:bookmarkEnd w:id="459"/>
      <w:bookmarkEnd w:id="460"/>
      <w:bookmarkEnd w:id="461"/>
    </w:p>
    <w:p w14:paraId="6558AEA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7.3.1 除专用合同条款另有约定外，承包人应在实际开工日期3天前向分包人提供测量基准点、基准线和水准点及其书面资料。分包人发现承包人提供的测量基准点、基准线和水准点及其书面资料存在错误或疏漏的，应及时通知承包人。承包人应及时发出指令。</w:t>
      </w:r>
    </w:p>
    <w:p w14:paraId="37A5836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7.3.2 分包人负责分包工程施工过程中的测量放线工作。分包人应矫正分包工程的位置、标高、尺寸或准线中出现的任何差错，并对分包工程各部分的定位负责。分包人负责对施工场地内水准点等测量标志物进行保护。</w:t>
      </w:r>
      <w:bookmarkStart w:id="462" w:name="_Toc351203547"/>
    </w:p>
    <w:bookmarkEnd w:id="441"/>
    <w:bookmarkEnd w:id="442"/>
    <w:p w14:paraId="312523FD">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463" w:name="_Toc31772"/>
      <w:bookmarkStart w:id="464" w:name="_Toc371493201"/>
      <w:bookmarkStart w:id="465" w:name="_Toc9777"/>
      <w:bookmarkStart w:id="466" w:name="_Toc24184"/>
      <w:bookmarkStart w:id="467" w:name="_Toc389586342"/>
      <w:bookmarkStart w:id="468" w:name="_Toc23769"/>
      <w:bookmarkStart w:id="469" w:name="_Toc15505"/>
      <w:bookmarkStart w:id="470" w:name="_Toc21098"/>
      <w:bookmarkStart w:id="471" w:name="_Toc296503073"/>
      <w:bookmarkStart w:id="472" w:name="_Toc337558772"/>
      <w:bookmarkStart w:id="473" w:name="_Toc296346574"/>
      <w:r>
        <w:rPr>
          <w:rFonts w:hint="eastAsia" w:ascii="楷体_GB2312" w:hAnsi="楷体_GB2312" w:eastAsia="楷体_GB2312" w:cs="楷体_GB2312"/>
          <w:b w:val="0"/>
          <w:bCs w:val="0"/>
          <w:color w:val="auto"/>
          <w:sz w:val="24"/>
          <w:szCs w:val="24"/>
          <w:highlight w:val="none"/>
        </w:rPr>
        <w:t>7.4 工期延误</w:t>
      </w:r>
      <w:bookmarkEnd w:id="462"/>
      <w:bookmarkEnd w:id="463"/>
      <w:bookmarkEnd w:id="464"/>
      <w:bookmarkEnd w:id="465"/>
      <w:bookmarkEnd w:id="466"/>
      <w:bookmarkEnd w:id="467"/>
      <w:bookmarkEnd w:id="468"/>
      <w:bookmarkEnd w:id="469"/>
      <w:bookmarkEnd w:id="470"/>
    </w:p>
    <w:bookmarkEnd w:id="471"/>
    <w:bookmarkEnd w:id="472"/>
    <w:bookmarkEnd w:id="473"/>
    <w:p w14:paraId="32D0FCD8">
      <w:pPr>
        <w:pageBreakBefore w:val="0"/>
        <w:kinsoku/>
        <w:wordWrap w:val="0"/>
        <w:overflowPunct/>
        <w:topLinePunct w:val="0"/>
        <w:autoSpaceDE w:val="0"/>
        <w:autoSpaceDN w:val="0"/>
        <w:bidi w:val="0"/>
        <w:adjustRightInd w:val="0"/>
        <w:snapToGrid w:val="0"/>
        <w:spacing w:line="400" w:lineRule="exact"/>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w:t>
      </w:r>
      <w:bookmarkStart w:id="474" w:name="_Toc296503076"/>
      <w:bookmarkStart w:id="475" w:name="_Toc296346577"/>
      <w:r>
        <w:rPr>
          <w:rFonts w:hint="eastAsia" w:ascii="仿宋_GB2312" w:hAnsi="仿宋_GB2312" w:eastAsia="仿宋_GB2312" w:cs="仿宋_GB2312"/>
          <w:color w:val="auto"/>
          <w:kern w:val="0"/>
          <w:sz w:val="24"/>
          <w:szCs w:val="24"/>
          <w:highlight w:val="none"/>
        </w:rPr>
        <w:t>因</w:t>
      </w:r>
      <w:bookmarkEnd w:id="474"/>
      <w:bookmarkEnd w:id="475"/>
      <w:r>
        <w:rPr>
          <w:rFonts w:hint="eastAsia" w:ascii="仿宋_GB2312" w:hAnsi="仿宋_GB2312" w:eastAsia="仿宋_GB2312" w:cs="仿宋_GB2312"/>
          <w:color w:val="auto"/>
          <w:kern w:val="0"/>
          <w:sz w:val="24"/>
          <w:szCs w:val="24"/>
          <w:highlight w:val="none"/>
        </w:rPr>
        <w:t>分包人原因造成工期延误的，分包人应按照专用合同条款的约定承担逾期完工的违约责任。分包人支付逾期完工违约金后，不免除或减轻分包人继续完成工程及修补缺陷的义务。</w:t>
      </w:r>
    </w:p>
    <w:p w14:paraId="7052266A">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476" w:name="_Toc371493202"/>
      <w:bookmarkStart w:id="477" w:name="_Toc20210"/>
      <w:bookmarkStart w:id="478" w:name="_Toc24007"/>
      <w:bookmarkStart w:id="479" w:name="_Toc18914"/>
      <w:bookmarkStart w:id="480" w:name="_Toc389586343"/>
      <w:bookmarkStart w:id="481" w:name="_Toc8136"/>
      <w:bookmarkStart w:id="482" w:name="_Toc4651"/>
      <w:bookmarkStart w:id="483" w:name="_Toc351203548"/>
      <w:bookmarkStart w:id="484" w:name="_Toc28417"/>
      <w:bookmarkStart w:id="485" w:name="_Toc337558773"/>
      <w:bookmarkStart w:id="486" w:name="_Toc296503074"/>
      <w:bookmarkStart w:id="487" w:name="_Toc296346575"/>
      <w:bookmarkStart w:id="488" w:name="_Toc296346578"/>
      <w:bookmarkStart w:id="489" w:name="_Toc296503077"/>
      <w:r>
        <w:rPr>
          <w:rFonts w:hint="eastAsia" w:ascii="楷体_GB2312" w:hAnsi="楷体_GB2312" w:eastAsia="楷体_GB2312" w:cs="楷体_GB2312"/>
          <w:b w:val="0"/>
          <w:bCs w:val="0"/>
          <w:color w:val="auto"/>
          <w:sz w:val="24"/>
          <w:szCs w:val="24"/>
          <w:highlight w:val="none"/>
        </w:rPr>
        <w:t>7.5 不利物质条件</w:t>
      </w:r>
      <w:bookmarkEnd w:id="476"/>
      <w:bookmarkEnd w:id="477"/>
      <w:bookmarkEnd w:id="478"/>
      <w:bookmarkEnd w:id="479"/>
      <w:bookmarkEnd w:id="480"/>
      <w:bookmarkEnd w:id="481"/>
      <w:bookmarkEnd w:id="482"/>
      <w:bookmarkEnd w:id="483"/>
      <w:bookmarkEnd w:id="484"/>
    </w:p>
    <w:bookmarkEnd w:id="485"/>
    <w:bookmarkEnd w:id="486"/>
    <w:bookmarkEnd w:id="487"/>
    <w:p w14:paraId="2AC1A82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不利物质条件是指有经验的分包人在施工场地遇到的不可预见的自然物质条件、非自然的物质障碍和污染物，包括地表以下物质条件和水文条件以及专用合同条款约定的其他情形，但不包括气候条件。</w:t>
      </w:r>
    </w:p>
    <w:p w14:paraId="35B2ED9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分包人遇到不利物质条件时，应采取克服不利物质条件的合理措施继续施工，并及时通知承包人。</w:t>
      </w:r>
    </w:p>
    <w:p w14:paraId="3B5E3854">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490" w:name="_Toc12066"/>
      <w:bookmarkStart w:id="491" w:name="_Toc12"/>
      <w:bookmarkStart w:id="492" w:name="_Toc371493203"/>
      <w:bookmarkStart w:id="493" w:name="_Toc13539"/>
      <w:bookmarkStart w:id="494" w:name="_Toc351203549"/>
      <w:bookmarkStart w:id="495" w:name="_Toc21778"/>
      <w:bookmarkStart w:id="496" w:name="_Toc389586344"/>
      <w:bookmarkStart w:id="497" w:name="_Toc32189"/>
      <w:bookmarkStart w:id="498" w:name="_Toc18758"/>
      <w:bookmarkStart w:id="499" w:name="_Toc296503075"/>
      <w:bookmarkStart w:id="500" w:name="_Toc296346576"/>
      <w:bookmarkStart w:id="501" w:name="_Toc337558774"/>
      <w:r>
        <w:rPr>
          <w:rFonts w:hint="eastAsia" w:ascii="楷体_GB2312" w:hAnsi="楷体_GB2312" w:eastAsia="楷体_GB2312" w:cs="楷体_GB2312"/>
          <w:b w:val="0"/>
          <w:bCs w:val="0"/>
          <w:color w:val="auto"/>
          <w:sz w:val="24"/>
          <w:szCs w:val="24"/>
          <w:highlight w:val="none"/>
        </w:rPr>
        <w:t>7.6 异常恶劣的气候条件</w:t>
      </w:r>
      <w:bookmarkEnd w:id="490"/>
      <w:bookmarkEnd w:id="491"/>
      <w:bookmarkEnd w:id="492"/>
      <w:bookmarkEnd w:id="493"/>
      <w:bookmarkEnd w:id="494"/>
      <w:bookmarkEnd w:id="495"/>
      <w:bookmarkEnd w:id="496"/>
      <w:bookmarkEnd w:id="497"/>
      <w:bookmarkEnd w:id="498"/>
    </w:p>
    <w:bookmarkEnd w:id="499"/>
    <w:bookmarkEnd w:id="500"/>
    <w:bookmarkEnd w:id="501"/>
    <w:p w14:paraId="2D1791D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异常恶劣的气候条件是指在施工过程中遇到的，有经验的分包人在签订分包合同时不可预见的，对合同履行造成实质性影响的，但尚未构成不可抗力事件的恶劣气候条件。分包合同当事人可以在专用合同条款中约定异常恶劣的气候条件的具体情形。出现异常恶劣的气候条件时，分包人应及时通知承包人。</w:t>
      </w:r>
      <w:bookmarkStart w:id="502" w:name="_Toc351203550"/>
    </w:p>
    <w:p w14:paraId="2AA27AFE">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03" w:name="_Toc4989"/>
      <w:bookmarkStart w:id="504" w:name="_Toc2657"/>
      <w:bookmarkStart w:id="505" w:name="_Toc4097"/>
      <w:bookmarkStart w:id="506" w:name="_Toc8632"/>
      <w:bookmarkStart w:id="507" w:name="_Toc22905"/>
      <w:bookmarkStart w:id="508" w:name="_Toc371493204"/>
      <w:bookmarkStart w:id="509" w:name="_Toc19222"/>
      <w:bookmarkStart w:id="510" w:name="_Toc389586345"/>
      <w:bookmarkStart w:id="511" w:name="_Toc337558775"/>
      <w:r>
        <w:rPr>
          <w:rFonts w:hint="eastAsia" w:ascii="楷体_GB2312" w:hAnsi="楷体_GB2312" w:eastAsia="楷体_GB2312" w:cs="楷体_GB2312"/>
          <w:b w:val="0"/>
          <w:bCs w:val="0"/>
          <w:color w:val="auto"/>
          <w:sz w:val="24"/>
          <w:szCs w:val="24"/>
          <w:highlight w:val="none"/>
        </w:rPr>
        <w:t>7.7 暂停施工</w:t>
      </w:r>
      <w:bookmarkEnd w:id="502"/>
      <w:bookmarkEnd w:id="503"/>
      <w:bookmarkEnd w:id="504"/>
      <w:bookmarkEnd w:id="505"/>
      <w:bookmarkEnd w:id="506"/>
      <w:bookmarkEnd w:id="507"/>
      <w:bookmarkEnd w:id="508"/>
      <w:bookmarkEnd w:id="509"/>
      <w:bookmarkEnd w:id="510"/>
    </w:p>
    <w:bookmarkEnd w:id="488"/>
    <w:bookmarkEnd w:id="489"/>
    <w:bookmarkEnd w:id="511"/>
    <w:p w14:paraId="217C72AC">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7.7.1 发包人指示暂停施工的或因承包人原因引起暂停施工的，承包人应及时下达暂停施工指令，分包人应按承包人指令暂停施工，承包人应承担由此增加的费用和（或）延误的工期。</w:t>
      </w:r>
    </w:p>
    <w:p w14:paraId="7866101A">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7.7.2 因分包人原因引起的暂停施工，分包人应承担由此增加的费用和（或）延误的工期，且分包人在收到承包人复工指示后28天内仍未复工的，视为分包人无法继续履行分包合同。</w:t>
      </w:r>
    </w:p>
    <w:p w14:paraId="5A008E4A">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7.7.3 暂停施工期间，分包人应负责妥善照管分包工程并提供安全保障，由此增加的费用由造成暂停施工的责任方承担。</w:t>
      </w:r>
    </w:p>
    <w:p w14:paraId="229CE1EA">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7.7.4 暂停施工后的复工</w:t>
      </w:r>
    </w:p>
    <w:p w14:paraId="47F35D77">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的要求复工。</w:t>
      </w:r>
    </w:p>
    <w:p w14:paraId="52E570C1">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分包人无故拖延或拒绝复工的，分包人承担由此增加的费用和（或）延误的工期；因承包人原因无法按时复工的，按照第7.4.1项执行。</w:t>
      </w:r>
    </w:p>
    <w:p w14:paraId="4AAF7A9E">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12" w:name="_Toc21238"/>
      <w:bookmarkStart w:id="513" w:name="_Toc32745"/>
      <w:bookmarkStart w:id="514" w:name="_Toc8787"/>
      <w:bookmarkStart w:id="515" w:name="_Toc351203552"/>
      <w:bookmarkStart w:id="516" w:name="_Toc23048"/>
      <w:bookmarkStart w:id="517" w:name="_Toc389586346"/>
      <w:bookmarkStart w:id="518" w:name="_Toc28065"/>
      <w:bookmarkStart w:id="519" w:name="_Toc5022"/>
      <w:bookmarkStart w:id="520" w:name="_Toc371493205"/>
      <w:bookmarkStart w:id="521" w:name="_Toc296503058"/>
      <w:bookmarkStart w:id="522" w:name="_Toc337558776"/>
      <w:bookmarkStart w:id="523" w:name="_Toc296346559"/>
      <w:r>
        <w:rPr>
          <w:rFonts w:hint="eastAsia" w:ascii="黑体" w:hAnsi="黑体" w:eastAsia="黑体" w:cs="黑体"/>
          <w:b w:val="0"/>
          <w:bCs w:val="0"/>
          <w:color w:val="auto"/>
          <w:sz w:val="24"/>
          <w:szCs w:val="24"/>
          <w:highlight w:val="none"/>
        </w:rPr>
        <w:t>8.材料与设备</w:t>
      </w:r>
      <w:bookmarkEnd w:id="512"/>
      <w:bookmarkEnd w:id="513"/>
      <w:bookmarkEnd w:id="514"/>
      <w:bookmarkEnd w:id="515"/>
      <w:bookmarkEnd w:id="516"/>
      <w:bookmarkEnd w:id="517"/>
      <w:bookmarkEnd w:id="518"/>
      <w:bookmarkEnd w:id="519"/>
      <w:bookmarkEnd w:id="520"/>
    </w:p>
    <w:bookmarkEnd w:id="521"/>
    <w:bookmarkEnd w:id="522"/>
    <w:bookmarkEnd w:id="523"/>
    <w:p w14:paraId="48F47F4A">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524" w:name="_Toc17171"/>
      <w:bookmarkStart w:id="525" w:name="_Toc389586347"/>
      <w:bookmarkStart w:id="526" w:name="_Toc371493206"/>
      <w:bookmarkStart w:id="527" w:name="_Toc29939"/>
      <w:bookmarkStart w:id="528" w:name="_Toc24313"/>
      <w:bookmarkStart w:id="529" w:name="_Toc21262"/>
      <w:bookmarkStart w:id="530" w:name="_Toc351203553"/>
      <w:bookmarkStart w:id="531" w:name="_Toc10400"/>
      <w:bookmarkStart w:id="532" w:name="_Toc15093"/>
      <w:bookmarkStart w:id="533" w:name="_Toc296346560"/>
      <w:bookmarkStart w:id="534" w:name="_Toc296503059"/>
      <w:bookmarkStart w:id="535" w:name="_Toc337558777"/>
      <w:bookmarkStart w:id="536" w:name="_Toc468936960"/>
      <w:r>
        <w:rPr>
          <w:rFonts w:hint="eastAsia" w:ascii="楷体_GB2312" w:hAnsi="楷体_GB2312" w:eastAsia="楷体_GB2312" w:cs="楷体_GB2312"/>
          <w:b w:val="0"/>
          <w:bCs w:val="0"/>
          <w:color w:val="auto"/>
          <w:sz w:val="24"/>
          <w:szCs w:val="24"/>
          <w:highlight w:val="none"/>
        </w:rPr>
        <w:t>8.1 承包人供应材料与工程设备</w:t>
      </w:r>
      <w:bookmarkEnd w:id="524"/>
      <w:bookmarkEnd w:id="525"/>
      <w:bookmarkEnd w:id="526"/>
      <w:bookmarkEnd w:id="527"/>
      <w:bookmarkEnd w:id="528"/>
      <w:bookmarkEnd w:id="529"/>
      <w:bookmarkEnd w:id="530"/>
      <w:bookmarkEnd w:id="531"/>
      <w:bookmarkEnd w:id="532"/>
    </w:p>
    <w:bookmarkEnd w:id="533"/>
    <w:bookmarkEnd w:id="534"/>
    <w:bookmarkEnd w:id="535"/>
    <w:p w14:paraId="2EC443D5">
      <w:pPr>
        <w:pageBreakBefore w:val="0"/>
        <w:widowControl w:val="0"/>
        <w:kinsoku/>
        <w:wordWrap w:val="0"/>
        <w:overflowPunct/>
        <w:topLinePunct w:val="0"/>
        <w:autoSpaceDE w:val="0"/>
        <w:autoSpaceDN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8.1.1 承包人供应材料和工程设备的，承包人应向分包人提供合格证明及出厂证明，并对其质量负责。总包合同约定由发包人提供材料和工程设备的，本分包合同中视为承包人提供材料和工程设备。分包人不得自行采购应由承包人供应的的材料和工程材料用于分包工程，否则视为分包人违约，承包人有权解除合同并要求分包人承担由此造成的一切损失。承包人在支付分包人工程款时，有权优先抵扣承包人向分包人供应的材料款和工程设备款。</w:t>
      </w:r>
    </w:p>
    <w:p w14:paraId="4A005FD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8.1.2 分包人应在分包合同签订后7日内根据图纸和专用合同条款约定的损耗率计算承包人供应材料和工程设备的数量，并编制材料和工程设备的供应计划，主要内容包括品种、规格、型号、暂定数量、单价、质量等级和送达地点，并作为施工组织设计组成部分报承包人审核。由于变更等原因引起承包人供应范围内的材料或设备数量、规格的变化，分包人应在收到变更指令5天内调整供应计划并报承包人审核。</w:t>
      </w:r>
    </w:p>
    <w:p w14:paraId="6E17FA3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对其提交给承包人的供应计划的真实性、准确性、齐全性和及时性负责。对于分包人所提交计划之错误、遗漏、延迟等原因造成的材料浪费、工期延期及承包人其他损失，均由分包人承担，承包人对供应计划的审核并不免除分包人任何责任。</w:t>
      </w:r>
    </w:p>
    <w:p w14:paraId="047A1B13">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8.1.3 除专用合同条款另有约定外，分包人应提前28天以书面形式通知承包人供应材料、工程设备的进场时间。因迟延通知导致进场日期迟延的，分包人承担增加的费用和（或）延误的工期。</w:t>
      </w:r>
    </w:p>
    <w:p w14:paraId="76FA968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8.1.4 承包人供应材料和工程设备的，承包人应提前24小时以书面形式通知分包人材料和工程设备到货时间，由分包人负责材料和工程设备的清点、检验和接收。</w:t>
      </w:r>
    </w:p>
    <w:p w14:paraId="77A6E1AD">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37" w:name="_Toc351203554"/>
      <w:bookmarkStart w:id="538" w:name="_Toc19151"/>
      <w:bookmarkStart w:id="539" w:name="_Toc371493207"/>
      <w:bookmarkStart w:id="540" w:name="_Toc19344"/>
      <w:bookmarkStart w:id="541" w:name="_Toc15551"/>
      <w:bookmarkStart w:id="542" w:name="_Toc32210"/>
      <w:bookmarkStart w:id="543" w:name="_Toc5178"/>
      <w:bookmarkStart w:id="544" w:name="_Toc389586348"/>
      <w:bookmarkStart w:id="545" w:name="_Toc2356"/>
      <w:bookmarkStart w:id="546" w:name="_Toc296503060"/>
      <w:bookmarkStart w:id="547" w:name="_Toc337558778"/>
      <w:bookmarkStart w:id="548" w:name="_Toc296346561"/>
      <w:r>
        <w:rPr>
          <w:rFonts w:hint="eastAsia" w:ascii="楷体_GB2312" w:hAnsi="楷体_GB2312" w:eastAsia="楷体_GB2312" w:cs="楷体_GB2312"/>
          <w:b w:val="0"/>
          <w:bCs w:val="0"/>
          <w:color w:val="auto"/>
          <w:sz w:val="24"/>
          <w:szCs w:val="24"/>
          <w:highlight w:val="none"/>
        </w:rPr>
        <w:t>8.2 分包人供应材料与工程设备</w:t>
      </w:r>
      <w:bookmarkEnd w:id="537"/>
      <w:bookmarkEnd w:id="538"/>
      <w:bookmarkEnd w:id="539"/>
      <w:bookmarkEnd w:id="540"/>
      <w:bookmarkEnd w:id="541"/>
      <w:bookmarkEnd w:id="542"/>
      <w:bookmarkEnd w:id="543"/>
      <w:bookmarkEnd w:id="544"/>
      <w:bookmarkEnd w:id="545"/>
    </w:p>
    <w:bookmarkEnd w:id="546"/>
    <w:bookmarkEnd w:id="547"/>
    <w:bookmarkEnd w:id="548"/>
    <w:p w14:paraId="70CB5DD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8.2.1 分包人应按照图纸和有关标准要求采购材料、工程设备，提供材料、工程设备合格证明及出厂证明，并对材料、工程设备质量负责。</w:t>
      </w:r>
    </w:p>
    <w:p w14:paraId="15BDB30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8.2.2 分包人采购的材料和工程设备，分包人应在材料和工程设备到货前24小时通知承包人检验。分包人采购的材料和工程设备不符合图纸或有关标准要求时，分包人应在承包人要求的合理期限内将不符合设计或有关标准要求的材料、工程设备运出施工场地，并重新采购符合要求的材料、工程设备，由此增加的费用和（或）延误的工期，由分包人承担。分包人对其所采购的材料和工程设备的质量瑕疵的责任不因承包人的验收而免除。</w:t>
      </w:r>
    </w:p>
    <w:p w14:paraId="603090A8">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49" w:name="_Toc12064"/>
      <w:bookmarkStart w:id="550" w:name="_Toc17058"/>
      <w:bookmarkStart w:id="551" w:name="_Toc351203556"/>
      <w:bookmarkStart w:id="552" w:name="_Toc17513"/>
      <w:bookmarkStart w:id="553" w:name="_Toc389586349"/>
      <w:bookmarkStart w:id="554" w:name="_Toc11973"/>
      <w:bookmarkStart w:id="555" w:name="_Toc5804"/>
      <w:bookmarkStart w:id="556" w:name="_Toc371493209"/>
      <w:bookmarkStart w:id="557" w:name="_Toc23560"/>
      <w:bookmarkStart w:id="558" w:name="_Toc296503062"/>
      <w:bookmarkStart w:id="559" w:name="_Toc337558780"/>
      <w:bookmarkStart w:id="560" w:name="_Toc296346563"/>
      <w:r>
        <w:rPr>
          <w:rFonts w:hint="eastAsia" w:ascii="楷体_GB2312" w:hAnsi="楷体_GB2312" w:eastAsia="楷体_GB2312" w:cs="楷体_GB2312"/>
          <w:b w:val="0"/>
          <w:bCs w:val="0"/>
          <w:color w:val="auto"/>
          <w:sz w:val="24"/>
          <w:szCs w:val="24"/>
          <w:highlight w:val="none"/>
        </w:rPr>
        <w:t>8.3 材料与工程设备的保管与使用</w:t>
      </w:r>
      <w:bookmarkEnd w:id="549"/>
      <w:bookmarkEnd w:id="550"/>
      <w:bookmarkEnd w:id="551"/>
      <w:bookmarkEnd w:id="552"/>
      <w:bookmarkEnd w:id="553"/>
      <w:bookmarkEnd w:id="554"/>
      <w:bookmarkEnd w:id="555"/>
      <w:bookmarkEnd w:id="556"/>
      <w:bookmarkEnd w:id="557"/>
    </w:p>
    <w:bookmarkEnd w:id="558"/>
    <w:bookmarkEnd w:id="559"/>
    <w:bookmarkEnd w:id="560"/>
    <w:p w14:paraId="574B6EA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8.3.1 承包人和分包人供应的材料和工程设备，分包人清点、检验后负责保管，保管费用已包含在签约合同价内。发生丢失毁损的，由分包人负责赔偿。</w:t>
      </w:r>
    </w:p>
    <w:p w14:paraId="05B07FE9">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8.3.2 承包人和分包人供应的材料和工程设备使用前，法律规定必须进行检验或试验的，由分包人负责检验或试验，检验费用已包含在签约合同价内，检验或试验不合格的不得使用。</w:t>
      </w:r>
    </w:p>
    <w:p w14:paraId="6DF1AA9F">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61" w:name="_Toc10323"/>
      <w:bookmarkStart w:id="562" w:name="_Toc22850"/>
      <w:bookmarkStart w:id="563" w:name="_Toc351203558"/>
      <w:bookmarkStart w:id="564" w:name="_Toc94"/>
      <w:bookmarkStart w:id="565" w:name="_Toc389586350"/>
      <w:bookmarkStart w:id="566" w:name="_Toc923"/>
      <w:bookmarkStart w:id="567" w:name="_Toc16783"/>
      <w:bookmarkStart w:id="568" w:name="_Toc371493210"/>
      <w:bookmarkStart w:id="569" w:name="_Toc13799"/>
      <w:r>
        <w:rPr>
          <w:rFonts w:hint="eastAsia" w:ascii="楷体_GB2312" w:hAnsi="楷体_GB2312" w:eastAsia="楷体_GB2312" w:cs="楷体_GB2312"/>
          <w:b w:val="0"/>
          <w:bCs w:val="0"/>
          <w:color w:val="auto"/>
          <w:sz w:val="24"/>
          <w:szCs w:val="24"/>
          <w:highlight w:val="none"/>
        </w:rPr>
        <w:t>8.4 样品</w:t>
      </w:r>
      <w:bookmarkEnd w:id="561"/>
      <w:bookmarkEnd w:id="562"/>
      <w:bookmarkEnd w:id="563"/>
      <w:bookmarkEnd w:id="564"/>
      <w:bookmarkEnd w:id="565"/>
      <w:bookmarkEnd w:id="566"/>
      <w:bookmarkEnd w:id="567"/>
      <w:bookmarkEnd w:id="568"/>
      <w:bookmarkEnd w:id="569"/>
    </w:p>
    <w:p w14:paraId="643482F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需要分包人报送样品的材料或工程设备，样品的种类、名称、规格、数量均应在专用合同条款中约定。样品的报送、封存及保管事宜按总包合同的约定执行，分包人应履行总包合同对应条款中约定的承包人义务。</w:t>
      </w:r>
    </w:p>
    <w:p w14:paraId="1B2FF55B">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70" w:name="_Toc371493211"/>
      <w:bookmarkStart w:id="571" w:name="_Toc351203559"/>
      <w:bookmarkStart w:id="572" w:name="_Toc17014"/>
      <w:bookmarkStart w:id="573" w:name="_Toc4214"/>
      <w:bookmarkStart w:id="574" w:name="_Toc23030"/>
      <w:bookmarkStart w:id="575" w:name="_Toc12000"/>
      <w:bookmarkStart w:id="576" w:name="_Toc9903"/>
      <w:bookmarkStart w:id="577" w:name="_Toc389586351"/>
      <w:bookmarkStart w:id="578" w:name="_Toc7184"/>
      <w:r>
        <w:rPr>
          <w:rFonts w:hint="eastAsia" w:ascii="楷体_GB2312" w:hAnsi="楷体_GB2312" w:eastAsia="楷体_GB2312" w:cs="楷体_GB2312"/>
          <w:b w:val="0"/>
          <w:bCs w:val="0"/>
          <w:color w:val="auto"/>
          <w:sz w:val="24"/>
          <w:szCs w:val="24"/>
          <w:highlight w:val="none"/>
        </w:rPr>
        <w:t>8.5 材料与工程设备的替代</w:t>
      </w:r>
      <w:bookmarkEnd w:id="570"/>
      <w:bookmarkEnd w:id="571"/>
      <w:bookmarkEnd w:id="572"/>
      <w:bookmarkEnd w:id="573"/>
      <w:bookmarkEnd w:id="574"/>
      <w:bookmarkEnd w:id="575"/>
      <w:bookmarkEnd w:id="576"/>
      <w:bookmarkEnd w:id="577"/>
      <w:bookmarkEnd w:id="578"/>
    </w:p>
    <w:p w14:paraId="27BC2A1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除专用合同条款另有约定外，材料与工程设备的替代按总包合同的约定执行，分包人应履行总包合同对应条款中约定的承包人义务。</w:t>
      </w:r>
    </w:p>
    <w:p w14:paraId="391C2BFC">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579" w:name="_Toc2209"/>
      <w:bookmarkStart w:id="580" w:name="_Toc351203560"/>
      <w:bookmarkStart w:id="581" w:name="_Toc3557"/>
      <w:bookmarkStart w:id="582" w:name="_Toc389586352"/>
      <w:bookmarkStart w:id="583" w:name="_Toc371493212"/>
      <w:bookmarkStart w:id="584" w:name="_Toc10821"/>
      <w:bookmarkStart w:id="585" w:name="_Toc15375"/>
      <w:bookmarkStart w:id="586" w:name="_Toc7830"/>
      <w:bookmarkStart w:id="587" w:name="_Toc19031"/>
      <w:r>
        <w:rPr>
          <w:rFonts w:hint="eastAsia" w:ascii="楷体_GB2312" w:hAnsi="楷体_GB2312" w:eastAsia="楷体_GB2312" w:cs="楷体_GB2312"/>
          <w:b w:val="0"/>
          <w:bCs w:val="0"/>
          <w:color w:val="auto"/>
          <w:sz w:val="24"/>
          <w:szCs w:val="24"/>
          <w:highlight w:val="none"/>
        </w:rPr>
        <w:t>8.6 施工设备和临时设施</w:t>
      </w:r>
      <w:bookmarkEnd w:id="579"/>
      <w:bookmarkEnd w:id="580"/>
      <w:bookmarkEnd w:id="581"/>
      <w:bookmarkEnd w:id="582"/>
      <w:bookmarkEnd w:id="583"/>
      <w:bookmarkEnd w:id="584"/>
      <w:bookmarkEnd w:id="585"/>
      <w:bookmarkEnd w:id="586"/>
      <w:bookmarkEnd w:id="587"/>
    </w:p>
    <w:p w14:paraId="31D535F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8.6.1 承包人提供的施工设备和临时设施在专用合同条款中约定。</w:t>
      </w:r>
    </w:p>
    <w:p w14:paraId="5DFF05A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8.6.2 分包人应按分包合同的要求及时配置施工设备和修建临时设施。施工设备应符合经承包人批准的施工组织设计。分包人更换分包合同约定的施工设备的，应报承包人批准。</w:t>
      </w:r>
    </w:p>
    <w:p w14:paraId="1E77EAF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8.6.3 分包人提供的施工设备不能满足施工组织设计和（或）分包工程质量要求时，承包人有权要求分包人增加或更换施工设备，分包人应及时增加或更换，由此增加的费用和（或）延误的工期由分包人承担。</w:t>
      </w:r>
    </w:p>
    <w:p w14:paraId="5CC0C20F">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588" w:name="_Toc26297"/>
      <w:bookmarkStart w:id="589" w:name="_Toc19457"/>
      <w:bookmarkStart w:id="590" w:name="_Toc2921"/>
      <w:bookmarkStart w:id="591" w:name="_Toc389586353"/>
      <w:bookmarkStart w:id="592" w:name="_Toc371493213"/>
      <w:bookmarkStart w:id="593" w:name="_Toc22253"/>
      <w:bookmarkStart w:id="594" w:name="_Toc7395"/>
      <w:bookmarkStart w:id="595" w:name="_Toc14561"/>
      <w:bookmarkStart w:id="596" w:name="_Toc351203561"/>
      <w:bookmarkStart w:id="597" w:name="_Toc296346564"/>
      <w:bookmarkStart w:id="598" w:name="_Toc337558781"/>
      <w:bookmarkStart w:id="599" w:name="_Toc296503063"/>
      <w:r>
        <w:rPr>
          <w:rFonts w:hint="eastAsia" w:ascii="楷体_GB2312" w:hAnsi="楷体_GB2312" w:eastAsia="楷体_GB2312" w:cs="楷体_GB2312"/>
          <w:b w:val="0"/>
          <w:bCs w:val="0"/>
          <w:color w:val="auto"/>
          <w:sz w:val="24"/>
          <w:szCs w:val="24"/>
          <w:highlight w:val="none"/>
        </w:rPr>
        <w:t>8.7 材料与设备专用</w:t>
      </w:r>
      <w:bookmarkEnd w:id="588"/>
      <w:bookmarkEnd w:id="589"/>
      <w:bookmarkEnd w:id="590"/>
      <w:bookmarkEnd w:id="591"/>
      <w:bookmarkEnd w:id="592"/>
      <w:bookmarkEnd w:id="593"/>
      <w:bookmarkEnd w:id="594"/>
      <w:bookmarkEnd w:id="595"/>
      <w:bookmarkEnd w:id="596"/>
    </w:p>
    <w:bookmarkEnd w:id="597"/>
    <w:bookmarkEnd w:id="598"/>
    <w:bookmarkEnd w:id="599"/>
    <w:p w14:paraId="404519BF">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分包人运入施工场地的材料、工程设备、施工设备以及在施工场地建设的临时设施，包括备品备件、安装工具与资料，必须专用于分包工程。未经承包人批准，分包人不得运出施工场地或挪作他用；</w:t>
      </w:r>
      <w:bookmarkEnd w:id="536"/>
      <w:r>
        <w:rPr>
          <w:rFonts w:hint="eastAsia" w:ascii="仿宋_GB2312" w:hAnsi="仿宋_GB2312" w:eastAsia="仿宋_GB2312" w:cs="仿宋_GB2312"/>
          <w:color w:val="auto"/>
          <w:kern w:val="0"/>
          <w:sz w:val="24"/>
          <w:szCs w:val="24"/>
          <w:highlight w:val="none"/>
        </w:rPr>
        <w:t>经承包人批准，分包人可以根据施工进度计划撤走闲置的施工设备和其他物品。</w:t>
      </w:r>
    </w:p>
    <w:p w14:paraId="782193B9">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600" w:name="_Toc26253"/>
      <w:bookmarkStart w:id="601" w:name="_Toc4860"/>
      <w:bookmarkStart w:id="602" w:name="_Toc5532"/>
      <w:bookmarkStart w:id="603" w:name="_Toc351203562"/>
      <w:bookmarkStart w:id="604" w:name="_Toc28958"/>
      <w:bookmarkStart w:id="605" w:name="_Toc371493214"/>
      <w:bookmarkStart w:id="606" w:name="_Toc26807"/>
      <w:bookmarkStart w:id="607" w:name="_Toc389586354"/>
      <w:bookmarkStart w:id="608" w:name="_Toc18362"/>
      <w:bookmarkStart w:id="609" w:name="_Toc337558782"/>
      <w:bookmarkStart w:id="610" w:name="_Toc296503083"/>
      <w:bookmarkStart w:id="611" w:name="_Toc296346584"/>
      <w:r>
        <w:rPr>
          <w:rFonts w:hint="eastAsia" w:ascii="黑体" w:hAnsi="黑体" w:eastAsia="黑体" w:cs="黑体"/>
          <w:b w:val="0"/>
          <w:bCs w:val="0"/>
          <w:color w:val="auto"/>
          <w:sz w:val="24"/>
          <w:szCs w:val="24"/>
          <w:highlight w:val="none"/>
        </w:rPr>
        <w:t>9. 试验和检验</w:t>
      </w:r>
      <w:bookmarkEnd w:id="600"/>
      <w:bookmarkEnd w:id="601"/>
      <w:bookmarkEnd w:id="602"/>
      <w:bookmarkEnd w:id="603"/>
      <w:bookmarkEnd w:id="604"/>
      <w:bookmarkEnd w:id="605"/>
      <w:bookmarkEnd w:id="606"/>
      <w:bookmarkEnd w:id="607"/>
      <w:bookmarkEnd w:id="608"/>
    </w:p>
    <w:bookmarkEnd w:id="609"/>
    <w:p w14:paraId="20A36D68">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除专用合同条款另有约定外，试验和检验按总包合同的约定进行，由分包人履行总包合同对应条款中的承包人义务。</w:t>
      </w:r>
    </w:p>
    <w:p w14:paraId="7F841EDB">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612" w:name="_Toc28667"/>
      <w:bookmarkStart w:id="613" w:name="_Toc27683"/>
      <w:bookmarkStart w:id="614" w:name="_Toc351203567"/>
      <w:bookmarkStart w:id="615" w:name="_Toc371493218"/>
      <w:bookmarkStart w:id="616" w:name="_Toc29890"/>
      <w:bookmarkStart w:id="617" w:name="_Toc3069"/>
      <w:bookmarkStart w:id="618" w:name="_Toc30735"/>
      <w:bookmarkStart w:id="619" w:name="_Toc389586355"/>
      <w:bookmarkStart w:id="620" w:name="_Toc23084"/>
      <w:bookmarkStart w:id="621" w:name="_Toc337558787"/>
      <w:r>
        <w:rPr>
          <w:rFonts w:hint="eastAsia" w:ascii="黑体" w:hAnsi="黑体" w:eastAsia="黑体" w:cs="黑体"/>
          <w:b w:val="0"/>
          <w:bCs w:val="0"/>
          <w:color w:val="auto"/>
          <w:sz w:val="24"/>
          <w:szCs w:val="24"/>
          <w:highlight w:val="none"/>
        </w:rPr>
        <w:t>10.分包合同变更</w:t>
      </w:r>
      <w:bookmarkEnd w:id="610"/>
      <w:bookmarkEnd w:id="611"/>
      <w:bookmarkEnd w:id="612"/>
      <w:bookmarkEnd w:id="613"/>
      <w:bookmarkEnd w:id="614"/>
      <w:bookmarkEnd w:id="615"/>
      <w:bookmarkEnd w:id="616"/>
      <w:bookmarkEnd w:id="617"/>
      <w:bookmarkEnd w:id="618"/>
      <w:bookmarkEnd w:id="619"/>
      <w:bookmarkEnd w:id="620"/>
    </w:p>
    <w:bookmarkEnd w:id="621"/>
    <w:p w14:paraId="13FA25AC">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622" w:name="_Toc24940"/>
      <w:bookmarkStart w:id="623" w:name="_Toc351203568"/>
      <w:bookmarkStart w:id="624" w:name="_Toc371493219"/>
      <w:bookmarkStart w:id="625" w:name="_Toc23907"/>
      <w:bookmarkStart w:id="626" w:name="_Toc389586356"/>
      <w:bookmarkStart w:id="627" w:name="_Toc17161"/>
      <w:bookmarkStart w:id="628" w:name="_Toc24888"/>
      <w:bookmarkStart w:id="629" w:name="_Toc13371"/>
      <w:bookmarkStart w:id="630" w:name="_Toc16177"/>
      <w:bookmarkStart w:id="631" w:name="_Toc296346585"/>
      <w:bookmarkStart w:id="632" w:name="_Toc296503084"/>
      <w:bookmarkStart w:id="633" w:name="_Toc337558788"/>
      <w:r>
        <w:rPr>
          <w:rFonts w:hint="eastAsia" w:ascii="楷体_GB2312" w:hAnsi="楷体_GB2312" w:eastAsia="楷体_GB2312" w:cs="楷体_GB2312"/>
          <w:b w:val="0"/>
          <w:bCs w:val="0"/>
          <w:color w:val="auto"/>
          <w:sz w:val="24"/>
          <w:szCs w:val="24"/>
          <w:highlight w:val="none"/>
        </w:rPr>
        <w:t>10.1 分包合同变更的范围</w:t>
      </w:r>
      <w:bookmarkEnd w:id="622"/>
      <w:bookmarkEnd w:id="623"/>
      <w:bookmarkEnd w:id="624"/>
      <w:bookmarkEnd w:id="625"/>
      <w:bookmarkEnd w:id="626"/>
      <w:bookmarkEnd w:id="627"/>
      <w:bookmarkEnd w:id="628"/>
      <w:bookmarkEnd w:id="629"/>
      <w:bookmarkEnd w:id="630"/>
    </w:p>
    <w:bookmarkEnd w:id="631"/>
    <w:bookmarkEnd w:id="632"/>
    <w:bookmarkEnd w:id="633"/>
    <w:p w14:paraId="30238B43">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除专用合同条款另有约定外，分包合同履行过程中发生的以下情形属于变更：</w:t>
      </w:r>
    </w:p>
    <w:p w14:paraId="3700AE2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（1）增加或减少分包合同中任何工作，或追加额外的工作；</w:t>
      </w:r>
    </w:p>
    <w:p w14:paraId="7CBAD2D0">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（2）取消分包合同中任何工作，但转由他人实施的工作除外；</w:t>
      </w:r>
    </w:p>
    <w:p w14:paraId="3DA01E1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（3）改变分包合同中任何工作的质量标准或其他特性；</w:t>
      </w:r>
    </w:p>
    <w:p w14:paraId="61DF36D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（4）改变分包工程的基线、标高、位置和尺寸；</w:t>
      </w:r>
    </w:p>
    <w:p w14:paraId="56C1B104">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（5）改变分包工程的时间安排或实施顺序。</w:t>
      </w:r>
    </w:p>
    <w:p w14:paraId="1924C7E6">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634" w:name="_Toc371493220"/>
      <w:bookmarkStart w:id="635" w:name="_Toc351203569"/>
      <w:bookmarkStart w:id="636" w:name="_Toc389586357"/>
      <w:bookmarkStart w:id="637" w:name="_Toc29806"/>
      <w:bookmarkStart w:id="638" w:name="_Toc2417"/>
      <w:bookmarkStart w:id="639" w:name="_Toc25267"/>
      <w:bookmarkStart w:id="640" w:name="_Toc25498"/>
      <w:bookmarkStart w:id="641" w:name="_Toc9076"/>
      <w:bookmarkStart w:id="642" w:name="_Toc22807"/>
      <w:bookmarkStart w:id="643" w:name="_Toc337558789"/>
      <w:bookmarkStart w:id="644" w:name="_Toc296346586"/>
      <w:bookmarkStart w:id="645" w:name="_Toc296503085"/>
      <w:r>
        <w:rPr>
          <w:rFonts w:hint="eastAsia" w:ascii="楷体_GB2312" w:hAnsi="楷体_GB2312" w:eastAsia="楷体_GB2312" w:cs="楷体_GB2312"/>
          <w:b w:val="0"/>
          <w:bCs w:val="0"/>
          <w:color w:val="auto"/>
          <w:sz w:val="24"/>
          <w:szCs w:val="24"/>
          <w:highlight w:val="none"/>
        </w:rPr>
        <w:t>10.2 分包合同变更</w:t>
      </w:r>
      <w:bookmarkEnd w:id="634"/>
      <w:bookmarkEnd w:id="635"/>
      <w:r>
        <w:rPr>
          <w:rFonts w:hint="eastAsia" w:ascii="楷体_GB2312" w:hAnsi="楷体_GB2312" w:eastAsia="楷体_GB2312" w:cs="楷体_GB2312"/>
          <w:b w:val="0"/>
          <w:bCs w:val="0"/>
          <w:color w:val="auto"/>
          <w:sz w:val="24"/>
          <w:szCs w:val="24"/>
          <w:highlight w:val="none"/>
        </w:rPr>
        <w:t>的提出和执行</w:t>
      </w:r>
      <w:bookmarkEnd w:id="636"/>
      <w:bookmarkEnd w:id="637"/>
      <w:bookmarkEnd w:id="638"/>
      <w:bookmarkEnd w:id="639"/>
      <w:bookmarkEnd w:id="640"/>
      <w:bookmarkEnd w:id="641"/>
      <w:bookmarkEnd w:id="642"/>
    </w:p>
    <w:bookmarkEnd w:id="643"/>
    <w:bookmarkEnd w:id="644"/>
    <w:bookmarkEnd w:id="645"/>
    <w:p w14:paraId="1802F72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收到经承包人确认的发包人发出的变更指令或承包人发出的变更指令后，方可实施变更。未经许可，分包人不得擅自对工程的任何部分进行变更。涉及设计变更的，应由承包人提供设计人签署的变更后的图纸和说明。</w:t>
      </w:r>
    </w:p>
    <w:p w14:paraId="6B6CAEBA">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分包人收到承包人下达的变更指令后，认为不能执行的，应在收到变更指令后24小时内提出不能执行的理由。分包人认为可以执行变更的，应按第10.3款【分包合同变更估价】确定变更估价。</w:t>
      </w:r>
    </w:p>
    <w:p w14:paraId="752114DD">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646" w:name="_Toc3258"/>
      <w:bookmarkStart w:id="647" w:name="_Toc371493221"/>
      <w:bookmarkStart w:id="648" w:name="_Toc31662"/>
      <w:bookmarkStart w:id="649" w:name="_Toc28302"/>
      <w:bookmarkStart w:id="650" w:name="_Toc389586358"/>
      <w:bookmarkStart w:id="651" w:name="_Toc31328"/>
      <w:bookmarkStart w:id="652" w:name="_Toc29780"/>
      <w:bookmarkStart w:id="653" w:name="_Toc351203571"/>
      <w:bookmarkStart w:id="654" w:name="_Toc8910"/>
      <w:bookmarkStart w:id="655" w:name="_Toc296503087"/>
      <w:bookmarkStart w:id="656" w:name="_Toc296346588"/>
      <w:bookmarkStart w:id="657" w:name="_Toc337558791"/>
      <w:r>
        <w:rPr>
          <w:rFonts w:hint="eastAsia" w:ascii="楷体_GB2312" w:hAnsi="楷体_GB2312" w:eastAsia="楷体_GB2312" w:cs="楷体_GB2312"/>
          <w:b w:val="0"/>
          <w:bCs w:val="0"/>
          <w:color w:val="auto"/>
          <w:sz w:val="24"/>
          <w:szCs w:val="24"/>
          <w:highlight w:val="none"/>
        </w:rPr>
        <w:t>10.3 分包合同变更估价</w:t>
      </w:r>
      <w:bookmarkEnd w:id="646"/>
      <w:bookmarkEnd w:id="647"/>
      <w:bookmarkEnd w:id="648"/>
      <w:bookmarkEnd w:id="649"/>
      <w:bookmarkEnd w:id="650"/>
      <w:bookmarkEnd w:id="651"/>
      <w:bookmarkEnd w:id="652"/>
      <w:bookmarkEnd w:id="653"/>
      <w:bookmarkEnd w:id="654"/>
    </w:p>
    <w:bookmarkEnd w:id="655"/>
    <w:bookmarkEnd w:id="656"/>
    <w:bookmarkEnd w:id="657"/>
    <w:p w14:paraId="2757B28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10.3.1 变更估价原则</w:t>
      </w:r>
    </w:p>
    <w:p w14:paraId="31EF9D9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除专用合同条款另有约定外，变更估价按照本项约定执行：</w:t>
      </w:r>
    </w:p>
    <w:p w14:paraId="5A7751A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（1）已标价工程量清单或预算书有相同项目的，按照相同项目单价认定；</w:t>
      </w:r>
    </w:p>
    <w:p w14:paraId="11B6B18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（2）已标价工程量清单或预算书中无相同项目，但有类似项目的，参照类似项目的单价认定；</w:t>
      </w:r>
    </w:p>
    <w:p w14:paraId="4BA5A35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变更导致实际完成的工程量与已标价工程量清单或预算书中列明的该项目工程量的变化幅度超过15%的，或已标价工程量清单或预算书中无相同项目及类似项目单价的，由合同当事人按照成本加合理利润的原则认定。</w:t>
      </w:r>
    </w:p>
    <w:p w14:paraId="38A37E5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10.3.2 变更估价程序</w:t>
      </w:r>
    </w:p>
    <w:p w14:paraId="5E2E20F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14:paraId="5DF3E150">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658" w:name="_Toc21079"/>
      <w:bookmarkStart w:id="659" w:name="_Toc371493222"/>
      <w:bookmarkStart w:id="660" w:name="_Toc5257"/>
      <w:bookmarkStart w:id="661" w:name="_Toc852"/>
      <w:bookmarkStart w:id="662" w:name="_Toc351203572"/>
      <w:bookmarkStart w:id="663" w:name="_Toc29681"/>
      <w:bookmarkStart w:id="664" w:name="_Toc22386"/>
      <w:bookmarkStart w:id="665" w:name="_Toc389586359"/>
      <w:bookmarkStart w:id="666" w:name="_Toc29038"/>
      <w:bookmarkStart w:id="667" w:name="_Toc296346595"/>
      <w:bookmarkStart w:id="668" w:name="_Toc296503094"/>
      <w:bookmarkStart w:id="669" w:name="_Toc337558792"/>
      <w:r>
        <w:rPr>
          <w:rFonts w:hint="eastAsia" w:ascii="楷体_GB2312" w:hAnsi="楷体_GB2312" w:eastAsia="楷体_GB2312" w:cs="楷体_GB2312"/>
          <w:b w:val="0"/>
          <w:bCs w:val="0"/>
          <w:color w:val="auto"/>
          <w:sz w:val="24"/>
          <w:szCs w:val="24"/>
          <w:highlight w:val="none"/>
        </w:rPr>
        <w:t>10.4 分包人的合理化建议</w:t>
      </w:r>
      <w:bookmarkEnd w:id="658"/>
      <w:bookmarkEnd w:id="659"/>
      <w:bookmarkEnd w:id="660"/>
      <w:bookmarkEnd w:id="661"/>
      <w:bookmarkEnd w:id="662"/>
      <w:bookmarkEnd w:id="663"/>
      <w:bookmarkEnd w:id="664"/>
      <w:bookmarkEnd w:id="665"/>
      <w:bookmarkEnd w:id="666"/>
    </w:p>
    <w:bookmarkEnd w:id="667"/>
    <w:bookmarkEnd w:id="668"/>
    <w:bookmarkEnd w:id="669"/>
    <w:p w14:paraId="1367226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分包人可以向承包人提出合理化建议并说明实施该建议对分包合同价格和工期的影响。承包人批准前述合理化建议的，承包人应及时发出变更指令。承包人不同意前述合理化建议的，应书面通知分包人。</w:t>
      </w:r>
    </w:p>
    <w:p w14:paraId="5E489204">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670" w:name="_Toc5181"/>
      <w:bookmarkStart w:id="671" w:name="_Toc17410"/>
      <w:bookmarkStart w:id="672" w:name="_Toc351203573"/>
      <w:bookmarkStart w:id="673" w:name="_Toc30047"/>
      <w:bookmarkStart w:id="674" w:name="_Toc32720"/>
      <w:bookmarkStart w:id="675" w:name="_Toc1246"/>
      <w:bookmarkStart w:id="676" w:name="_Toc31812"/>
      <w:bookmarkStart w:id="677" w:name="_Toc371493223"/>
      <w:bookmarkStart w:id="678" w:name="_Toc389586360"/>
      <w:bookmarkStart w:id="679" w:name="_Toc337558793"/>
      <w:r>
        <w:rPr>
          <w:rFonts w:hint="eastAsia" w:ascii="楷体_GB2312" w:hAnsi="楷体_GB2312" w:eastAsia="楷体_GB2312" w:cs="楷体_GB2312"/>
          <w:b w:val="0"/>
          <w:bCs w:val="0"/>
          <w:color w:val="auto"/>
          <w:sz w:val="24"/>
          <w:szCs w:val="24"/>
          <w:highlight w:val="none"/>
        </w:rPr>
        <w:t>10.5 变更引起的工期调整</w:t>
      </w:r>
      <w:bookmarkEnd w:id="670"/>
      <w:bookmarkEnd w:id="671"/>
      <w:bookmarkEnd w:id="672"/>
      <w:bookmarkEnd w:id="673"/>
      <w:bookmarkEnd w:id="674"/>
      <w:bookmarkEnd w:id="675"/>
      <w:bookmarkEnd w:id="676"/>
      <w:bookmarkEnd w:id="677"/>
      <w:bookmarkEnd w:id="678"/>
      <w:r>
        <w:rPr>
          <w:rFonts w:hint="eastAsia" w:ascii="仿宋_GB2312" w:hAnsi="仿宋_GB2312" w:eastAsia="仿宋_GB2312" w:cs="仿宋_GB2312"/>
          <w:color w:val="auto"/>
          <w:sz w:val="24"/>
          <w:szCs w:val="24"/>
          <w:highlight w:val="none"/>
        </w:rPr>
        <w:t xml:space="preserve"> </w:t>
      </w:r>
      <w:bookmarkEnd w:id="679"/>
      <w:r>
        <w:rPr>
          <w:rFonts w:hint="eastAsia" w:ascii="仿宋_GB2312" w:hAnsi="仿宋_GB2312" w:eastAsia="仿宋_GB2312" w:cs="仿宋_GB2312"/>
          <w:color w:val="auto"/>
          <w:sz w:val="24"/>
          <w:szCs w:val="24"/>
          <w:highlight w:val="none"/>
        </w:rPr>
        <w:t xml:space="preserve">  </w:t>
      </w:r>
    </w:p>
    <w:p w14:paraId="6BA639E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因变更引起工期变化的，合同当事人均可要求调整分包合同工期，由合同当事人按专用合同条款约定的方法确定增减工期天数。</w:t>
      </w:r>
    </w:p>
    <w:p w14:paraId="5986B34F">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680" w:name="_Toc14524"/>
      <w:bookmarkStart w:id="681" w:name="_Toc25472"/>
      <w:bookmarkStart w:id="682" w:name="_Toc8378"/>
      <w:bookmarkStart w:id="683" w:name="_Toc21817"/>
      <w:bookmarkStart w:id="684" w:name="_Toc13778"/>
      <w:bookmarkStart w:id="685" w:name="_Toc351203576"/>
      <w:bookmarkStart w:id="686" w:name="_Toc389586361"/>
      <w:bookmarkStart w:id="687" w:name="_Toc22659"/>
      <w:bookmarkStart w:id="688" w:name="_Toc371493225"/>
      <w:bookmarkStart w:id="689" w:name="_Toc337558796"/>
      <w:bookmarkStart w:id="690" w:name="_Toc296346592"/>
      <w:bookmarkStart w:id="691" w:name="_Toc296503091"/>
      <w:r>
        <w:rPr>
          <w:rFonts w:hint="eastAsia" w:ascii="楷体_GB2312" w:hAnsi="楷体_GB2312" w:eastAsia="楷体_GB2312" w:cs="楷体_GB2312"/>
          <w:b w:val="0"/>
          <w:bCs w:val="0"/>
          <w:color w:val="auto"/>
          <w:sz w:val="24"/>
          <w:szCs w:val="24"/>
          <w:highlight w:val="none"/>
        </w:rPr>
        <w:t>10.6 计日工</w:t>
      </w:r>
      <w:bookmarkEnd w:id="680"/>
      <w:bookmarkEnd w:id="681"/>
      <w:bookmarkEnd w:id="682"/>
      <w:bookmarkEnd w:id="683"/>
      <w:bookmarkEnd w:id="684"/>
      <w:bookmarkEnd w:id="685"/>
      <w:bookmarkEnd w:id="686"/>
      <w:bookmarkEnd w:id="687"/>
      <w:bookmarkEnd w:id="688"/>
      <w:r>
        <w:rPr>
          <w:rFonts w:hint="eastAsia" w:ascii="仿宋_GB2312" w:hAnsi="仿宋_GB2312" w:eastAsia="仿宋_GB2312" w:cs="仿宋_GB2312"/>
          <w:color w:val="auto"/>
          <w:sz w:val="24"/>
          <w:szCs w:val="24"/>
          <w:highlight w:val="none"/>
        </w:rPr>
        <w:t xml:space="preserve"> </w:t>
      </w:r>
      <w:bookmarkEnd w:id="689"/>
      <w:bookmarkEnd w:id="690"/>
      <w:bookmarkEnd w:id="691"/>
    </w:p>
    <w:p w14:paraId="72569E24">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加合理利润的原则确定计日工单价。</w:t>
      </w:r>
    </w:p>
    <w:p w14:paraId="48C14DB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采用计日工计价的工作，分包人应每天提交以下报表送承包人审查：</w:t>
      </w:r>
    </w:p>
    <w:p w14:paraId="35FC6248">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（1）工作名称、内容和数量；</w:t>
      </w:r>
    </w:p>
    <w:p w14:paraId="5B878C96">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（2）投入该工作的所有人员的姓名、专业、工种、级别和耗用工时；</w:t>
      </w:r>
    </w:p>
    <w:p w14:paraId="7373A72F">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（3）投入该工作的材料类别和数量；</w:t>
      </w:r>
    </w:p>
    <w:p w14:paraId="49A5D190">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（4）投入该工作的施工设备型号、台数和耗用台班时；</w:t>
      </w:r>
    </w:p>
    <w:p w14:paraId="0891ECE6">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（5）其他有关资料和凭证。</w:t>
      </w:r>
    </w:p>
    <w:p w14:paraId="331D1270">
      <w:pPr>
        <w:pageBreakBefore w:val="0"/>
        <w:kinsoku/>
        <w:wordWrap w:val="0"/>
        <w:overflowPunct/>
        <w:topLinePunct w:val="0"/>
        <w:bidi w:val="0"/>
        <w:adjustRightInd w:val="0"/>
        <w:snapToGrid w:val="0"/>
        <w:spacing w:line="400" w:lineRule="exact"/>
        <w:ind w:firstLine="360" w:firstLineChars="15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计日工应计入最近一期的进度款中支付。</w:t>
      </w:r>
    </w:p>
    <w:p w14:paraId="1843C7F4">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692" w:name="_Toc389586362"/>
      <w:bookmarkStart w:id="693" w:name="_Toc16995"/>
      <w:bookmarkStart w:id="694" w:name="_Toc17417"/>
      <w:bookmarkStart w:id="695" w:name="_Toc21927"/>
      <w:bookmarkStart w:id="696" w:name="_Toc19782"/>
      <w:bookmarkStart w:id="697" w:name="_Toc11333"/>
      <w:bookmarkStart w:id="698" w:name="_Toc1254"/>
      <w:r>
        <w:rPr>
          <w:rFonts w:hint="eastAsia" w:ascii="黑体" w:hAnsi="黑体" w:eastAsia="黑体" w:cs="黑体"/>
          <w:b w:val="0"/>
          <w:bCs w:val="0"/>
          <w:color w:val="auto"/>
          <w:sz w:val="24"/>
          <w:szCs w:val="24"/>
          <w:highlight w:val="none"/>
        </w:rPr>
        <w:t>11. 合同价格</w:t>
      </w:r>
      <w:bookmarkEnd w:id="692"/>
      <w:bookmarkEnd w:id="693"/>
      <w:bookmarkEnd w:id="694"/>
      <w:bookmarkEnd w:id="695"/>
      <w:bookmarkEnd w:id="696"/>
      <w:bookmarkEnd w:id="697"/>
      <w:bookmarkEnd w:id="698"/>
    </w:p>
    <w:p w14:paraId="324076F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承包人和分包人应在合同协议书中选择下列一种合同价格形式： </w:t>
      </w:r>
    </w:p>
    <w:p w14:paraId="676E034B">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楷体_GB2312" w:hAnsi="楷体_GB2312" w:eastAsia="楷体_GB2312" w:cs="楷体_GB2312"/>
          <w:color w:val="auto"/>
          <w:kern w:val="0"/>
          <w:sz w:val="24"/>
          <w:szCs w:val="24"/>
          <w:highlight w:val="none"/>
          <w:lang w:val="en-US" w:eastAsia="zh-CN"/>
        </w:rPr>
        <w:t xml:space="preserve">11.1 </w:t>
      </w:r>
      <w:r>
        <w:rPr>
          <w:rFonts w:hint="eastAsia" w:ascii="楷体_GB2312" w:hAnsi="楷体_GB2312" w:eastAsia="楷体_GB2312" w:cs="楷体_GB2312"/>
          <w:color w:val="auto"/>
          <w:kern w:val="0"/>
          <w:sz w:val="24"/>
          <w:szCs w:val="24"/>
          <w:highlight w:val="none"/>
        </w:rPr>
        <w:t>单价合同</w:t>
      </w:r>
    </w:p>
    <w:p w14:paraId="0A0FB4EA">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单价合同是指合同当事人约定以工程量清单及其综合单价进行合同价格计算、调整和确认的建设工程专业分包合同，</w:t>
      </w:r>
      <w:r>
        <w:rPr>
          <w:rFonts w:hint="eastAsia" w:ascii="仿宋_GB2312" w:hAnsi="仿宋_GB2312" w:eastAsia="仿宋_GB2312" w:cs="仿宋_GB2312"/>
          <w:color w:val="auto"/>
          <w:sz w:val="24"/>
          <w:szCs w:val="24"/>
          <w:highlight w:val="none"/>
        </w:rPr>
        <w:t>在约定的风险范围内合同单价不作调整</w:t>
      </w:r>
      <w:r>
        <w:rPr>
          <w:rFonts w:hint="eastAsia" w:ascii="仿宋_GB2312" w:hAnsi="仿宋_GB2312" w:eastAsia="仿宋_GB2312" w:cs="仿宋_GB2312"/>
          <w:color w:val="auto"/>
          <w:kern w:val="0"/>
          <w:sz w:val="24"/>
          <w:szCs w:val="24"/>
          <w:highlight w:val="none"/>
        </w:rPr>
        <w:t>。合同当事人应在专用合同条款中约定综合单价包含的风险范围和风险费用的计算方法</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并约定风险范围以外的合同价格的调整方法，其中因市场价格波动引起的调整按第12.1款【市场价格波动引起的调整】约定执行，因法律变化引起的调整按第12.2款【法律变化引起的调整】约定执行。</w:t>
      </w:r>
    </w:p>
    <w:p w14:paraId="7C21E7B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楷体_GB2312" w:hAnsi="楷体_GB2312" w:eastAsia="楷体_GB2312" w:cs="楷体_GB2312"/>
          <w:color w:val="auto"/>
          <w:kern w:val="0"/>
          <w:sz w:val="24"/>
          <w:szCs w:val="24"/>
          <w:highlight w:val="none"/>
          <w:lang w:val="en-US" w:eastAsia="zh-CN"/>
        </w:rPr>
        <w:t xml:space="preserve">11.2 </w:t>
      </w:r>
      <w:r>
        <w:rPr>
          <w:rFonts w:hint="eastAsia" w:ascii="楷体_GB2312" w:hAnsi="楷体_GB2312" w:eastAsia="楷体_GB2312" w:cs="楷体_GB2312"/>
          <w:color w:val="auto"/>
          <w:kern w:val="0"/>
          <w:sz w:val="24"/>
          <w:szCs w:val="24"/>
          <w:highlight w:val="none"/>
        </w:rPr>
        <w:t>总价合同</w:t>
      </w:r>
    </w:p>
    <w:p w14:paraId="5C11366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总价合同是指合同当事人约定以图纸、已标价工程量清单或预算书及有关条件进行合同价格计算、调整和确认的建设工程专业分包合同，</w:t>
      </w:r>
      <w:r>
        <w:rPr>
          <w:rFonts w:hint="eastAsia" w:ascii="仿宋_GB2312" w:hAnsi="仿宋_GB2312" w:eastAsia="仿宋_GB2312" w:cs="仿宋_GB2312"/>
          <w:color w:val="auto"/>
          <w:sz w:val="24"/>
          <w:szCs w:val="24"/>
          <w:highlight w:val="none"/>
        </w:rPr>
        <w:t>在约定的风险范围内合同总价不作调整</w:t>
      </w:r>
      <w:r>
        <w:rPr>
          <w:rFonts w:hint="eastAsia" w:ascii="仿宋_GB2312" w:hAnsi="仿宋_GB2312" w:eastAsia="仿宋_GB2312" w:cs="仿宋_GB2312"/>
          <w:color w:val="auto"/>
          <w:kern w:val="0"/>
          <w:sz w:val="24"/>
          <w:szCs w:val="24"/>
          <w:highlight w:val="none"/>
        </w:rPr>
        <w:t>。合同当事人应在专用合同条款中约定总价包含的风险范围和风险费用的计算方法，并约定风险范围以外的合同价格的调整方法，其中因市场价格波动引起的调整按第12.1款【市场价格波动引起的调整】约定执行，因法律变化引起的调整按第12.2款【法律变化引起的调整】约定执行。</w:t>
      </w:r>
    </w:p>
    <w:p w14:paraId="39406D9A">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楷体_GB2312" w:hAnsi="楷体_GB2312" w:eastAsia="楷体_GB2312" w:cs="楷体_GB2312"/>
          <w:color w:val="auto"/>
          <w:kern w:val="0"/>
          <w:sz w:val="24"/>
          <w:szCs w:val="24"/>
          <w:highlight w:val="none"/>
          <w:lang w:val="en-US" w:eastAsia="zh-CN"/>
        </w:rPr>
        <w:t xml:space="preserve">11.3 </w:t>
      </w:r>
      <w:r>
        <w:rPr>
          <w:rFonts w:hint="eastAsia" w:ascii="楷体_GB2312" w:hAnsi="楷体_GB2312" w:eastAsia="楷体_GB2312" w:cs="楷体_GB2312"/>
          <w:color w:val="auto"/>
          <w:kern w:val="0"/>
          <w:sz w:val="24"/>
          <w:szCs w:val="24"/>
          <w:highlight w:val="none"/>
        </w:rPr>
        <w:t>其它价格形式</w:t>
      </w:r>
    </w:p>
    <w:p w14:paraId="0FB4AC5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合同当事人可在专用合同条款中约定其他合同价格形式。</w:t>
      </w:r>
    </w:p>
    <w:p w14:paraId="1ACF0B7D">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699" w:name="_Toc5970"/>
      <w:bookmarkStart w:id="700" w:name="_Toc23067"/>
      <w:bookmarkStart w:id="701" w:name="_Toc9620"/>
      <w:bookmarkStart w:id="702" w:name="_Toc371493226"/>
      <w:bookmarkStart w:id="703" w:name="_Toc21913"/>
      <w:bookmarkStart w:id="704" w:name="_Toc20361"/>
      <w:bookmarkStart w:id="705" w:name="_Toc389586363"/>
      <w:bookmarkStart w:id="706" w:name="_Toc351203577"/>
      <w:bookmarkStart w:id="707" w:name="_Toc17382"/>
      <w:r>
        <w:rPr>
          <w:rFonts w:hint="eastAsia" w:ascii="黑体" w:hAnsi="黑体" w:eastAsia="黑体" w:cs="黑体"/>
          <w:b w:val="0"/>
          <w:bCs w:val="0"/>
          <w:color w:val="auto"/>
          <w:sz w:val="24"/>
          <w:szCs w:val="24"/>
          <w:highlight w:val="none"/>
        </w:rPr>
        <w:t>12. 价格调整</w:t>
      </w:r>
      <w:bookmarkEnd w:id="699"/>
      <w:bookmarkEnd w:id="700"/>
      <w:bookmarkEnd w:id="701"/>
      <w:bookmarkEnd w:id="702"/>
      <w:bookmarkEnd w:id="703"/>
      <w:bookmarkEnd w:id="704"/>
      <w:bookmarkEnd w:id="705"/>
      <w:bookmarkEnd w:id="706"/>
      <w:bookmarkEnd w:id="707"/>
    </w:p>
    <w:p w14:paraId="039275AE">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708" w:name="_Toc16156"/>
      <w:bookmarkStart w:id="709" w:name="_Toc371493227"/>
      <w:bookmarkStart w:id="710" w:name="_Toc16915"/>
      <w:bookmarkStart w:id="711" w:name="_Toc389586364"/>
      <w:bookmarkStart w:id="712" w:name="_Toc351203578"/>
      <w:bookmarkStart w:id="713" w:name="_Toc15747"/>
      <w:bookmarkStart w:id="714" w:name="_Toc26874"/>
      <w:bookmarkStart w:id="715" w:name="_Toc10174"/>
      <w:bookmarkStart w:id="716" w:name="_Toc7204"/>
      <w:bookmarkStart w:id="717" w:name="_Toc337558797"/>
      <w:bookmarkStart w:id="718" w:name="_Toc296503092"/>
      <w:bookmarkStart w:id="719" w:name="_Toc296346593"/>
      <w:r>
        <w:rPr>
          <w:rFonts w:hint="eastAsia" w:ascii="楷体_GB2312" w:hAnsi="楷体_GB2312" w:eastAsia="楷体_GB2312" w:cs="楷体_GB2312"/>
          <w:b w:val="0"/>
          <w:bCs w:val="0"/>
          <w:color w:val="auto"/>
          <w:sz w:val="24"/>
          <w:szCs w:val="24"/>
          <w:highlight w:val="none"/>
        </w:rPr>
        <w:t>12.1 市场价格波动引起的调整</w:t>
      </w:r>
      <w:bookmarkEnd w:id="708"/>
      <w:bookmarkEnd w:id="709"/>
      <w:bookmarkEnd w:id="710"/>
      <w:bookmarkEnd w:id="711"/>
      <w:bookmarkEnd w:id="712"/>
      <w:bookmarkEnd w:id="713"/>
      <w:bookmarkEnd w:id="714"/>
      <w:bookmarkEnd w:id="715"/>
      <w:bookmarkEnd w:id="716"/>
    </w:p>
    <w:bookmarkEnd w:id="717"/>
    <w:bookmarkEnd w:id="718"/>
    <w:bookmarkEnd w:id="719"/>
    <w:p w14:paraId="251687E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除专用合同条款另有约定外，市场价格波动超过分包合同当事人约定的范围，分包合同价格应当调整。分包合同当事人可以在专用合同条款中约定市场价格波动超过当事人约定范围时进行价格调整的方式。</w:t>
      </w:r>
    </w:p>
    <w:p w14:paraId="377B02EF">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因市场价格波动引起的价格调整金额列入最近一期进度付款申请单，经承包人批准后列入进度付款。</w:t>
      </w:r>
    </w:p>
    <w:p w14:paraId="10242DCC">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720" w:name="_Toc389586365"/>
      <w:bookmarkStart w:id="721" w:name="_Toc17636"/>
      <w:bookmarkStart w:id="722" w:name="_Toc371493228"/>
      <w:bookmarkStart w:id="723" w:name="_Toc21228"/>
      <w:bookmarkStart w:id="724" w:name="_Toc2771"/>
      <w:bookmarkStart w:id="725" w:name="_Toc351203579"/>
      <w:bookmarkStart w:id="726" w:name="_Toc11801"/>
      <w:bookmarkStart w:id="727" w:name="_Toc27917"/>
      <w:bookmarkStart w:id="728" w:name="_Toc21281"/>
      <w:bookmarkStart w:id="729" w:name="_Toc296346594"/>
      <w:bookmarkStart w:id="730" w:name="_Toc296503093"/>
      <w:bookmarkStart w:id="731" w:name="_Toc337558798"/>
      <w:r>
        <w:rPr>
          <w:rFonts w:hint="eastAsia" w:ascii="楷体_GB2312" w:hAnsi="楷体_GB2312" w:eastAsia="楷体_GB2312" w:cs="楷体_GB2312"/>
          <w:b w:val="0"/>
          <w:bCs w:val="0"/>
          <w:color w:val="auto"/>
          <w:sz w:val="24"/>
          <w:szCs w:val="24"/>
          <w:highlight w:val="none"/>
        </w:rPr>
        <w:t>12.2 法律变化引起的调整</w:t>
      </w:r>
      <w:bookmarkEnd w:id="720"/>
      <w:bookmarkEnd w:id="721"/>
      <w:bookmarkEnd w:id="722"/>
      <w:bookmarkEnd w:id="723"/>
      <w:bookmarkEnd w:id="724"/>
      <w:bookmarkEnd w:id="725"/>
      <w:bookmarkEnd w:id="726"/>
      <w:bookmarkEnd w:id="727"/>
      <w:bookmarkEnd w:id="728"/>
    </w:p>
    <w:bookmarkEnd w:id="729"/>
    <w:bookmarkEnd w:id="730"/>
    <w:bookmarkEnd w:id="731"/>
    <w:p w14:paraId="79D522C3">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准日期后，法律变化导致分包人在合同履行过程中所需要的费用发生除第12.1款【市场价格波动引起的调整】约定以外的增加时，由承包人承担由此增加的费用；减少时，应从合同价格中予以扣减。基准日期后，因法律变化造成工期延误时，工期应予以顺延。</w:t>
      </w:r>
    </w:p>
    <w:p w14:paraId="6C1870B9">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因法律变化引起的价格调整金额列入最近一期进度付款申请单，经承包人批准后列入进度付款。</w:t>
      </w:r>
      <w:bookmarkStart w:id="732" w:name="_Toc389586366"/>
      <w:bookmarkStart w:id="733" w:name="_Toc22780"/>
      <w:bookmarkStart w:id="734" w:name="_Toc7888"/>
      <w:bookmarkStart w:id="735" w:name="_Toc26638"/>
      <w:bookmarkStart w:id="736" w:name="_Toc29702"/>
      <w:bookmarkStart w:id="737" w:name="_Toc7900"/>
      <w:bookmarkStart w:id="738" w:name="_Toc495"/>
      <w:bookmarkStart w:id="739" w:name="_Toc351203580"/>
      <w:bookmarkStart w:id="740" w:name="_Toc371493230"/>
      <w:bookmarkStart w:id="741" w:name="_Toc296346597"/>
      <w:bookmarkStart w:id="742" w:name="_Toc296503096"/>
      <w:bookmarkStart w:id="743" w:name="_Toc337558799"/>
    </w:p>
    <w:p w14:paraId="17AC691A">
      <w:pPr>
        <w:keepNext w:val="0"/>
        <w:keepLines w:val="0"/>
        <w:pageBreakBefore w:val="0"/>
        <w:widowControl w:val="0"/>
        <w:numPr>
          <w:ilvl w:val="0"/>
          <w:numId w:val="1"/>
        </w:numPr>
        <w:kinsoku/>
        <w:wordWrap w:val="0"/>
        <w:overflowPunct/>
        <w:topLinePunct w:val="0"/>
        <w:autoSpaceDE/>
        <w:autoSpaceDN/>
        <w:bidi w:val="0"/>
        <w:adjustRightInd w:val="0"/>
        <w:snapToGrid w:val="0"/>
        <w:spacing w:line="40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计量</w:t>
      </w:r>
      <w:bookmarkEnd w:id="732"/>
      <w:bookmarkEnd w:id="733"/>
      <w:bookmarkEnd w:id="734"/>
      <w:bookmarkEnd w:id="735"/>
      <w:bookmarkEnd w:id="736"/>
      <w:bookmarkEnd w:id="737"/>
      <w:bookmarkEnd w:id="738"/>
      <w:bookmarkStart w:id="744" w:name="_Toc12541"/>
      <w:bookmarkStart w:id="745" w:name="_Toc21730"/>
      <w:bookmarkStart w:id="746" w:name="_Toc389586367"/>
      <w:bookmarkStart w:id="747" w:name="_Toc12168"/>
      <w:bookmarkStart w:id="748" w:name="_Toc24399"/>
      <w:bookmarkStart w:id="749" w:name="_Toc21881"/>
      <w:bookmarkStart w:id="750" w:name="_Toc16605"/>
    </w:p>
    <w:p w14:paraId="396D11D0">
      <w:pPr>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13.1 计量原则和计量周期</w:t>
      </w:r>
      <w:bookmarkEnd w:id="744"/>
      <w:bookmarkEnd w:id="745"/>
      <w:bookmarkEnd w:id="746"/>
      <w:bookmarkEnd w:id="747"/>
      <w:bookmarkEnd w:id="748"/>
      <w:bookmarkEnd w:id="749"/>
      <w:bookmarkEnd w:id="750"/>
    </w:p>
    <w:p w14:paraId="5A18264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13.1.1 工程量计量按照分包合同约定的工程量计算规则、图纸及变更指示等进行计量。工程量计算规则应以相关的国家标准、行业标准等为依据，由合同当事人在专用合同条款中约定。</w:t>
      </w:r>
    </w:p>
    <w:p w14:paraId="023211E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13.1.2 除专用合同条款另有约定外，工程量的计量按月进行。</w:t>
      </w:r>
      <w:r>
        <w:rPr>
          <w:rFonts w:hint="eastAsia" w:ascii="仿宋_GB2312" w:hAnsi="仿宋_GB2312" w:eastAsia="仿宋_GB2312" w:cs="仿宋_GB2312"/>
          <w:color w:val="auto"/>
          <w:sz w:val="24"/>
          <w:szCs w:val="24"/>
          <w:highlight w:val="none"/>
        </w:rPr>
        <w:t>分包人应及时报送进度工作量计量表（附详细计算书），承包人结合监理人和发包人本项目进度计量支付情况进行审核。</w:t>
      </w:r>
    </w:p>
    <w:p w14:paraId="24D2360C">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751" w:name="_Toc27428"/>
      <w:bookmarkStart w:id="752" w:name="_Toc21443"/>
      <w:bookmarkStart w:id="753" w:name="_Toc389586368"/>
      <w:bookmarkStart w:id="754" w:name="_Toc8985"/>
      <w:bookmarkStart w:id="755" w:name="_Toc5406"/>
      <w:bookmarkStart w:id="756" w:name="_Toc26202"/>
      <w:bookmarkStart w:id="757" w:name="_Toc28205"/>
      <w:r>
        <w:rPr>
          <w:rFonts w:hint="eastAsia" w:ascii="楷体_GB2312" w:hAnsi="楷体_GB2312" w:eastAsia="楷体_GB2312" w:cs="楷体_GB2312"/>
          <w:b w:val="0"/>
          <w:bCs w:val="0"/>
          <w:color w:val="auto"/>
          <w:sz w:val="24"/>
          <w:szCs w:val="24"/>
          <w:highlight w:val="none"/>
        </w:rPr>
        <w:t>13.2 计量程序</w:t>
      </w:r>
      <w:bookmarkEnd w:id="751"/>
      <w:bookmarkEnd w:id="752"/>
      <w:bookmarkEnd w:id="753"/>
      <w:bookmarkEnd w:id="754"/>
      <w:bookmarkEnd w:id="755"/>
      <w:bookmarkEnd w:id="756"/>
      <w:bookmarkEnd w:id="757"/>
    </w:p>
    <w:p w14:paraId="0EA0A8E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除专用合同条款另有约定外，分包合同的计量按照本款约定程序执行：</w:t>
      </w:r>
    </w:p>
    <w:p w14:paraId="73D3184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14:paraId="33DA334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14:paraId="78F4E89F">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758" w:name="_Toc389586369"/>
      <w:bookmarkStart w:id="759" w:name="_Toc22156"/>
      <w:bookmarkStart w:id="760" w:name="_Toc14711"/>
      <w:bookmarkStart w:id="761" w:name="_Toc25530"/>
      <w:bookmarkStart w:id="762" w:name="_Toc25811"/>
      <w:bookmarkStart w:id="763" w:name="_Toc13022"/>
      <w:bookmarkStart w:id="764" w:name="_Toc22873"/>
      <w:r>
        <w:rPr>
          <w:rFonts w:hint="eastAsia" w:ascii="黑体" w:hAnsi="黑体" w:eastAsia="黑体" w:cs="黑体"/>
          <w:b w:val="0"/>
          <w:bCs w:val="0"/>
          <w:color w:val="auto"/>
          <w:sz w:val="24"/>
          <w:szCs w:val="24"/>
          <w:highlight w:val="none"/>
        </w:rPr>
        <w:t>14. 工程款支付</w:t>
      </w:r>
      <w:bookmarkEnd w:id="739"/>
      <w:bookmarkEnd w:id="740"/>
      <w:bookmarkEnd w:id="758"/>
      <w:bookmarkEnd w:id="759"/>
      <w:bookmarkEnd w:id="760"/>
      <w:bookmarkEnd w:id="761"/>
      <w:bookmarkEnd w:id="762"/>
      <w:bookmarkEnd w:id="763"/>
      <w:bookmarkEnd w:id="764"/>
    </w:p>
    <w:bookmarkEnd w:id="741"/>
    <w:bookmarkEnd w:id="742"/>
    <w:bookmarkEnd w:id="743"/>
    <w:p w14:paraId="542BF111">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765" w:name="_Toc296503097"/>
      <w:bookmarkStart w:id="766" w:name="_Toc296346598"/>
      <w:bookmarkStart w:id="767" w:name="_Toc26432"/>
      <w:bookmarkStart w:id="768" w:name="_Toc389586370"/>
      <w:bookmarkStart w:id="769" w:name="_Toc2659"/>
      <w:bookmarkStart w:id="770" w:name="_Toc6074"/>
      <w:bookmarkStart w:id="771" w:name="_Toc20585"/>
      <w:bookmarkStart w:id="772" w:name="_Toc31126"/>
      <w:bookmarkStart w:id="773" w:name="_Toc351203582"/>
      <w:bookmarkStart w:id="774" w:name="_Toc371493232"/>
      <w:bookmarkStart w:id="775" w:name="_Toc729"/>
      <w:bookmarkStart w:id="776" w:name="_Toc337558801"/>
      <w:r>
        <w:rPr>
          <w:rFonts w:hint="eastAsia" w:ascii="楷体_GB2312" w:hAnsi="楷体_GB2312" w:eastAsia="楷体_GB2312" w:cs="楷体_GB2312"/>
          <w:b w:val="0"/>
          <w:bCs w:val="0"/>
          <w:color w:val="auto"/>
          <w:sz w:val="24"/>
          <w:szCs w:val="24"/>
          <w:highlight w:val="none"/>
        </w:rPr>
        <w:t>14.</w:t>
      </w:r>
      <w:r>
        <w:rPr>
          <w:rFonts w:hint="eastAsia" w:ascii="楷体_GB2312" w:hAnsi="楷体_GB2312" w:eastAsia="楷体_GB2312" w:cs="楷体_GB2312"/>
          <w:b w:val="0"/>
          <w:bCs w:val="0"/>
          <w:color w:val="auto"/>
          <w:sz w:val="24"/>
          <w:szCs w:val="24"/>
          <w:highlight w:val="none"/>
          <w:lang w:val="en-US" w:eastAsia="zh-CN"/>
        </w:rPr>
        <w:t>1</w:t>
      </w:r>
      <w:r>
        <w:rPr>
          <w:rFonts w:hint="eastAsia" w:ascii="楷体_GB2312" w:hAnsi="楷体_GB2312" w:eastAsia="楷体_GB2312" w:cs="楷体_GB2312"/>
          <w:b w:val="0"/>
          <w:bCs w:val="0"/>
          <w:color w:val="auto"/>
          <w:sz w:val="24"/>
          <w:szCs w:val="24"/>
          <w:highlight w:val="none"/>
        </w:rPr>
        <w:t xml:space="preserve"> 预</w:t>
      </w:r>
      <w:bookmarkEnd w:id="765"/>
      <w:bookmarkEnd w:id="766"/>
      <w:bookmarkStart w:id="777" w:name="_Toc296346601"/>
      <w:bookmarkStart w:id="778" w:name="_Toc296503100"/>
      <w:r>
        <w:rPr>
          <w:rFonts w:hint="eastAsia" w:ascii="楷体_GB2312" w:hAnsi="楷体_GB2312" w:eastAsia="楷体_GB2312" w:cs="楷体_GB2312"/>
          <w:b w:val="0"/>
          <w:bCs w:val="0"/>
          <w:color w:val="auto"/>
          <w:sz w:val="24"/>
          <w:szCs w:val="24"/>
          <w:highlight w:val="none"/>
        </w:rPr>
        <w:t>付款</w:t>
      </w:r>
      <w:bookmarkEnd w:id="767"/>
      <w:bookmarkEnd w:id="768"/>
      <w:bookmarkEnd w:id="769"/>
      <w:bookmarkEnd w:id="770"/>
      <w:bookmarkEnd w:id="771"/>
      <w:bookmarkEnd w:id="772"/>
      <w:bookmarkEnd w:id="773"/>
      <w:bookmarkEnd w:id="774"/>
      <w:bookmarkEnd w:id="775"/>
    </w:p>
    <w:bookmarkEnd w:id="776"/>
    <w:bookmarkEnd w:id="777"/>
    <w:bookmarkEnd w:id="778"/>
    <w:p w14:paraId="43FAEE7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除专用合同条款另有约定外，本合同无工程预付款。分包人应当预备必要的资金用于项目前期材料、工程设备、施工设备的采购及组织施工队伍进场等。</w:t>
      </w:r>
    </w:p>
    <w:p w14:paraId="3EEEE385">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779" w:name="_Toc8829"/>
      <w:bookmarkStart w:id="780" w:name="_Toc389586371"/>
      <w:bookmarkStart w:id="781" w:name="_Toc27908"/>
      <w:bookmarkStart w:id="782" w:name="_Toc22988"/>
      <w:bookmarkStart w:id="783" w:name="_Toc1614"/>
      <w:bookmarkStart w:id="784" w:name="_Toc32290"/>
      <w:bookmarkStart w:id="785" w:name="_Toc21713"/>
      <w:r>
        <w:rPr>
          <w:rFonts w:hint="eastAsia" w:ascii="楷体_GB2312" w:hAnsi="楷体_GB2312" w:eastAsia="楷体_GB2312" w:cs="楷体_GB2312"/>
          <w:b w:val="0"/>
          <w:bCs w:val="0"/>
          <w:color w:val="auto"/>
          <w:sz w:val="24"/>
          <w:szCs w:val="24"/>
          <w:highlight w:val="none"/>
        </w:rPr>
        <w:t>14.2 安全文明施工费的支付</w:t>
      </w:r>
      <w:bookmarkEnd w:id="779"/>
      <w:bookmarkEnd w:id="780"/>
      <w:bookmarkEnd w:id="781"/>
      <w:bookmarkEnd w:id="782"/>
      <w:bookmarkEnd w:id="783"/>
      <w:bookmarkEnd w:id="784"/>
      <w:bookmarkEnd w:id="785"/>
    </w:p>
    <w:p w14:paraId="199B0E11">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承包人应在分包工程开工后35天内支付安全文明施工费总额的50%，其余部分与进度款同期支付。承包人逾期支付安全文明施工费超过7天的，分包人有权向承包人发出要求支付的催告通知。</w:t>
      </w:r>
    </w:p>
    <w:p w14:paraId="26A3C844">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786" w:name="_Toc296503101"/>
      <w:bookmarkStart w:id="787" w:name="_Toc296346602"/>
      <w:bookmarkStart w:id="788" w:name="_Toc8123"/>
      <w:bookmarkStart w:id="789" w:name="_Toc12718"/>
      <w:bookmarkStart w:id="790" w:name="_Toc887"/>
      <w:bookmarkStart w:id="791" w:name="_Toc8428"/>
      <w:bookmarkStart w:id="792" w:name="_Toc351203584"/>
      <w:bookmarkStart w:id="793" w:name="_Toc371493234"/>
      <w:bookmarkStart w:id="794" w:name="_Toc1329"/>
      <w:bookmarkStart w:id="795" w:name="_Toc23351"/>
      <w:bookmarkStart w:id="796" w:name="_Toc389586372"/>
      <w:bookmarkStart w:id="797" w:name="_Toc337558803"/>
      <w:r>
        <w:rPr>
          <w:rFonts w:hint="eastAsia" w:ascii="楷体_GB2312" w:hAnsi="楷体_GB2312" w:eastAsia="楷体_GB2312" w:cs="楷体_GB2312"/>
          <w:b w:val="0"/>
          <w:bCs w:val="0"/>
          <w:color w:val="auto"/>
          <w:sz w:val="24"/>
          <w:szCs w:val="24"/>
          <w:highlight w:val="none"/>
        </w:rPr>
        <w:t>14.3 工程进度款支</w:t>
      </w:r>
      <w:bookmarkEnd w:id="786"/>
      <w:bookmarkEnd w:id="787"/>
      <w:r>
        <w:rPr>
          <w:rFonts w:hint="eastAsia" w:ascii="楷体_GB2312" w:hAnsi="楷体_GB2312" w:eastAsia="楷体_GB2312" w:cs="楷体_GB2312"/>
          <w:b w:val="0"/>
          <w:bCs w:val="0"/>
          <w:color w:val="auto"/>
          <w:sz w:val="24"/>
          <w:szCs w:val="24"/>
          <w:highlight w:val="none"/>
        </w:rPr>
        <w:t>付</w:t>
      </w:r>
      <w:bookmarkEnd w:id="788"/>
      <w:bookmarkEnd w:id="789"/>
      <w:bookmarkEnd w:id="790"/>
      <w:bookmarkEnd w:id="791"/>
      <w:bookmarkEnd w:id="792"/>
      <w:bookmarkEnd w:id="793"/>
      <w:bookmarkEnd w:id="794"/>
      <w:bookmarkEnd w:id="795"/>
      <w:bookmarkEnd w:id="796"/>
    </w:p>
    <w:bookmarkEnd w:id="797"/>
    <w:p w14:paraId="7490040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.1 除专用合同条款另有约定外，付款周期应与第13.1款【计量原则和计量周期】约定的计量周期保持一致。</w:t>
      </w:r>
    </w:p>
    <w:p w14:paraId="2903489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.2 除专用合同条款另有约定外，进度付款申请单应包括下列内容：</w:t>
      </w:r>
    </w:p>
    <w:p w14:paraId="7645DCB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（1）截至本次付款周期已完成工作对应的金额；</w:t>
      </w:r>
    </w:p>
    <w:p w14:paraId="715AFA2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（2）根据第10条【分包合同变更】应增加和扣减的变更金额；</w:t>
      </w:r>
    </w:p>
    <w:p w14:paraId="5C135D7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（3）根据第12条【价格调整】应增加和扣减的调整金额；</w:t>
      </w:r>
    </w:p>
    <w:p w14:paraId="1F162F5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（4）根据第14.1款【预付款】应支付的预付款和扣减的返还预付款；</w:t>
      </w:r>
    </w:p>
    <w:p w14:paraId="13269CF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（5）根据第20.3款【质量保证金】应扣减的质量保证金；</w:t>
      </w:r>
    </w:p>
    <w:p w14:paraId="0B3B9FE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（6）根据第24条【索赔】应增加和扣减的索赔金额；</w:t>
      </w:r>
    </w:p>
    <w:p w14:paraId="29DCC58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（7）对已签发的进度款支付证书中出现错误的修正，应在本次进度付款中支付或扣除的金额；</w:t>
      </w:r>
    </w:p>
    <w:p w14:paraId="76E1C7D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（8）根据分包合同约定应增加和扣减的其他金额。</w:t>
      </w:r>
    </w:p>
    <w:p w14:paraId="317E343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分包人应按照第13.2款【计量程序】约定的时间按付款周期向承包人提交进度付款申请单，并附上已完成工程量报表和有关资料。</w:t>
      </w:r>
    </w:p>
    <w:p w14:paraId="3121B29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.3 进度款审核和支付</w:t>
      </w:r>
    </w:p>
    <w:p w14:paraId="61636129">
      <w:pPr>
        <w:pageBreakBefore w:val="0"/>
        <w:kinsoku/>
        <w:overflowPunct/>
        <w:topLinePunct w:val="0"/>
        <w:bidi w:val="0"/>
        <w:adjustRightInd w:val="0"/>
        <w:snapToGrid w:val="0"/>
        <w:spacing w:line="400" w:lineRule="exact"/>
        <w:ind w:firstLine="48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在施工过程中由承包人为分包人代付的款项，在支付分包人的进度款项中扣除。分包人办理请款手续时须对承包人当期代付款项进行核对确认，否则承包人有权在结算时单方面扣除。</w:t>
      </w:r>
    </w:p>
    <w:p w14:paraId="3542CA3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除专用合同条款另有约定外，承包人应在收到分包人进度付款申请单后21天内完成审核并签发进度款支付证书。承包人逾期未完成审批且未提出异议的，分包人有权向承包人发出催告通知。</w:t>
      </w:r>
    </w:p>
    <w:p w14:paraId="4183D0A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承包人对分包人的进度付款申请单有异议的，有权要求分包人修正和提供补充资料，分包人应提交修正后的进度付款申请单。承包人应在收到分包人修正后的进度付款申请单及相关资料后21天内完成审核，向分包人签发无异议部分的临时进度款支付证书。存在争议的部分，按照第25条【争议解决】的约定处理</w:t>
      </w:r>
      <w:r>
        <w:rPr>
          <w:rFonts w:hint="eastAsia" w:ascii="仿宋_GB2312" w:hAnsi="仿宋_GB2312" w:eastAsia="仿宋_GB2312" w:cs="仿宋_GB2312"/>
          <w:color w:val="auto"/>
          <w:kern w:val="0"/>
          <w:sz w:val="24"/>
          <w:szCs w:val="24"/>
          <w:highlight w:val="none"/>
          <w:lang w:eastAsia="zh-CN"/>
        </w:rPr>
        <w:t>。</w:t>
      </w:r>
    </w:p>
    <w:p w14:paraId="1350F9C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（2）</w:t>
      </w:r>
      <w:r>
        <w:rPr>
          <w:rFonts w:hint="eastAsia" w:ascii="仿宋_GB2312" w:hAnsi="仿宋_GB2312" w:eastAsia="仿宋_GB2312" w:cs="仿宋_GB2312"/>
          <w:color w:val="auto"/>
          <w:kern w:val="0"/>
          <w:sz w:val="24"/>
          <w:szCs w:val="24"/>
          <w:highlight w:val="none"/>
        </w:rPr>
        <w:t>除专用合同条款另有约定外，承包人应在进度款支付证书或临时进度款支付证书签发后7天内完成支付，承包人逾期支付进度款的，分包人有权向承包人发出催告通知。</w:t>
      </w:r>
    </w:p>
    <w:p w14:paraId="5E5BCC2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（3）承包人签发进度款支付证书或临时进度款支付证书，不表明承包人已同意、批准或认可了分包人完成的相应部分的工作。</w:t>
      </w:r>
    </w:p>
    <w:p w14:paraId="165B0484">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承包人每次付款给分包人均以收到</w:t>
      </w:r>
      <w:r>
        <w:rPr>
          <w:rFonts w:hint="eastAsia" w:ascii="仿宋_GB2312" w:hAnsi="仿宋_GB2312" w:eastAsia="仿宋_GB2312" w:cs="仿宋_GB2312"/>
          <w:color w:val="auto"/>
          <w:sz w:val="24"/>
          <w:szCs w:val="24"/>
          <w:highlight w:val="none"/>
        </w:rPr>
        <w:t>发包人对相应</w:t>
      </w:r>
      <w:r>
        <w:rPr>
          <w:rFonts w:hint="eastAsia" w:ascii="仿宋_GB2312" w:hAnsi="仿宋_GB2312" w:eastAsia="仿宋_GB2312" w:cs="仿宋_GB2312"/>
          <w:color w:val="auto"/>
          <w:sz w:val="24"/>
          <w:szCs w:val="24"/>
          <w:highlight w:val="none"/>
          <w:lang w:val="zh-CN"/>
        </w:rPr>
        <w:t>工作内容专项拨款为前提，如</w:t>
      </w:r>
      <w:r>
        <w:rPr>
          <w:rFonts w:hint="eastAsia" w:ascii="仿宋_GB2312" w:hAnsi="仿宋_GB2312" w:eastAsia="仿宋_GB2312" w:cs="仿宋_GB2312"/>
          <w:color w:val="auto"/>
          <w:sz w:val="24"/>
          <w:szCs w:val="24"/>
          <w:highlight w:val="none"/>
        </w:rPr>
        <w:t>发包人</w:t>
      </w:r>
      <w:r>
        <w:rPr>
          <w:rFonts w:hint="eastAsia" w:ascii="仿宋_GB2312" w:hAnsi="仿宋_GB2312" w:eastAsia="仿宋_GB2312" w:cs="仿宋_GB2312"/>
          <w:color w:val="auto"/>
          <w:sz w:val="24"/>
          <w:szCs w:val="24"/>
          <w:highlight w:val="none"/>
          <w:lang w:val="zh-CN"/>
        </w:rPr>
        <w:t>未能</w:t>
      </w:r>
      <w:r>
        <w:rPr>
          <w:rFonts w:hint="eastAsia" w:ascii="仿宋_GB2312" w:hAnsi="仿宋_GB2312" w:eastAsia="仿宋_GB2312" w:cs="仿宋_GB2312"/>
          <w:color w:val="auto"/>
          <w:sz w:val="24"/>
          <w:szCs w:val="24"/>
          <w:highlight w:val="none"/>
        </w:rPr>
        <w:t>及时</w:t>
      </w:r>
      <w:r>
        <w:rPr>
          <w:rFonts w:hint="eastAsia" w:ascii="仿宋_GB2312" w:hAnsi="仿宋_GB2312" w:eastAsia="仿宋_GB2312" w:cs="仿宋_GB2312"/>
          <w:color w:val="auto"/>
          <w:sz w:val="24"/>
          <w:szCs w:val="24"/>
          <w:highlight w:val="none"/>
          <w:lang w:val="zh-CN"/>
        </w:rPr>
        <w:t>拨款而导致承包人不能按时付款给分包人，分包人不能直接或间接向法院和仲裁委追究承包人经济责任和法律责任，应双方协同并以承包人名义依法提起诉讼，共同追讨建设单位工程欠款。</w:t>
      </w:r>
    </w:p>
    <w:p w14:paraId="76A59D84">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分包人收到工程款项后必须专款专用，以保证工程进度。分包人应预备一定的自有资金确保工程施工的资金周转，不得以资金不足为由停工，否则因此引发的经济损失及法律责任由分包人承担。</w:t>
      </w:r>
    </w:p>
    <w:p w14:paraId="77518E81">
      <w:pPr>
        <w:pageBreakBefore w:val="0"/>
        <w:widowControl w:val="0"/>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开设劳务人员工资支付专用账户发放劳务人员工资。分包人应当在用工之日起7天内为每一位劳务人员办理个人银行账户，指定专人负责建设项目施工现场台账管理，真实准确记录劳务人员名册、劳务合同、劳动合同、工程进度、工时台账、劳务费和劳务人员工资支付等信息。</w:t>
      </w:r>
    </w:p>
    <w:p w14:paraId="6068E5F2">
      <w:pPr>
        <w:pageBreakBefore w:val="0"/>
        <w:widowControl w:val="0"/>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若分包人</w:t>
      </w:r>
      <w:r>
        <w:rPr>
          <w:rFonts w:hint="eastAsia" w:ascii="仿宋_GB2312" w:hAnsi="仿宋_GB2312" w:eastAsia="仿宋_GB2312" w:cs="仿宋_GB2312"/>
          <w:color w:val="auto"/>
          <w:sz w:val="24"/>
          <w:szCs w:val="24"/>
          <w:highlight w:val="none"/>
          <w:lang w:val="zh-CN"/>
        </w:rPr>
        <w:t>有拖欠</w:t>
      </w:r>
      <w:r>
        <w:rPr>
          <w:rFonts w:hint="eastAsia" w:ascii="仿宋_GB2312" w:hAnsi="仿宋_GB2312" w:eastAsia="仿宋_GB2312" w:cs="仿宋_GB2312"/>
          <w:color w:val="auto"/>
          <w:sz w:val="24"/>
          <w:szCs w:val="24"/>
          <w:highlight w:val="none"/>
        </w:rPr>
        <w:t>劳务人员</w:t>
      </w:r>
      <w:r>
        <w:rPr>
          <w:rFonts w:hint="eastAsia" w:ascii="仿宋_GB2312" w:hAnsi="仿宋_GB2312" w:eastAsia="仿宋_GB2312" w:cs="仿宋_GB2312"/>
          <w:color w:val="auto"/>
          <w:sz w:val="24"/>
          <w:szCs w:val="24"/>
          <w:highlight w:val="none"/>
          <w:lang w:val="zh-CN"/>
        </w:rPr>
        <w:t>工资行为</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有权按</w:t>
      </w:r>
      <w:r>
        <w:rPr>
          <w:rFonts w:hint="eastAsia" w:ascii="仿宋_GB2312" w:hAnsi="仿宋_GB2312" w:eastAsia="仿宋_GB2312" w:cs="仿宋_GB2312"/>
          <w:color w:val="auto"/>
          <w:sz w:val="24"/>
          <w:szCs w:val="24"/>
          <w:highlight w:val="none"/>
        </w:rPr>
        <w:t>分包人</w:t>
      </w:r>
      <w:r>
        <w:rPr>
          <w:rFonts w:hint="eastAsia" w:ascii="仿宋_GB2312" w:hAnsi="仿宋_GB2312" w:eastAsia="仿宋_GB2312" w:cs="仿宋_GB2312"/>
          <w:color w:val="auto"/>
          <w:sz w:val="24"/>
          <w:szCs w:val="24"/>
          <w:highlight w:val="none"/>
          <w:lang w:val="zh-CN"/>
        </w:rPr>
        <w:t>提供的工资表数额扣留</w:t>
      </w:r>
      <w:r>
        <w:rPr>
          <w:rFonts w:hint="eastAsia" w:ascii="仿宋_GB2312" w:hAnsi="仿宋_GB2312" w:eastAsia="仿宋_GB2312" w:cs="仿宋_GB2312"/>
          <w:color w:val="auto"/>
          <w:sz w:val="24"/>
          <w:szCs w:val="24"/>
          <w:highlight w:val="none"/>
        </w:rPr>
        <w:t>工程款项</w:t>
      </w:r>
      <w:r>
        <w:rPr>
          <w:rFonts w:hint="eastAsia" w:ascii="仿宋_GB2312" w:hAnsi="仿宋_GB2312" w:eastAsia="仿宋_GB2312" w:cs="仿宋_GB2312"/>
          <w:color w:val="auto"/>
          <w:sz w:val="24"/>
          <w:szCs w:val="24"/>
          <w:highlight w:val="none"/>
          <w:lang w:val="zh-CN"/>
        </w:rPr>
        <w:t>并直接支付给</w:t>
      </w:r>
      <w:r>
        <w:rPr>
          <w:rFonts w:hint="eastAsia" w:ascii="仿宋_GB2312" w:hAnsi="仿宋_GB2312" w:eastAsia="仿宋_GB2312" w:cs="仿宋_GB2312"/>
          <w:color w:val="auto"/>
          <w:sz w:val="24"/>
          <w:szCs w:val="24"/>
          <w:highlight w:val="none"/>
        </w:rPr>
        <w:t>劳务人员</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分包人</w:t>
      </w:r>
      <w:r>
        <w:rPr>
          <w:rFonts w:hint="eastAsia" w:ascii="仿宋_GB2312" w:hAnsi="仿宋_GB2312" w:eastAsia="仿宋_GB2312" w:cs="仿宋_GB2312"/>
          <w:color w:val="auto"/>
          <w:sz w:val="24"/>
          <w:szCs w:val="24"/>
          <w:highlight w:val="none"/>
          <w:lang w:val="zh-CN"/>
        </w:rPr>
        <w:t>根据此条款的规定予以承认</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已将</w:t>
      </w:r>
      <w:r>
        <w:rPr>
          <w:rFonts w:hint="eastAsia" w:ascii="仿宋_GB2312" w:hAnsi="仿宋_GB2312" w:eastAsia="仿宋_GB2312" w:cs="仿宋_GB2312"/>
          <w:color w:val="auto"/>
          <w:sz w:val="24"/>
          <w:szCs w:val="24"/>
          <w:highlight w:val="none"/>
        </w:rPr>
        <w:t>工程款项</w:t>
      </w:r>
      <w:r>
        <w:rPr>
          <w:rFonts w:hint="eastAsia" w:ascii="仿宋_GB2312" w:hAnsi="仿宋_GB2312" w:eastAsia="仿宋_GB2312" w:cs="仿宋_GB2312"/>
          <w:color w:val="auto"/>
          <w:sz w:val="24"/>
          <w:szCs w:val="24"/>
          <w:highlight w:val="none"/>
          <w:lang w:val="zh-CN"/>
        </w:rPr>
        <w:t>支付给</w:t>
      </w:r>
      <w:r>
        <w:rPr>
          <w:rFonts w:hint="eastAsia" w:ascii="仿宋_GB2312" w:hAnsi="仿宋_GB2312" w:eastAsia="仿宋_GB2312" w:cs="仿宋_GB2312"/>
          <w:color w:val="auto"/>
          <w:sz w:val="24"/>
          <w:szCs w:val="24"/>
          <w:highlight w:val="none"/>
        </w:rPr>
        <w:t>劳务分包人</w:t>
      </w:r>
      <w:r>
        <w:rPr>
          <w:rFonts w:hint="eastAsia" w:ascii="仿宋_GB2312" w:hAnsi="仿宋_GB2312" w:eastAsia="仿宋_GB2312" w:cs="仿宋_GB2312"/>
          <w:color w:val="auto"/>
          <w:sz w:val="24"/>
          <w:szCs w:val="24"/>
          <w:highlight w:val="none"/>
          <w:lang w:val="zh-CN"/>
        </w:rPr>
        <w:t>。</w:t>
      </w:r>
    </w:p>
    <w:p w14:paraId="3C75F78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14.3.4 进度付款的修正</w:t>
      </w:r>
    </w:p>
    <w:p w14:paraId="1563092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在对已签发的进度款支付证书进行阶段汇总和复核中发现错误、遗漏或重复的，承包人和分包人均有权提出修正申请。经承包人和分包人同意的修正，应在下期进度付款中支付或扣除。</w:t>
      </w:r>
    </w:p>
    <w:p w14:paraId="58CA0458">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798" w:name="_Toc10646"/>
      <w:bookmarkStart w:id="799" w:name="_Toc389586373"/>
      <w:bookmarkStart w:id="800" w:name="_Toc10412"/>
      <w:bookmarkStart w:id="801" w:name="_Toc351203585"/>
      <w:bookmarkStart w:id="802" w:name="_Toc10303"/>
      <w:bookmarkStart w:id="803" w:name="_Toc25823"/>
      <w:bookmarkStart w:id="804" w:name="_Toc371493235"/>
      <w:bookmarkStart w:id="805" w:name="_Toc30256"/>
      <w:bookmarkStart w:id="806" w:name="_Toc27595"/>
      <w:r>
        <w:rPr>
          <w:rFonts w:hint="eastAsia" w:ascii="楷体_GB2312" w:hAnsi="楷体_GB2312" w:eastAsia="楷体_GB2312" w:cs="楷体_GB2312"/>
          <w:b w:val="0"/>
          <w:bCs w:val="0"/>
          <w:color w:val="auto"/>
          <w:sz w:val="24"/>
          <w:szCs w:val="24"/>
          <w:highlight w:val="none"/>
        </w:rPr>
        <w:t>14.4 支付账户</w:t>
      </w:r>
      <w:bookmarkEnd w:id="798"/>
      <w:bookmarkEnd w:id="799"/>
      <w:bookmarkEnd w:id="800"/>
      <w:bookmarkEnd w:id="801"/>
      <w:bookmarkEnd w:id="802"/>
      <w:bookmarkEnd w:id="803"/>
      <w:bookmarkEnd w:id="804"/>
      <w:bookmarkEnd w:id="805"/>
      <w:bookmarkEnd w:id="806"/>
    </w:p>
    <w:p w14:paraId="6011D6DA">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承包人应将合同价款支付至合同协议书中约定的分包人账户。</w:t>
      </w:r>
    </w:p>
    <w:p w14:paraId="279C830F">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807" w:name="_Toc25559"/>
      <w:r>
        <w:rPr>
          <w:rFonts w:hint="eastAsia" w:ascii="楷体_GB2312" w:hAnsi="楷体_GB2312" w:eastAsia="楷体_GB2312" w:cs="楷体_GB2312"/>
          <w:b w:val="0"/>
          <w:bCs w:val="0"/>
          <w:color w:val="auto"/>
          <w:sz w:val="24"/>
          <w:szCs w:val="24"/>
          <w:highlight w:val="none"/>
        </w:rPr>
        <w:t>14.5 支付条件</w:t>
      </w:r>
      <w:bookmarkEnd w:id="807"/>
    </w:p>
    <w:p w14:paraId="052A812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分包人须在承包人根据本合同支付各种款项前，依法按照适用的增值税税率向承包人开具合法有效且与支付金额相应的增值税发票。</w:t>
      </w:r>
    </w:p>
    <w:p w14:paraId="03D13056">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808" w:name="_Toc24206"/>
      <w:bookmarkStart w:id="809" w:name="_Toc3043"/>
      <w:bookmarkStart w:id="810" w:name="_Toc26759"/>
      <w:bookmarkStart w:id="811" w:name="_Toc20583"/>
      <w:bookmarkStart w:id="812" w:name="_Toc19651"/>
      <w:bookmarkStart w:id="813" w:name="_Toc389586374"/>
      <w:bookmarkStart w:id="814" w:name="_Toc31151"/>
      <w:bookmarkStart w:id="815" w:name="_Toc371493236"/>
      <w:bookmarkStart w:id="816" w:name="_Toc351203586"/>
      <w:bookmarkStart w:id="817" w:name="_Toc322522574"/>
      <w:bookmarkStart w:id="818" w:name="_Toc296503106"/>
      <w:bookmarkStart w:id="819" w:name="_Toc337558804"/>
      <w:bookmarkStart w:id="820" w:name="_Toc296346607"/>
      <w:r>
        <w:rPr>
          <w:rFonts w:hint="eastAsia" w:ascii="黑体" w:hAnsi="黑体" w:eastAsia="黑体" w:cs="黑体"/>
          <w:b w:val="0"/>
          <w:bCs w:val="0"/>
          <w:color w:val="auto"/>
          <w:sz w:val="24"/>
          <w:szCs w:val="24"/>
          <w:highlight w:val="none"/>
        </w:rPr>
        <w:t>15. 成品保护</w:t>
      </w:r>
      <w:bookmarkEnd w:id="808"/>
      <w:bookmarkEnd w:id="809"/>
      <w:bookmarkEnd w:id="810"/>
      <w:bookmarkEnd w:id="811"/>
      <w:bookmarkEnd w:id="812"/>
      <w:bookmarkEnd w:id="813"/>
      <w:bookmarkEnd w:id="814"/>
    </w:p>
    <w:p w14:paraId="6EE7B97D">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821" w:name="_Toc12348"/>
      <w:bookmarkStart w:id="822" w:name="_Toc22303"/>
      <w:bookmarkStart w:id="823" w:name="_Toc9457"/>
      <w:bookmarkStart w:id="824" w:name="_Toc389586375"/>
      <w:bookmarkStart w:id="825" w:name="_Toc30593"/>
      <w:bookmarkStart w:id="826" w:name="_Toc15216"/>
      <w:bookmarkStart w:id="827" w:name="_Toc21094"/>
      <w:r>
        <w:rPr>
          <w:rFonts w:hint="eastAsia" w:ascii="楷体_GB2312" w:hAnsi="楷体_GB2312" w:eastAsia="楷体_GB2312" w:cs="楷体_GB2312"/>
          <w:b w:val="0"/>
          <w:bCs w:val="0"/>
          <w:color w:val="auto"/>
          <w:sz w:val="24"/>
          <w:szCs w:val="24"/>
          <w:highlight w:val="none"/>
        </w:rPr>
        <w:t>15.1 分包工程的成品保护</w:t>
      </w:r>
      <w:bookmarkEnd w:id="821"/>
      <w:bookmarkEnd w:id="822"/>
      <w:bookmarkEnd w:id="823"/>
      <w:bookmarkEnd w:id="824"/>
      <w:bookmarkEnd w:id="825"/>
      <w:bookmarkEnd w:id="826"/>
      <w:bookmarkEnd w:id="827"/>
    </w:p>
    <w:p w14:paraId="67CCD949">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kern w:val="0"/>
          <w:sz w:val="24"/>
          <w:szCs w:val="24"/>
          <w:highlight w:val="none"/>
        </w:rPr>
        <w:t>15.1.1 在分包工程移交承包人前，分包人负责分包工程的成品保护工作。分包</w:t>
      </w:r>
      <w:r>
        <w:rPr>
          <w:rFonts w:hint="eastAsia" w:ascii="仿宋_GB2312" w:hAnsi="仿宋_GB2312" w:eastAsia="仿宋_GB2312" w:cs="仿宋_GB2312"/>
          <w:color w:val="auto"/>
          <w:spacing w:val="-6"/>
          <w:kern w:val="0"/>
          <w:sz w:val="24"/>
          <w:szCs w:val="24"/>
          <w:highlight w:val="none"/>
        </w:rPr>
        <w:t>人应采取妥善的保护措施确保已完成的分包工程在其他施工单位正常施工时不被损坏。</w:t>
      </w:r>
    </w:p>
    <w:p w14:paraId="4E8A4956">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15.1.2 在分包工程移交承包人后，承包人负责分包工程的成品保护工作。承包人应采取妥善的保护措施确保分包工程不被损坏，因此发生的费用由承包人承担。</w:t>
      </w:r>
    </w:p>
    <w:p w14:paraId="7737D91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分包工程因非分包人原因被损坏的，承包人可以自行修复，也可以要求分包人进行修复，因此发生的费用和（或）延误的工期由承包人承担。</w:t>
      </w:r>
    </w:p>
    <w:p w14:paraId="4DDD55F9">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828" w:name="_Toc15356"/>
      <w:bookmarkStart w:id="829" w:name="_Toc23448"/>
      <w:bookmarkStart w:id="830" w:name="_Toc14787"/>
      <w:bookmarkStart w:id="831" w:name="_Toc30101"/>
      <w:bookmarkStart w:id="832" w:name="_Toc17640"/>
      <w:bookmarkStart w:id="833" w:name="_Toc7313"/>
      <w:bookmarkStart w:id="834" w:name="_Toc389586376"/>
      <w:r>
        <w:rPr>
          <w:rFonts w:hint="eastAsia" w:ascii="楷体_GB2312" w:hAnsi="楷体_GB2312" w:eastAsia="楷体_GB2312" w:cs="楷体_GB2312"/>
          <w:b w:val="0"/>
          <w:bCs w:val="0"/>
          <w:color w:val="auto"/>
          <w:sz w:val="24"/>
          <w:szCs w:val="24"/>
          <w:highlight w:val="none"/>
        </w:rPr>
        <w:t>15.2 其它工程的成品保护</w:t>
      </w:r>
      <w:bookmarkEnd w:id="828"/>
      <w:bookmarkEnd w:id="829"/>
      <w:bookmarkEnd w:id="830"/>
      <w:bookmarkEnd w:id="831"/>
      <w:bookmarkEnd w:id="832"/>
      <w:bookmarkEnd w:id="833"/>
      <w:bookmarkEnd w:id="834"/>
    </w:p>
    <w:p w14:paraId="093CF041">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在施工过程中应采取合理措施对分包工程之外的已完工程予以保护，避免对已完工程造成损坏。分包工程之外的其他工程因分包人原因损坏的，承包人自行修复，因此发生的费用和（或）延误的工期由分包人承担。</w:t>
      </w:r>
      <w:bookmarkStart w:id="835" w:name="_Toc4690"/>
      <w:bookmarkStart w:id="836" w:name="_Toc15050"/>
      <w:bookmarkStart w:id="837" w:name="_Toc14973"/>
      <w:bookmarkStart w:id="838" w:name="_Toc14722"/>
      <w:bookmarkStart w:id="839" w:name="_Toc30017"/>
      <w:bookmarkStart w:id="840" w:name="_Toc24247"/>
      <w:bookmarkStart w:id="841" w:name="_Toc389586377"/>
    </w:p>
    <w:p w14:paraId="3E5B10D7">
      <w:pPr>
        <w:pageBreakBefore w:val="0"/>
        <w:widowControl w:val="0"/>
        <w:numPr>
          <w:ilvl w:val="0"/>
          <w:numId w:val="2"/>
        </w:numPr>
        <w:kinsoku/>
        <w:wordWrap w:val="0"/>
        <w:overflowPunct/>
        <w:topLinePunct w:val="0"/>
        <w:bidi w:val="0"/>
        <w:adjustRightInd w:val="0"/>
        <w:snapToGrid w:val="0"/>
        <w:spacing w:line="390" w:lineRule="exact"/>
        <w:ind w:firstLine="480" w:firstLineChars="200"/>
        <w:jc w:val="left"/>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试车</w:t>
      </w:r>
      <w:bookmarkEnd w:id="835"/>
      <w:bookmarkEnd w:id="836"/>
      <w:bookmarkEnd w:id="837"/>
      <w:bookmarkEnd w:id="838"/>
      <w:bookmarkEnd w:id="839"/>
      <w:bookmarkEnd w:id="840"/>
      <w:bookmarkEnd w:id="841"/>
      <w:bookmarkStart w:id="842" w:name="_Toc26631"/>
      <w:bookmarkStart w:id="843" w:name="_Toc3762"/>
      <w:bookmarkStart w:id="844" w:name="_Toc389586378"/>
      <w:bookmarkStart w:id="845" w:name="_Toc30703"/>
      <w:bookmarkStart w:id="846" w:name="_Toc32570"/>
      <w:bookmarkStart w:id="847" w:name="_Toc4483"/>
      <w:bookmarkStart w:id="848" w:name="_Toc10736"/>
    </w:p>
    <w:p w14:paraId="49D3B3D6">
      <w:pPr>
        <w:pageBreakBefore w:val="0"/>
        <w:widowControl w:val="0"/>
        <w:numPr>
          <w:ilvl w:val="0"/>
          <w:numId w:val="0"/>
        </w:numPr>
        <w:kinsoku/>
        <w:wordWrap w:val="0"/>
        <w:overflowPunct/>
        <w:topLinePunct w:val="0"/>
        <w:bidi w:val="0"/>
        <w:adjustRightInd w:val="0"/>
        <w:snapToGrid w:val="0"/>
        <w:spacing w:line="390" w:lineRule="exact"/>
        <w:ind w:firstLine="480" w:firstLineChars="200"/>
        <w:jc w:val="left"/>
        <w:textAlignment w:val="auto"/>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16.1 试车的组织和配合</w:t>
      </w:r>
      <w:bookmarkEnd w:id="842"/>
      <w:bookmarkEnd w:id="843"/>
      <w:bookmarkEnd w:id="844"/>
      <w:bookmarkEnd w:id="845"/>
      <w:bookmarkEnd w:id="846"/>
      <w:bookmarkEnd w:id="847"/>
      <w:bookmarkEnd w:id="848"/>
    </w:p>
    <w:p w14:paraId="6950E95B">
      <w:pPr>
        <w:pageBreakBefore w:val="0"/>
        <w:widowControl w:val="0"/>
        <w:kinsoku/>
        <w:wordWrap w:val="0"/>
        <w:overflowPunct/>
        <w:topLinePunct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分包工程需要试车的，除专用合同条款另有约定外，试车内容应与分包人承包范围相一致。</w:t>
      </w:r>
    </w:p>
    <w:p w14:paraId="7D0323B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分包人负责组织试车，并在试车前48小时书面通知承包人，通知中应载明试车内容、时间、地点。分包人准备试车记录，承包人根据分包人要求为试车提供必要条件。试车合格的，承包人在试车记录上签字。</w:t>
      </w:r>
    </w:p>
    <w:p w14:paraId="7866E261">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849" w:name="_Toc11358"/>
      <w:bookmarkStart w:id="850" w:name="_Toc29282"/>
      <w:bookmarkStart w:id="851" w:name="_Toc22403"/>
      <w:bookmarkStart w:id="852" w:name="_Toc27970"/>
      <w:bookmarkStart w:id="853" w:name="_Toc14311"/>
      <w:bookmarkStart w:id="854" w:name="_Toc23259"/>
      <w:bookmarkStart w:id="855" w:name="_Toc389586379"/>
      <w:r>
        <w:rPr>
          <w:rFonts w:hint="eastAsia" w:ascii="楷体_GB2312" w:hAnsi="楷体_GB2312" w:eastAsia="楷体_GB2312" w:cs="楷体_GB2312"/>
          <w:b w:val="0"/>
          <w:bCs w:val="0"/>
          <w:color w:val="auto"/>
          <w:sz w:val="24"/>
          <w:szCs w:val="24"/>
          <w:highlight w:val="none"/>
        </w:rPr>
        <w:t>16.2 试车的费用承担</w:t>
      </w:r>
      <w:bookmarkEnd w:id="849"/>
      <w:bookmarkEnd w:id="850"/>
      <w:bookmarkEnd w:id="851"/>
      <w:bookmarkEnd w:id="852"/>
      <w:bookmarkEnd w:id="853"/>
      <w:bookmarkEnd w:id="854"/>
      <w:bookmarkEnd w:id="855"/>
    </w:p>
    <w:p w14:paraId="35C36FC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试车费用明细及试车费用承担由合同当事人在专用合同条款中约定。</w:t>
      </w:r>
    </w:p>
    <w:p w14:paraId="31958213">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856" w:name="_Toc19179"/>
      <w:bookmarkStart w:id="857" w:name="_Toc32173"/>
      <w:bookmarkStart w:id="858" w:name="_Toc30647"/>
      <w:bookmarkStart w:id="859" w:name="_Toc9796"/>
      <w:bookmarkStart w:id="860" w:name="_Toc22784"/>
      <w:bookmarkStart w:id="861" w:name="_Toc26841"/>
      <w:bookmarkStart w:id="862" w:name="_Toc389586380"/>
      <w:r>
        <w:rPr>
          <w:rFonts w:hint="eastAsia" w:ascii="楷体_GB2312" w:hAnsi="楷体_GB2312" w:eastAsia="楷体_GB2312" w:cs="楷体_GB2312"/>
          <w:b w:val="0"/>
          <w:bCs w:val="0"/>
          <w:color w:val="auto"/>
          <w:sz w:val="24"/>
          <w:szCs w:val="24"/>
          <w:highlight w:val="none"/>
        </w:rPr>
        <w:t>16.3 试车中的责任</w:t>
      </w:r>
      <w:bookmarkEnd w:id="856"/>
      <w:bookmarkEnd w:id="857"/>
      <w:bookmarkEnd w:id="858"/>
      <w:bookmarkEnd w:id="859"/>
      <w:bookmarkEnd w:id="860"/>
      <w:bookmarkEnd w:id="861"/>
      <w:bookmarkEnd w:id="862"/>
    </w:p>
    <w:p w14:paraId="2CEAC2F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因设计原因导致试车达不到验收要求，承包人应协调发包人修改设计，分包人按修改后的设计重新施工。承包人承担修改设计、拆除及重新施工的全部费用，工期相应顺延。因分包人原因导致试车达不到验收要求，分包人按承包人要求重新施工和试车，并承担重新施工和试车的费用，工期不予顺延。</w:t>
      </w:r>
    </w:p>
    <w:p w14:paraId="0241182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r>
        <w:rPr>
          <w:rFonts w:hint="eastAsia" w:ascii="仿宋_GB2312" w:hAnsi="仿宋_GB2312" w:eastAsia="仿宋_GB2312" w:cs="仿宋_GB2312"/>
          <w:b/>
          <w:color w:val="auto"/>
          <w:sz w:val="24"/>
          <w:szCs w:val="24"/>
          <w:highlight w:val="none"/>
        </w:rPr>
        <w:t xml:space="preserve">    </w:t>
      </w:r>
    </w:p>
    <w:p w14:paraId="464D2154">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863" w:name="_Toc18089"/>
      <w:bookmarkStart w:id="864" w:name="_Toc18884"/>
      <w:bookmarkStart w:id="865" w:name="_Toc6546"/>
      <w:bookmarkStart w:id="866" w:name="_Toc389586381"/>
      <w:bookmarkStart w:id="867" w:name="_Toc27035"/>
      <w:bookmarkStart w:id="868" w:name="_Toc32114"/>
      <w:bookmarkStart w:id="869" w:name="_Toc32743"/>
      <w:r>
        <w:rPr>
          <w:rFonts w:hint="eastAsia" w:ascii="黑体" w:hAnsi="黑体" w:eastAsia="黑体" w:cs="黑体"/>
          <w:b w:val="0"/>
          <w:bCs w:val="0"/>
          <w:color w:val="auto"/>
          <w:sz w:val="24"/>
          <w:szCs w:val="24"/>
          <w:highlight w:val="none"/>
        </w:rPr>
        <w:t>17. 完工验收</w:t>
      </w:r>
      <w:bookmarkEnd w:id="815"/>
      <w:bookmarkEnd w:id="816"/>
      <w:bookmarkEnd w:id="863"/>
      <w:bookmarkEnd w:id="864"/>
      <w:bookmarkEnd w:id="865"/>
      <w:bookmarkEnd w:id="866"/>
      <w:bookmarkEnd w:id="867"/>
      <w:bookmarkEnd w:id="868"/>
      <w:bookmarkEnd w:id="869"/>
    </w:p>
    <w:bookmarkEnd w:id="817"/>
    <w:bookmarkEnd w:id="818"/>
    <w:bookmarkEnd w:id="819"/>
    <w:bookmarkEnd w:id="820"/>
    <w:p w14:paraId="65149D10">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870" w:name="_Toc351203588"/>
      <w:bookmarkStart w:id="871" w:name="_Toc371493237"/>
      <w:bookmarkStart w:id="872" w:name="_Toc389586382"/>
      <w:bookmarkStart w:id="873" w:name="_Toc20786"/>
      <w:bookmarkStart w:id="874" w:name="_Toc3788"/>
      <w:bookmarkStart w:id="875" w:name="_Toc29519"/>
      <w:bookmarkStart w:id="876" w:name="_Toc16756"/>
      <w:bookmarkStart w:id="877" w:name="_Toc4307"/>
      <w:bookmarkStart w:id="878" w:name="_Toc8448"/>
      <w:bookmarkStart w:id="879" w:name="_Toc296346611"/>
      <w:bookmarkStart w:id="880" w:name="_Toc296503110"/>
      <w:bookmarkStart w:id="881" w:name="_Toc337558806"/>
      <w:r>
        <w:rPr>
          <w:rFonts w:hint="eastAsia" w:ascii="楷体_GB2312" w:hAnsi="楷体_GB2312" w:eastAsia="楷体_GB2312" w:cs="楷体_GB2312"/>
          <w:b w:val="0"/>
          <w:bCs w:val="0"/>
          <w:color w:val="auto"/>
          <w:sz w:val="24"/>
          <w:szCs w:val="24"/>
          <w:highlight w:val="none"/>
        </w:rPr>
        <w:t>17.1 完工验收</w:t>
      </w:r>
      <w:bookmarkEnd w:id="870"/>
      <w:bookmarkEnd w:id="871"/>
      <w:r>
        <w:rPr>
          <w:rFonts w:hint="eastAsia" w:ascii="楷体_GB2312" w:hAnsi="楷体_GB2312" w:eastAsia="楷体_GB2312" w:cs="楷体_GB2312"/>
          <w:b w:val="0"/>
          <w:bCs w:val="0"/>
          <w:color w:val="auto"/>
          <w:sz w:val="24"/>
          <w:szCs w:val="24"/>
          <w:highlight w:val="none"/>
        </w:rPr>
        <w:t>条件</w:t>
      </w:r>
      <w:bookmarkEnd w:id="872"/>
      <w:bookmarkEnd w:id="873"/>
      <w:bookmarkEnd w:id="874"/>
      <w:bookmarkEnd w:id="875"/>
      <w:bookmarkEnd w:id="876"/>
      <w:bookmarkEnd w:id="877"/>
      <w:bookmarkEnd w:id="878"/>
    </w:p>
    <w:bookmarkEnd w:id="879"/>
    <w:bookmarkEnd w:id="880"/>
    <w:bookmarkEnd w:id="881"/>
    <w:p w14:paraId="33C3C9FC">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分包工程具备以下条件的，分包人可以申请完工验收：</w:t>
      </w:r>
    </w:p>
    <w:p w14:paraId="67D671A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（1）分包合同范围内的全部分包工程以及有关工作，包括分包合同要求的试验以及检验均已完成，并符合分包合同要求；</w:t>
      </w:r>
    </w:p>
    <w:p w14:paraId="102C240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（2）已按分包合同约定编制了缺陷修补工作清单以及相应的施工计划；</w:t>
      </w:r>
    </w:p>
    <w:p w14:paraId="6FAD40C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（3）已按分包合同约定的内容和份数备齐完工资料；</w:t>
      </w:r>
    </w:p>
    <w:p w14:paraId="55EB219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（4）专用合同条款约定的其他条件。</w:t>
      </w:r>
    </w:p>
    <w:p w14:paraId="165CC0A3">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882" w:name="_Toc23805"/>
      <w:bookmarkStart w:id="883" w:name="_Toc20530"/>
      <w:bookmarkStart w:id="884" w:name="_Toc389586383"/>
      <w:bookmarkStart w:id="885" w:name="_Toc31768"/>
      <w:bookmarkStart w:id="886" w:name="_Toc12373"/>
      <w:bookmarkStart w:id="887" w:name="_Toc17006"/>
      <w:bookmarkStart w:id="888" w:name="_Toc12426"/>
      <w:r>
        <w:rPr>
          <w:rFonts w:hint="eastAsia" w:ascii="楷体_GB2312" w:hAnsi="楷体_GB2312" w:eastAsia="楷体_GB2312" w:cs="楷体_GB2312"/>
          <w:b w:val="0"/>
          <w:bCs w:val="0"/>
          <w:color w:val="auto"/>
          <w:sz w:val="24"/>
          <w:szCs w:val="24"/>
          <w:highlight w:val="none"/>
        </w:rPr>
        <w:t>17.2 完工验收程序</w:t>
      </w:r>
      <w:bookmarkEnd w:id="882"/>
      <w:bookmarkEnd w:id="883"/>
      <w:bookmarkEnd w:id="884"/>
      <w:bookmarkEnd w:id="885"/>
      <w:bookmarkEnd w:id="886"/>
      <w:bookmarkEnd w:id="887"/>
      <w:bookmarkEnd w:id="888"/>
    </w:p>
    <w:p w14:paraId="247D970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除专用合同条款另有约定外，分包人申请完工验收的，应当按照以下程序进行：</w:t>
      </w:r>
    </w:p>
    <w:p w14:paraId="774BB3A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14:paraId="5D869E65">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（2）承包人审查后认为已具备完工验收条件的，应在收到完工验收申请报告后28天内按分部分项工程验收要求组织相关单位进行完工验收。</w:t>
      </w:r>
    </w:p>
    <w:p w14:paraId="682F358B">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款约定的程序重新进行验收。</w:t>
      </w:r>
    </w:p>
    <w:p w14:paraId="6583623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（4）分包工程未经验收或验收不合格，承包人或发包人擅自使用的，自转移占有分包工程之日起，分包工程应被视为完工验收合格。</w:t>
      </w:r>
    </w:p>
    <w:p w14:paraId="5FDDFB06">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889" w:name="_Toc16290"/>
      <w:bookmarkStart w:id="890" w:name="_Toc389586384"/>
      <w:bookmarkStart w:id="891" w:name="_Toc20699"/>
      <w:bookmarkStart w:id="892" w:name="_Toc16502"/>
      <w:bookmarkStart w:id="893" w:name="_Toc22231"/>
      <w:bookmarkStart w:id="894" w:name="_Toc7193"/>
      <w:bookmarkStart w:id="895" w:name="_Toc30051"/>
      <w:r>
        <w:rPr>
          <w:rFonts w:hint="eastAsia" w:ascii="楷体_GB2312" w:hAnsi="楷体_GB2312" w:eastAsia="楷体_GB2312" w:cs="楷体_GB2312"/>
          <w:b w:val="0"/>
          <w:bCs w:val="0"/>
          <w:color w:val="auto"/>
          <w:sz w:val="24"/>
          <w:szCs w:val="24"/>
          <w:highlight w:val="none"/>
        </w:rPr>
        <w:t>17.3 完工日期</w:t>
      </w:r>
      <w:bookmarkEnd w:id="889"/>
      <w:bookmarkEnd w:id="890"/>
      <w:bookmarkEnd w:id="891"/>
      <w:bookmarkEnd w:id="892"/>
      <w:bookmarkEnd w:id="893"/>
      <w:bookmarkEnd w:id="894"/>
      <w:bookmarkEnd w:id="895"/>
    </w:p>
    <w:p w14:paraId="05D86E1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分包工程经完工验收合格的，以分包人提交完工验收申请报告之日为实际完工日期；因承包人原因未在收到完工验收申请报告28天内进行完工验收的，以分包人提交完工验</w:t>
      </w:r>
      <w:bookmarkStart w:id="896" w:name="#go14"/>
      <w:bookmarkEnd w:id="896"/>
      <w:r>
        <w:rPr>
          <w:rFonts w:hint="eastAsia" w:ascii="仿宋_GB2312" w:hAnsi="仿宋_GB2312" w:eastAsia="仿宋_GB2312" w:cs="仿宋_GB2312"/>
          <w:color w:val="auto"/>
          <w:kern w:val="0"/>
          <w:sz w:val="24"/>
          <w:szCs w:val="24"/>
          <w:highlight w:val="none"/>
        </w:rPr>
        <w:t>收申请报告的日期为实际完工日期；分包工程未经完工验收，承包人或发包人擅自使用的，以转移占有分包工程之日为实际完工日期。</w:t>
      </w:r>
    </w:p>
    <w:p w14:paraId="6959AA2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分包人应保证分包工程自完工验收合格至移交承包人的期间一直保持质量合格状态，否则分包人应按专用合同条款的约定承担违约责任。</w:t>
      </w:r>
    </w:p>
    <w:p w14:paraId="14395A65">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897" w:name="_Toc296503112"/>
      <w:bookmarkStart w:id="898" w:name="_Toc296346613"/>
      <w:bookmarkStart w:id="899" w:name="_Toc22508"/>
      <w:bookmarkStart w:id="900" w:name="_Toc389586385"/>
      <w:bookmarkStart w:id="901" w:name="_Toc76"/>
      <w:bookmarkStart w:id="902" w:name="_Toc4865"/>
      <w:bookmarkStart w:id="903" w:name="_Toc6730"/>
      <w:bookmarkStart w:id="904" w:name="_Toc371493239"/>
      <w:bookmarkStart w:id="905" w:name="_Toc23817"/>
      <w:bookmarkStart w:id="906" w:name="_Toc351203592"/>
      <w:bookmarkStart w:id="907" w:name="_Toc14964"/>
      <w:bookmarkStart w:id="908" w:name="_Toc337558809"/>
      <w:r>
        <w:rPr>
          <w:rFonts w:hint="eastAsia" w:ascii="楷体_GB2312" w:hAnsi="楷体_GB2312" w:eastAsia="楷体_GB2312" w:cs="楷体_GB2312"/>
          <w:b w:val="0"/>
          <w:bCs w:val="0"/>
          <w:color w:val="auto"/>
          <w:sz w:val="24"/>
          <w:szCs w:val="24"/>
          <w:highlight w:val="none"/>
        </w:rPr>
        <w:t>17.4 完工退</w:t>
      </w:r>
      <w:bookmarkEnd w:id="897"/>
      <w:bookmarkEnd w:id="898"/>
      <w:r>
        <w:rPr>
          <w:rFonts w:hint="eastAsia" w:ascii="楷体_GB2312" w:hAnsi="楷体_GB2312" w:eastAsia="楷体_GB2312" w:cs="楷体_GB2312"/>
          <w:b w:val="0"/>
          <w:bCs w:val="0"/>
          <w:color w:val="auto"/>
          <w:sz w:val="24"/>
          <w:szCs w:val="24"/>
          <w:highlight w:val="none"/>
        </w:rPr>
        <w:t>场</w:t>
      </w:r>
      <w:bookmarkEnd w:id="899"/>
      <w:bookmarkEnd w:id="900"/>
      <w:bookmarkEnd w:id="901"/>
      <w:bookmarkEnd w:id="902"/>
      <w:bookmarkEnd w:id="903"/>
      <w:bookmarkEnd w:id="904"/>
      <w:bookmarkEnd w:id="905"/>
      <w:bookmarkEnd w:id="906"/>
      <w:bookmarkEnd w:id="907"/>
    </w:p>
    <w:bookmarkEnd w:id="908"/>
    <w:p w14:paraId="1FA477D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完工验收合格后，分包人应在专用合同条款约定的期限内对施工场地进行清理后退场；逾期未完成清理并退场的，承包人有权出售或另行处理分包人遗留的物品，由此发生的费用由分包人承担。经承包人书面同意，分包人可在承包人指定的地点保留分包人履行缺陷责任期内的各项义务所需要的材料、施工设备和临时工程。</w:t>
      </w:r>
    </w:p>
    <w:p w14:paraId="261486F9">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909" w:name="_Toc478"/>
      <w:bookmarkStart w:id="910" w:name="_Toc3765"/>
      <w:bookmarkStart w:id="911" w:name="_Toc389586386"/>
      <w:bookmarkStart w:id="912" w:name="_Toc21646"/>
      <w:bookmarkStart w:id="913" w:name="_Toc16096"/>
      <w:bookmarkStart w:id="914" w:name="_Toc32241"/>
      <w:bookmarkStart w:id="915" w:name="_Toc24785"/>
      <w:r>
        <w:rPr>
          <w:rFonts w:hint="eastAsia" w:ascii="黑体" w:hAnsi="黑体" w:eastAsia="黑体" w:cs="黑体"/>
          <w:b w:val="0"/>
          <w:bCs w:val="0"/>
          <w:color w:val="auto"/>
          <w:sz w:val="24"/>
          <w:szCs w:val="24"/>
          <w:highlight w:val="none"/>
        </w:rPr>
        <w:t>18. 分包工程移交</w:t>
      </w:r>
      <w:bookmarkEnd w:id="909"/>
      <w:bookmarkEnd w:id="910"/>
      <w:bookmarkEnd w:id="911"/>
      <w:bookmarkEnd w:id="912"/>
      <w:bookmarkEnd w:id="913"/>
      <w:bookmarkEnd w:id="914"/>
      <w:bookmarkEnd w:id="915"/>
    </w:p>
    <w:p w14:paraId="7409CBC8">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916" w:name="_Toc12085"/>
      <w:bookmarkStart w:id="917" w:name="_Toc27663"/>
      <w:bookmarkStart w:id="918" w:name="_Toc18271"/>
      <w:bookmarkStart w:id="919" w:name="_Toc4012"/>
      <w:bookmarkStart w:id="920" w:name="_Toc389586387"/>
      <w:bookmarkStart w:id="921" w:name="_Toc26688"/>
      <w:bookmarkStart w:id="922" w:name="_Toc6394"/>
      <w:r>
        <w:rPr>
          <w:rFonts w:hint="eastAsia" w:ascii="楷体_GB2312" w:hAnsi="楷体_GB2312" w:eastAsia="楷体_GB2312" w:cs="楷体_GB2312"/>
          <w:b w:val="0"/>
          <w:bCs w:val="0"/>
          <w:color w:val="auto"/>
          <w:sz w:val="24"/>
          <w:szCs w:val="24"/>
          <w:highlight w:val="none"/>
        </w:rPr>
        <w:t>18.1 分包工程移交时间</w:t>
      </w:r>
      <w:bookmarkEnd w:id="916"/>
      <w:bookmarkEnd w:id="917"/>
      <w:bookmarkEnd w:id="918"/>
      <w:bookmarkEnd w:id="919"/>
      <w:bookmarkEnd w:id="920"/>
      <w:bookmarkEnd w:id="921"/>
      <w:bookmarkEnd w:id="922"/>
    </w:p>
    <w:p w14:paraId="7CC5316B">
      <w:pPr>
        <w:pageBreakBefore w:val="0"/>
        <w:kinsoku/>
        <w:wordWrap w:val="0"/>
        <w:overflowPunct/>
        <w:topLinePunct w:val="0"/>
        <w:bidi w:val="0"/>
        <w:adjustRightInd w:val="0"/>
        <w:snapToGrid w:val="0"/>
        <w:spacing w:line="400" w:lineRule="exact"/>
        <w:ind w:firstLine="465"/>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对于提前使用的分包工程，承包人应于分包工程完工验收合格后14天内向分包人颁发接收证书；对于其他分包工程，承包人应于总包工程竣工验收合格后14天内向分包人颁发分包工程接收证书。承包人无正当理由逾期不颁发分包工程接收证书，自总包工程竣工验收合格后第15天起视为已颁发分包工程接收证书。</w:t>
      </w:r>
    </w:p>
    <w:p w14:paraId="44960D4A">
      <w:pPr>
        <w:pageBreakBefore w:val="0"/>
        <w:kinsoku/>
        <w:wordWrap w:val="0"/>
        <w:overflowPunct/>
        <w:topLinePunct w:val="0"/>
        <w:bidi w:val="0"/>
        <w:adjustRightInd w:val="0"/>
        <w:snapToGrid w:val="0"/>
        <w:spacing w:line="400" w:lineRule="exact"/>
        <w:ind w:firstLine="465"/>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除专用合同条款另有约定外，合同当事人应当在颁发分包工程接收证书后7天内完成分包工程以及全部工程资料的移交，工程资料的套数、内容由合同当事人在专用合同条款中约定。</w:t>
      </w:r>
    </w:p>
    <w:p w14:paraId="6937D9D6">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923" w:name="_Toc389586388"/>
      <w:bookmarkStart w:id="924" w:name="_Toc1617"/>
      <w:bookmarkStart w:id="925" w:name="_Toc14728"/>
      <w:bookmarkStart w:id="926" w:name="_Toc2967"/>
      <w:bookmarkStart w:id="927" w:name="_Toc6482"/>
      <w:bookmarkStart w:id="928" w:name="_Toc2665"/>
      <w:bookmarkStart w:id="929" w:name="_Toc19773"/>
      <w:r>
        <w:rPr>
          <w:rFonts w:hint="eastAsia" w:ascii="楷体_GB2312" w:hAnsi="楷体_GB2312" w:eastAsia="楷体_GB2312" w:cs="楷体_GB2312"/>
          <w:b w:val="0"/>
          <w:bCs w:val="0"/>
          <w:color w:val="auto"/>
          <w:sz w:val="24"/>
          <w:szCs w:val="24"/>
          <w:highlight w:val="none"/>
        </w:rPr>
        <w:t>18.2 拒绝接收全部或部分分包工程</w:t>
      </w:r>
      <w:bookmarkEnd w:id="923"/>
      <w:bookmarkEnd w:id="924"/>
      <w:bookmarkEnd w:id="925"/>
      <w:bookmarkEnd w:id="926"/>
      <w:bookmarkEnd w:id="927"/>
      <w:bookmarkEnd w:id="928"/>
      <w:bookmarkEnd w:id="929"/>
    </w:p>
    <w:p w14:paraId="4591E838">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黑体" w:hAnsi="黑体" w:eastAsia="黑体" w:cs="黑体"/>
          <w:b w:val="0"/>
          <w:bCs w:val="0"/>
          <w:color w:val="auto"/>
          <w:sz w:val="24"/>
          <w:szCs w:val="24"/>
          <w:highlight w:val="none"/>
        </w:rPr>
      </w:pPr>
      <w:r>
        <w:rPr>
          <w:rFonts w:hint="eastAsia" w:ascii="仿宋_GB2312" w:hAnsi="仿宋_GB2312" w:eastAsia="仿宋_GB2312" w:cs="仿宋_GB2312"/>
          <w:color w:val="auto"/>
          <w:kern w:val="0"/>
          <w:sz w:val="24"/>
          <w:szCs w:val="24"/>
          <w:highlight w:val="none"/>
        </w:rPr>
        <w:t>对于完工验收不合格的分包工程，分包人完成整改后，经重新组织验收仍不合格</w:t>
      </w:r>
      <w:r>
        <w:rPr>
          <w:rFonts w:hint="eastAsia" w:ascii="仿宋_GB2312" w:hAnsi="仿宋_GB2312" w:eastAsia="仿宋_GB2312" w:cs="仿宋_GB2312"/>
          <w:color w:val="auto"/>
          <w:spacing w:val="-6"/>
          <w:kern w:val="0"/>
          <w:sz w:val="24"/>
          <w:szCs w:val="24"/>
          <w:highlight w:val="none"/>
        </w:rPr>
        <w:t>且无法采取补救措施的，承包人可以拒绝接收，由此给承包人造成的损失由分包人承担。</w:t>
      </w:r>
      <w:bookmarkStart w:id="930" w:name="_Toc8694"/>
      <w:bookmarkStart w:id="931" w:name="_Toc11928"/>
      <w:bookmarkStart w:id="932" w:name="_Toc371493240"/>
      <w:bookmarkStart w:id="933" w:name="_Toc23138"/>
      <w:bookmarkStart w:id="934" w:name="_Toc389586389"/>
      <w:bookmarkStart w:id="935" w:name="_Toc8967"/>
      <w:bookmarkStart w:id="936" w:name="_Toc1272"/>
      <w:bookmarkStart w:id="937" w:name="_Toc337558810"/>
      <w:bookmarkStart w:id="938" w:name="_Toc14645"/>
      <w:bookmarkStart w:id="939" w:name="_Toc351203593"/>
      <w:bookmarkStart w:id="940" w:name="_Toc296503113"/>
      <w:bookmarkStart w:id="941" w:name="_Toc296346614"/>
      <w:r>
        <w:rPr>
          <w:rFonts w:hint="eastAsia" w:ascii="仿宋_GB2312" w:hAnsi="仿宋_GB2312" w:eastAsia="仿宋_GB2312" w:cs="仿宋_GB2312"/>
          <w:color w:val="auto"/>
          <w:spacing w:val="-6"/>
          <w:kern w:val="0"/>
          <w:sz w:val="24"/>
          <w:szCs w:val="24"/>
          <w:highlight w:val="none"/>
          <w:lang w:val="en-US" w:eastAsia="zh-CN"/>
        </w:rPr>
        <w:t xml:space="preserve">    </w:t>
      </w:r>
      <w:r>
        <w:rPr>
          <w:rFonts w:hint="eastAsia" w:ascii="黑体" w:hAnsi="黑体" w:eastAsia="黑体" w:cs="黑体"/>
          <w:b w:val="0"/>
          <w:bCs w:val="0"/>
          <w:color w:val="auto"/>
          <w:sz w:val="24"/>
          <w:szCs w:val="24"/>
          <w:highlight w:val="none"/>
        </w:rPr>
        <w:t>19. 结算</w:t>
      </w:r>
      <w:bookmarkEnd w:id="930"/>
      <w:bookmarkEnd w:id="931"/>
      <w:bookmarkEnd w:id="932"/>
      <w:bookmarkEnd w:id="933"/>
      <w:bookmarkEnd w:id="934"/>
      <w:bookmarkEnd w:id="935"/>
      <w:bookmarkEnd w:id="936"/>
      <w:bookmarkEnd w:id="937"/>
      <w:bookmarkEnd w:id="938"/>
      <w:bookmarkEnd w:id="939"/>
      <w:bookmarkStart w:id="942" w:name="_Toc337558811"/>
      <w:bookmarkStart w:id="943" w:name="_Toc389586390"/>
      <w:bookmarkStart w:id="944" w:name="_Toc2606"/>
      <w:bookmarkStart w:id="945" w:name="_Toc12566"/>
      <w:bookmarkStart w:id="946" w:name="_Toc371493241"/>
      <w:bookmarkStart w:id="947" w:name="_Toc21339"/>
      <w:bookmarkStart w:id="948" w:name="_Toc17163"/>
      <w:bookmarkStart w:id="949" w:name="_Toc17094"/>
      <w:bookmarkStart w:id="950" w:name="_Toc351203594"/>
      <w:bookmarkStart w:id="951" w:name="_Toc22380"/>
    </w:p>
    <w:p w14:paraId="24B69B1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楷体_GB2312" w:hAnsi="楷体_GB2312" w:eastAsia="楷体_GB2312" w:cs="楷体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19.1 结算申请</w:t>
      </w:r>
      <w:bookmarkEnd w:id="942"/>
      <w:bookmarkEnd w:id="943"/>
      <w:bookmarkEnd w:id="944"/>
      <w:bookmarkEnd w:id="945"/>
      <w:bookmarkEnd w:id="946"/>
      <w:bookmarkEnd w:id="947"/>
      <w:bookmarkEnd w:id="948"/>
      <w:bookmarkEnd w:id="949"/>
      <w:bookmarkEnd w:id="950"/>
      <w:bookmarkEnd w:id="951"/>
    </w:p>
    <w:p w14:paraId="2299D15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w:t>
      </w:r>
      <w:r>
        <w:rPr>
          <w:rFonts w:hint="eastAsia" w:ascii="仿宋_GB2312" w:hAnsi="仿宋_GB2312" w:eastAsia="仿宋_GB2312" w:cs="仿宋_GB2312"/>
          <w:color w:val="auto"/>
          <w:sz w:val="24"/>
          <w:szCs w:val="24"/>
          <w:highlight w:val="none"/>
        </w:rPr>
        <w:t>分包人应在分包工程完工验收合格后28天内向承包人提交分包工程结算申请单，并提交完整的结算资料，有关分包工程结算申请单的资料清单和份数等要求由合同当事人在专用合同条款中约定。</w:t>
      </w:r>
    </w:p>
    <w:p w14:paraId="73468DC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除专用合同条款另有约定外，分包工程结算申请单应包括以下内容：</w:t>
      </w:r>
    </w:p>
    <w:p w14:paraId="1A6868D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（1）分包工程结算价格；</w:t>
      </w:r>
    </w:p>
    <w:p w14:paraId="24D476A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（2）承包人已支付分包人的款项；</w:t>
      </w:r>
    </w:p>
    <w:p w14:paraId="6EECA00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（3）应扣留的质量保证金； </w:t>
      </w:r>
    </w:p>
    <w:p w14:paraId="710DE35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（4）承包人应支付分包人的合同价款。</w:t>
      </w:r>
    </w:p>
    <w:p w14:paraId="0D7AEC6F">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952" w:name="_Toc2574"/>
      <w:bookmarkStart w:id="953" w:name="_Toc2220"/>
      <w:bookmarkStart w:id="954" w:name="_Toc13808"/>
      <w:bookmarkStart w:id="955" w:name="_Toc4100"/>
      <w:bookmarkStart w:id="956" w:name="_Toc32443"/>
      <w:bookmarkStart w:id="957" w:name="_Toc26621"/>
      <w:bookmarkStart w:id="958" w:name="_Toc371493242"/>
      <w:bookmarkStart w:id="959" w:name="_Toc351203595"/>
      <w:bookmarkStart w:id="960" w:name="_Toc389586391"/>
      <w:bookmarkStart w:id="961" w:name="_Toc337558812"/>
      <w:r>
        <w:rPr>
          <w:rFonts w:hint="eastAsia" w:ascii="楷体_GB2312" w:hAnsi="楷体_GB2312" w:eastAsia="楷体_GB2312" w:cs="楷体_GB2312"/>
          <w:b w:val="0"/>
          <w:bCs w:val="0"/>
          <w:color w:val="auto"/>
          <w:sz w:val="24"/>
          <w:szCs w:val="24"/>
          <w:highlight w:val="none"/>
        </w:rPr>
        <w:t>19.2 结算审核</w:t>
      </w:r>
      <w:bookmarkEnd w:id="952"/>
      <w:bookmarkEnd w:id="953"/>
      <w:bookmarkEnd w:id="954"/>
      <w:bookmarkEnd w:id="955"/>
      <w:bookmarkEnd w:id="956"/>
      <w:bookmarkEnd w:id="957"/>
      <w:bookmarkEnd w:id="958"/>
      <w:bookmarkEnd w:id="959"/>
      <w:bookmarkEnd w:id="960"/>
    </w:p>
    <w:bookmarkEnd w:id="961"/>
    <w:p w14:paraId="671B73D4">
      <w:pPr>
        <w:pageBreakBefore w:val="0"/>
        <w:widowControl w:val="0"/>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19.2.1 除专用合同条款另有约定外，承包人应在收到结算申请单后28天内完成审核，并向分包人签发完工付款证书。承</w:t>
      </w:r>
      <w:r>
        <w:rPr>
          <w:rFonts w:hint="eastAsia" w:ascii="仿宋_GB2312" w:hAnsi="仿宋_GB2312" w:eastAsia="仿宋_GB2312" w:cs="仿宋_GB2312"/>
          <w:color w:val="auto"/>
          <w:sz w:val="24"/>
          <w:szCs w:val="24"/>
          <w:highlight w:val="none"/>
        </w:rPr>
        <w:t>包人对</w:t>
      </w:r>
      <w:r>
        <w:rPr>
          <w:rFonts w:hint="eastAsia" w:ascii="仿宋_GB2312" w:hAnsi="仿宋_GB2312" w:eastAsia="仿宋_GB2312" w:cs="仿宋_GB2312"/>
          <w:color w:val="auto"/>
          <w:kern w:val="0"/>
          <w:sz w:val="24"/>
          <w:szCs w:val="24"/>
          <w:highlight w:val="none"/>
        </w:rPr>
        <w:t>结算</w:t>
      </w:r>
      <w:r>
        <w:rPr>
          <w:rFonts w:hint="eastAsia" w:ascii="仿宋_GB2312" w:hAnsi="仿宋_GB2312" w:eastAsia="仿宋_GB2312" w:cs="仿宋_GB2312"/>
          <w:color w:val="auto"/>
          <w:sz w:val="24"/>
          <w:szCs w:val="24"/>
          <w:highlight w:val="none"/>
        </w:rPr>
        <w:t>申请单有异议的，有权要求分包人进行修正和提供补充资料，分包人应提交修正后的</w:t>
      </w:r>
      <w:r>
        <w:rPr>
          <w:rFonts w:hint="eastAsia" w:ascii="仿宋_GB2312" w:hAnsi="仿宋_GB2312" w:eastAsia="仿宋_GB2312" w:cs="仿宋_GB2312"/>
          <w:color w:val="auto"/>
          <w:kern w:val="0"/>
          <w:sz w:val="24"/>
          <w:szCs w:val="24"/>
          <w:highlight w:val="none"/>
        </w:rPr>
        <w:t>结算</w:t>
      </w:r>
      <w:r>
        <w:rPr>
          <w:rFonts w:hint="eastAsia" w:ascii="仿宋_GB2312" w:hAnsi="仿宋_GB2312" w:eastAsia="仿宋_GB2312" w:cs="仿宋_GB2312"/>
          <w:color w:val="auto"/>
          <w:sz w:val="24"/>
          <w:szCs w:val="24"/>
          <w:highlight w:val="none"/>
        </w:rPr>
        <w:t>申请单。</w:t>
      </w:r>
    </w:p>
    <w:p w14:paraId="524ABBF0">
      <w:pPr>
        <w:pageBreakBefore w:val="0"/>
        <w:widowControl w:val="0"/>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19.2.2 若出现以下情况，不予办理结算审核，直至情况消除并验收通过后，方可继续办理：</w:t>
      </w:r>
    </w:p>
    <w:p w14:paraId="5DD01AD0">
      <w:pPr>
        <w:pageBreakBefore w:val="0"/>
        <w:widowControl w:val="0"/>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已完工程未按质量验收标准进行检验或验收不合格的；</w:t>
      </w:r>
    </w:p>
    <w:p w14:paraId="3C71FDCE">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超出施工图或超出设计已批复设计变更，同时未经承包人签认的；</w:t>
      </w:r>
    </w:p>
    <w:p w14:paraId="1BFAFB20">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工程质量不合格，需要返工待处理的；</w:t>
      </w:r>
    </w:p>
    <w:p w14:paraId="6C9CBDE2">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质量安全存在隐患，发出质量安全整改通知单后未整改的；</w:t>
      </w:r>
    </w:p>
    <w:p w14:paraId="66B9BDC2">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未按合同约定擅自分包、转包的；</w:t>
      </w:r>
    </w:p>
    <w:p w14:paraId="591874B3">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自行供应的物资、设备、工具机具无出厂合格证或经鉴定不合格的；</w:t>
      </w:r>
    </w:p>
    <w:p w14:paraId="42D31279">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超出合同约定的工作而未经承包人签认的；</w:t>
      </w:r>
    </w:p>
    <w:p w14:paraId="30C9B5A6">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未按规定提供劳务人员工资支付证明的；</w:t>
      </w:r>
    </w:p>
    <w:p w14:paraId="111483D4">
      <w:pPr>
        <w:pageBreakBefore w:val="0"/>
        <w:widowControl w:val="0"/>
        <w:numPr>
          <w:ilvl w:val="0"/>
          <w:numId w:val="3"/>
        </w:numPr>
        <w:kinsoku/>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合同约定不予验工计价的其他情况。</w:t>
      </w:r>
    </w:p>
    <w:p w14:paraId="67F284B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承包人在收到分包人提交结算申请单后28天内未完成审核且未提出异议的，分包人有权向承包人发出催告通知。</w:t>
      </w:r>
    </w:p>
    <w:p w14:paraId="4E08EEDB">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19.2.</w:t>
      </w:r>
      <w:r>
        <w:rPr>
          <w:rFonts w:hint="eastAsia" w:ascii="仿宋_GB2312" w:hAnsi="仿宋_GB2312" w:eastAsia="仿宋_GB2312" w:cs="仿宋_GB2312"/>
          <w:color w:val="auto"/>
          <w:kern w:val="0"/>
          <w:sz w:val="24"/>
          <w:szCs w:val="24"/>
          <w:highlight w:val="none"/>
          <w:lang w:val="en-US" w:eastAsia="zh-CN"/>
        </w:rPr>
        <w:t xml:space="preserve">3 </w:t>
      </w:r>
      <w:r>
        <w:rPr>
          <w:rFonts w:hint="eastAsia" w:ascii="仿宋_GB2312" w:hAnsi="仿宋_GB2312" w:eastAsia="仿宋_GB2312" w:cs="仿宋_GB2312"/>
          <w:color w:val="auto"/>
          <w:kern w:val="0"/>
          <w:sz w:val="24"/>
          <w:szCs w:val="24"/>
          <w:highlight w:val="none"/>
        </w:rPr>
        <w:t>除专用合同条款另有约定外，承包人应在签发完工付款证书后14天内，完成对分包人的完工付款。承包人逾期支付的，分包人有权向承包人发出催告通知。</w:t>
      </w:r>
    </w:p>
    <w:p w14:paraId="0A305B7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19.2.</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 xml:space="preserve"> 分包人对承包人签发的完工付款证书有异议的，对于有异议部分应在收到承包人签发的完工付款证书后7天内提出异议，按照第25条【争议解决】的约定处理。分包人逾期未提出异议的，视为认可承包人签发的完工付款证书。</w:t>
      </w:r>
    </w:p>
    <w:p w14:paraId="487AB90B">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962" w:name="_Toc351203597"/>
      <w:bookmarkStart w:id="963" w:name="_Toc31741"/>
      <w:bookmarkStart w:id="964" w:name="_Toc28176"/>
      <w:bookmarkStart w:id="965" w:name="_Toc25607"/>
      <w:bookmarkStart w:id="966" w:name="_Toc27680"/>
      <w:bookmarkStart w:id="967" w:name="_Toc567"/>
      <w:bookmarkStart w:id="968" w:name="_Toc389586392"/>
      <w:bookmarkStart w:id="969" w:name="_Toc28644"/>
      <w:bookmarkStart w:id="970" w:name="_Toc371493243"/>
      <w:bookmarkStart w:id="971" w:name="_Toc337558814"/>
      <w:r>
        <w:rPr>
          <w:rFonts w:hint="eastAsia" w:ascii="楷体_GB2312" w:hAnsi="楷体_GB2312" w:eastAsia="楷体_GB2312" w:cs="楷体_GB2312"/>
          <w:b w:val="0"/>
          <w:bCs w:val="0"/>
          <w:color w:val="auto"/>
          <w:sz w:val="24"/>
          <w:szCs w:val="24"/>
          <w:highlight w:val="none"/>
        </w:rPr>
        <w:t>19.3 最终结清</w:t>
      </w:r>
      <w:bookmarkEnd w:id="962"/>
      <w:bookmarkEnd w:id="963"/>
      <w:bookmarkEnd w:id="964"/>
      <w:bookmarkEnd w:id="965"/>
      <w:bookmarkEnd w:id="966"/>
      <w:bookmarkEnd w:id="967"/>
      <w:bookmarkEnd w:id="968"/>
      <w:bookmarkEnd w:id="969"/>
      <w:bookmarkEnd w:id="970"/>
    </w:p>
    <w:bookmarkEnd w:id="971"/>
    <w:p w14:paraId="17899DA9">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19.3.1 除专用合同条款另有约定外，分包人应在分包工程缺陷责任期终止证书颁发后7天内，按专用合同条款约定的份数向承包人提交最终结清申请单，并提供相关证明材料。</w:t>
      </w:r>
    </w:p>
    <w:p w14:paraId="0E02F685">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除专用合同条款另有约定外，</w:t>
      </w:r>
      <w:r>
        <w:rPr>
          <w:rFonts w:hint="eastAsia" w:ascii="仿宋_GB2312" w:hAnsi="仿宋_GB2312" w:eastAsia="仿宋_GB2312" w:cs="仿宋_GB2312"/>
          <w:color w:val="auto"/>
          <w:kern w:val="0"/>
          <w:sz w:val="24"/>
          <w:szCs w:val="24"/>
          <w:highlight w:val="none"/>
        </w:rPr>
        <w:t>最终结清申请单</w:t>
      </w:r>
      <w:r>
        <w:rPr>
          <w:rFonts w:hint="eastAsia" w:ascii="仿宋_GB2312" w:hAnsi="仿宋_GB2312" w:eastAsia="仿宋_GB2312" w:cs="仿宋_GB2312"/>
          <w:color w:val="auto"/>
          <w:sz w:val="24"/>
          <w:szCs w:val="24"/>
          <w:highlight w:val="none"/>
        </w:rPr>
        <w:t>应列明质量保证金、应扣除的质量保证金、分包工程完工验收合格之日至缺陷责任期届满之日发生的增减费用。</w:t>
      </w:r>
    </w:p>
    <w:p w14:paraId="4D3DF7B4">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承包人对最终结清申请单内容有异议的，有权要求分包人进行修正和提供补充资料，分包人应向承包人提交修正后的最终结清申请单。</w:t>
      </w:r>
    </w:p>
    <w:p w14:paraId="1CA69C68">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19.3.2 除专用合同条款另有约定外，承包人应在收到最终结清申请单后14天内完成审批并向分包人颁发最终结清证书。承包人逾期未完成审批且未提出异议的，视为承包人同意分包人提交的最终结清申请单，且自承包人收到最终结清申请单后第15天起视为已颁发最终结清证书。</w:t>
      </w:r>
    </w:p>
    <w:p w14:paraId="2CF91731">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除专用合同条款另有约定外，承包人应在最终结清证书颁发后7天内完成支付。承包人逾期支付的，按照中国人民银行发布的同期同类贷款基准利率支付违约金。</w:t>
      </w:r>
    </w:p>
    <w:p w14:paraId="5A537686">
      <w:pPr>
        <w:pStyle w:val="4"/>
        <w:keepNext/>
        <w:keepLines/>
        <w:pageBreakBefore w:val="0"/>
        <w:widowControl w:val="0"/>
        <w:kinsoku/>
        <w:wordWrap w:val="0"/>
        <w:overflowPunct/>
        <w:topLinePunct w:val="0"/>
        <w:autoSpaceDE/>
        <w:autoSpaceDN/>
        <w:bidi w:val="0"/>
        <w:adjustRightInd w:val="0"/>
        <w:snapToGrid w:val="0"/>
        <w:spacing w:before="0" w:after="0" w:line="420" w:lineRule="exact"/>
        <w:ind w:firstLine="480" w:firstLineChars="200"/>
        <w:textAlignment w:val="auto"/>
        <w:rPr>
          <w:rFonts w:hint="eastAsia" w:ascii="黑体" w:hAnsi="黑体" w:eastAsia="黑体" w:cs="黑体"/>
          <w:b w:val="0"/>
          <w:bCs w:val="0"/>
          <w:color w:val="auto"/>
          <w:sz w:val="24"/>
          <w:szCs w:val="24"/>
          <w:highlight w:val="none"/>
        </w:rPr>
      </w:pPr>
      <w:bookmarkStart w:id="972" w:name="_Toc351203598"/>
      <w:bookmarkStart w:id="973" w:name="_Toc371493244"/>
      <w:bookmarkStart w:id="974" w:name="_Toc32600"/>
      <w:bookmarkStart w:id="975" w:name="_Toc31777"/>
      <w:bookmarkStart w:id="976" w:name="_Toc389586393"/>
      <w:bookmarkStart w:id="977" w:name="_Toc32699"/>
      <w:bookmarkStart w:id="978" w:name="_Toc7732"/>
      <w:bookmarkStart w:id="979" w:name="_Toc25894"/>
      <w:bookmarkStart w:id="980" w:name="_Toc18574"/>
      <w:bookmarkStart w:id="981" w:name="_Toc337558815"/>
      <w:r>
        <w:rPr>
          <w:rFonts w:hint="eastAsia" w:ascii="黑体" w:hAnsi="黑体" w:eastAsia="黑体" w:cs="黑体"/>
          <w:b w:val="0"/>
          <w:bCs w:val="0"/>
          <w:color w:val="auto"/>
          <w:sz w:val="24"/>
          <w:szCs w:val="24"/>
          <w:highlight w:val="none"/>
        </w:rPr>
        <w:t>20. 缺陷责任期与</w:t>
      </w:r>
      <w:bookmarkEnd w:id="972"/>
      <w:bookmarkEnd w:id="973"/>
      <w:r>
        <w:rPr>
          <w:rFonts w:hint="eastAsia" w:ascii="黑体" w:hAnsi="黑体" w:eastAsia="黑体" w:cs="黑体"/>
          <w:b w:val="0"/>
          <w:bCs w:val="0"/>
          <w:color w:val="auto"/>
          <w:sz w:val="24"/>
          <w:szCs w:val="24"/>
          <w:highlight w:val="none"/>
        </w:rPr>
        <w:t>保修期</w:t>
      </w:r>
      <w:bookmarkEnd w:id="974"/>
      <w:bookmarkEnd w:id="975"/>
      <w:bookmarkEnd w:id="976"/>
      <w:bookmarkEnd w:id="977"/>
      <w:bookmarkEnd w:id="978"/>
      <w:bookmarkEnd w:id="979"/>
      <w:bookmarkEnd w:id="980"/>
    </w:p>
    <w:bookmarkEnd w:id="940"/>
    <w:bookmarkEnd w:id="941"/>
    <w:bookmarkEnd w:id="981"/>
    <w:p w14:paraId="3725A7FB">
      <w:pPr>
        <w:pStyle w:val="5"/>
        <w:keepNext/>
        <w:keepLines/>
        <w:pageBreakBefore w:val="0"/>
        <w:widowControl w:val="0"/>
        <w:kinsoku/>
        <w:wordWrap w:val="0"/>
        <w:overflowPunct/>
        <w:topLinePunct w:val="0"/>
        <w:autoSpaceDE/>
        <w:autoSpaceDN/>
        <w:bidi w:val="0"/>
        <w:adjustRightInd w:val="0"/>
        <w:snapToGrid w:val="0"/>
        <w:spacing w:before="0" w:after="0" w:line="420" w:lineRule="exact"/>
        <w:ind w:firstLine="480" w:firstLineChars="200"/>
        <w:textAlignment w:val="auto"/>
        <w:rPr>
          <w:rFonts w:hint="eastAsia" w:ascii="仿宋_GB2312" w:hAnsi="仿宋_GB2312" w:eastAsia="仿宋_GB2312" w:cs="仿宋_GB2312"/>
          <w:color w:val="auto"/>
          <w:sz w:val="24"/>
          <w:szCs w:val="24"/>
          <w:highlight w:val="none"/>
        </w:rPr>
      </w:pPr>
      <w:bookmarkStart w:id="982" w:name="_Toc351203600"/>
      <w:bookmarkStart w:id="983" w:name="_Toc296503114"/>
      <w:bookmarkStart w:id="984" w:name="_Toc32428"/>
      <w:bookmarkStart w:id="985" w:name="_Toc19569"/>
      <w:bookmarkStart w:id="986" w:name="_Toc4626"/>
      <w:bookmarkStart w:id="987" w:name="_Toc3023"/>
      <w:bookmarkStart w:id="988" w:name="_Toc15060"/>
      <w:bookmarkStart w:id="989" w:name="_Toc296346615"/>
      <w:bookmarkStart w:id="990" w:name="_Toc389586394"/>
      <w:bookmarkStart w:id="991" w:name="_Toc26088"/>
      <w:bookmarkStart w:id="992" w:name="_Toc371493246"/>
      <w:bookmarkStart w:id="993" w:name="_Toc337558817"/>
      <w:r>
        <w:rPr>
          <w:rFonts w:hint="eastAsia" w:ascii="楷体_GB2312" w:hAnsi="楷体_GB2312" w:eastAsia="楷体_GB2312" w:cs="楷体_GB2312"/>
          <w:b w:val="0"/>
          <w:bCs w:val="0"/>
          <w:color w:val="auto"/>
          <w:sz w:val="24"/>
          <w:szCs w:val="24"/>
          <w:highlight w:val="none"/>
        </w:rPr>
        <w:t>20.1 缺陷责任期</w:t>
      </w:r>
      <w:bookmarkEnd w:id="982"/>
      <w:bookmarkEnd w:id="983"/>
      <w:bookmarkEnd w:id="984"/>
      <w:bookmarkEnd w:id="985"/>
      <w:bookmarkEnd w:id="986"/>
      <w:bookmarkEnd w:id="987"/>
      <w:bookmarkEnd w:id="988"/>
      <w:bookmarkEnd w:id="989"/>
      <w:bookmarkEnd w:id="990"/>
      <w:bookmarkEnd w:id="991"/>
      <w:bookmarkEnd w:id="992"/>
    </w:p>
    <w:bookmarkEnd w:id="993"/>
    <w:p w14:paraId="4DD85D90">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20.1.1 除专用合同条款另有约定外，提前使用分包工程的，分包工程缺陷责任期自开始使用之日起算；未提前使用的，分包工程缺陷责任期自总包工程实际竣工日期起计算，合同当事人应在专用合同条款约定缺陷责任期的具体期限，但该期限最长不超过24个月。</w:t>
      </w:r>
    </w:p>
    <w:p w14:paraId="32317DC5">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20.1.2 在分包工程缺陷责任期内，因分包人原因导致的缺陷或损坏致使分包工程或某项主要设备不能按原定目的使用的，承包人有权要求分</w:t>
      </w:r>
      <w:r>
        <w:rPr>
          <w:rFonts w:hint="eastAsia" w:ascii="仿宋_GB2312" w:hAnsi="仿宋_GB2312" w:eastAsia="仿宋_GB2312" w:cs="仿宋_GB2312"/>
          <w:bCs/>
          <w:color w:val="auto"/>
          <w:sz w:val="24"/>
          <w:szCs w:val="24"/>
          <w:highlight w:val="none"/>
        </w:rPr>
        <w:t>包人延长缺陷责任期，</w:t>
      </w:r>
      <w:r>
        <w:rPr>
          <w:rFonts w:hint="eastAsia" w:ascii="仿宋_GB2312" w:hAnsi="仿宋_GB2312" w:eastAsia="仿宋_GB2312" w:cs="仿宋_GB2312"/>
          <w:color w:val="auto"/>
          <w:kern w:val="0"/>
          <w:sz w:val="24"/>
          <w:szCs w:val="24"/>
          <w:highlight w:val="none"/>
        </w:rPr>
        <w:t>并应在原缺陷责任期届满前发出延长通知，</w:t>
      </w:r>
      <w:r>
        <w:rPr>
          <w:rFonts w:hint="eastAsia" w:ascii="仿宋_GB2312" w:hAnsi="仿宋_GB2312" w:eastAsia="仿宋_GB2312" w:cs="仿宋_GB2312"/>
          <w:bCs/>
          <w:color w:val="auto"/>
          <w:sz w:val="24"/>
          <w:szCs w:val="24"/>
          <w:highlight w:val="none"/>
        </w:rPr>
        <w:t>但延长后的缺陷责任期也</w:t>
      </w:r>
      <w:r>
        <w:rPr>
          <w:rFonts w:hint="eastAsia" w:ascii="仿宋_GB2312" w:hAnsi="仿宋_GB2312" w:eastAsia="仿宋_GB2312" w:cs="仿宋_GB2312"/>
          <w:color w:val="auto"/>
          <w:kern w:val="0"/>
          <w:sz w:val="24"/>
          <w:szCs w:val="24"/>
          <w:highlight w:val="none"/>
        </w:rPr>
        <w:t>不能超过24个月。</w:t>
      </w:r>
    </w:p>
    <w:p w14:paraId="559D8AF2">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20.1.3 除专用合同条款另有约定外，分包人应于缺陷责任期届满后7天内向承包人发出缺陷责任期届满通知，承包人应在收到缺陷责任期届满通知后14天内核实分包人是否履行缺陷修复义务，分包人未能履行缺陷修复义务的，承包人有权扣除相应金额的维修费用。承包人应在收到缺陷责任期届满通知后14天内，向分包人颁发缺陷责任期终止证书。</w:t>
      </w:r>
    </w:p>
    <w:p w14:paraId="216A7E49">
      <w:pPr>
        <w:pStyle w:val="5"/>
        <w:keepNext/>
        <w:keepLines/>
        <w:pageBreakBefore w:val="0"/>
        <w:widowControl w:val="0"/>
        <w:kinsoku/>
        <w:wordWrap w:val="0"/>
        <w:overflowPunct/>
        <w:topLinePunct w:val="0"/>
        <w:autoSpaceDE/>
        <w:autoSpaceDN/>
        <w:bidi w:val="0"/>
        <w:adjustRightInd w:val="0"/>
        <w:snapToGrid w:val="0"/>
        <w:spacing w:before="0" w:after="0" w:line="420" w:lineRule="exact"/>
        <w:ind w:firstLine="480" w:firstLineChars="200"/>
        <w:textAlignment w:val="auto"/>
        <w:rPr>
          <w:rFonts w:hint="eastAsia" w:ascii="仿宋_GB2312" w:hAnsi="仿宋_GB2312" w:eastAsia="仿宋_GB2312" w:cs="仿宋_GB2312"/>
          <w:color w:val="auto"/>
          <w:sz w:val="24"/>
          <w:szCs w:val="24"/>
          <w:highlight w:val="none"/>
        </w:rPr>
      </w:pPr>
      <w:bookmarkStart w:id="994" w:name="_Toc31991"/>
      <w:bookmarkStart w:id="995" w:name="_Toc21225"/>
      <w:bookmarkStart w:id="996" w:name="_Toc28263"/>
      <w:bookmarkStart w:id="997" w:name="_Toc23388"/>
      <w:bookmarkStart w:id="998" w:name="_Toc389586395"/>
      <w:bookmarkStart w:id="999" w:name="_Toc22405"/>
      <w:bookmarkStart w:id="1000" w:name="_Toc28874"/>
      <w:bookmarkStart w:id="1001" w:name="_Toc351203601"/>
      <w:bookmarkStart w:id="1002" w:name="_Toc371493247"/>
      <w:bookmarkStart w:id="1003" w:name="_Toc337558818"/>
      <w:bookmarkStart w:id="1004" w:name="_Toc296346616"/>
      <w:bookmarkStart w:id="1005" w:name="_Toc296503115"/>
      <w:r>
        <w:rPr>
          <w:rFonts w:hint="eastAsia" w:ascii="楷体_GB2312" w:hAnsi="楷体_GB2312" w:eastAsia="楷体_GB2312" w:cs="楷体_GB2312"/>
          <w:b w:val="0"/>
          <w:bCs w:val="0"/>
          <w:color w:val="auto"/>
          <w:sz w:val="24"/>
          <w:szCs w:val="24"/>
          <w:highlight w:val="none"/>
        </w:rPr>
        <w:t>20.2 保修期</w:t>
      </w:r>
      <w:bookmarkEnd w:id="994"/>
      <w:bookmarkEnd w:id="995"/>
      <w:bookmarkEnd w:id="996"/>
      <w:bookmarkEnd w:id="997"/>
      <w:bookmarkEnd w:id="998"/>
      <w:bookmarkEnd w:id="999"/>
      <w:bookmarkEnd w:id="1000"/>
    </w:p>
    <w:p w14:paraId="667019F6">
      <w:pPr>
        <w:pageBreakBefore w:val="0"/>
        <w:widowControl w:val="0"/>
        <w:kinsoku/>
        <w:wordWrap w:val="0"/>
        <w:overflowPunct/>
        <w:topLinePunct w:val="0"/>
        <w:autoSpaceDE w:val="0"/>
        <w:autoSpaceDN w:val="0"/>
        <w:bidi w:val="0"/>
        <w:adjustRightInd w:val="0"/>
        <w:snapToGrid w:val="0"/>
        <w:spacing w:line="42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20.2.1 除专用合同条款另有约定外，提前使用分包工程的，分包工程保修期自开始使用之日起计算；未提前使用的，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和损失赔偿责任。</w:t>
      </w:r>
    </w:p>
    <w:p w14:paraId="413217E8">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20.2.2 </w:t>
      </w:r>
      <w:r>
        <w:rPr>
          <w:rFonts w:hint="eastAsia" w:ascii="仿宋_GB2312" w:hAnsi="仿宋_GB2312" w:eastAsia="仿宋_GB2312" w:cs="仿宋_GB2312"/>
          <w:color w:val="auto"/>
          <w:sz w:val="24"/>
          <w:szCs w:val="24"/>
          <w:highlight w:val="none"/>
        </w:rPr>
        <w:t>承包人或发包人未经完工验收擅自使用分包工程的，保修期自分包工程</w:t>
      </w:r>
      <w:r>
        <w:rPr>
          <w:rFonts w:hint="eastAsia" w:ascii="仿宋_GB2312" w:hAnsi="仿宋_GB2312" w:eastAsia="仿宋_GB2312" w:cs="仿宋_GB2312"/>
          <w:color w:val="auto"/>
          <w:kern w:val="0"/>
          <w:sz w:val="24"/>
          <w:szCs w:val="24"/>
          <w:highlight w:val="none"/>
        </w:rPr>
        <w:t>转移占有之日起算</w:t>
      </w:r>
      <w:r>
        <w:rPr>
          <w:rFonts w:hint="eastAsia" w:ascii="仿宋_GB2312" w:hAnsi="仿宋_GB2312" w:eastAsia="仿宋_GB2312" w:cs="仿宋_GB2312"/>
          <w:color w:val="auto"/>
          <w:sz w:val="24"/>
          <w:szCs w:val="24"/>
          <w:highlight w:val="none"/>
        </w:rPr>
        <w:t>。</w:t>
      </w:r>
    </w:p>
    <w:p w14:paraId="03018A54">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006" w:name="_Toc24113"/>
      <w:bookmarkStart w:id="1007" w:name="_Toc11960"/>
      <w:bookmarkStart w:id="1008" w:name="_Toc25718"/>
      <w:bookmarkStart w:id="1009" w:name="_Toc6527"/>
      <w:bookmarkStart w:id="1010" w:name="_Toc26239"/>
      <w:bookmarkStart w:id="1011" w:name="_Toc31827"/>
      <w:bookmarkStart w:id="1012" w:name="_Toc389586396"/>
      <w:r>
        <w:rPr>
          <w:rFonts w:hint="eastAsia" w:ascii="楷体_GB2312" w:hAnsi="楷体_GB2312" w:eastAsia="楷体_GB2312" w:cs="楷体_GB2312"/>
          <w:b w:val="0"/>
          <w:bCs w:val="0"/>
          <w:color w:val="auto"/>
          <w:sz w:val="24"/>
          <w:szCs w:val="24"/>
          <w:highlight w:val="none"/>
        </w:rPr>
        <w:t>20.3 质量保证金</w:t>
      </w:r>
      <w:bookmarkEnd w:id="1001"/>
      <w:bookmarkEnd w:id="1002"/>
      <w:bookmarkEnd w:id="1006"/>
      <w:bookmarkEnd w:id="1007"/>
      <w:bookmarkEnd w:id="1008"/>
      <w:bookmarkEnd w:id="1009"/>
      <w:bookmarkEnd w:id="1010"/>
      <w:bookmarkEnd w:id="1011"/>
      <w:bookmarkEnd w:id="1012"/>
    </w:p>
    <w:bookmarkEnd w:id="1003"/>
    <w:p w14:paraId="381575A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20.3.1 合同当事人可以在专用合同条款中约定扣留质量保证金的金额和扣留方式。承包人累计扣留的质量保证金不得超过结算合同价格的3%。</w:t>
      </w:r>
    </w:p>
    <w:p w14:paraId="3357C978">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bookmarkStart w:id="1013" w:name="#go4"/>
      <w:bookmarkEnd w:id="1013"/>
      <w:r>
        <w:rPr>
          <w:rFonts w:hint="eastAsia" w:ascii="仿宋_GB2312" w:hAnsi="仿宋_GB2312" w:eastAsia="仿宋_GB2312" w:cs="仿宋_GB2312"/>
          <w:color w:val="auto"/>
          <w:kern w:val="0"/>
          <w:sz w:val="24"/>
          <w:szCs w:val="24"/>
          <w:highlight w:val="none"/>
        </w:rPr>
        <w:t>20.3.2 承包人应按第19.3款【最终结清】的约定退还质量保证金。</w:t>
      </w:r>
    </w:p>
    <w:bookmarkEnd w:id="1004"/>
    <w:bookmarkEnd w:id="1005"/>
    <w:p w14:paraId="73432C2B">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014" w:name="_Toc12849"/>
      <w:bookmarkStart w:id="1015" w:name="_Toc3564"/>
      <w:bookmarkStart w:id="1016" w:name="_Toc371493249"/>
      <w:bookmarkStart w:id="1017" w:name="_Toc389586397"/>
      <w:bookmarkStart w:id="1018" w:name="_Toc19851"/>
      <w:bookmarkStart w:id="1019" w:name="_Toc351203603"/>
      <w:bookmarkStart w:id="1020" w:name="_Toc5779"/>
      <w:bookmarkStart w:id="1021" w:name="_Toc24411"/>
      <w:bookmarkStart w:id="1022" w:name="_Toc11225"/>
      <w:bookmarkStart w:id="1023" w:name="_Toc337558820"/>
      <w:r>
        <w:rPr>
          <w:rFonts w:hint="eastAsia" w:ascii="黑体" w:hAnsi="黑体" w:eastAsia="黑体" w:cs="黑体"/>
          <w:b w:val="0"/>
          <w:bCs w:val="0"/>
          <w:color w:val="auto"/>
          <w:sz w:val="24"/>
          <w:szCs w:val="24"/>
          <w:highlight w:val="none"/>
        </w:rPr>
        <w:t>21. 违约</w:t>
      </w:r>
      <w:bookmarkEnd w:id="1014"/>
      <w:bookmarkEnd w:id="1015"/>
      <w:bookmarkEnd w:id="1016"/>
      <w:bookmarkEnd w:id="1017"/>
      <w:bookmarkEnd w:id="1018"/>
      <w:bookmarkEnd w:id="1019"/>
      <w:bookmarkEnd w:id="1020"/>
      <w:bookmarkEnd w:id="1021"/>
      <w:bookmarkEnd w:id="1022"/>
    </w:p>
    <w:bookmarkEnd w:id="1023"/>
    <w:p w14:paraId="0F8C1349">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024" w:name="_Toc296346630"/>
      <w:bookmarkStart w:id="1025" w:name="_Toc296503129"/>
      <w:bookmarkStart w:id="1026" w:name="_Toc21676"/>
      <w:bookmarkStart w:id="1027" w:name="_Toc14855"/>
      <w:bookmarkStart w:id="1028" w:name="_Toc389586398"/>
      <w:bookmarkStart w:id="1029" w:name="_Toc20105"/>
      <w:bookmarkStart w:id="1030" w:name="_Toc4352"/>
      <w:bookmarkStart w:id="1031" w:name="_Toc351203604"/>
      <w:bookmarkStart w:id="1032" w:name="_Toc58"/>
      <w:bookmarkStart w:id="1033" w:name="_Toc371493250"/>
      <w:bookmarkStart w:id="1034" w:name="_Toc26227"/>
      <w:bookmarkStart w:id="1035" w:name="_Toc337558821"/>
      <w:r>
        <w:rPr>
          <w:rFonts w:hint="eastAsia" w:ascii="楷体_GB2312" w:hAnsi="楷体_GB2312" w:eastAsia="楷体_GB2312" w:cs="楷体_GB2312"/>
          <w:b w:val="0"/>
          <w:bCs w:val="0"/>
          <w:color w:val="auto"/>
          <w:sz w:val="24"/>
          <w:szCs w:val="24"/>
          <w:highlight w:val="none"/>
        </w:rPr>
        <w:t xml:space="preserve">21.1 </w:t>
      </w:r>
      <w:bookmarkEnd w:id="1024"/>
      <w:bookmarkEnd w:id="1025"/>
      <w:r>
        <w:rPr>
          <w:rFonts w:hint="eastAsia" w:ascii="楷体_GB2312" w:hAnsi="楷体_GB2312" w:eastAsia="楷体_GB2312" w:cs="楷体_GB2312"/>
          <w:b w:val="0"/>
          <w:bCs w:val="0"/>
          <w:color w:val="auto"/>
          <w:sz w:val="24"/>
          <w:szCs w:val="24"/>
          <w:highlight w:val="none"/>
        </w:rPr>
        <w:t>承包人违约</w:t>
      </w:r>
      <w:bookmarkEnd w:id="1026"/>
      <w:bookmarkEnd w:id="1027"/>
      <w:bookmarkEnd w:id="1028"/>
      <w:bookmarkEnd w:id="1029"/>
      <w:bookmarkEnd w:id="1030"/>
      <w:bookmarkEnd w:id="1031"/>
      <w:bookmarkEnd w:id="1032"/>
      <w:bookmarkEnd w:id="1033"/>
      <w:bookmarkEnd w:id="1034"/>
    </w:p>
    <w:bookmarkEnd w:id="1035"/>
    <w:p w14:paraId="37E66919">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21.1.1 承包人未能按照分包合同约定履行合同义务的，分包人可向承包人发出通知，要求承包人采取有效措施纠正违约行为。承包人应赔偿其违约行为给分包人造成的损失。合同当事人可在专用合同条款中约定承包人应支付的违约金或违约金的计算方法。</w:t>
      </w:r>
    </w:p>
    <w:p w14:paraId="2778B32E">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收到分包人通知后28天内仍不纠正违约行为且影响分包人正常施工的，分包人有权暂停相应部位工程施工，并通知承包人。除专用合同条款另有约定外，分包人因承包人违约暂停施工满28天后，承包人仍不纠正其违约行为的，分包人有权解除合同。</w:t>
      </w:r>
    </w:p>
    <w:p w14:paraId="1AF52C5C">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21.1.2 分包人按照第21.1.1项的约定解除合同的，承包人应在分包合同解除后28天内解除分包人履约担保，分包合同当事人应按专用合同条款的约定完成已完工程估价、清算和付款。</w:t>
      </w:r>
    </w:p>
    <w:p w14:paraId="2D46323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分包人应妥善做好已完分包工程和与分包工程有关的已购材料、工程设备、工程资料的保护和移交工作，并将施工设备和人员撤出施工场地，承包人应为分包人撤出提供必要条件。</w:t>
      </w:r>
    </w:p>
    <w:p w14:paraId="289D585D">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036" w:name="_Toc23404"/>
      <w:bookmarkStart w:id="1037" w:name="_Toc351203605"/>
      <w:bookmarkStart w:id="1038" w:name="_Toc22268"/>
      <w:bookmarkStart w:id="1039" w:name="_Toc371493251"/>
      <w:bookmarkStart w:id="1040" w:name="_Toc26925"/>
      <w:bookmarkStart w:id="1041" w:name="_Toc13250"/>
      <w:bookmarkStart w:id="1042" w:name="_Toc9801"/>
      <w:bookmarkStart w:id="1043" w:name="_Toc25057"/>
      <w:bookmarkStart w:id="1044" w:name="_Toc389586399"/>
      <w:bookmarkStart w:id="1045" w:name="_Toc337558822"/>
      <w:bookmarkStart w:id="1046" w:name="_Toc296503131"/>
      <w:bookmarkStart w:id="1047" w:name="_Toc296346632"/>
      <w:r>
        <w:rPr>
          <w:rFonts w:hint="eastAsia" w:ascii="楷体_GB2312" w:hAnsi="楷体_GB2312" w:eastAsia="楷体_GB2312" w:cs="楷体_GB2312"/>
          <w:b w:val="0"/>
          <w:bCs w:val="0"/>
          <w:color w:val="auto"/>
          <w:sz w:val="24"/>
          <w:szCs w:val="24"/>
          <w:highlight w:val="none"/>
        </w:rPr>
        <w:t>21.2 分包人违约</w:t>
      </w:r>
      <w:bookmarkEnd w:id="1036"/>
      <w:bookmarkEnd w:id="1037"/>
      <w:bookmarkEnd w:id="1038"/>
      <w:bookmarkEnd w:id="1039"/>
      <w:bookmarkEnd w:id="1040"/>
      <w:bookmarkEnd w:id="1041"/>
      <w:bookmarkEnd w:id="1042"/>
      <w:bookmarkEnd w:id="1043"/>
      <w:bookmarkEnd w:id="1044"/>
    </w:p>
    <w:bookmarkEnd w:id="1045"/>
    <w:bookmarkEnd w:id="1046"/>
    <w:bookmarkEnd w:id="1047"/>
    <w:p w14:paraId="7A4334C5">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21.2.1 分包人未能按照分包合同约定履行合同义务的，承包人可向分包人发出整改通知，要求其在指定的期限内改正。分包人应赔偿其违约行为给承包人造成的损失。合同当事人可在专用合同条款中约定分包人应支付的违约金或违约金的计算方法。</w:t>
      </w:r>
    </w:p>
    <w:p w14:paraId="0801C7B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除专用合同条款另有约定外，承包人发出整改通知后，分包人在指定的合理期限内仍不纠正违约行为，承包人有权解除合同。</w:t>
      </w:r>
    </w:p>
    <w:p w14:paraId="3044E345">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21.2.2 承包人按照第21.2.1项的约定解除合同的，承包人有权暂停对分包人的付款；分包合同当事人应在分包合同解除后28天内按专用合同条款的约定完成分包工程估价、清算和付款；承包人有权要求分包人将其为实施分包合同而签订的材料和设备的采购合同的权益转让给承包人，分包人应在收到解除分包合同通知后14天内，协助承包人与采购合同的供应商达成相关的转让协议。</w:t>
      </w:r>
    </w:p>
    <w:p w14:paraId="520D111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21.2.3 </w:t>
      </w:r>
      <w:r>
        <w:rPr>
          <w:rFonts w:hint="eastAsia" w:ascii="仿宋_GB2312" w:hAnsi="仿宋_GB2312" w:eastAsia="仿宋_GB2312" w:cs="仿宋_GB2312"/>
          <w:color w:val="auto"/>
          <w:sz w:val="24"/>
          <w:szCs w:val="24"/>
          <w:highlight w:val="none"/>
        </w:rPr>
        <w:t>承包人供应材料与工程设备，</w:t>
      </w:r>
      <w:r>
        <w:rPr>
          <w:rFonts w:hint="eastAsia" w:ascii="仿宋_GB2312" w:hAnsi="仿宋_GB2312" w:eastAsia="仿宋_GB2312" w:cs="仿宋_GB2312"/>
          <w:color w:val="auto"/>
          <w:kern w:val="0"/>
          <w:sz w:val="24"/>
          <w:szCs w:val="24"/>
          <w:highlight w:val="none"/>
        </w:rPr>
        <w:t>分包人提交的供应计划中的承包人供应数量必须与实际使用量一致，供应计划中的供应数量与实际使用数量不一致的，分包人应当承当违约责任。</w:t>
      </w:r>
    </w:p>
    <w:p w14:paraId="3A793ED6">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048" w:name="_Toc24618"/>
      <w:bookmarkStart w:id="1049" w:name="_Toc15833"/>
      <w:bookmarkStart w:id="1050" w:name="_Toc29050"/>
      <w:bookmarkStart w:id="1051" w:name="_Toc389586400"/>
      <w:bookmarkStart w:id="1052" w:name="_Toc29749"/>
      <w:bookmarkStart w:id="1053" w:name="_Toc32737"/>
      <w:bookmarkStart w:id="1054" w:name="_Toc351203607"/>
      <w:bookmarkStart w:id="1055" w:name="_Toc371493252"/>
      <w:bookmarkStart w:id="1056" w:name="_Toc22952"/>
      <w:bookmarkStart w:id="1057" w:name="_Toc296346617"/>
      <w:bookmarkStart w:id="1058" w:name="_Toc337558823"/>
      <w:bookmarkStart w:id="1059" w:name="_Toc296503116"/>
      <w:r>
        <w:rPr>
          <w:rFonts w:hint="eastAsia" w:ascii="黑体" w:hAnsi="黑体" w:eastAsia="黑体" w:cs="黑体"/>
          <w:b w:val="0"/>
          <w:bCs w:val="0"/>
          <w:color w:val="auto"/>
          <w:sz w:val="24"/>
          <w:szCs w:val="24"/>
          <w:highlight w:val="none"/>
        </w:rPr>
        <w:t>22. 不可抗力</w:t>
      </w:r>
      <w:bookmarkEnd w:id="1048"/>
      <w:bookmarkEnd w:id="1049"/>
      <w:bookmarkEnd w:id="1050"/>
      <w:bookmarkEnd w:id="1051"/>
      <w:bookmarkEnd w:id="1052"/>
      <w:bookmarkEnd w:id="1053"/>
      <w:bookmarkEnd w:id="1054"/>
      <w:bookmarkEnd w:id="1055"/>
      <w:bookmarkEnd w:id="1056"/>
      <w:r>
        <w:rPr>
          <w:rFonts w:hint="eastAsia" w:ascii="仿宋_GB2312" w:hAnsi="仿宋_GB2312" w:eastAsia="仿宋_GB2312" w:cs="仿宋_GB2312"/>
          <w:color w:val="auto"/>
          <w:sz w:val="24"/>
          <w:szCs w:val="24"/>
          <w:highlight w:val="none"/>
        </w:rPr>
        <w:t xml:space="preserve"> </w:t>
      </w:r>
      <w:bookmarkEnd w:id="1057"/>
      <w:bookmarkEnd w:id="1058"/>
      <w:bookmarkEnd w:id="1059"/>
    </w:p>
    <w:p w14:paraId="79D27011">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060" w:name="_Toc351203608"/>
      <w:bookmarkStart w:id="1061" w:name="_Toc371493253"/>
      <w:bookmarkStart w:id="1062" w:name="_Toc13923"/>
      <w:bookmarkStart w:id="1063" w:name="_Toc9584"/>
      <w:bookmarkStart w:id="1064" w:name="_Toc16012"/>
      <w:bookmarkStart w:id="1065" w:name="_Toc9381"/>
      <w:bookmarkStart w:id="1066" w:name="_Toc389586401"/>
      <w:bookmarkStart w:id="1067" w:name="_Toc13522"/>
      <w:bookmarkStart w:id="1068" w:name="_Toc31693"/>
      <w:bookmarkStart w:id="1069" w:name="_Toc296346618"/>
      <w:bookmarkStart w:id="1070" w:name="_Toc337558824"/>
      <w:bookmarkStart w:id="1071" w:name="_Toc296503117"/>
      <w:r>
        <w:rPr>
          <w:rFonts w:hint="eastAsia" w:ascii="楷体_GB2312" w:hAnsi="楷体_GB2312" w:eastAsia="楷体_GB2312" w:cs="楷体_GB2312"/>
          <w:b w:val="0"/>
          <w:bCs w:val="0"/>
          <w:color w:val="auto"/>
          <w:sz w:val="24"/>
          <w:szCs w:val="24"/>
          <w:highlight w:val="none"/>
        </w:rPr>
        <w:t>22.1 不可抗力的确认</w:t>
      </w:r>
      <w:bookmarkEnd w:id="1060"/>
      <w:bookmarkEnd w:id="1061"/>
      <w:r>
        <w:rPr>
          <w:rFonts w:hint="eastAsia" w:ascii="楷体_GB2312" w:hAnsi="楷体_GB2312" w:eastAsia="楷体_GB2312" w:cs="楷体_GB2312"/>
          <w:b w:val="0"/>
          <w:bCs w:val="0"/>
          <w:color w:val="auto"/>
          <w:sz w:val="24"/>
          <w:szCs w:val="24"/>
          <w:highlight w:val="none"/>
        </w:rPr>
        <w:t>和通知</w:t>
      </w:r>
      <w:bookmarkEnd w:id="1062"/>
      <w:bookmarkEnd w:id="1063"/>
      <w:bookmarkEnd w:id="1064"/>
      <w:bookmarkEnd w:id="1065"/>
      <w:bookmarkEnd w:id="1066"/>
      <w:bookmarkEnd w:id="1067"/>
      <w:bookmarkEnd w:id="1068"/>
    </w:p>
    <w:bookmarkEnd w:id="1069"/>
    <w:bookmarkEnd w:id="1070"/>
    <w:bookmarkEnd w:id="1071"/>
    <w:p w14:paraId="2C146BE6">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49526E54">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分包合同一方当事人遇到不可抗力事件，使其履行合同义务受到阻碍时，应立即通知合同另一方当事人，书面说明不可抗力和受阻碍的详细情况，并提供必要的证明。</w:t>
      </w:r>
    </w:p>
    <w:p w14:paraId="6EB19248">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072" w:name="_Toc27624"/>
      <w:bookmarkStart w:id="1073" w:name="_Toc27074"/>
      <w:bookmarkStart w:id="1074" w:name="_Toc227"/>
      <w:bookmarkStart w:id="1075" w:name="_Toc6255"/>
      <w:bookmarkStart w:id="1076" w:name="_Toc389586402"/>
      <w:bookmarkStart w:id="1077" w:name="_Toc8268"/>
      <w:bookmarkStart w:id="1078" w:name="_Toc23050"/>
      <w:bookmarkStart w:id="1079" w:name="_Toc351203610"/>
      <w:bookmarkStart w:id="1080" w:name="_Toc371493255"/>
      <w:bookmarkStart w:id="1081" w:name="_Toc296503119"/>
      <w:bookmarkStart w:id="1082" w:name="_Toc337558826"/>
      <w:bookmarkStart w:id="1083" w:name="_Toc296346620"/>
      <w:r>
        <w:rPr>
          <w:rFonts w:hint="eastAsia" w:ascii="楷体_GB2312" w:hAnsi="楷体_GB2312" w:eastAsia="楷体_GB2312" w:cs="楷体_GB2312"/>
          <w:b w:val="0"/>
          <w:bCs w:val="0"/>
          <w:color w:val="auto"/>
          <w:sz w:val="24"/>
          <w:szCs w:val="24"/>
          <w:highlight w:val="none"/>
        </w:rPr>
        <w:t>22.2 不可抗力风险的承担</w:t>
      </w:r>
      <w:bookmarkEnd w:id="1072"/>
      <w:bookmarkEnd w:id="1073"/>
      <w:bookmarkEnd w:id="1074"/>
      <w:bookmarkEnd w:id="1075"/>
      <w:bookmarkEnd w:id="1076"/>
      <w:bookmarkEnd w:id="1077"/>
      <w:bookmarkEnd w:id="1078"/>
      <w:bookmarkEnd w:id="1079"/>
      <w:bookmarkEnd w:id="1080"/>
    </w:p>
    <w:bookmarkEnd w:id="1081"/>
    <w:bookmarkEnd w:id="1082"/>
    <w:bookmarkEnd w:id="1083"/>
    <w:p w14:paraId="1C62C039">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22.2.1 不可抗力发生前已完成的分包工程应当按照分包合同约定进行计量支付。</w:t>
      </w:r>
    </w:p>
    <w:p w14:paraId="419CAE71">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22.2.2 不可抗力风险由分包合同当事人按以下原则承担：</w:t>
      </w:r>
    </w:p>
    <w:p w14:paraId="7E07D575">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（1）永久工程、已运至施工场地的材料和工程设备的损坏，以及因分包工程损坏造成的第三人人员伤亡和财产损失由承包人承担；</w:t>
      </w:r>
    </w:p>
    <w:p w14:paraId="5BBA43E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（2）分包人施工设备的损坏由分包人承担；</w:t>
      </w:r>
    </w:p>
    <w:p w14:paraId="1210B583">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（3）承包人和分包人承担各自人员伤亡和财产的损失；</w:t>
      </w:r>
    </w:p>
    <w:p w14:paraId="5136397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（4）因不可抗力影响分包人履行合同约定的义务，已经引起或将引起工期延误的，应当顺延工期，由此导致分包人停工的费用损失由分包人承担；</w:t>
      </w:r>
    </w:p>
    <w:p w14:paraId="6F9A413C">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（5）因不可抗力引起或将引起工期延误，承包人要求赶工的，由此增加的赶工费用由承包人承担；</w:t>
      </w:r>
    </w:p>
    <w:p w14:paraId="0162FF60">
      <w:pPr>
        <w:pageBreakBefore w:val="0"/>
        <w:widowControl w:val="0"/>
        <w:kinsoku/>
        <w:wordWrap w:val="0"/>
        <w:overflowPunct/>
        <w:topLinePunct w:val="0"/>
        <w:autoSpaceDE w:val="0"/>
        <w:autoSpaceDN w:val="0"/>
        <w:bidi w:val="0"/>
        <w:adjustRightInd w:val="0"/>
        <w:snapToGrid w:val="0"/>
        <w:spacing w:line="390" w:lineRule="exact"/>
        <w:ind w:firstLine="456" w:firstLineChars="200"/>
        <w:jc w:val="left"/>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（6）分包人在停工期间按照承包人要求照管和清理分包工程的费用由承包人承担。</w:t>
      </w:r>
    </w:p>
    <w:p w14:paraId="5CCDF21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4666502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22.2.3 因合同一方迟延履行合同义务，在迟延履行期间遭遇不可抗力的，不免除其违约责任。</w:t>
      </w:r>
    </w:p>
    <w:p w14:paraId="1A0C0D3A">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084" w:name="_Toc24474"/>
      <w:bookmarkStart w:id="1085" w:name="_Toc389586403"/>
      <w:bookmarkStart w:id="1086" w:name="_Toc22050"/>
      <w:bookmarkStart w:id="1087" w:name="_Toc17226"/>
      <w:bookmarkStart w:id="1088" w:name="_Toc16832"/>
      <w:bookmarkStart w:id="1089" w:name="_Toc3637"/>
      <w:bookmarkStart w:id="1090" w:name="_Toc351203611"/>
      <w:bookmarkStart w:id="1091" w:name="_Toc19887"/>
      <w:bookmarkStart w:id="1092" w:name="_Toc371493256"/>
      <w:bookmarkStart w:id="1093" w:name="_Toc337558827"/>
      <w:r>
        <w:rPr>
          <w:rFonts w:hint="eastAsia" w:ascii="楷体_GB2312" w:hAnsi="楷体_GB2312" w:eastAsia="楷体_GB2312" w:cs="楷体_GB2312"/>
          <w:b w:val="0"/>
          <w:bCs w:val="0"/>
          <w:color w:val="auto"/>
          <w:sz w:val="24"/>
          <w:szCs w:val="24"/>
          <w:highlight w:val="none"/>
        </w:rPr>
        <w:t>22.3 因不可抗力解除合同</w:t>
      </w:r>
      <w:bookmarkEnd w:id="1084"/>
      <w:bookmarkEnd w:id="1085"/>
      <w:bookmarkEnd w:id="1086"/>
      <w:bookmarkEnd w:id="1087"/>
      <w:bookmarkEnd w:id="1088"/>
      <w:bookmarkEnd w:id="1089"/>
      <w:bookmarkEnd w:id="1090"/>
      <w:bookmarkEnd w:id="1091"/>
      <w:bookmarkEnd w:id="1092"/>
    </w:p>
    <w:bookmarkEnd w:id="1093"/>
    <w:p w14:paraId="6C8EE9E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因不可抗力导致分包合同无法履行连续超过84天或累计超过140天的，承包人和分包人均有权解除分包合同。分包合同解除后28天内，双方当事人应按专用合同条款的约定确定承包人应支付的款项并完成支付。</w:t>
      </w:r>
    </w:p>
    <w:p w14:paraId="7FC87FDF">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094" w:name="_Toc371493257"/>
      <w:bookmarkStart w:id="1095" w:name="_Toc351203612"/>
      <w:bookmarkStart w:id="1096" w:name="_Toc389586404"/>
      <w:bookmarkStart w:id="1097" w:name="_Toc20207"/>
      <w:bookmarkStart w:id="1098" w:name="_Toc20559"/>
      <w:bookmarkStart w:id="1099" w:name="_Toc22225"/>
      <w:bookmarkStart w:id="1100" w:name="_Toc12535"/>
      <w:bookmarkStart w:id="1101" w:name="_Toc32753"/>
      <w:bookmarkStart w:id="1102" w:name="_Toc4382"/>
      <w:bookmarkStart w:id="1103" w:name="_Toc296346621"/>
      <w:bookmarkStart w:id="1104" w:name="_Toc296503120"/>
      <w:bookmarkStart w:id="1105" w:name="_Toc337558828"/>
      <w:r>
        <w:rPr>
          <w:rFonts w:hint="eastAsia" w:ascii="黑体" w:hAnsi="黑体" w:eastAsia="黑体" w:cs="黑体"/>
          <w:b w:val="0"/>
          <w:bCs w:val="0"/>
          <w:color w:val="auto"/>
          <w:sz w:val="24"/>
          <w:szCs w:val="24"/>
          <w:highlight w:val="none"/>
        </w:rPr>
        <w:t>23. 保险</w:t>
      </w:r>
      <w:bookmarkEnd w:id="1094"/>
      <w:bookmarkEnd w:id="1095"/>
      <w:bookmarkEnd w:id="1096"/>
      <w:bookmarkEnd w:id="1097"/>
      <w:bookmarkEnd w:id="1098"/>
      <w:bookmarkEnd w:id="1099"/>
      <w:bookmarkEnd w:id="1100"/>
      <w:bookmarkEnd w:id="1101"/>
      <w:bookmarkEnd w:id="1102"/>
    </w:p>
    <w:bookmarkEnd w:id="1103"/>
    <w:bookmarkEnd w:id="1104"/>
    <w:bookmarkEnd w:id="1105"/>
    <w:p w14:paraId="10F2B3A0">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06" w:name="_Toc351203613"/>
      <w:bookmarkStart w:id="1107" w:name="_Toc296503121"/>
      <w:bookmarkStart w:id="1108" w:name="_Toc337558829"/>
      <w:bookmarkStart w:id="1109" w:name="_Toc296346622"/>
      <w:bookmarkStart w:id="1110" w:name="_Toc5863"/>
      <w:bookmarkStart w:id="1111" w:name="_Toc23225"/>
      <w:bookmarkStart w:id="1112" w:name="_Toc29958"/>
      <w:bookmarkStart w:id="1113" w:name="_Toc371493258"/>
      <w:bookmarkStart w:id="1114" w:name="_Toc389586405"/>
      <w:bookmarkStart w:id="1115" w:name="_Toc4794"/>
      <w:bookmarkStart w:id="1116" w:name="_Toc16669"/>
      <w:bookmarkStart w:id="1117" w:name="_Toc20314"/>
      <w:r>
        <w:rPr>
          <w:rFonts w:hint="eastAsia" w:ascii="楷体_GB2312" w:hAnsi="楷体_GB2312" w:eastAsia="楷体_GB2312" w:cs="楷体_GB2312"/>
          <w:b w:val="0"/>
          <w:bCs w:val="0"/>
          <w:color w:val="auto"/>
          <w:sz w:val="24"/>
          <w:szCs w:val="24"/>
          <w:highlight w:val="none"/>
        </w:rPr>
        <w:t>23.1</w:t>
      </w:r>
      <w:bookmarkEnd w:id="1106"/>
      <w:bookmarkEnd w:id="1107"/>
      <w:bookmarkEnd w:id="1108"/>
      <w:bookmarkEnd w:id="1109"/>
      <w:bookmarkStart w:id="1118" w:name="_Toc351203614"/>
      <w:bookmarkStart w:id="1119" w:name="_Toc296346623"/>
      <w:bookmarkStart w:id="1120" w:name="_Toc337558830"/>
      <w:bookmarkStart w:id="1121" w:name="_Toc296503122"/>
      <w:r>
        <w:rPr>
          <w:rFonts w:hint="eastAsia" w:ascii="楷体_GB2312" w:hAnsi="楷体_GB2312" w:eastAsia="楷体_GB2312" w:cs="楷体_GB2312"/>
          <w:b w:val="0"/>
          <w:bCs w:val="0"/>
          <w:color w:val="auto"/>
          <w:sz w:val="24"/>
          <w:szCs w:val="24"/>
          <w:highlight w:val="none"/>
        </w:rPr>
        <w:t xml:space="preserve"> 工伤保险</w:t>
      </w:r>
      <w:bookmarkEnd w:id="1110"/>
      <w:bookmarkEnd w:id="1111"/>
      <w:bookmarkEnd w:id="1112"/>
      <w:bookmarkEnd w:id="1113"/>
      <w:bookmarkEnd w:id="1114"/>
      <w:bookmarkEnd w:id="1115"/>
      <w:bookmarkEnd w:id="1116"/>
      <w:bookmarkEnd w:id="1117"/>
      <w:bookmarkEnd w:id="1118"/>
    </w:p>
    <w:bookmarkEnd w:id="1119"/>
    <w:bookmarkEnd w:id="1120"/>
    <w:bookmarkEnd w:id="1121"/>
    <w:p w14:paraId="06E96F9D">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分包人应依照法律规定参加工伤保险，并为其履行合同的全部员工办理工伤保险，缴纳工伤保险费，并要求其聘请的第三方依法参加工伤保险。</w:t>
      </w:r>
    </w:p>
    <w:p w14:paraId="71059A2A">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122" w:name="_Toc351203615"/>
      <w:bookmarkStart w:id="1123" w:name="_Toc371493259"/>
      <w:bookmarkStart w:id="1124" w:name="_Toc23123"/>
      <w:bookmarkStart w:id="1125" w:name="_Toc389586406"/>
      <w:bookmarkStart w:id="1126" w:name="_Toc24116"/>
      <w:bookmarkStart w:id="1127" w:name="_Toc19381"/>
      <w:bookmarkStart w:id="1128" w:name="_Toc27238"/>
      <w:bookmarkStart w:id="1129" w:name="_Toc2725"/>
      <w:bookmarkStart w:id="1130" w:name="_Toc7044"/>
      <w:bookmarkStart w:id="1131" w:name="_Toc296503125"/>
      <w:bookmarkStart w:id="1132" w:name="_Toc296346626"/>
      <w:bookmarkStart w:id="1133" w:name="_Toc337558831"/>
      <w:r>
        <w:rPr>
          <w:rFonts w:hint="eastAsia" w:ascii="楷体_GB2312" w:hAnsi="楷体_GB2312" w:eastAsia="楷体_GB2312" w:cs="楷体_GB2312"/>
          <w:b w:val="0"/>
          <w:bCs w:val="0"/>
          <w:color w:val="auto"/>
          <w:sz w:val="24"/>
          <w:szCs w:val="24"/>
          <w:highlight w:val="none"/>
        </w:rPr>
        <w:t>23.2 其他保险</w:t>
      </w:r>
      <w:bookmarkEnd w:id="1122"/>
      <w:bookmarkEnd w:id="1123"/>
      <w:bookmarkEnd w:id="1124"/>
      <w:bookmarkEnd w:id="1125"/>
      <w:bookmarkEnd w:id="1126"/>
      <w:bookmarkEnd w:id="1127"/>
      <w:bookmarkEnd w:id="1128"/>
      <w:bookmarkEnd w:id="1129"/>
      <w:bookmarkEnd w:id="1130"/>
    </w:p>
    <w:bookmarkEnd w:id="1131"/>
    <w:bookmarkEnd w:id="1132"/>
    <w:bookmarkEnd w:id="1133"/>
    <w:p w14:paraId="0DC8CC8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除专用合同条款另有约定外，分包人应为其雇佣的人员购买安全生产责任保险和意外伤害保险，为其施工设备等办理财产保险。分包合同当事人应在专用合同条款约定保险金额等具体事项。</w:t>
      </w:r>
    </w:p>
    <w:p w14:paraId="2D596761">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34" w:name="_Toc25544"/>
      <w:bookmarkStart w:id="1135" w:name="_Toc351203617"/>
      <w:bookmarkStart w:id="1136" w:name="_Toc15824"/>
      <w:bookmarkStart w:id="1137" w:name="_Toc28406"/>
      <w:bookmarkStart w:id="1138" w:name="_Toc389586407"/>
      <w:bookmarkStart w:id="1139" w:name="_Toc26778"/>
      <w:bookmarkStart w:id="1140" w:name="_Toc5926"/>
      <w:bookmarkStart w:id="1141" w:name="_Toc371493260"/>
      <w:bookmarkStart w:id="1142" w:name="_Toc14740"/>
      <w:bookmarkStart w:id="1143" w:name="_Toc296346627"/>
      <w:bookmarkStart w:id="1144" w:name="_Toc337558832"/>
      <w:bookmarkStart w:id="1145" w:name="_Toc296503126"/>
      <w:r>
        <w:rPr>
          <w:rFonts w:hint="eastAsia" w:ascii="楷体_GB2312" w:hAnsi="楷体_GB2312" w:eastAsia="楷体_GB2312" w:cs="楷体_GB2312"/>
          <w:b w:val="0"/>
          <w:bCs w:val="0"/>
          <w:color w:val="auto"/>
          <w:sz w:val="24"/>
          <w:szCs w:val="24"/>
          <w:highlight w:val="none"/>
        </w:rPr>
        <w:t>23.3 保险凭证</w:t>
      </w:r>
      <w:bookmarkEnd w:id="1134"/>
      <w:bookmarkEnd w:id="1135"/>
      <w:bookmarkEnd w:id="1136"/>
      <w:bookmarkEnd w:id="1137"/>
      <w:bookmarkEnd w:id="1138"/>
      <w:bookmarkEnd w:id="1139"/>
      <w:bookmarkEnd w:id="1140"/>
      <w:bookmarkEnd w:id="1141"/>
      <w:bookmarkEnd w:id="1142"/>
    </w:p>
    <w:bookmarkEnd w:id="1143"/>
    <w:bookmarkEnd w:id="1144"/>
    <w:bookmarkEnd w:id="1145"/>
    <w:p w14:paraId="456ABFA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分包人应在专用合同条款约定的期限内向承包人提交已投保的各项保险的凭证和保险单复印件。</w:t>
      </w:r>
    </w:p>
    <w:p w14:paraId="18B5EF3E">
      <w:pPr>
        <w:pStyle w:val="4"/>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46" w:name="_Toc23158"/>
      <w:bookmarkStart w:id="1147" w:name="_Toc19771"/>
      <w:bookmarkStart w:id="1148" w:name="_Toc371493263"/>
      <w:bookmarkStart w:id="1149" w:name="_Toc351203620"/>
      <w:bookmarkStart w:id="1150" w:name="_Toc8614"/>
      <w:bookmarkStart w:id="1151" w:name="_Toc13286"/>
      <w:bookmarkStart w:id="1152" w:name="_Toc389586408"/>
      <w:bookmarkStart w:id="1153" w:name="_Toc21019"/>
      <w:bookmarkStart w:id="1154" w:name="_Toc583"/>
      <w:bookmarkStart w:id="1155" w:name="_Toc296346641"/>
      <w:bookmarkStart w:id="1156" w:name="_Toc296503140"/>
      <w:bookmarkStart w:id="1157" w:name="_Toc337558835"/>
      <w:r>
        <w:rPr>
          <w:rFonts w:hint="eastAsia" w:ascii="黑体" w:hAnsi="黑体" w:eastAsia="黑体" w:cs="黑体"/>
          <w:b w:val="0"/>
          <w:bCs w:val="0"/>
          <w:color w:val="auto"/>
          <w:sz w:val="24"/>
          <w:szCs w:val="24"/>
          <w:highlight w:val="none"/>
        </w:rPr>
        <w:t>24. 索赔</w:t>
      </w:r>
      <w:bookmarkEnd w:id="1146"/>
      <w:bookmarkEnd w:id="1147"/>
      <w:bookmarkEnd w:id="1148"/>
      <w:bookmarkEnd w:id="1149"/>
      <w:bookmarkEnd w:id="1150"/>
      <w:bookmarkEnd w:id="1151"/>
      <w:bookmarkEnd w:id="1152"/>
      <w:bookmarkEnd w:id="1153"/>
      <w:bookmarkEnd w:id="1154"/>
    </w:p>
    <w:bookmarkEnd w:id="1155"/>
    <w:bookmarkEnd w:id="1156"/>
    <w:bookmarkEnd w:id="1157"/>
    <w:p w14:paraId="0C9FD4A6">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58" w:name="_Toc389586409"/>
      <w:bookmarkStart w:id="1159" w:name="_Toc322"/>
      <w:bookmarkStart w:id="1160" w:name="_Toc27564"/>
      <w:bookmarkStart w:id="1161" w:name="_Toc25780"/>
      <w:bookmarkStart w:id="1162" w:name="_Toc371493264"/>
      <w:bookmarkStart w:id="1163" w:name="_Toc21145"/>
      <w:bookmarkStart w:id="1164" w:name="_Toc351203621"/>
      <w:bookmarkStart w:id="1165" w:name="_Toc638"/>
      <w:bookmarkStart w:id="1166" w:name="_Toc24717"/>
      <w:bookmarkStart w:id="1167" w:name="_Toc296503141"/>
      <w:bookmarkStart w:id="1168" w:name="_Toc337558836"/>
      <w:bookmarkStart w:id="1169" w:name="_Toc296346642"/>
      <w:r>
        <w:rPr>
          <w:rFonts w:hint="eastAsia" w:ascii="楷体_GB2312" w:hAnsi="楷体_GB2312" w:eastAsia="楷体_GB2312" w:cs="楷体_GB2312"/>
          <w:b w:val="0"/>
          <w:bCs w:val="0"/>
          <w:color w:val="auto"/>
          <w:sz w:val="24"/>
          <w:szCs w:val="24"/>
          <w:highlight w:val="none"/>
        </w:rPr>
        <w:t>24.1 分包人的索赔</w:t>
      </w:r>
      <w:bookmarkEnd w:id="1158"/>
      <w:bookmarkEnd w:id="1159"/>
      <w:bookmarkEnd w:id="1160"/>
      <w:bookmarkEnd w:id="1161"/>
      <w:bookmarkEnd w:id="1162"/>
      <w:bookmarkEnd w:id="1163"/>
      <w:bookmarkEnd w:id="1164"/>
      <w:bookmarkEnd w:id="1165"/>
      <w:bookmarkEnd w:id="1166"/>
    </w:p>
    <w:bookmarkEnd w:id="1167"/>
    <w:bookmarkEnd w:id="1168"/>
    <w:bookmarkEnd w:id="1169"/>
    <w:p w14:paraId="2B53B5D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根据分包合同约定，分包人认为有权得到追加付款和（或）延长工期的，应按以下程序向承包人提出索赔：</w:t>
      </w:r>
    </w:p>
    <w:p w14:paraId="4A6DCE4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（1）分包人应在知道或应当知道索赔事件发生后14天内，向承包人递交索赔意向通知书，并说明发生索赔事件的事由；分包人未在前述14天内发出索赔意向通知书的，丧失要求追加付款和（或）延长工期的权利；</w:t>
      </w:r>
    </w:p>
    <w:p w14:paraId="6A90C3E2">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（2）分包人应在发出索赔意向通知书后14天内，向承包人正式递交索赔报告；索赔报告应详细说明索赔理由以及要求追加的付款金额和（或）延长的工期，并附必要的记录和证明材料；</w:t>
      </w:r>
    </w:p>
    <w:p w14:paraId="2A9FC097">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（3）索赔事件具有持续影响的，分包人应按合理时间间隔继续递交延续索赔通</w:t>
      </w:r>
      <w:r>
        <w:rPr>
          <w:rFonts w:hint="eastAsia" w:ascii="仿宋_GB2312" w:hAnsi="仿宋_GB2312" w:eastAsia="仿宋_GB2312" w:cs="仿宋_GB2312"/>
          <w:color w:val="auto"/>
          <w:spacing w:val="-6"/>
          <w:kern w:val="0"/>
          <w:sz w:val="24"/>
          <w:szCs w:val="24"/>
          <w:highlight w:val="none"/>
        </w:rPr>
        <w:t>知，说明持续影响的实际情况和记录，列出累计的追加付款金额和（或）工期延长天数；</w:t>
      </w:r>
    </w:p>
    <w:p w14:paraId="5C55C9A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（4）在索赔事件影响结束后14天内，分包人应向承包人递交最终索赔报告，说明最终要求索赔的追加付款金额和（或）延长的工期，并附必要的记录和证明材料。</w:t>
      </w:r>
    </w:p>
    <w:p w14:paraId="448FD7C6">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170" w:name="_Toc15227"/>
      <w:bookmarkStart w:id="1171" w:name="_Toc28013"/>
      <w:bookmarkStart w:id="1172" w:name="_Toc389586410"/>
      <w:bookmarkStart w:id="1173" w:name="_Toc28245"/>
      <w:bookmarkStart w:id="1174" w:name="_Toc351203622"/>
      <w:bookmarkStart w:id="1175" w:name="_Toc2995"/>
      <w:bookmarkStart w:id="1176" w:name="_Toc30380"/>
      <w:bookmarkStart w:id="1177" w:name="_Toc24455"/>
      <w:bookmarkStart w:id="1178" w:name="_Toc371493265"/>
      <w:bookmarkStart w:id="1179" w:name="_Toc296346643"/>
      <w:bookmarkStart w:id="1180" w:name="_Toc337558837"/>
      <w:bookmarkStart w:id="1181" w:name="_Toc296503142"/>
      <w:r>
        <w:rPr>
          <w:rFonts w:hint="eastAsia" w:ascii="楷体_GB2312" w:hAnsi="楷体_GB2312" w:eastAsia="楷体_GB2312" w:cs="楷体_GB2312"/>
          <w:b w:val="0"/>
          <w:bCs w:val="0"/>
          <w:color w:val="auto"/>
          <w:sz w:val="24"/>
          <w:szCs w:val="24"/>
          <w:highlight w:val="none"/>
        </w:rPr>
        <w:t>24.2 对分包人索赔的处理</w:t>
      </w:r>
      <w:bookmarkEnd w:id="1170"/>
      <w:bookmarkEnd w:id="1171"/>
      <w:bookmarkEnd w:id="1172"/>
      <w:bookmarkEnd w:id="1173"/>
      <w:bookmarkEnd w:id="1174"/>
      <w:bookmarkEnd w:id="1175"/>
      <w:bookmarkEnd w:id="1176"/>
      <w:bookmarkEnd w:id="1177"/>
      <w:bookmarkEnd w:id="1178"/>
    </w:p>
    <w:bookmarkEnd w:id="1179"/>
    <w:bookmarkEnd w:id="1180"/>
    <w:bookmarkEnd w:id="1181"/>
    <w:p w14:paraId="75B3D081">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除专用合同条款另有约定外，对分包人的索赔处理如下：</w:t>
      </w:r>
    </w:p>
    <w:p w14:paraId="15F47D9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p>
    <w:p w14:paraId="19A13A1D">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（2）分包人接受索赔处理结果的，索赔款项在当期进度款中进行支付；分包人不接受索赔处理结果的，按照第25条【争议解决】的约定处理。</w:t>
      </w:r>
    </w:p>
    <w:p w14:paraId="1452FE98">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Style w:val="23"/>
          <w:rFonts w:hint="eastAsia" w:ascii="仿宋_GB2312" w:hAnsi="仿宋_GB2312" w:eastAsia="仿宋_GB2312" w:cs="仿宋_GB2312"/>
          <w:color w:val="auto"/>
          <w:sz w:val="24"/>
          <w:szCs w:val="24"/>
          <w:highlight w:val="none"/>
        </w:rPr>
      </w:pPr>
      <w:bookmarkStart w:id="1182" w:name="_Toc351203623"/>
      <w:bookmarkStart w:id="1183" w:name="_Toc4529"/>
      <w:bookmarkStart w:id="1184" w:name="_Toc12530"/>
      <w:bookmarkStart w:id="1185" w:name="_Toc1187"/>
      <w:bookmarkStart w:id="1186" w:name="_Toc21830"/>
      <w:bookmarkStart w:id="1187" w:name="_Toc371493266"/>
      <w:bookmarkStart w:id="1188" w:name="_Toc5013"/>
      <w:bookmarkStart w:id="1189" w:name="_Toc16316"/>
      <w:bookmarkStart w:id="1190" w:name="_Toc389586411"/>
      <w:bookmarkStart w:id="1191" w:name="_Toc296503143"/>
      <w:bookmarkStart w:id="1192" w:name="_Toc296346644"/>
      <w:bookmarkStart w:id="1193" w:name="_Toc337558838"/>
      <w:r>
        <w:rPr>
          <w:rStyle w:val="23"/>
          <w:rFonts w:hint="eastAsia" w:ascii="楷体_GB2312" w:hAnsi="楷体_GB2312" w:eastAsia="楷体_GB2312" w:cs="楷体_GB2312"/>
          <w:b w:val="0"/>
          <w:bCs w:val="0"/>
          <w:color w:val="auto"/>
          <w:sz w:val="24"/>
          <w:szCs w:val="24"/>
          <w:highlight w:val="none"/>
        </w:rPr>
        <w:t>24.3 承包人的索赔</w:t>
      </w:r>
      <w:bookmarkEnd w:id="1182"/>
      <w:bookmarkEnd w:id="1183"/>
      <w:bookmarkEnd w:id="1184"/>
      <w:bookmarkEnd w:id="1185"/>
      <w:bookmarkEnd w:id="1186"/>
      <w:bookmarkEnd w:id="1187"/>
      <w:bookmarkEnd w:id="1188"/>
      <w:bookmarkEnd w:id="1189"/>
      <w:bookmarkEnd w:id="1190"/>
    </w:p>
    <w:bookmarkEnd w:id="1191"/>
    <w:bookmarkEnd w:id="1192"/>
    <w:bookmarkEnd w:id="1193"/>
    <w:p w14:paraId="21CE716C">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根据分包合同约定，承包人认为有权得到赔付金额和（或）延长缺陷责任期的，应向分包人发出通知并附有详细的证明。</w:t>
      </w:r>
    </w:p>
    <w:p w14:paraId="1B7C41BE">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承包人应在知道或应当知道索赔事件发生后向分包人提出索赔意向通知书。承包人应在发出索赔意向通知书后向分包人正式递交索赔报告。</w:t>
      </w:r>
    </w:p>
    <w:p w14:paraId="1BFD9F59">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194" w:name="_Toc32679"/>
      <w:bookmarkStart w:id="1195" w:name="_Toc13187"/>
      <w:bookmarkStart w:id="1196" w:name="_Toc371493267"/>
      <w:bookmarkStart w:id="1197" w:name="_Toc17473"/>
      <w:bookmarkStart w:id="1198" w:name="_Toc389586412"/>
      <w:bookmarkStart w:id="1199" w:name="_Toc351203624"/>
      <w:bookmarkStart w:id="1200" w:name="_Toc20423"/>
      <w:bookmarkStart w:id="1201" w:name="_Toc16714"/>
      <w:bookmarkStart w:id="1202" w:name="_Toc25444"/>
      <w:bookmarkStart w:id="1203" w:name="_Toc296346645"/>
      <w:bookmarkStart w:id="1204" w:name="_Toc296503144"/>
      <w:bookmarkStart w:id="1205" w:name="_Toc337558839"/>
      <w:r>
        <w:rPr>
          <w:rFonts w:hint="eastAsia" w:ascii="楷体_GB2312" w:hAnsi="楷体_GB2312" w:eastAsia="楷体_GB2312" w:cs="楷体_GB2312"/>
          <w:b w:val="0"/>
          <w:bCs w:val="0"/>
          <w:color w:val="auto"/>
          <w:sz w:val="24"/>
          <w:szCs w:val="24"/>
          <w:highlight w:val="none"/>
        </w:rPr>
        <w:t>24.4 对承包人索赔的处理</w:t>
      </w:r>
      <w:bookmarkEnd w:id="1194"/>
      <w:bookmarkEnd w:id="1195"/>
      <w:bookmarkEnd w:id="1196"/>
      <w:bookmarkEnd w:id="1197"/>
      <w:bookmarkEnd w:id="1198"/>
      <w:bookmarkEnd w:id="1199"/>
      <w:bookmarkEnd w:id="1200"/>
      <w:bookmarkEnd w:id="1201"/>
      <w:bookmarkEnd w:id="1202"/>
    </w:p>
    <w:bookmarkEnd w:id="1203"/>
    <w:bookmarkEnd w:id="1204"/>
    <w:bookmarkEnd w:id="1205"/>
    <w:p w14:paraId="5FA2C582">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除专用合同条款另有约定外，对承包人的索赔处理如下：</w:t>
      </w:r>
    </w:p>
    <w:p w14:paraId="636D8738">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（1）分包人收到承包人提交的索赔报告后，应及时审查索赔报告的内容、查验承包人证明材料；</w:t>
      </w:r>
    </w:p>
    <w:p w14:paraId="16B851A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（2）分包人应在收到索赔报告或有关索赔的进一步证明材料后35天内，将索赔处理结果答复承包人。如果分包人未在上述期限内作出答复的，则视为对承包人索赔要求的认可；</w:t>
      </w:r>
    </w:p>
    <w:p w14:paraId="6F2F5E2F">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（3）承包人接受索赔处理结果的，承包人可从应支付给分包人的合同价款中扣除赔付的金额或延长缺陷责任期；承包人不接受索赔处理结果的，按第25条【争议解决】的约定处理。</w:t>
      </w:r>
    </w:p>
    <w:p w14:paraId="4C511351">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206" w:name="_Toc371493268"/>
      <w:bookmarkStart w:id="1207" w:name="_Toc1937"/>
      <w:bookmarkStart w:id="1208" w:name="_Toc1042"/>
      <w:bookmarkStart w:id="1209" w:name="_Toc351203625"/>
      <w:bookmarkStart w:id="1210" w:name="_Toc19110"/>
      <w:bookmarkStart w:id="1211" w:name="_Toc7685"/>
      <w:bookmarkStart w:id="1212" w:name="_Toc19438"/>
      <w:bookmarkStart w:id="1213" w:name="_Toc389586413"/>
      <w:bookmarkStart w:id="1214" w:name="_Toc18337"/>
      <w:r>
        <w:rPr>
          <w:rFonts w:hint="eastAsia" w:ascii="楷体_GB2312" w:hAnsi="楷体_GB2312" w:eastAsia="楷体_GB2312" w:cs="楷体_GB2312"/>
          <w:b w:val="0"/>
          <w:bCs w:val="0"/>
          <w:color w:val="auto"/>
          <w:sz w:val="24"/>
          <w:szCs w:val="24"/>
          <w:highlight w:val="none"/>
        </w:rPr>
        <w:t>24.5 提出索赔的期限</w:t>
      </w:r>
      <w:bookmarkEnd w:id="1206"/>
      <w:bookmarkEnd w:id="1207"/>
      <w:bookmarkEnd w:id="1208"/>
      <w:bookmarkEnd w:id="1209"/>
      <w:bookmarkEnd w:id="1210"/>
      <w:bookmarkEnd w:id="1211"/>
      <w:bookmarkEnd w:id="1212"/>
      <w:bookmarkEnd w:id="1213"/>
      <w:bookmarkEnd w:id="1214"/>
    </w:p>
    <w:p w14:paraId="0D11B895">
      <w:pPr>
        <w:pageBreakBefore w:val="0"/>
        <w:widowControl w:val="0"/>
        <w:kinsoku/>
        <w:wordWrap w:val="0"/>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（1）分包人按第19.2款【结算审核】的约定认可结算付款证书后，应被视为已无权就结算付款证书签发前所发生的事项提出任何索赔。</w:t>
      </w:r>
    </w:p>
    <w:p w14:paraId="4BAD7BD0">
      <w:pPr>
        <w:pageBreakBefore w:val="0"/>
        <w:widowControl w:val="0"/>
        <w:kinsoku/>
        <w:wordWrap w:val="0"/>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（2）分包人按第19.3款【最终结清】提交的最终结清申请单，只限于提出结算付款证书签发后发生的索赔。分包人提出索赔的期限自最终结清申请单被承包人确认时终止。</w:t>
      </w:r>
    </w:p>
    <w:p w14:paraId="33E6F1E4">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215" w:name="_Toc28599"/>
      <w:bookmarkStart w:id="1216" w:name="_Toc7819"/>
      <w:bookmarkStart w:id="1217" w:name="_Toc389586414"/>
      <w:bookmarkStart w:id="1218" w:name="_Toc24263"/>
      <w:bookmarkStart w:id="1219" w:name="_Toc3410"/>
      <w:bookmarkStart w:id="1220" w:name="_Toc5589"/>
      <w:bookmarkStart w:id="1221" w:name="_Toc10602"/>
      <w:r>
        <w:rPr>
          <w:rFonts w:hint="eastAsia" w:ascii="楷体_GB2312" w:hAnsi="楷体_GB2312" w:eastAsia="楷体_GB2312" w:cs="楷体_GB2312"/>
          <w:b w:val="0"/>
          <w:bCs w:val="0"/>
          <w:color w:val="auto"/>
          <w:sz w:val="24"/>
          <w:szCs w:val="24"/>
          <w:highlight w:val="none"/>
        </w:rPr>
        <w:t>24.6 分包人索赔配合</w:t>
      </w:r>
      <w:bookmarkEnd w:id="1215"/>
      <w:bookmarkEnd w:id="1216"/>
      <w:bookmarkEnd w:id="1217"/>
      <w:bookmarkEnd w:id="1218"/>
      <w:bookmarkEnd w:id="1219"/>
      <w:bookmarkEnd w:id="1220"/>
      <w:bookmarkEnd w:id="1221"/>
    </w:p>
    <w:p w14:paraId="35045BF2">
      <w:pPr>
        <w:pageBreakBefore w:val="0"/>
        <w:widowControl w:val="0"/>
        <w:kinsoku/>
        <w:wordWrap w:val="0"/>
        <w:overflowPunct/>
        <w:topLinePunct w:val="0"/>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当承包人与发包人之间发生的索赔事项涉及分包工程时，分包人应按承包人要求配合承包人处理前述索赔事项。</w:t>
      </w:r>
    </w:p>
    <w:p w14:paraId="12DAB257">
      <w:pPr>
        <w:pStyle w:val="4"/>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222" w:name="_Toc29838"/>
      <w:bookmarkStart w:id="1223" w:name="_Toc9297"/>
      <w:bookmarkStart w:id="1224" w:name="_Toc27056"/>
      <w:bookmarkStart w:id="1225" w:name="_Toc17143"/>
      <w:bookmarkStart w:id="1226" w:name="_Toc389586415"/>
      <w:bookmarkStart w:id="1227" w:name="_Toc10705"/>
      <w:bookmarkStart w:id="1228" w:name="_Toc371493269"/>
      <w:bookmarkStart w:id="1229" w:name="_Toc7796"/>
      <w:bookmarkStart w:id="1230" w:name="_Toc351203626"/>
      <w:bookmarkStart w:id="1231" w:name="_Toc296346647"/>
      <w:bookmarkStart w:id="1232" w:name="_Toc337558840"/>
      <w:bookmarkStart w:id="1233" w:name="_Toc296503146"/>
      <w:r>
        <w:rPr>
          <w:rFonts w:hint="eastAsia" w:ascii="黑体" w:hAnsi="黑体" w:eastAsia="黑体" w:cs="黑体"/>
          <w:b w:val="0"/>
          <w:bCs w:val="0"/>
          <w:color w:val="auto"/>
          <w:sz w:val="24"/>
          <w:szCs w:val="24"/>
          <w:highlight w:val="none"/>
        </w:rPr>
        <w:t>25. 争议解决</w:t>
      </w:r>
      <w:bookmarkEnd w:id="1222"/>
      <w:bookmarkEnd w:id="1223"/>
      <w:bookmarkEnd w:id="1224"/>
      <w:bookmarkEnd w:id="1225"/>
      <w:bookmarkEnd w:id="1226"/>
      <w:bookmarkEnd w:id="1227"/>
      <w:bookmarkEnd w:id="1228"/>
      <w:bookmarkEnd w:id="1229"/>
      <w:bookmarkEnd w:id="1230"/>
    </w:p>
    <w:bookmarkEnd w:id="1231"/>
    <w:bookmarkEnd w:id="1232"/>
    <w:bookmarkEnd w:id="1233"/>
    <w:p w14:paraId="160E8C17">
      <w:pPr>
        <w:pStyle w:val="5"/>
        <w:keepNext/>
        <w:keepLines/>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234" w:name="_Toc122"/>
      <w:bookmarkStart w:id="1235" w:name="_Toc351203628"/>
      <w:bookmarkStart w:id="1236" w:name="_Toc27932"/>
      <w:bookmarkStart w:id="1237" w:name="_Toc11429"/>
      <w:bookmarkStart w:id="1238" w:name="_Toc22891"/>
      <w:bookmarkStart w:id="1239" w:name="_Toc389586416"/>
      <w:bookmarkStart w:id="1240" w:name="_Toc1178"/>
      <w:bookmarkStart w:id="1241" w:name="_Toc30795"/>
      <w:bookmarkStart w:id="1242" w:name="_Toc371493270"/>
      <w:bookmarkStart w:id="1243" w:name="_Toc296503148"/>
      <w:bookmarkStart w:id="1244" w:name="_Toc337558842"/>
      <w:bookmarkStart w:id="1245" w:name="_Toc296346649"/>
      <w:r>
        <w:rPr>
          <w:rFonts w:hint="eastAsia" w:ascii="楷体_GB2312" w:hAnsi="楷体_GB2312" w:eastAsia="楷体_GB2312" w:cs="楷体_GB2312"/>
          <w:b w:val="0"/>
          <w:bCs w:val="0"/>
          <w:color w:val="auto"/>
          <w:sz w:val="24"/>
          <w:szCs w:val="24"/>
          <w:highlight w:val="none"/>
        </w:rPr>
        <w:t>25.1 调解</w:t>
      </w:r>
      <w:bookmarkEnd w:id="1234"/>
      <w:bookmarkEnd w:id="1235"/>
      <w:bookmarkEnd w:id="1236"/>
      <w:bookmarkEnd w:id="1237"/>
      <w:bookmarkEnd w:id="1238"/>
      <w:bookmarkEnd w:id="1239"/>
      <w:bookmarkEnd w:id="1240"/>
      <w:bookmarkEnd w:id="1241"/>
      <w:bookmarkEnd w:id="1242"/>
    </w:p>
    <w:bookmarkEnd w:id="1243"/>
    <w:bookmarkEnd w:id="1244"/>
    <w:bookmarkEnd w:id="1245"/>
    <w:p w14:paraId="36D2A387">
      <w:pPr>
        <w:pageBreakBefore w:val="0"/>
        <w:widowControl w:val="0"/>
        <w:kinsoku/>
        <w:wordWrap w:val="0"/>
        <w:overflowPunct/>
        <w:topLinePunct w:val="0"/>
        <w:autoSpaceDE w:val="0"/>
        <w:autoSpaceDN w:val="0"/>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分包合同当事人可以就争议请求建设行政主管部门、行业协会或其他第三方进行调解，调解达成协议的，经双方签字并盖章后作为合同补充文件，双方均应遵照执行。</w:t>
      </w:r>
    </w:p>
    <w:p w14:paraId="3B8060FF">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246" w:name="_Toc31001"/>
      <w:bookmarkStart w:id="1247" w:name="_Toc317"/>
      <w:bookmarkStart w:id="1248" w:name="_Toc371493271"/>
      <w:bookmarkStart w:id="1249" w:name="_Toc351203630"/>
      <w:bookmarkStart w:id="1250" w:name="_Toc6892"/>
      <w:bookmarkStart w:id="1251" w:name="_Toc21155"/>
      <w:bookmarkStart w:id="1252" w:name="_Toc18847"/>
      <w:bookmarkStart w:id="1253" w:name="_Toc389586417"/>
      <w:bookmarkStart w:id="1254" w:name="_Toc30639"/>
      <w:bookmarkStart w:id="1255" w:name="_Toc296503150"/>
      <w:bookmarkStart w:id="1256" w:name="_Toc337558844"/>
      <w:bookmarkStart w:id="1257" w:name="_Toc296346651"/>
      <w:r>
        <w:rPr>
          <w:rFonts w:hint="eastAsia" w:ascii="楷体_GB2312" w:hAnsi="楷体_GB2312" w:eastAsia="楷体_GB2312" w:cs="楷体_GB2312"/>
          <w:b w:val="0"/>
          <w:bCs w:val="0"/>
          <w:color w:val="auto"/>
          <w:sz w:val="24"/>
          <w:szCs w:val="24"/>
          <w:highlight w:val="none"/>
        </w:rPr>
        <w:t>25.2 仲裁或诉讼</w:t>
      </w:r>
      <w:bookmarkEnd w:id="1246"/>
      <w:bookmarkEnd w:id="1247"/>
      <w:bookmarkEnd w:id="1248"/>
      <w:bookmarkEnd w:id="1249"/>
      <w:bookmarkEnd w:id="1250"/>
      <w:bookmarkEnd w:id="1251"/>
      <w:bookmarkEnd w:id="1252"/>
      <w:bookmarkEnd w:id="1253"/>
      <w:bookmarkEnd w:id="1254"/>
    </w:p>
    <w:bookmarkEnd w:id="1255"/>
    <w:bookmarkEnd w:id="1256"/>
    <w:bookmarkEnd w:id="1257"/>
    <w:p w14:paraId="60D2453F">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因分包合同及合同有关事项产生的争议，分包合同当事人可以在专用合同条款中约定以下列任意一种方式解决争议：</w:t>
      </w:r>
    </w:p>
    <w:p w14:paraId="3C2E8456">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（1）向专用合同条款约定的仲裁委员会申请仲裁；</w:t>
      </w:r>
    </w:p>
    <w:p w14:paraId="6946BF73">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（2）向专用合同条款约定的有管辖权的人民法院起诉。</w:t>
      </w:r>
    </w:p>
    <w:p w14:paraId="3DDBC006">
      <w:pPr>
        <w:pStyle w:val="5"/>
        <w:keepNext/>
        <w:keepLines/>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kern w:val="0"/>
          <w:sz w:val="24"/>
          <w:szCs w:val="24"/>
          <w:highlight w:val="none"/>
        </w:rPr>
      </w:pPr>
      <w:bookmarkStart w:id="1258" w:name="_Toc389586418"/>
      <w:bookmarkStart w:id="1259" w:name="_Toc14308"/>
      <w:bookmarkStart w:id="1260" w:name="_Toc10028"/>
      <w:bookmarkStart w:id="1261" w:name="_Toc23307"/>
      <w:bookmarkStart w:id="1262" w:name="_Toc2336"/>
      <w:bookmarkStart w:id="1263" w:name="_Toc660"/>
      <w:bookmarkStart w:id="1264" w:name="_Toc6675"/>
      <w:r>
        <w:rPr>
          <w:rFonts w:hint="eastAsia" w:ascii="楷体_GB2312" w:hAnsi="楷体_GB2312" w:eastAsia="楷体_GB2312" w:cs="楷体_GB2312"/>
          <w:b w:val="0"/>
          <w:bCs w:val="0"/>
          <w:color w:val="auto"/>
          <w:sz w:val="24"/>
          <w:szCs w:val="24"/>
          <w:highlight w:val="none"/>
        </w:rPr>
        <w:t>25.3 与争议解决有关的事项</w:t>
      </w:r>
      <w:bookmarkEnd w:id="1258"/>
      <w:bookmarkEnd w:id="1259"/>
      <w:bookmarkEnd w:id="1260"/>
      <w:bookmarkEnd w:id="1261"/>
      <w:bookmarkEnd w:id="1262"/>
      <w:bookmarkEnd w:id="1263"/>
      <w:bookmarkEnd w:id="1264"/>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 xml:space="preserve"> </w:t>
      </w:r>
    </w:p>
    <w:p w14:paraId="0123E3A0">
      <w:pPr>
        <w:pageBreakBefore w:val="0"/>
        <w:kinsoku/>
        <w:wordWrap w:val="0"/>
        <w:overflowPunct/>
        <w:topLinePunct w:val="0"/>
        <w:autoSpaceDE w:val="0"/>
        <w:autoSpaceDN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在承包人与发包人进入争议解决程序且争议事项涉及分包工程时，分包人应配合承包人处理争议事项。</w:t>
      </w:r>
    </w:p>
    <w:p w14:paraId="54F44F42">
      <w:pPr>
        <w:pStyle w:val="3"/>
        <w:pageBreakBefore w:val="0"/>
        <w:kinsoku/>
        <w:wordWrap w:val="0"/>
        <w:overflowPunct/>
        <w:topLinePunct w:val="0"/>
        <w:bidi w:val="0"/>
        <w:adjustRightInd w:val="0"/>
        <w:snapToGrid w:val="0"/>
        <w:spacing w:before="0" w:after="0" w:line="400" w:lineRule="exact"/>
        <w:jc w:val="center"/>
        <w:rPr>
          <w:rFonts w:hint="eastAsia" w:ascii="仿宋_GB2312" w:hAnsi="仿宋_GB2312" w:eastAsia="仿宋_GB2312" w:cs="仿宋_GB2312"/>
          <w:b w:val="0"/>
          <w:bCs w:val="0"/>
          <w:color w:val="auto"/>
          <w:sz w:val="24"/>
          <w:szCs w:val="24"/>
          <w:highlight w:val="none"/>
        </w:rPr>
      </w:pPr>
      <w:bookmarkStart w:id="1265" w:name="_Toc351203632"/>
      <w:r>
        <w:rPr>
          <w:rFonts w:hint="eastAsia" w:ascii="仿宋_GB2312" w:hAnsi="仿宋_GB2312" w:eastAsia="仿宋_GB2312" w:cs="仿宋_GB2312"/>
          <w:color w:val="auto"/>
          <w:sz w:val="24"/>
          <w:szCs w:val="24"/>
          <w:highlight w:val="none"/>
        </w:rPr>
        <w:br w:type="page"/>
      </w:r>
      <w:bookmarkEnd w:id="1265"/>
      <w:bookmarkStart w:id="1266" w:name="_Toc389586419"/>
      <w:bookmarkStart w:id="1267" w:name="_Toc28887"/>
      <w:bookmarkStart w:id="1268" w:name="_Toc22061"/>
      <w:bookmarkStart w:id="1269" w:name="_Toc19760"/>
      <w:bookmarkStart w:id="1270" w:name="_Toc7850"/>
      <w:bookmarkStart w:id="1271" w:name="_Toc5887"/>
      <w:bookmarkStart w:id="1272" w:name="_Toc27668"/>
      <w:bookmarkStart w:id="1273" w:name="_Toc351203652"/>
      <w:r>
        <w:rPr>
          <w:rFonts w:hint="eastAsia" w:asciiTheme="majorEastAsia" w:hAnsiTheme="majorEastAsia" w:eastAsiaTheme="majorEastAsia" w:cstheme="majorEastAsia"/>
          <w:b w:val="0"/>
          <w:bCs w:val="0"/>
          <w:color w:val="auto"/>
          <w:sz w:val="36"/>
          <w:szCs w:val="36"/>
          <w:highlight w:val="none"/>
        </w:rPr>
        <w:t>第三部分 专用合同条款</w:t>
      </w:r>
      <w:bookmarkEnd w:id="1266"/>
      <w:bookmarkEnd w:id="1267"/>
      <w:bookmarkEnd w:id="1268"/>
      <w:bookmarkEnd w:id="1269"/>
      <w:bookmarkEnd w:id="1270"/>
      <w:bookmarkEnd w:id="1271"/>
      <w:bookmarkEnd w:id="1272"/>
    </w:p>
    <w:p w14:paraId="1B32FE30">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274" w:name="_Toc10128"/>
      <w:bookmarkStart w:id="1275" w:name="_Toc9315"/>
      <w:bookmarkStart w:id="1276" w:name="_Toc11677"/>
      <w:bookmarkStart w:id="1277" w:name="_Toc14920"/>
      <w:bookmarkStart w:id="1278" w:name="_Toc389586420"/>
      <w:bookmarkStart w:id="1279" w:name="_Toc27017"/>
      <w:bookmarkStart w:id="1280" w:name="_Toc10363"/>
      <w:r>
        <w:rPr>
          <w:rFonts w:hint="eastAsia" w:ascii="黑体" w:hAnsi="黑体" w:eastAsia="黑体" w:cs="黑体"/>
          <w:b w:val="0"/>
          <w:bCs w:val="0"/>
          <w:color w:val="auto"/>
          <w:sz w:val="24"/>
          <w:szCs w:val="24"/>
          <w:highlight w:val="none"/>
        </w:rPr>
        <w:t>1. 一般约定</w:t>
      </w:r>
      <w:bookmarkEnd w:id="1274"/>
      <w:bookmarkEnd w:id="1275"/>
      <w:bookmarkEnd w:id="1276"/>
      <w:bookmarkEnd w:id="1277"/>
      <w:bookmarkEnd w:id="1278"/>
      <w:bookmarkEnd w:id="1279"/>
      <w:bookmarkEnd w:id="1280"/>
    </w:p>
    <w:p w14:paraId="689395E4">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281" w:name="_Toc869"/>
      <w:bookmarkStart w:id="1282" w:name="_Toc29987"/>
      <w:bookmarkStart w:id="1283" w:name="_Toc17947"/>
      <w:bookmarkStart w:id="1284" w:name="_Toc14773"/>
      <w:bookmarkStart w:id="1285" w:name="_Toc11140"/>
      <w:bookmarkStart w:id="1286" w:name="_Toc3970"/>
      <w:bookmarkStart w:id="1287" w:name="_Toc389586421"/>
      <w:r>
        <w:rPr>
          <w:rFonts w:hint="eastAsia" w:ascii="楷体_GB2312" w:hAnsi="楷体_GB2312" w:eastAsia="楷体_GB2312" w:cs="楷体_GB2312"/>
          <w:b w:val="0"/>
          <w:bCs w:val="0"/>
          <w:color w:val="auto"/>
          <w:sz w:val="24"/>
          <w:szCs w:val="24"/>
          <w:highlight w:val="none"/>
        </w:rPr>
        <w:t>1.1 词语定义与解释</w:t>
      </w:r>
      <w:bookmarkEnd w:id="1281"/>
      <w:bookmarkEnd w:id="1282"/>
      <w:bookmarkEnd w:id="1283"/>
      <w:bookmarkEnd w:id="1284"/>
      <w:bookmarkEnd w:id="1285"/>
      <w:bookmarkEnd w:id="1286"/>
      <w:bookmarkEnd w:id="1287"/>
    </w:p>
    <w:p w14:paraId="71D50C3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 其他分包合同文件包括：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0A007B6A">
      <w:pPr>
        <w:pageBreakBefore w:val="0"/>
        <w:widowControl/>
        <w:kinsoku/>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1.1.2 总包合同是指：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bidi="ar"/>
        </w:rPr>
        <w:t>承包人与本项目发包人签订的承包合同，即增城区开发区下沉式污水处理厂及配套管网工程设计采购施工总承包</w:t>
      </w:r>
      <w:r>
        <w:rPr>
          <w:rFonts w:hint="eastAsia" w:ascii="仿宋_GB2312" w:hAnsi="仿宋_GB2312" w:eastAsia="仿宋_GB2312" w:cs="仿宋_GB2312"/>
          <w:color w:val="auto"/>
          <w:kern w:val="0"/>
          <w:sz w:val="24"/>
          <w:szCs w:val="24"/>
          <w:highlight w:val="none"/>
          <w:u w:val="single"/>
          <w:lang w:val="en-US" w:eastAsia="zh-CN" w:bidi="ar"/>
        </w:rPr>
        <w:t>标段二</w:t>
      </w:r>
      <w:r>
        <w:rPr>
          <w:rFonts w:hint="eastAsia" w:ascii="仿宋_GB2312" w:hAnsi="仿宋_GB2312" w:eastAsia="仿宋_GB2312" w:cs="仿宋_GB2312"/>
          <w:color w:val="auto"/>
          <w:kern w:val="0"/>
          <w:sz w:val="24"/>
          <w:szCs w:val="24"/>
          <w:highlight w:val="none"/>
          <w:u w:val="single"/>
          <w:lang w:bidi="ar"/>
        </w:rPr>
        <w:t>合同</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6F5639B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 作为施工场地组成部分的其他场所包括：</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EF3166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1.1.4分包合同适用的其他规范性文件：</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84723C9">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288" w:name="_Toc389586422"/>
      <w:bookmarkStart w:id="1289" w:name="_Toc23754"/>
      <w:bookmarkStart w:id="1290" w:name="_Toc15176"/>
      <w:bookmarkStart w:id="1291" w:name="_Toc15685"/>
      <w:bookmarkStart w:id="1292" w:name="_Toc13291"/>
      <w:bookmarkStart w:id="1293" w:name="_Toc23484"/>
      <w:bookmarkStart w:id="1294" w:name="_Toc4467"/>
      <w:r>
        <w:rPr>
          <w:rFonts w:hint="eastAsia" w:ascii="楷体_GB2312" w:hAnsi="楷体_GB2312" w:eastAsia="楷体_GB2312" w:cs="楷体_GB2312"/>
          <w:b w:val="0"/>
          <w:bCs w:val="0"/>
          <w:color w:val="auto"/>
          <w:sz w:val="24"/>
          <w:szCs w:val="24"/>
          <w:highlight w:val="none"/>
        </w:rPr>
        <w:t>1.2 标准和规范</w:t>
      </w:r>
      <w:bookmarkEnd w:id="1288"/>
      <w:bookmarkEnd w:id="1289"/>
      <w:bookmarkEnd w:id="1290"/>
      <w:bookmarkEnd w:id="1291"/>
      <w:bookmarkEnd w:id="1292"/>
      <w:bookmarkEnd w:id="1293"/>
      <w:bookmarkEnd w:id="1294"/>
    </w:p>
    <w:p w14:paraId="526D223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 适用于分包工程的标准和规范包括：</w:t>
      </w:r>
      <w:r>
        <w:rPr>
          <w:rFonts w:hint="eastAsia" w:ascii="仿宋_GB2312" w:hAnsi="仿宋_GB2312" w:eastAsia="仿宋_GB2312" w:cs="仿宋_GB2312"/>
          <w:color w:val="auto"/>
          <w:sz w:val="24"/>
          <w:szCs w:val="24"/>
          <w:highlight w:val="none"/>
          <w:u w:val="single"/>
        </w:rPr>
        <w:t xml:space="preserve"> 符合承包人与建设方所约定的工程建设标准以及承包人公司根据本工程特点而确定的施工工艺标准、施工组织设计及专项施工方案/</w:t>
      </w:r>
      <w:r>
        <w:rPr>
          <w:rFonts w:hint="eastAsia" w:ascii="仿宋_GB2312" w:hAnsi="仿宋_GB2312" w:eastAsia="仿宋_GB2312" w:cs="仿宋_GB2312"/>
          <w:color w:val="auto"/>
          <w:sz w:val="24"/>
          <w:szCs w:val="24"/>
          <w:highlight w:val="none"/>
          <w:u w:val="single"/>
          <w:lang w:val="en-US" w:eastAsia="zh-CN"/>
        </w:rPr>
        <w:t>图纸设计要求、当地供电部门验收标准</w:t>
      </w:r>
      <w:r>
        <w:rPr>
          <w:rFonts w:hint="eastAsia" w:ascii="仿宋_GB2312" w:hAnsi="仿宋_GB2312" w:eastAsia="仿宋_GB2312" w:cs="仿宋_GB2312"/>
          <w:color w:val="auto"/>
          <w:sz w:val="24"/>
          <w:szCs w:val="24"/>
          <w:highlight w:val="none"/>
        </w:rPr>
        <w:t>。</w:t>
      </w:r>
    </w:p>
    <w:p w14:paraId="2811B96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 分包人对前述标准和要求的了解程度：</w:t>
      </w:r>
      <w:r>
        <w:rPr>
          <w:rFonts w:hint="eastAsia" w:ascii="仿宋_GB2312" w:hAnsi="仿宋_GB2312" w:eastAsia="仿宋_GB2312" w:cs="仿宋_GB2312"/>
          <w:color w:val="auto"/>
          <w:sz w:val="24"/>
          <w:szCs w:val="24"/>
          <w:highlight w:val="none"/>
          <w:u w:val="single"/>
        </w:rPr>
        <w:t xml:space="preserve"> 分包人已充分并完全了解，本合同价格已综合考虑在内</w:t>
      </w:r>
      <w:r>
        <w:rPr>
          <w:rFonts w:hint="eastAsia" w:ascii="仿宋_GB2312" w:hAnsi="仿宋_GB2312" w:eastAsia="仿宋_GB2312" w:cs="仿宋_GB2312"/>
          <w:color w:val="auto"/>
          <w:sz w:val="24"/>
          <w:szCs w:val="24"/>
          <w:highlight w:val="none"/>
        </w:rPr>
        <w:t>。</w:t>
      </w:r>
    </w:p>
    <w:p w14:paraId="6F7CB94C">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295" w:name="_Toc18532"/>
      <w:bookmarkStart w:id="1296" w:name="_Toc27013"/>
      <w:bookmarkStart w:id="1297" w:name="_Toc24073"/>
      <w:bookmarkStart w:id="1298" w:name="_Toc31395"/>
      <w:bookmarkStart w:id="1299" w:name="_Toc30731"/>
      <w:bookmarkStart w:id="1300" w:name="_Toc22707"/>
      <w:bookmarkStart w:id="1301" w:name="_Toc389586423"/>
      <w:r>
        <w:rPr>
          <w:rFonts w:hint="eastAsia" w:ascii="楷体_GB2312" w:hAnsi="楷体_GB2312" w:eastAsia="楷体_GB2312" w:cs="楷体_GB2312"/>
          <w:b w:val="0"/>
          <w:bCs w:val="0"/>
          <w:color w:val="auto"/>
          <w:sz w:val="24"/>
          <w:szCs w:val="24"/>
          <w:highlight w:val="none"/>
        </w:rPr>
        <w:t>1.3 分包合同文件的优先顺序</w:t>
      </w:r>
      <w:bookmarkEnd w:id="1295"/>
      <w:bookmarkEnd w:id="1296"/>
      <w:bookmarkEnd w:id="1297"/>
      <w:bookmarkEnd w:id="1298"/>
      <w:bookmarkEnd w:id="1299"/>
      <w:bookmarkEnd w:id="1300"/>
      <w:bookmarkEnd w:id="1301"/>
    </w:p>
    <w:p w14:paraId="1894357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解释分包合同文件的优先顺序为：</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D041A0B">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302" w:name="_Toc25904"/>
      <w:bookmarkStart w:id="1303" w:name="_Toc15749"/>
      <w:bookmarkStart w:id="1304" w:name="_Toc11405"/>
      <w:bookmarkStart w:id="1305" w:name="_Toc389586424"/>
      <w:bookmarkStart w:id="1306" w:name="_Toc6600"/>
      <w:bookmarkStart w:id="1307" w:name="_Toc11463"/>
      <w:bookmarkStart w:id="1308" w:name="_Toc7697"/>
      <w:r>
        <w:rPr>
          <w:rFonts w:hint="eastAsia" w:ascii="楷体_GB2312" w:hAnsi="楷体_GB2312" w:eastAsia="楷体_GB2312" w:cs="楷体_GB2312"/>
          <w:b w:val="0"/>
          <w:bCs w:val="0"/>
          <w:color w:val="auto"/>
          <w:sz w:val="24"/>
          <w:szCs w:val="24"/>
          <w:highlight w:val="none"/>
        </w:rPr>
        <w:t>1.4 图纸</w:t>
      </w:r>
      <w:bookmarkEnd w:id="1302"/>
      <w:bookmarkEnd w:id="1303"/>
      <w:bookmarkEnd w:id="1304"/>
      <w:bookmarkEnd w:id="1305"/>
      <w:bookmarkEnd w:id="1306"/>
      <w:bookmarkEnd w:id="1307"/>
      <w:bookmarkEnd w:id="1308"/>
      <w:r>
        <w:rPr>
          <w:rFonts w:hint="eastAsia" w:ascii="仿宋_GB2312" w:hAnsi="仿宋_GB2312" w:eastAsia="仿宋_GB2312" w:cs="仿宋_GB2312"/>
          <w:color w:val="auto"/>
          <w:sz w:val="24"/>
          <w:szCs w:val="24"/>
          <w:highlight w:val="none"/>
        </w:rPr>
        <w:tab/>
      </w:r>
    </w:p>
    <w:p w14:paraId="16C1374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承包人向分包人提供图纸的期限：</w:t>
      </w:r>
      <w:r>
        <w:rPr>
          <w:rFonts w:hint="eastAsia" w:ascii="仿宋_GB2312" w:hAnsi="仿宋_GB2312" w:eastAsia="仿宋_GB2312" w:cs="仿宋_GB2312"/>
          <w:color w:val="auto"/>
          <w:sz w:val="24"/>
          <w:szCs w:val="24"/>
          <w:highlight w:val="none"/>
          <w:u w:val="single"/>
        </w:rPr>
        <w:t xml:space="preserve"> 承包人项目部和分包人根据现场实际情况协商确定，至迟不得晚于实际开工日期前7天   </w:t>
      </w:r>
      <w:r>
        <w:rPr>
          <w:rFonts w:hint="eastAsia" w:ascii="仿宋_GB2312" w:hAnsi="仿宋_GB2312" w:eastAsia="仿宋_GB2312" w:cs="仿宋_GB2312"/>
          <w:color w:val="auto"/>
          <w:sz w:val="24"/>
          <w:szCs w:val="24"/>
          <w:highlight w:val="none"/>
        </w:rPr>
        <w:t>；</w:t>
      </w:r>
    </w:p>
    <w:p w14:paraId="1E22C99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承包人向分包人提供图纸的数量：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1份</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D97074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承包人向分包人提供图纸的内容：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增城区开发区下沉式污水处理厂-新装22500kVA配电工程 施工图纸</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0784444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分包人应在施工场地保存图纸的份数：</w:t>
      </w:r>
      <w:r>
        <w:rPr>
          <w:rFonts w:hint="eastAsia" w:ascii="仿宋_GB2312" w:hAnsi="仿宋_GB2312" w:eastAsia="仿宋_GB2312" w:cs="仿宋_GB2312"/>
          <w:color w:val="auto"/>
          <w:sz w:val="24"/>
          <w:szCs w:val="24"/>
          <w:highlight w:val="none"/>
          <w:u w:val="single"/>
        </w:rPr>
        <w:t xml:space="preserve"> 1套 </w:t>
      </w:r>
      <w:r>
        <w:rPr>
          <w:rFonts w:hint="eastAsia" w:ascii="仿宋_GB2312" w:hAnsi="仿宋_GB2312" w:eastAsia="仿宋_GB2312" w:cs="仿宋_GB2312"/>
          <w:color w:val="auto"/>
          <w:sz w:val="24"/>
          <w:szCs w:val="24"/>
          <w:highlight w:val="none"/>
        </w:rPr>
        <w:t>。</w:t>
      </w:r>
    </w:p>
    <w:p w14:paraId="31401115">
      <w:pPr>
        <w:pStyle w:val="10"/>
        <w:pageBreakBefore w:val="0"/>
        <w:kinsoku/>
        <w:overflowPunct/>
        <w:topLinePunct w:val="0"/>
        <w:bidi w:val="0"/>
        <w:adjustRightInd w:val="0"/>
        <w:snapToGrid w:val="0"/>
        <w:spacing w:line="400" w:lineRule="exact"/>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 复制、重新绘制、翻译、购买各类规范或标准图集等的责任和费用承担：</w:t>
      </w:r>
      <w:r>
        <w:rPr>
          <w:rFonts w:hint="eastAsia" w:ascii="仿宋_GB2312" w:hAnsi="仿宋_GB2312" w:eastAsia="仿宋_GB2312" w:cs="仿宋_GB2312"/>
          <w:color w:val="auto"/>
          <w:sz w:val="24"/>
          <w:szCs w:val="24"/>
          <w:highlight w:val="none"/>
          <w:u w:val="none"/>
        </w:rPr>
        <w:t>由分包人购买并承担费用</w:t>
      </w:r>
      <w:r>
        <w:rPr>
          <w:rFonts w:hint="eastAsia" w:ascii="仿宋_GB2312" w:hAnsi="仿宋_GB2312" w:eastAsia="仿宋_GB2312" w:cs="仿宋_GB2312"/>
          <w:color w:val="auto"/>
          <w:sz w:val="24"/>
          <w:szCs w:val="24"/>
          <w:highlight w:val="none"/>
        </w:rPr>
        <w:t>。</w:t>
      </w:r>
    </w:p>
    <w:p w14:paraId="006B80A5">
      <w:pPr>
        <w:pageBreakBefore w:val="0"/>
        <w:kinsoku/>
        <w:wordWrap w:val="0"/>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1.4.3发包人对图纸的保密要求：</w:t>
      </w:r>
      <w:r>
        <w:rPr>
          <w:rFonts w:hint="eastAsia" w:ascii="仿宋_GB2312" w:hAnsi="仿宋_GB2312" w:eastAsia="仿宋_GB2312" w:cs="仿宋_GB2312"/>
          <w:color w:val="auto"/>
          <w:sz w:val="24"/>
          <w:szCs w:val="24"/>
          <w:highlight w:val="none"/>
          <w:u w:val="single"/>
        </w:rPr>
        <w:t>分包人不得将本工程图纸、资料转让、外借、扩散等，违者将承担相应法律责任</w:t>
      </w:r>
      <w:r>
        <w:rPr>
          <w:rFonts w:hint="eastAsia" w:ascii="仿宋_GB2312" w:hAnsi="仿宋_GB2312" w:eastAsia="仿宋_GB2312" w:cs="仿宋_GB2312"/>
          <w:color w:val="auto"/>
          <w:sz w:val="24"/>
          <w:szCs w:val="24"/>
          <w:highlight w:val="none"/>
        </w:rPr>
        <w:t>。</w:t>
      </w:r>
    </w:p>
    <w:p w14:paraId="4FA011C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1.4.4 深化设计</w:t>
      </w:r>
    </w:p>
    <w:p w14:paraId="2A438A2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承包人委托分包人进行深化设计的范围及费用承担：</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配合设计单位深化出图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18A1EA5">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09" w:name="_Toc21876"/>
      <w:bookmarkStart w:id="1310" w:name="_Toc29257"/>
      <w:bookmarkStart w:id="1311" w:name="_Toc22301"/>
      <w:bookmarkStart w:id="1312" w:name="_Toc29883"/>
      <w:bookmarkStart w:id="1313" w:name="_Toc389586425"/>
      <w:bookmarkStart w:id="1314" w:name="_Toc1374"/>
      <w:bookmarkStart w:id="1315" w:name="_Toc6667"/>
      <w:r>
        <w:rPr>
          <w:rFonts w:hint="eastAsia" w:ascii="楷体_GB2312" w:hAnsi="楷体_GB2312" w:eastAsia="楷体_GB2312" w:cs="楷体_GB2312"/>
          <w:b w:val="0"/>
          <w:bCs w:val="0"/>
          <w:color w:val="auto"/>
          <w:sz w:val="24"/>
          <w:szCs w:val="24"/>
          <w:highlight w:val="none"/>
        </w:rPr>
        <w:t>1.5 联络</w:t>
      </w:r>
      <w:bookmarkEnd w:id="1309"/>
      <w:bookmarkEnd w:id="1310"/>
      <w:bookmarkEnd w:id="1311"/>
      <w:bookmarkEnd w:id="1312"/>
      <w:bookmarkEnd w:id="1313"/>
      <w:bookmarkEnd w:id="1314"/>
      <w:bookmarkEnd w:id="1315"/>
    </w:p>
    <w:p w14:paraId="71C6AD1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承包人接收文件的地点：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广东省源天工程有限公司电力公司</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26D4C7A">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承包人指定的接收人：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荣燕华（15978278677）</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3E7742D1">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分包人接收文件的地点：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654FAE7">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分包人指定的接收人：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56D4D3A">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16" w:name="_Toc389586426"/>
      <w:bookmarkStart w:id="1317" w:name="_Toc7159"/>
      <w:bookmarkStart w:id="1318" w:name="_Toc19550"/>
      <w:bookmarkStart w:id="1319" w:name="_Toc20019"/>
      <w:bookmarkStart w:id="1320" w:name="_Toc30398"/>
      <w:bookmarkStart w:id="1321" w:name="_Toc26862"/>
      <w:bookmarkStart w:id="1322" w:name="_Toc10762"/>
      <w:r>
        <w:rPr>
          <w:rFonts w:hint="eastAsia" w:ascii="楷体_GB2312" w:hAnsi="楷体_GB2312" w:eastAsia="楷体_GB2312" w:cs="楷体_GB2312"/>
          <w:b w:val="0"/>
          <w:bCs w:val="0"/>
          <w:color w:val="auto"/>
          <w:sz w:val="24"/>
          <w:szCs w:val="24"/>
          <w:highlight w:val="none"/>
        </w:rPr>
        <w:t>1.6 知识产权</w:t>
      </w:r>
      <w:bookmarkEnd w:id="1316"/>
      <w:bookmarkEnd w:id="1317"/>
      <w:bookmarkEnd w:id="1318"/>
      <w:bookmarkEnd w:id="1319"/>
      <w:bookmarkEnd w:id="1320"/>
      <w:bookmarkEnd w:id="1321"/>
      <w:bookmarkEnd w:id="1322"/>
    </w:p>
    <w:p w14:paraId="16556B0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分包人在合同签订前和签订时已确定采用的专利、专有技术、技术秘密的使用费：</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73754A5B">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黑体" w:hAnsi="黑体" w:eastAsia="黑体" w:cs="黑体"/>
          <w:b w:val="0"/>
          <w:bCs w:val="0"/>
          <w:color w:val="auto"/>
          <w:sz w:val="24"/>
          <w:szCs w:val="24"/>
          <w:highlight w:val="none"/>
        </w:rPr>
      </w:pPr>
      <w:bookmarkStart w:id="1323" w:name="_Toc8385"/>
      <w:bookmarkStart w:id="1324" w:name="_Toc16090"/>
      <w:bookmarkStart w:id="1325" w:name="_Toc32289"/>
      <w:bookmarkStart w:id="1326" w:name="_Toc8686"/>
      <w:bookmarkStart w:id="1327" w:name="_Toc389586427"/>
      <w:bookmarkStart w:id="1328" w:name="_Toc14148"/>
      <w:bookmarkStart w:id="1329" w:name="_Toc30323"/>
      <w:r>
        <w:rPr>
          <w:rFonts w:hint="eastAsia" w:ascii="黑体" w:hAnsi="黑体" w:eastAsia="黑体" w:cs="黑体"/>
          <w:b w:val="0"/>
          <w:bCs w:val="0"/>
          <w:color w:val="auto"/>
          <w:sz w:val="24"/>
          <w:szCs w:val="24"/>
          <w:highlight w:val="none"/>
        </w:rPr>
        <w:t>2. 承包人</w:t>
      </w:r>
      <w:bookmarkEnd w:id="1323"/>
      <w:bookmarkEnd w:id="1324"/>
      <w:bookmarkEnd w:id="1325"/>
      <w:bookmarkEnd w:id="1326"/>
      <w:bookmarkEnd w:id="1327"/>
      <w:bookmarkEnd w:id="1328"/>
      <w:bookmarkEnd w:id="1329"/>
    </w:p>
    <w:p w14:paraId="2159A80D">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30" w:name="_Toc12886"/>
      <w:bookmarkStart w:id="1331" w:name="_Toc31639"/>
      <w:bookmarkStart w:id="1332" w:name="_Toc20888"/>
      <w:bookmarkStart w:id="1333" w:name="_Toc389586428"/>
      <w:bookmarkStart w:id="1334" w:name="_Toc24739"/>
      <w:bookmarkStart w:id="1335" w:name="_Toc1961"/>
      <w:bookmarkStart w:id="1336" w:name="_Toc8546"/>
      <w:r>
        <w:rPr>
          <w:rFonts w:hint="eastAsia" w:ascii="楷体_GB2312" w:hAnsi="楷体_GB2312" w:eastAsia="楷体_GB2312" w:cs="楷体_GB2312"/>
          <w:b w:val="0"/>
          <w:bCs w:val="0"/>
          <w:color w:val="auto"/>
          <w:sz w:val="24"/>
          <w:szCs w:val="24"/>
          <w:highlight w:val="none"/>
        </w:rPr>
        <w:t>2.1 提供基础资料、施工条件</w:t>
      </w:r>
      <w:bookmarkEnd w:id="1330"/>
      <w:bookmarkEnd w:id="1331"/>
      <w:bookmarkEnd w:id="1332"/>
      <w:bookmarkEnd w:id="1333"/>
      <w:bookmarkEnd w:id="1334"/>
      <w:bookmarkEnd w:id="1335"/>
      <w:bookmarkEnd w:id="1336"/>
    </w:p>
    <w:p w14:paraId="7E48BB3F">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 承包人移交施工场地的期限：</w:t>
      </w:r>
      <w:r>
        <w:rPr>
          <w:rFonts w:hint="eastAsia" w:ascii="仿宋_GB2312" w:hAnsi="仿宋_GB2312" w:eastAsia="仿宋_GB2312" w:cs="仿宋_GB2312"/>
          <w:color w:val="auto"/>
          <w:sz w:val="24"/>
          <w:szCs w:val="24"/>
          <w:highlight w:val="none"/>
          <w:u w:val="single"/>
        </w:rPr>
        <w:t>开工前</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u w:val="single"/>
        </w:rPr>
        <w:t>天，</w:t>
      </w:r>
      <w:r>
        <w:rPr>
          <w:rFonts w:hint="eastAsia" w:ascii="仿宋_GB2312" w:hAnsi="仿宋_GB2312" w:eastAsia="仿宋_GB2312" w:cs="仿宋_GB2312"/>
          <w:color w:val="auto"/>
          <w:kern w:val="0"/>
          <w:sz w:val="24"/>
          <w:szCs w:val="24"/>
          <w:highlight w:val="none"/>
          <w:u w:val="single"/>
        </w:rPr>
        <w:t>最迟于实际开工日期3天前</w:t>
      </w:r>
      <w:r>
        <w:rPr>
          <w:rFonts w:hint="eastAsia" w:ascii="仿宋_GB2312" w:hAnsi="仿宋_GB2312" w:eastAsia="仿宋_GB2312" w:cs="仿宋_GB2312"/>
          <w:color w:val="auto"/>
          <w:sz w:val="24"/>
          <w:szCs w:val="24"/>
          <w:highlight w:val="none"/>
        </w:rPr>
        <w:t>。</w:t>
      </w:r>
    </w:p>
    <w:p w14:paraId="1C9C208E">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 承包人负责提供的其他设施和条件：</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9AA7E36">
      <w:pPr>
        <w:pStyle w:val="10"/>
        <w:pageBreakBefore w:val="0"/>
        <w:widowControl w:val="0"/>
        <w:kinsoku/>
        <w:overflowPunct/>
        <w:topLinePunct w:val="0"/>
        <w:autoSpaceDE/>
        <w:autoSpaceDN/>
        <w:bidi w:val="0"/>
        <w:adjustRightInd w:val="0"/>
        <w:snapToGrid w:val="0"/>
        <w:spacing w:line="390" w:lineRule="exact"/>
        <w:textAlignment w:val="auto"/>
        <w:rPr>
          <w:rFonts w:hint="eastAsia" w:ascii="仿宋_GB2312" w:hAnsi="仿宋_GB2312" w:eastAsia="仿宋_GB2312" w:cs="仿宋_GB2312"/>
          <w:color w:val="auto"/>
          <w:sz w:val="24"/>
          <w:szCs w:val="24"/>
          <w:highlight w:val="none"/>
        </w:rPr>
      </w:pPr>
    </w:p>
    <w:p w14:paraId="49069136">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337" w:name="_Toc29814"/>
      <w:bookmarkStart w:id="1338" w:name="_Toc9809"/>
      <w:bookmarkStart w:id="1339" w:name="_Toc389586429"/>
      <w:bookmarkStart w:id="1340" w:name="_Toc19906"/>
      <w:bookmarkStart w:id="1341" w:name="_Toc30720"/>
      <w:bookmarkStart w:id="1342" w:name="_Toc9895"/>
      <w:bookmarkStart w:id="1343" w:name="_Toc12583"/>
      <w:r>
        <w:rPr>
          <w:rFonts w:hint="eastAsia" w:ascii="楷体_GB2312" w:hAnsi="楷体_GB2312" w:eastAsia="楷体_GB2312" w:cs="楷体_GB2312"/>
          <w:b w:val="0"/>
          <w:bCs w:val="0"/>
          <w:color w:val="auto"/>
          <w:sz w:val="24"/>
          <w:szCs w:val="24"/>
          <w:highlight w:val="none"/>
        </w:rPr>
        <w:t>2.2 承包人项目经理</w:t>
      </w:r>
      <w:bookmarkEnd w:id="1337"/>
      <w:bookmarkEnd w:id="1338"/>
      <w:bookmarkEnd w:id="1339"/>
      <w:bookmarkEnd w:id="1340"/>
      <w:bookmarkEnd w:id="1341"/>
      <w:bookmarkEnd w:id="1342"/>
      <w:bookmarkEnd w:id="1343"/>
    </w:p>
    <w:p w14:paraId="211F1D0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FA3A93B">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    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6F68ADA">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89E9962">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建造师执业资格等级：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FA41463">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建造师注册证书号：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0F233D6">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A22D1D6">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电子信箱：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A44345A">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通信地址：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F68C1F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承包人对项目经理的授权范围：</w:t>
      </w:r>
      <w:r>
        <w:rPr>
          <w:rFonts w:hint="eastAsia" w:ascii="仿宋_GB2312" w:hAnsi="仿宋_GB2312" w:eastAsia="仿宋_GB2312" w:cs="仿宋_GB2312"/>
          <w:color w:val="auto"/>
          <w:sz w:val="24"/>
          <w:szCs w:val="24"/>
          <w:highlight w:val="none"/>
          <w:u w:val="single"/>
        </w:rPr>
        <w:t xml:space="preserve"> 对分包方的施工技术、施工质量、安全生产、施工进度、综合治理、文明施工、工程保修等进行全过程的指导、检查、督促和控制管理，有权就前述工作进行检查、监督并发出直接的指令 </w:t>
      </w:r>
      <w:r>
        <w:rPr>
          <w:rFonts w:hint="eastAsia" w:ascii="仿宋_GB2312" w:hAnsi="仿宋_GB2312" w:eastAsia="仿宋_GB2312" w:cs="仿宋_GB2312"/>
          <w:color w:val="auto"/>
          <w:sz w:val="24"/>
          <w:szCs w:val="24"/>
          <w:highlight w:val="none"/>
        </w:rPr>
        <w:t>。</w:t>
      </w:r>
    </w:p>
    <w:p w14:paraId="67B08A28">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44" w:name="_Toc15006"/>
      <w:bookmarkStart w:id="1345" w:name="_Toc24262"/>
      <w:bookmarkStart w:id="1346" w:name="_Toc389586430"/>
      <w:bookmarkStart w:id="1347" w:name="_Toc12879"/>
      <w:bookmarkStart w:id="1348" w:name="_Toc19756"/>
      <w:bookmarkStart w:id="1349" w:name="_Toc2321"/>
      <w:bookmarkStart w:id="1350" w:name="_Toc1867"/>
      <w:r>
        <w:rPr>
          <w:rFonts w:hint="eastAsia" w:ascii="黑体" w:hAnsi="黑体" w:eastAsia="黑体" w:cs="黑体"/>
          <w:b w:val="0"/>
          <w:bCs w:val="0"/>
          <w:color w:val="auto"/>
          <w:sz w:val="24"/>
          <w:szCs w:val="24"/>
          <w:highlight w:val="none"/>
        </w:rPr>
        <w:t>3. 分包人</w:t>
      </w:r>
      <w:bookmarkEnd w:id="1344"/>
      <w:bookmarkEnd w:id="1345"/>
      <w:bookmarkEnd w:id="1346"/>
      <w:bookmarkEnd w:id="1347"/>
      <w:bookmarkEnd w:id="1348"/>
      <w:bookmarkEnd w:id="1349"/>
      <w:bookmarkEnd w:id="1350"/>
    </w:p>
    <w:p w14:paraId="56527B02">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51" w:name="_Toc389586431"/>
      <w:bookmarkStart w:id="1352" w:name="_Toc6061"/>
      <w:bookmarkStart w:id="1353" w:name="_Toc1753"/>
      <w:bookmarkStart w:id="1354" w:name="_Toc5843"/>
      <w:bookmarkStart w:id="1355" w:name="_Toc24194"/>
      <w:bookmarkStart w:id="1356" w:name="_Toc4911"/>
      <w:bookmarkStart w:id="1357" w:name="_Toc25141"/>
      <w:r>
        <w:rPr>
          <w:rFonts w:hint="eastAsia" w:ascii="楷体_GB2312" w:hAnsi="楷体_GB2312" w:eastAsia="楷体_GB2312" w:cs="楷体_GB2312"/>
          <w:b w:val="0"/>
          <w:bCs w:val="0"/>
          <w:color w:val="auto"/>
          <w:sz w:val="24"/>
          <w:szCs w:val="24"/>
          <w:highlight w:val="none"/>
        </w:rPr>
        <w:t>3.1 分包人的一般义务</w:t>
      </w:r>
      <w:bookmarkEnd w:id="1351"/>
      <w:bookmarkEnd w:id="1352"/>
      <w:bookmarkEnd w:id="1353"/>
      <w:bookmarkEnd w:id="1354"/>
      <w:bookmarkEnd w:id="1355"/>
      <w:bookmarkEnd w:id="1356"/>
      <w:bookmarkEnd w:id="1357"/>
      <w:r>
        <w:rPr>
          <w:rFonts w:hint="eastAsia" w:ascii="楷体_GB2312" w:hAnsi="楷体_GB2312" w:eastAsia="楷体_GB2312" w:cs="楷体_GB2312"/>
          <w:b w:val="0"/>
          <w:bCs w:val="0"/>
          <w:color w:val="auto"/>
          <w:sz w:val="24"/>
          <w:szCs w:val="24"/>
          <w:highlight w:val="none"/>
        </w:rPr>
        <w:t>（具体内容仅供参考，请据实选择、修改、填写）</w:t>
      </w:r>
    </w:p>
    <w:p w14:paraId="78E0770E">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 由分包人</w:t>
      </w:r>
      <w:r>
        <w:rPr>
          <w:rFonts w:hint="eastAsia" w:ascii="仿宋_GB2312" w:hAnsi="仿宋_GB2312" w:eastAsia="仿宋_GB2312" w:cs="仿宋_GB2312"/>
          <w:color w:val="auto"/>
          <w:kern w:val="0"/>
          <w:sz w:val="24"/>
          <w:szCs w:val="24"/>
          <w:highlight w:val="none"/>
        </w:rPr>
        <w:t>办理的许可和批准手续包括</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539C2107">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3.1.2 分包人向承包人提交总控、年度、季度、月度、周工程进度计划及相应的进度统计报表时间为：承包人的项目部和分包人根据现场实际情况协商确定。</w:t>
      </w:r>
    </w:p>
    <w:p w14:paraId="77E80F5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3.1.3 向承包人提交施工组织设计的时间：</w:t>
      </w:r>
      <w:r>
        <w:rPr>
          <w:rFonts w:hint="eastAsia" w:ascii="仿宋_GB2312" w:hAnsi="仿宋_GB2312" w:eastAsia="仿宋_GB2312" w:cs="仿宋_GB2312"/>
          <w:color w:val="auto"/>
          <w:sz w:val="24"/>
          <w:szCs w:val="24"/>
          <w:highlight w:val="none"/>
          <w:u w:val="single"/>
        </w:rPr>
        <w:t>分包人进场后5天内</w:t>
      </w:r>
      <w:r>
        <w:rPr>
          <w:rFonts w:hint="eastAsia" w:ascii="仿宋_GB2312" w:hAnsi="仿宋_GB2312" w:eastAsia="仿宋_GB2312" w:cs="仿宋_GB2312"/>
          <w:color w:val="auto"/>
          <w:sz w:val="24"/>
          <w:szCs w:val="24"/>
          <w:highlight w:val="none"/>
        </w:rPr>
        <w:t>。</w:t>
      </w:r>
    </w:p>
    <w:p w14:paraId="6C43298C">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3.1.4 已完工程成品保护的特殊要求及费用承担：</w:t>
      </w:r>
      <w:r>
        <w:rPr>
          <w:rFonts w:hint="eastAsia" w:ascii="仿宋_GB2312" w:hAnsi="仿宋_GB2312" w:eastAsia="仿宋_GB2312" w:cs="仿宋_GB2312"/>
          <w:color w:val="auto"/>
          <w:sz w:val="24"/>
          <w:szCs w:val="24"/>
          <w:highlight w:val="none"/>
          <w:u w:val="single"/>
        </w:rPr>
        <w:t>分包工程移交前由分包人承担，</w:t>
      </w:r>
      <w:r>
        <w:rPr>
          <w:rFonts w:hint="eastAsia" w:ascii="仿宋_GB2312" w:hAnsi="仿宋_GB2312" w:eastAsia="仿宋_GB2312" w:cs="仿宋_GB2312"/>
          <w:color w:val="auto"/>
          <w:sz w:val="24"/>
          <w:szCs w:val="24"/>
          <w:highlight w:val="none"/>
        </w:rPr>
        <w:t>分包工程移交后由承包人承担。</w:t>
      </w:r>
    </w:p>
    <w:p w14:paraId="5BC741D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3.1.5 严格按施工设计图纸施工，保证工程质量及施工安全。在施工过程中，分包人须派有关技术人员参加与相关会议，并配合承包人、发包人推进工程顺利进行。</w:t>
      </w:r>
    </w:p>
    <w:p w14:paraId="35E0FE94">
      <w:pPr>
        <w:pageBreakBefore w:val="0"/>
        <w:kinsoku/>
        <w:wordWrap w:val="0"/>
        <w:overflowPunct/>
        <w:topLinePunct w:val="0"/>
        <w:bidi w:val="0"/>
        <w:adjustRightInd w:val="0"/>
        <w:snapToGrid w:val="0"/>
        <w:spacing w:line="400" w:lineRule="exact"/>
        <w:ind w:firstLine="456" w:firstLineChars="200"/>
        <w:jc w:val="left"/>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3.1.6 施工中因分包人责任造成的停工、返工、材料、器材损失等均由分包人承担。</w:t>
      </w:r>
    </w:p>
    <w:p w14:paraId="5DB70B5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3.1.7 加强劳务人员安全教育，认真执行安全技术规范，严格遵守安全制度，落实安全措施，确保施工安全；严格执行建设主管部门及环保、消防、环卫等有关部门对施工现场的管理规定，做到安全与文明施工。</w:t>
      </w:r>
    </w:p>
    <w:p w14:paraId="65FF2C1C">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3.1.8 </w:t>
      </w:r>
      <w:r>
        <w:rPr>
          <w:rFonts w:hint="eastAsia" w:ascii="仿宋_GB2312" w:hAnsi="仿宋_GB2312" w:eastAsia="仿宋_GB2312" w:cs="仿宋_GB2312"/>
          <w:color w:val="auto"/>
          <w:sz w:val="24"/>
          <w:szCs w:val="24"/>
          <w:highlight w:val="none"/>
          <w:lang w:val="zh-CN"/>
        </w:rPr>
        <w:t>自觉接受</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及有关部门的管理、监督和检查；接受</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随时检查其操作人员的持证上岗情况；与现场其他单位协调配合，顾全大局；服从</w:t>
      </w: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sz w:val="24"/>
          <w:szCs w:val="24"/>
          <w:highlight w:val="none"/>
          <w:lang w:val="zh-CN"/>
        </w:rPr>
        <w:t>指令</w:t>
      </w:r>
      <w:r>
        <w:rPr>
          <w:rFonts w:hint="eastAsia" w:ascii="仿宋_GB2312" w:hAnsi="仿宋_GB2312" w:eastAsia="仿宋_GB2312" w:cs="仿宋_GB2312"/>
          <w:color w:val="auto"/>
          <w:sz w:val="24"/>
          <w:szCs w:val="24"/>
          <w:highlight w:val="none"/>
        </w:rPr>
        <w:t>；</w:t>
      </w:r>
    </w:p>
    <w:p w14:paraId="6A03168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 xml:space="preserve">3.1.9 </w:t>
      </w:r>
      <w:r>
        <w:rPr>
          <w:rFonts w:hint="eastAsia" w:ascii="仿宋_GB2312" w:hAnsi="仿宋_GB2312" w:eastAsia="仿宋_GB2312" w:cs="仿宋_GB2312"/>
          <w:color w:val="auto"/>
          <w:sz w:val="24"/>
          <w:szCs w:val="24"/>
          <w:highlight w:val="none"/>
          <w:lang w:val="zh-CN"/>
        </w:rPr>
        <w:t>做好施工场地周围建筑物、构筑物和地下管线</w:t>
      </w:r>
      <w:r>
        <w:rPr>
          <w:rFonts w:hint="eastAsia" w:ascii="仿宋_GB2312" w:hAnsi="仿宋_GB2312" w:eastAsia="仿宋_GB2312" w:cs="仿宋_GB2312"/>
          <w:color w:val="auto"/>
          <w:sz w:val="24"/>
          <w:szCs w:val="24"/>
          <w:highlight w:val="none"/>
        </w:rPr>
        <w:t>等的</w:t>
      </w:r>
      <w:r>
        <w:rPr>
          <w:rFonts w:hint="eastAsia" w:ascii="仿宋_GB2312" w:hAnsi="仿宋_GB2312" w:eastAsia="仿宋_GB2312" w:cs="仿宋_GB2312"/>
          <w:color w:val="auto"/>
          <w:sz w:val="24"/>
          <w:szCs w:val="24"/>
          <w:highlight w:val="none"/>
          <w:lang w:val="zh-CN"/>
        </w:rPr>
        <w:t>保护工作；因</w:t>
      </w:r>
      <w:r>
        <w:rPr>
          <w:rFonts w:hint="eastAsia" w:ascii="仿宋_GB2312" w:hAnsi="仿宋_GB2312" w:eastAsia="仿宋_GB2312" w:cs="仿宋_GB2312"/>
          <w:color w:val="auto"/>
          <w:sz w:val="24"/>
          <w:szCs w:val="24"/>
          <w:highlight w:val="none"/>
        </w:rPr>
        <w:t>分包人</w:t>
      </w:r>
      <w:r>
        <w:rPr>
          <w:rFonts w:hint="eastAsia" w:ascii="仿宋_GB2312" w:hAnsi="仿宋_GB2312" w:eastAsia="仿宋_GB2312" w:cs="仿宋_GB2312"/>
          <w:color w:val="auto"/>
          <w:sz w:val="24"/>
          <w:szCs w:val="24"/>
          <w:highlight w:val="none"/>
          <w:lang w:val="zh-CN"/>
        </w:rPr>
        <w:t>责任发生损坏</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rPr>
        <w:t>由分包人</w:t>
      </w:r>
      <w:r>
        <w:rPr>
          <w:rFonts w:hint="eastAsia" w:ascii="仿宋_GB2312" w:hAnsi="仿宋_GB2312" w:eastAsia="仿宋_GB2312" w:cs="仿宋_GB2312"/>
          <w:color w:val="auto"/>
          <w:sz w:val="24"/>
          <w:szCs w:val="24"/>
          <w:highlight w:val="none"/>
          <w:lang w:val="zh-CN"/>
        </w:rPr>
        <w:t>承担</w:t>
      </w:r>
      <w:r>
        <w:rPr>
          <w:rFonts w:hint="eastAsia" w:ascii="仿宋_GB2312" w:hAnsi="仿宋_GB2312" w:eastAsia="仿宋_GB2312" w:cs="仿宋_GB2312"/>
          <w:color w:val="auto"/>
          <w:sz w:val="24"/>
          <w:szCs w:val="24"/>
          <w:highlight w:val="none"/>
        </w:rPr>
        <w:t>相关</w:t>
      </w:r>
      <w:r>
        <w:rPr>
          <w:rFonts w:hint="eastAsia" w:ascii="仿宋_GB2312" w:hAnsi="仿宋_GB2312" w:eastAsia="仿宋_GB2312" w:cs="仿宋_GB2312"/>
          <w:color w:val="auto"/>
          <w:sz w:val="24"/>
          <w:szCs w:val="24"/>
          <w:highlight w:val="none"/>
          <w:lang w:val="zh-CN"/>
        </w:rPr>
        <w:t>经济损失及罚款</w:t>
      </w:r>
      <w:r>
        <w:rPr>
          <w:rFonts w:hint="eastAsia" w:ascii="仿宋_GB2312" w:hAnsi="仿宋_GB2312" w:eastAsia="仿宋_GB2312" w:cs="仿宋_GB2312"/>
          <w:color w:val="auto"/>
          <w:sz w:val="24"/>
          <w:szCs w:val="24"/>
          <w:highlight w:val="none"/>
        </w:rPr>
        <w:t>的责任</w:t>
      </w:r>
      <w:r>
        <w:rPr>
          <w:rFonts w:hint="eastAsia" w:ascii="仿宋_GB2312" w:hAnsi="仿宋_GB2312" w:eastAsia="仿宋_GB2312" w:cs="仿宋_GB2312"/>
          <w:color w:val="auto"/>
          <w:sz w:val="24"/>
          <w:szCs w:val="24"/>
          <w:highlight w:val="none"/>
          <w:lang w:val="zh-CN"/>
        </w:rPr>
        <w:t>；</w:t>
      </w:r>
    </w:p>
    <w:p w14:paraId="450BBC3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rPr>
        <w:t>3.1.10 为确保工程质量，分包人应协助承包人及时将建筑材料、试块等按规定送到有关检验部门检验</w:t>
      </w:r>
      <w:r>
        <w:rPr>
          <w:rFonts w:hint="eastAsia" w:ascii="仿宋_GB2312" w:hAnsi="仿宋_GB2312" w:eastAsia="仿宋_GB2312" w:cs="仿宋_GB2312"/>
          <w:color w:val="auto"/>
          <w:sz w:val="24"/>
          <w:szCs w:val="24"/>
          <w:highlight w:val="none"/>
          <w:lang w:val="zh-CN"/>
        </w:rPr>
        <w:t>。</w:t>
      </w:r>
    </w:p>
    <w:p w14:paraId="43748B1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3.1.11 分包人委派的现场管理代表须依时参加承包人召开的每天碰头会和每周例会，不得缺席，而且要严格执行会议纪要。分包人施工负责人必须驻场，随时服从承包人的指挥。每周依时参加承包人例会，否则，承包人有权按</w:t>
      </w:r>
      <w:r>
        <w:rPr>
          <w:rFonts w:hint="eastAsia" w:ascii="仿宋_GB2312" w:hAnsi="仿宋_GB2312" w:eastAsia="仿宋_GB2312" w:cs="仿宋_GB2312"/>
          <w:color w:val="auto"/>
          <w:sz w:val="24"/>
          <w:szCs w:val="24"/>
          <w:highlight w:val="none"/>
          <w:u w:val="single"/>
        </w:rPr>
        <w:t>1000元/次</w:t>
      </w:r>
      <w:r>
        <w:rPr>
          <w:rFonts w:hint="eastAsia" w:ascii="仿宋_GB2312" w:hAnsi="仿宋_GB2312" w:eastAsia="仿宋_GB2312" w:cs="仿宋_GB2312"/>
          <w:color w:val="auto"/>
          <w:sz w:val="24"/>
          <w:szCs w:val="24"/>
          <w:highlight w:val="none"/>
        </w:rPr>
        <w:t>处罚</w:t>
      </w:r>
      <w:r>
        <w:rPr>
          <w:rFonts w:hint="eastAsia" w:ascii="仿宋_GB2312" w:hAnsi="仿宋_GB2312" w:eastAsia="仿宋_GB2312" w:cs="仿宋_GB2312"/>
          <w:color w:val="auto"/>
          <w:sz w:val="24"/>
          <w:szCs w:val="24"/>
          <w:highlight w:val="none"/>
          <w:lang w:val="zh-CN"/>
        </w:rPr>
        <w:t>。</w:t>
      </w:r>
    </w:p>
    <w:p w14:paraId="1712565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3.1.12 对竣工验收后发现因分包人原因造成的施工质量问题由分包人负责免费返工，并承担由此产生的一切经济和法律责任。</w:t>
      </w:r>
    </w:p>
    <w:p w14:paraId="0311891C">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3.1.13 工程竣工后的场地清理（包括施工设备、临时的生产及生活设施拆除），并将堆积物、地面清扫干净，清理退场，施工单位人员必须在</w:t>
      </w:r>
      <w:r>
        <w:rPr>
          <w:rFonts w:hint="eastAsia" w:ascii="仿宋_GB2312" w:hAnsi="仿宋_GB2312" w:eastAsia="仿宋_GB2312" w:cs="仿宋_GB2312"/>
          <w:color w:val="auto"/>
          <w:sz w:val="24"/>
          <w:szCs w:val="24"/>
          <w:highlight w:val="none"/>
          <w:u w:val="single"/>
        </w:rPr>
        <w:t xml:space="preserve"> 3 </w:t>
      </w:r>
      <w:r>
        <w:rPr>
          <w:rFonts w:hint="eastAsia" w:ascii="仿宋_GB2312" w:hAnsi="仿宋_GB2312" w:eastAsia="仿宋_GB2312" w:cs="仿宋_GB2312"/>
          <w:color w:val="auto"/>
          <w:sz w:val="24"/>
          <w:szCs w:val="24"/>
          <w:highlight w:val="none"/>
        </w:rPr>
        <w:t>天内撤离施工现场。</w:t>
      </w:r>
    </w:p>
    <w:p w14:paraId="2757420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3.1.14 加强现场管理，服从承包人的统一指挥，维护承包人的声誉。</w:t>
      </w:r>
    </w:p>
    <w:p w14:paraId="58D182A1">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358" w:name="_Toc28529"/>
      <w:bookmarkStart w:id="1359" w:name="_Toc13563"/>
      <w:bookmarkStart w:id="1360" w:name="_Toc2534"/>
      <w:bookmarkStart w:id="1361" w:name="_Toc23926"/>
      <w:bookmarkStart w:id="1362" w:name="_Toc31252"/>
      <w:bookmarkStart w:id="1363" w:name="_Toc389586432"/>
      <w:bookmarkStart w:id="1364" w:name="_Toc16991"/>
      <w:r>
        <w:rPr>
          <w:rFonts w:hint="eastAsia" w:ascii="楷体_GB2312" w:hAnsi="楷体_GB2312" w:eastAsia="楷体_GB2312" w:cs="楷体_GB2312"/>
          <w:b w:val="0"/>
          <w:bCs w:val="0"/>
          <w:color w:val="auto"/>
          <w:sz w:val="24"/>
          <w:szCs w:val="24"/>
          <w:highlight w:val="none"/>
        </w:rPr>
        <w:t>3.2 分包人项目经理和其他主要项目管理人员</w:t>
      </w:r>
      <w:bookmarkEnd w:id="1358"/>
      <w:bookmarkEnd w:id="1359"/>
      <w:bookmarkEnd w:id="1360"/>
      <w:bookmarkEnd w:id="1361"/>
      <w:bookmarkEnd w:id="1362"/>
      <w:bookmarkEnd w:id="1363"/>
      <w:bookmarkEnd w:id="1364"/>
    </w:p>
    <w:p w14:paraId="64ECE33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.1 分包人提交项目管理机构及施工人员安排报告的期限：</w:t>
      </w:r>
      <w:r>
        <w:rPr>
          <w:rFonts w:hint="eastAsia" w:ascii="仿宋_GB2312" w:hAnsi="仿宋_GB2312" w:eastAsia="仿宋_GB2312" w:cs="仿宋_GB2312"/>
          <w:color w:val="auto"/>
          <w:kern w:val="0"/>
          <w:sz w:val="24"/>
          <w:szCs w:val="24"/>
          <w:highlight w:val="none"/>
          <w:u w:val="single"/>
        </w:rPr>
        <w:t>开工之日前7天内</w:t>
      </w:r>
      <w:r>
        <w:rPr>
          <w:rFonts w:hint="eastAsia" w:ascii="仿宋_GB2312" w:hAnsi="仿宋_GB2312" w:eastAsia="仿宋_GB2312" w:cs="仿宋_GB2312"/>
          <w:color w:val="auto"/>
          <w:sz w:val="24"/>
          <w:szCs w:val="24"/>
          <w:highlight w:val="none"/>
        </w:rPr>
        <w:t>。</w:t>
      </w:r>
    </w:p>
    <w:p w14:paraId="40E7ED3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分包人项目经理信息：</w:t>
      </w:r>
    </w:p>
    <w:p w14:paraId="389F33A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75CCBB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职    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5B71F5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身份证号：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7679B4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建造师执业资格等级：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06F12F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建造师注册证书号：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9A9B19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9F548F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电子信箱：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DA09CD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通信地址：</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0B845C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分包人对分包人项目经理的授权范围：</w:t>
      </w:r>
      <w:r>
        <w:rPr>
          <w:rFonts w:hint="eastAsia" w:ascii="仿宋_GB2312" w:hAnsi="仿宋_GB2312" w:eastAsia="仿宋_GB2312" w:cs="仿宋_GB2312"/>
          <w:color w:val="auto"/>
          <w:sz w:val="24"/>
          <w:szCs w:val="24"/>
          <w:highlight w:val="none"/>
          <w:u w:val="single"/>
        </w:rPr>
        <w:t xml:space="preserve">   按照分包人的各项规定和本合同的约定，作为分包人现场管理代表，负责监督工程进度、质量、安全生产、文明施工、签证、结算等相关事宜 </w:t>
      </w:r>
      <w:r>
        <w:rPr>
          <w:rFonts w:hint="eastAsia" w:ascii="仿宋_GB2312" w:hAnsi="仿宋_GB2312" w:eastAsia="仿宋_GB2312" w:cs="仿宋_GB2312"/>
          <w:color w:val="auto"/>
          <w:sz w:val="24"/>
          <w:szCs w:val="24"/>
          <w:highlight w:val="none"/>
        </w:rPr>
        <w:t>。</w:t>
      </w:r>
    </w:p>
    <w:p w14:paraId="1846F8D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3.2.2 分包人项目经理是否可以兼任其他项目的项目经理：</w:t>
      </w:r>
      <w:r>
        <w:rPr>
          <w:rFonts w:hint="eastAsia" w:ascii="仿宋_GB2312" w:hAnsi="仿宋_GB2312" w:eastAsia="仿宋_GB2312" w:cs="仿宋_GB2312"/>
          <w:color w:val="auto"/>
          <w:sz w:val="24"/>
          <w:szCs w:val="24"/>
          <w:highlight w:val="none"/>
          <w:u w:val="single"/>
        </w:rPr>
        <w:t xml:space="preserve">  否        </w:t>
      </w:r>
      <w:r>
        <w:rPr>
          <w:rFonts w:hint="eastAsia" w:ascii="仿宋_GB2312" w:hAnsi="仿宋_GB2312" w:eastAsia="仿宋_GB2312" w:cs="仿宋_GB2312"/>
          <w:color w:val="auto"/>
          <w:sz w:val="24"/>
          <w:szCs w:val="24"/>
          <w:highlight w:val="none"/>
        </w:rPr>
        <w:t>。</w:t>
      </w:r>
    </w:p>
    <w:p w14:paraId="60DD251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分包人项目经理兼任其他项目的项目经理的违约责任：</w:t>
      </w:r>
      <w:r>
        <w:rPr>
          <w:rFonts w:hint="eastAsia" w:ascii="仿宋_GB2312" w:hAnsi="仿宋_GB2312" w:eastAsia="仿宋_GB2312" w:cs="仿宋_GB2312"/>
          <w:color w:val="auto"/>
          <w:sz w:val="24"/>
          <w:szCs w:val="24"/>
          <w:highlight w:val="none"/>
          <w:u w:val="single"/>
        </w:rPr>
        <w:t xml:space="preserve"> 由分包人支付违约金3万元，同时</w:t>
      </w:r>
      <w:r>
        <w:rPr>
          <w:rFonts w:hint="eastAsia" w:ascii="仿宋_GB2312" w:hAnsi="仿宋_GB2312" w:eastAsia="仿宋_GB2312" w:cs="仿宋_GB2312"/>
          <w:color w:val="auto"/>
          <w:kern w:val="0"/>
          <w:sz w:val="24"/>
          <w:szCs w:val="24"/>
          <w:highlight w:val="none"/>
          <w:u w:val="single"/>
        </w:rPr>
        <w:t>承包人有权要求更换项目经理，由此增加的费用和（或）延误的工期由分包人承担</w:t>
      </w:r>
      <w:r>
        <w:rPr>
          <w:rFonts w:hint="eastAsia" w:ascii="仿宋_GB2312" w:hAnsi="仿宋_GB2312" w:eastAsia="仿宋_GB2312" w:cs="仿宋_GB2312"/>
          <w:color w:val="auto"/>
          <w:sz w:val="24"/>
          <w:szCs w:val="24"/>
          <w:highlight w:val="none"/>
        </w:rPr>
        <w:t>。</w:t>
      </w:r>
    </w:p>
    <w:p w14:paraId="03B7537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3.2.3 分包人项目经理和其他主要项目管理人员擅自离开施工场地的违约责任：</w:t>
      </w:r>
      <w:r>
        <w:rPr>
          <w:rFonts w:hint="eastAsia" w:ascii="仿宋_GB2312" w:hAnsi="仿宋_GB2312" w:eastAsia="仿宋_GB2312" w:cs="仿宋_GB2312"/>
          <w:color w:val="auto"/>
          <w:sz w:val="24"/>
          <w:szCs w:val="24"/>
          <w:highlight w:val="none"/>
          <w:u w:val="single"/>
        </w:rPr>
        <w:t xml:space="preserve"> 由分包人支付离场人员每人每天500～1000元的违约金 </w:t>
      </w:r>
      <w:r>
        <w:rPr>
          <w:rFonts w:hint="eastAsia" w:ascii="仿宋_GB2312" w:hAnsi="仿宋_GB2312" w:eastAsia="仿宋_GB2312" w:cs="仿宋_GB2312"/>
          <w:color w:val="auto"/>
          <w:sz w:val="24"/>
          <w:szCs w:val="24"/>
          <w:highlight w:val="none"/>
        </w:rPr>
        <w:t>。</w:t>
      </w:r>
    </w:p>
    <w:p w14:paraId="3742177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.4 分包人擅自更换</w:t>
      </w:r>
      <w:r>
        <w:rPr>
          <w:rFonts w:hint="eastAsia" w:ascii="仿宋_GB2312" w:hAnsi="仿宋_GB2312" w:eastAsia="仿宋_GB2312" w:cs="仿宋_GB2312"/>
          <w:color w:val="auto"/>
          <w:kern w:val="0"/>
          <w:sz w:val="24"/>
          <w:szCs w:val="24"/>
          <w:highlight w:val="none"/>
        </w:rPr>
        <w:t>分包人项目经理或其他主要项目管理人员的违约责任：</w:t>
      </w:r>
      <w:r>
        <w:rPr>
          <w:rFonts w:hint="eastAsia" w:ascii="仿宋_GB2312" w:hAnsi="仿宋_GB2312" w:eastAsia="仿宋_GB2312" w:cs="仿宋_GB2312"/>
          <w:color w:val="auto"/>
          <w:kern w:val="0"/>
          <w:sz w:val="24"/>
          <w:szCs w:val="24"/>
          <w:highlight w:val="none"/>
          <w:u w:val="single"/>
        </w:rPr>
        <w:t xml:space="preserve"> 分包人擅自更换项目经理的，分包人</w:t>
      </w:r>
      <w:r>
        <w:rPr>
          <w:rFonts w:hint="eastAsia" w:ascii="仿宋_GB2312" w:hAnsi="仿宋_GB2312" w:eastAsia="仿宋_GB2312" w:cs="仿宋_GB2312"/>
          <w:color w:val="auto"/>
          <w:sz w:val="24"/>
          <w:szCs w:val="24"/>
          <w:highlight w:val="none"/>
          <w:u w:val="single"/>
        </w:rPr>
        <w:t>支付</w:t>
      </w:r>
      <w:r>
        <w:rPr>
          <w:rFonts w:hint="eastAsia" w:ascii="仿宋_GB2312" w:hAnsi="仿宋_GB2312" w:eastAsia="仿宋_GB2312" w:cs="仿宋_GB2312"/>
          <w:color w:val="auto"/>
          <w:kern w:val="0"/>
          <w:sz w:val="24"/>
          <w:szCs w:val="24"/>
          <w:highlight w:val="none"/>
          <w:u w:val="single"/>
        </w:rPr>
        <w:t>10万元的违约金；分包人擅自更换其他主要项目管理人员的，分包人</w:t>
      </w:r>
      <w:r>
        <w:rPr>
          <w:rFonts w:hint="eastAsia" w:ascii="仿宋_GB2312" w:hAnsi="仿宋_GB2312" w:eastAsia="仿宋_GB2312" w:cs="仿宋_GB2312"/>
          <w:color w:val="auto"/>
          <w:sz w:val="24"/>
          <w:szCs w:val="24"/>
          <w:highlight w:val="none"/>
          <w:u w:val="single"/>
        </w:rPr>
        <w:t>支付</w:t>
      </w:r>
      <w:r>
        <w:rPr>
          <w:rFonts w:hint="eastAsia" w:ascii="仿宋_GB2312" w:hAnsi="仿宋_GB2312" w:eastAsia="仿宋_GB2312" w:cs="仿宋_GB2312"/>
          <w:color w:val="auto"/>
          <w:kern w:val="0"/>
          <w:sz w:val="24"/>
          <w:szCs w:val="24"/>
          <w:highlight w:val="none"/>
          <w:u w:val="single"/>
        </w:rPr>
        <w:t xml:space="preserve">1万元/人的违约金。   </w:t>
      </w:r>
      <w:r>
        <w:rPr>
          <w:rFonts w:hint="eastAsia" w:ascii="仿宋_GB2312" w:hAnsi="仿宋_GB2312" w:eastAsia="仿宋_GB2312" w:cs="仿宋_GB2312"/>
          <w:color w:val="auto"/>
          <w:kern w:val="0"/>
          <w:sz w:val="24"/>
          <w:szCs w:val="24"/>
          <w:highlight w:val="none"/>
        </w:rPr>
        <w:t>。</w:t>
      </w:r>
    </w:p>
    <w:p w14:paraId="66AA8F5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分包人无正当理由拒绝更换分包人项目经理</w:t>
      </w:r>
      <w:r>
        <w:rPr>
          <w:rFonts w:hint="eastAsia" w:ascii="仿宋_GB2312" w:hAnsi="仿宋_GB2312" w:eastAsia="仿宋_GB2312" w:cs="仿宋_GB2312"/>
          <w:color w:val="auto"/>
          <w:kern w:val="0"/>
          <w:sz w:val="24"/>
          <w:szCs w:val="24"/>
          <w:highlight w:val="none"/>
        </w:rPr>
        <w:t>或其他主要项目管理人员</w:t>
      </w:r>
      <w:r>
        <w:rPr>
          <w:rFonts w:hint="eastAsia" w:ascii="仿宋_GB2312" w:hAnsi="仿宋_GB2312" w:eastAsia="仿宋_GB2312" w:cs="仿宋_GB2312"/>
          <w:color w:val="auto"/>
          <w:sz w:val="24"/>
          <w:szCs w:val="24"/>
          <w:highlight w:val="none"/>
        </w:rPr>
        <w:t>的违约责任：</w:t>
      </w:r>
      <w:r>
        <w:rPr>
          <w:rFonts w:hint="eastAsia" w:ascii="仿宋_GB2312" w:hAnsi="仿宋_GB2312" w:eastAsia="仿宋_GB2312" w:cs="仿宋_GB2312"/>
          <w:color w:val="auto"/>
          <w:sz w:val="24"/>
          <w:szCs w:val="24"/>
          <w:highlight w:val="none"/>
          <w:u w:val="single"/>
        </w:rPr>
        <w:t xml:space="preserve"> 承包人有权解除合同并责令分包人退场，由此产生的一切损失及后果由分包人承担，同时由分包人支付违约金10万元 </w:t>
      </w:r>
      <w:r>
        <w:rPr>
          <w:rFonts w:hint="eastAsia" w:ascii="仿宋_GB2312" w:hAnsi="仿宋_GB2312" w:eastAsia="仿宋_GB2312" w:cs="仿宋_GB2312"/>
          <w:color w:val="auto"/>
          <w:sz w:val="24"/>
          <w:szCs w:val="24"/>
          <w:highlight w:val="none"/>
        </w:rPr>
        <w:t>。</w:t>
      </w:r>
    </w:p>
    <w:p w14:paraId="16A15B16">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365" w:name="_Toc3876"/>
      <w:bookmarkStart w:id="1366" w:name="_Toc11374"/>
      <w:bookmarkStart w:id="1367" w:name="_Toc17159"/>
      <w:bookmarkStart w:id="1368" w:name="_Toc21439"/>
      <w:bookmarkStart w:id="1369" w:name="_Toc15119"/>
      <w:bookmarkStart w:id="1370" w:name="_Toc26455"/>
      <w:bookmarkStart w:id="1371" w:name="_Toc389586433"/>
      <w:r>
        <w:rPr>
          <w:rFonts w:hint="eastAsia" w:ascii="楷体_GB2312" w:hAnsi="楷体_GB2312" w:eastAsia="楷体_GB2312" w:cs="楷体_GB2312"/>
          <w:b w:val="0"/>
          <w:bCs w:val="0"/>
          <w:color w:val="auto"/>
          <w:sz w:val="24"/>
          <w:szCs w:val="24"/>
          <w:highlight w:val="none"/>
        </w:rPr>
        <w:t>3.3 特殊工种上岗作业要求</w:t>
      </w:r>
      <w:bookmarkEnd w:id="1365"/>
      <w:bookmarkEnd w:id="1366"/>
      <w:bookmarkEnd w:id="1367"/>
      <w:bookmarkEnd w:id="1368"/>
      <w:bookmarkEnd w:id="1369"/>
      <w:bookmarkEnd w:id="1370"/>
      <w:bookmarkEnd w:id="1371"/>
    </w:p>
    <w:p w14:paraId="7835188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特殊工种作业人员无证上岗的违约责任：</w:t>
      </w:r>
      <w:r>
        <w:rPr>
          <w:rFonts w:hint="eastAsia" w:ascii="仿宋_GB2312" w:hAnsi="仿宋_GB2312" w:eastAsia="仿宋_GB2312" w:cs="仿宋_GB2312"/>
          <w:color w:val="auto"/>
          <w:sz w:val="24"/>
          <w:szCs w:val="24"/>
          <w:highlight w:val="none"/>
          <w:u w:val="single"/>
        </w:rPr>
        <w:t xml:space="preserve">  承包人有权要求分包人支付5000元/人的违约金，分包人必须</w:t>
      </w:r>
      <w:r>
        <w:rPr>
          <w:rFonts w:hint="eastAsia" w:ascii="仿宋_GB2312" w:hAnsi="仿宋_GB2312" w:eastAsia="仿宋_GB2312" w:cs="仿宋_GB2312"/>
          <w:color w:val="auto"/>
          <w:sz w:val="24"/>
          <w:szCs w:val="24"/>
          <w:highlight w:val="none"/>
        </w:rPr>
        <w:t>并</w:t>
      </w:r>
      <w:r>
        <w:rPr>
          <w:rFonts w:hint="eastAsia" w:ascii="仿宋_GB2312" w:hAnsi="仿宋_GB2312" w:eastAsia="仿宋_GB2312" w:cs="仿宋_GB2312"/>
          <w:color w:val="auto"/>
          <w:sz w:val="24"/>
          <w:szCs w:val="24"/>
          <w:highlight w:val="none"/>
          <w:u w:val="single"/>
        </w:rPr>
        <w:t xml:space="preserve"> 3天</w:t>
      </w:r>
      <w:r>
        <w:rPr>
          <w:rFonts w:hint="eastAsia" w:ascii="仿宋_GB2312" w:hAnsi="仿宋_GB2312" w:eastAsia="仿宋_GB2312" w:cs="仿宋_GB2312"/>
          <w:color w:val="auto"/>
          <w:sz w:val="24"/>
          <w:szCs w:val="24"/>
          <w:highlight w:val="none"/>
        </w:rPr>
        <w:t>内更换为持证特殊工种作业人员，否则按</w:t>
      </w:r>
      <w:r>
        <w:rPr>
          <w:rFonts w:hint="eastAsia" w:ascii="仿宋_GB2312" w:hAnsi="仿宋_GB2312" w:eastAsia="仿宋_GB2312" w:cs="仿宋_GB2312"/>
          <w:color w:val="auto"/>
          <w:sz w:val="24"/>
          <w:szCs w:val="24"/>
          <w:highlight w:val="none"/>
          <w:u w:val="single"/>
        </w:rPr>
        <w:t xml:space="preserve">  2000 元/天</w:t>
      </w:r>
      <w:r>
        <w:rPr>
          <w:rFonts w:hint="eastAsia" w:ascii="仿宋_GB2312" w:hAnsi="仿宋_GB2312" w:eastAsia="仿宋_GB2312" w:cs="仿宋_GB2312"/>
          <w:color w:val="auto"/>
          <w:sz w:val="24"/>
          <w:szCs w:val="24"/>
          <w:highlight w:val="none"/>
        </w:rPr>
        <w:t>处罚</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5E92D72F">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372" w:name="_Toc5899"/>
      <w:bookmarkStart w:id="1373" w:name="_Toc31429"/>
      <w:bookmarkStart w:id="1374" w:name="_Toc32327"/>
      <w:bookmarkStart w:id="1375" w:name="_Toc4546"/>
      <w:bookmarkStart w:id="1376" w:name="_Toc389586434"/>
      <w:bookmarkStart w:id="1377" w:name="_Toc6083"/>
      <w:bookmarkStart w:id="1378" w:name="_Toc32599"/>
      <w:r>
        <w:rPr>
          <w:rFonts w:hint="eastAsia" w:ascii="楷体_GB2312" w:hAnsi="楷体_GB2312" w:eastAsia="楷体_GB2312" w:cs="楷体_GB2312"/>
          <w:b w:val="0"/>
          <w:bCs w:val="0"/>
          <w:color w:val="auto"/>
          <w:sz w:val="24"/>
          <w:szCs w:val="24"/>
          <w:highlight w:val="none"/>
        </w:rPr>
        <w:t>3.4 禁止转包和再分包</w:t>
      </w:r>
      <w:bookmarkEnd w:id="1372"/>
      <w:bookmarkEnd w:id="1373"/>
      <w:bookmarkEnd w:id="1374"/>
      <w:bookmarkEnd w:id="1375"/>
      <w:bookmarkEnd w:id="1376"/>
      <w:bookmarkEnd w:id="1377"/>
      <w:bookmarkEnd w:id="1378"/>
    </w:p>
    <w:p w14:paraId="04BD219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3.4.1 分包人转包分包工程的违约责任</w:t>
      </w:r>
      <w:r>
        <w:rPr>
          <w:rFonts w:hint="eastAsia" w:ascii="仿宋_GB2312" w:hAnsi="仿宋_GB2312" w:eastAsia="仿宋_GB2312" w:cs="仿宋_GB2312"/>
          <w:color w:val="auto"/>
          <w:kern w:val="0"/>
          <w:sz w:val="24"/>
          <w:szCs w:val="24"/>
          <w:highlight w:val="none"/>
          <w:u w:val="single"/>
        </w:rPr>
        <w:t xml:space="preserve">  由分包人</w:t>
      </w:r>
      <w:r>
        <w:rPr>
          <w:rFonts w:hint="eastAsia" w:ascii="仿宋_GB2312" w:hAnsi="仿宋_GB2312" w:eastAsia="仿宋_GB2312" w:cs="仿宋_GB2312"/>
          <w:color w:val="auto"/>
          <w:sz w:val="24"/>
          <w:szCs w:val="24"/>
          <w:highlight w:val="none"/>
          <w:u w:val="single"/>
        </w:rPr>
        <w:t>支付</w:t>
      </w:r>
      <w:r>
        <w:rPr>
          <w:rFonts w:hint="eastAsia" w:ascii="仿宋_GB2312" w:hAnsi="仿宋_GB2312" w:eastAsia="仿宋_GB2312" w:cs="仿宋_GB2312"/>
          <w:color w:val="auto"/>
          <w:kern w:val="0"/>
          <w:sz w:val="24"/>
          <w:szCs w:val="24"/>
          <w:highlight w:val="none"/>
          <w:u w:val="single"/>
        </w:rPr>
        <w:t xml:space="preserve">合同价的10%的违约金并按要求及时整改，逾期未改的，承包人有权解除合同并责令分包人退场，由此产生的一切损失及后果由分包人承担   </w:t>
      </w:r>
      <w:r>
        <w:rPr>
          <w:rFonts w:hint="eastAsia" w:ascii="仿宋_GB2312" w:hAnsi="仿宋_GB2312" w:eastAsia="仿宋_GB2312" w:cs="仿宋_GB2312"/>
          <w:color w:val="auto"/>
          <w:kern w:val="0"/>
          <w:sz w:val="24"/>
          <w:szCs w:val="24"/>
          <w:highlight w:val="none"/>
        </w:rPr>
        <w:t>。</w:t>
      </w:r>
    </w:p>
    <w:p w14:paraId="4630235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3.4.2 分包人违法分包工程的违约责任</w:t>
      </w:r>
      <w:r>
        <w:rPr>
          <w:rFonts w:hint="eastAsia" w:ascii="仿宋_GB2312" w:hAnsi="仿宋_GB2312" w:eastAsia="仿宋_GB2312" w:cs="仿宋_GB2312"/>
          <w:color w:val="auto"/>
          <w:kern w:val="0"/>
          <w:sz w:val="24"/>
          <w:szCs w:val="24"/>
          <w:highlight w:val="none"/>
          <w:u w:val="single"/>
        </w:rPr>
        <w:t xml:space="preserve"> 由分包人</w:t>
      </w:r>
      <w:r>
        <w:rPr>
          <w:rFonts w:hint="eastAsia" w:ascii="仿宋_GB2312" w:hAnsi="仿宋_GB2312" w:eastAsia="仿宋_GB2312" w:cs="仿宋_GB2312"/>
          <w:color w:val="auto"/>
          <w:sz w:val="24"/>
          <w:szCs w:val="24"/>
          <w:highlight w:val="none"/>
          <w:u w:val="single"/>
        </w:rPr>
        <w:t>支付</w:t>
      </w:r>
      <w:r>
        <w:rPr>
          <w:rFonts w:hint="eastAsia" w:ascii="仿宋_GB2312" w:hAnsi="仿宋_GB2312" w:eastAsia="仿宋_GB2312" w:cs="仿宋_GB2312"/>
          <w:color w:val="auto"/>
          <w:kern w:val="0"/>
          <w:sz w:val="24"/>
          <w:szCs w:val="24"/>
          <w:highlight w:val="none"/>
          <w:u w:val="single"/>
        </w:rPr>
        <w:t xml:space="preserve">合同价的10%的违约金并按要求及时整改，逾期未改的，承包人有权解除合同并责令分包人退场，由此产生的一切损失及后果由分包人承担  </w:t>
      </w:r>
      <w:r>
        <w:rPr>
          <w:rFonts w:hint="eastAsia" w:ascii="仿宋_GB2312" w:hAnsi="仿宋_GB2312" w:eastAsia="仿宋_GB2312" w:cs="仿宋_GB2312"/>
          <w:color w:val="auto"/>
          <w:kern w:val="0"/>
          <w:sz w:val="24"/>
          <w:szCs w:val="24"/>
          <w:highlight w:val="none"/>
        </w:rPr>
        <w:t>。</w:t>
      </w:r>
    </w:p>
    <w:p w14:paraId="42B5E2B8">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379" w:name="_Toc27199"/>
      <w:bookmarkStart w:id="1380" w:name="_Toc19049"/>
      <w:bookmarkStart w:id="1381" w:name="_Toc389586435"/>
      <w:bookmarkStart w:id="1382" w:name="_Toc15425"/>
      <w:bookmarkStart w:id="1383" w:name="_Toc4003"/>
      <w:bookmarkStart w:id="1384" w:name="_Toc23564"/>
      <w:bookmarkStart w:id="1385" w:name="_Toc16215"/>
      <w:r>
        <w:rPr>
          <w:rFonts w:hint="eastAsia" w:ascii="楷体_GB2312" w:hAnsi="楷体_GB2312" w:eastAsia="楷体_GB2312" w:cs="楷体_GB2312"/>
          <w:b w:val="0"/>
          <w:bCs w:val="0"/>
          <w:color w:val="auto"/>
          <w:sz w:val="24"/>
          <w:szCs w:val="24"/>
          <w:highlight w:val="none"/>
        </w:rPr>
        <w:t>3.5 履约担保</w:t>
      </w:r>
      <w:bookmarkEnd w:id="1379"/>
      <w:bookmarkEnd w:id="1380"/>
      <w:bookmarkEnd w:id="1381"/>
      <w:bookmarkEnd w:id="1382"/>
      <w:bookmarkEnd w:id="1383"/>
      <w:bookmarkEnd w:id="1384"/>
      <w:bookmarkEnd w:id="1385"/>
    </w:p>
    <w:p w14:paraId="36D6477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履约担保的方式：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061F6A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履约担保的金额：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6B30E34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履约担保的期限：</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73DE509">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86" w:name="_Toc25699"/>
      <w:bookmarkStart w:id="1387" w:name="_Toc4854"/>
      <w:bookmarkStart w:id="1388" w:name="_Toc25077"/>
      <w:bookmarkStart w:id="1389" w:name="_Toc22394"/>
      <w:bookmarkStart w:id="1390" w:name="_Toc10792"/>
      <w:bookmarkStart w:id="1391" w:name="_Toc389586436"/>
      <w:bookmarkStart w:id="1392" w:name="_Toc8016"/>
      <w:r>
        <w:rPr>
          <w:rFonts w:hint="eastAsia" w:ascii="黑体" w:hAnsi="黑体" w:eastAsia="黑体" w:cs="黑体"/>
          <w:b w:val="0"/>
          <w:bCs w:val="0"/>
          <w:color w:val="auto"/>
          <w:sz w:val="24"/>
          <w:szCs w:val="24"/>
          <w:highlight w:val="none"/>
        </w:rPr>
        <w:t>4. 总包合同</w:t>
      </w:r>
      <w:bookmarkEnd w:id="1386"/>
      <w:bookmarkEnd w:id="1387"/>
      <w:bookmarkEnd w:id="1388"/>
      <w:bookmarkEnd w:id="1389"/>
      <w:bookmarkEnd w:id="1390"/>
    </w:p>
    <w:p w14:paraId="65CB988E">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93" w:name="_Toc32229"/>
      <w:bookmarkStart w:id="1394" w:name="_Toc2043"/>
      <w:bookmarkStart w:id="1395" w:name="_Toc31993"/>
      <w:bookmarkStart w:id="1396" w:name="_Toc30828"/>
      <w:bookmarkStart w:id="1397" w:name="_Toc2708"/>
      <w:r>
        <w:rPr>
          <w:rFonts w:hint="eastAsia" w:ascii="楷体_GB2312" w:hAnsi="楷体_GB2312" w:eastAsia="楷体_GB2312" w:cs="楷体_GB2312"/>
          <w:b w:val="0"/>
          <w:bCs w:val="0"/>
          <w:color w:val="auto"/>
          <w:sz w:val="24"/>
          <w:szCs w:val="24"/>
          <w:highlight w:val="none"/>
        </w:rPr>
        <w:t>4.1 总包合同提供</w:t>
      </w:r>
      <w:bookmarkEnd w:id="1393"/>
      <w:bookmarkEnd w:id="1394"/>
      <w:bookmarkEnd w:id="1395"/>
      <w:bookmarkEnd w:id="1396"/>
      <w:bookmarkEnd w:id="1397"/>
    </w:p>
    <w:p w14:paraId="339A694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对于总包合同提供的要求：</w:t>
      </w:r>
      <w:r>
        <w:rPr>
          <w:rFonts w:hint="eastAsia" w:ascii="仿宋_GB2312" w:hAnsi="仿宋_GB2312" w:eastAsia="仿宋_GB2312" w:cs="仿宋_GB2312"/>
          <w:color w:val="auto"/>
          <w:kern w:val="0"/>
          <w:sz w:val="24"/>
          <w:szCs w:val="24"/>
          <w:highlight w:val="none"/>
          <w:u w:val="single"/>
        </w:rPr>
        <w:t xml:space="preserve">  /   </w:t>
      </w:r>
      <w:r>
        <w:rPr>
          <w:rFonts w:hint="eastAsia" w:ascii="仿宋_GB2312" w:hAnsi="仿宋_GB2312" w:eastAsia="仿宋_GB2312" w:cs="仿宋_GB2312"/>
          <w:color w:val="auto"/>
          <w:kern w:val="0"/>
          <w:sz w:val="24"/>
          <w:szCs w:val="24"/>
          <w:highlight w:val="none"/>
        </w:rPr>
        <w:t>。</w:t>
      </w:r>
    </w:p>
    <w:p w14:paraId="7D14D182">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398" w:name="_Toc30605"/>
      <w:bookmarkStart w:id="1399" w:name="_Toc13471"/>
      <w:bookmarkStart w:id="1400" w:name="_Toc22426"/>
      <w:bookmarkStart w:id="1401" w:name="_Toc18035"/>
      <w:bookmarkStart w:id="1402" w:name="_Toc19271"/>
      <w:r>
        <w:rPr>
          <w:rFonts w:hint="eastAsia" w:ascii="楷体_GB2312" w:hAnsi="楷体_GB2312" w:eastAsia="楷体_GB2312" w:cs="楷体_GB2312"/>
          <w:b w:val="0"/>
          <w:bCs w:val="0"/>
          <w:color w:val="auto"/>
          <w:sz w:val="24"/>
          <w:szCs w:val="24"/>
          <w:highlight w:val="none"/>
        </w:rPr>
        <w:t>4.2 与总包合同有关的分包人义务</w:t>
      </w:r>
      <w:bookmarkEnd w:id="1398"/>
      <w:bookmarkEnd w:id="1399"/>
      <w:bookmarkEnd w:id="1400"/>
      <w:bookmarkEnd w:id="1401"/>
      <w:bookmarkEnd w:id="1402"/>
    </w:p>
    <w:p w14:paraId="1617537E">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kern w:val="0"/>
          <w:sz w:val="24"/>
          <w:szCs w:val="24"/>
          <w:highlight w:val="none"/>
        </w:rPr>
        <w:t>分包人应履行总包合同中与分包工程有关的义务要求：</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详见</w:t>
      </w:r>
      <w:r>
        <w:rPr>
          <w:rFonts w:hint="eastAsia" w:ascii="仿宋_GB2312" w:hAnsi="仿宋_GB2312" w:eastAsia="仿宋_GB2312" w:cs="仿宋_GB2312"/>
          <w:color w:val="auto"/>
          <w:kern w:val="0"/>
          <w:sz w:val="24"/>
          <w:szCs w:val="24"/>
          <w:highlight w:val="none"/>
          <w:u w:val="single"/>
        </w:rPr>
        <w:t>总包合同</w:t>
      </w:r>
      <w:r>
        <w:rPr>
          <w:rFonts w:hint="eastAsia" w:ascii="仿宋_GB2312" w:hAnsi="仿宋_GB2312" w:eastAsia="仿宋_GB2312" w:cs="仿宋_GB2312"/>
          <w:color w:val="auto"/>
          <w:kern w:val="0"/>
          <w:sz w:val="24"/>
          <w:szCs w:val="24"/>
          <w:highlight w:val="none"/>
          <w:u w:val="single"/>
          <w:lang w:val="en-US" w:eastAsia="zh-CN"/>
        </w:rPr>
        <w:t>第一节第4项内容</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none"/>
        </w:rPr>
        <w:t>。</w:t>
      </w:r>
    </w:p>
    <w:p w14:paraId="17452A28">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403" w:name="_Toc9016"/>
      <w:bookmarkStart w:id="1404" w:name="_Toc26919"/>
      <w:bookmarkStart w:id="1405" w:name="_Toc10407"/>
      <w:bookmarkStart w:id="1406" w:name="_Toc28450"/>
      <w:bookmarkStart w:id="1407" w:name="_Toc25778"/>
      <w:r>
        <w:rPr>
          <w:rFonts w:hint="eastAsia" w:ascii="黑体" w:hAnsi="黑体" w:eastAsia="黑体" w:cs="黑体"/>
          <w:b w:val="0"/>
          <w:bCs w:val="0"/>
          <w:color w:val="auto"/>
          <w:sz w:val="24"/>
          <w:szCs w:val="24"/>
          <w:highlight w:val="none"/>
        </w:rPr>
        <w:t>5. 分包工程质量</w:t>
      </w:r>
      <w:bookmarkEnd w:id="1391"/>
      <w:bookmarkEnd w:id="1392"/>
      <w:bookmarkEnd w:id="1403"/>
      <w:bookmarkEnd w:id="1404"/>
      <w:bookmarkEnd w:id="1405"/>
      <w:bookmarkEnd w:id="1406"/>
      <w:bookmarkEnd w:id="1407"/>
    </w:p>
    <w:p w14:paraId="043D1838">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408" w:name="_Toc17275"/>
      <w:bookmarkStart w:id="1409" w:name="_Toc11123"/>
      <w:bookmarkStart w:id="1410" w:name="_Toc389586437"/>
      <w:bookmarkStart w:id="1411" w:name="_Toc23349"/>
      <w:bookmarkStart w:id="1412" w:name="_Toc10803"/>
      <w:bookmarkStart w:id="1413" w:name="_Toc22414"/>
      <w:bookmarkStart w:id="1414" w:name="_Toc1300"/>
      <w:r>
        <w:rPr>
          <w:rFonts w:hint="eastAsia" w:ascii="楷体_GB2312" w:hAnsi="楷体_GB2312" w:eastAsia="楷体_GB2312" w:cs="楷体_GB2312"/>
          <w:b w:val="0"/>
          <w:bCs w:val="0"/>
          <w:color w:val="auto"/>
          <w:sz w:val="24"/>
          <w:szCs w:val="24"/>
          <w:highlight w:val="none"/>
        </w:rPr>
        <w:t>5.1 质量要求</w:t>
      </w:r>
      <w:bookmarkEnd w:id="1408"/>
      <w:bookmarkEnd w:id="1409"/>
      <w:bookmarkEnd w:id="1410"/>
      <w:bookmarkEnd w:id="1411"/>
      <w:bookmarkEnd w:id="1412"/>
      <w:bookmarkEnd w:id="1413"/>
      <w:bookmarkEnd w:id="1414"/>
    </w:p>
    <w:p w14:paraId="1BF25C7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对于分包工程质量的特殊标准或要求：</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合格 </w:t>
      </w:r>
      <w:r>
        <w:rPr>
          <w:rFonts w:hint="eastAsia" w:ascii="仿宋_GB2312" w:hAnsi="仿宋_GB2312" w:eastAsia="仿宋_GB2312" w:cs="仿宋_GB2312"/>
          <w:color w:val="auto"/>
          <w:kern w:val="0"/>
          <w:sz w:val="24"/>
          <w:szCs w:val="24"/>
          <w:highlight w:val="none"/>
        </w:rPr>
        <w:t>。</w:t>
      </w:r>
    </w:p>
    <w:p w14:paraId="3D457BC2">
      <w:pPr>
        <w:pStyle w:val="10"/>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楷体_GB2312" w:hAnsi="楷体_GB2312" w:eastAsia="楷体_GB2312" w:cs="楷体_GB2312"/>
          <w:b w:val="0"/>
          <w:bCs w:val="0"/>
          <w:color w:val="auto"/>
          <w:kern w:val="0"/>
          <w:sz w:val="24"/>
          <w:szCs w:val="24"/>
          <w:highlight w:val="none"/>
        </w:rPr>
        <w:t>5,2 质量检查与验收</w:t>
      </w:r>
      <w:r>
        <w:rPr>
          <w:rFonts w:hint="eastAsia" w:ascii="楷体_GB2312" w:hAnsi="楷体_GB2312" w:eastAsia="楷体_GB2312" w:cs="楷体_GB2312"/>
          <w:b w:val="0"/>
          <w:bCs w:val="0"/>
          <w:color w:val="auto"/>
          <w:sz w:val="24"/>
          <w:szCs w:val="24"/>
          <w:highlight w:val="none"/>
        </w:rPr>
        <w:t>（具体内容仅供参考，请据实选择、修改、填写）</w:t>
      </w:r>
    </w:p>
    <w:p w14:paraId="6DA1DF23">
      <w:pPr>
        <w:pStyle w:val="10"/>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5.2.1 </w:t>
      </w:r>
      <w:r>
        <w:rPr>
          <w:rFonts w:hint="eastAsia" w:ascii="仿宋_GB2312" w:hAnsi="仿宋_GB2312" w:eastAsia="仿宋_GB2312" w:cs="仿宋_GB2312"/>
          <w:color w:val="auto"/>
          <w:sz w:val="24"/>
          <w:szCs w:val="24"/>
          <w:highlight w:val="none"/>
        </w:rPr>
        <w:t>双方关于分包工程质量标准的约定：按设计图纸要求施工，并严格按照国家现行有关施工及验收规范、技术标准进行施工和验收，工程一次验收合格率100﹪。质量目标为：不低于承包人对发包人所承诺的质量目标。</w:t>
      </w:r>
    </w:p>
    <w:p w14:paraId="1693DECB">
      <w:pPr>
        <w:pStyle w:val="10"/>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5.2.2 </w:t>
      </w:r>
      <w:r>
        <w:rPr>
          <w:rFonts w:hint="eastAsia" w:ascii="仿宋_GB2312" w:hAnsi="仿宋_GB2312" w:eastAsia="仿宋_GB2312" w:cs="仿宋_GB2312"/>
          <w:color w:val="auto"/>
          <w:sz w:val="24"/>
          <w:szCs w:val="24"/>
          <w:highlight w:val="none"/>
        </w:rPr>
        <w:t>因分包人原因工程质量达不到约定的质量标准，双方约定违约责任： 由分包人在规定的时间内进行修复或整改，直至达到合同约定的质量标准。如经修复或整改仍达不到质量标准，承包人将另行安排其他人员进行修复或整改，费用由分包人承担。分包人不能获得质量不合格相应部分工程款，并依法应承担由于质量达不到标准给承包人造成的损失。</w:t>
      </w:r>
    </w:p>
    <w:p w14:paraId="336C440F">
      <w:pPr>
        <w:pStyle w:val="10"/>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5.2.3 </w:t>
      </w:r>
      <w:r>
        <w:rPr>
          <w:rFonts w:hint="eastAsia" w:ascii="仿宋_GB2312" w:hAnsi="仿宋_GB2312" w:eastAsia="仿宋_GB2312" w:cs="仿宋_GB2312"/>
          <w:color w:val="auto"/>
          <w:sz w:val="24"/>
          <w:szCs w:val="24"/>
          <w:highlight w:val="none"/>
        </w:rPr>
        <w:t>因分包人原因发生质量事故，由分包人立即组织资源对现场事故进行处理，并采取有效措施尽量降低因质量事故给各方带来的损失，相关费用由分包人承担。</w:t>
      </w:r>
    </w:p>
    <w:p w14:paraId="4DE5B615">
      <w:pPr>
        <w:pStyle w:val="10"/>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5.2.4 </w:t>
      </w:r>
      <w:r>
        <w:rPr>
          <w:rFonts w:hint="eastAsia" w:ascii="仿宋_GB2312" w:hAnsi="仿宋_GB2312" w:eastAsia="仿宋_GB2312" w:cs="仿宋_GB2312"/>
          <w:color w:val="auto"/>
          <w:sz w:val="24"/>
          <w:szCs w:val="24"/>
          <w:highlight w:val="none"/>
        </w:rPr>
        <w:t>因分包人原因发生安全事故，由分包人立即组织资源对现场安全事故进行处理，并采取有效措施尽量降低因安全事故给各方带来的损失，相关费用由分包人承担。由此给承包人造成的损失全部由分包人承担。</w:t>
      </w:r>
    </w:p>
    <w:p w14:paraId="57540147">
      <w:pPr>
        <w:pageBreakBefore w:val="0"/>
        <w:widowControl w:val="0"/>
        <w:kinsoku/>
        <w:wordWrap w:val="0"/>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bookmarkStart w:id="1415" w:name="_Toc389586438"/>
      <w:bookmarkStart w:id="1416" w:name="_Toc4879"/>
      <w:bookmarkStart w:id="1417" w:name="_Toc839"/>
      <w:bookmarkStart w:id="1418" w:name="_Toc25889"/>
      <w:bookmarkStart w:id="1419" w:name="_Toc24227"/>
      <w:bookmarkStart w:id="1420" w:name="_Toc2561"/>
      <w:bookmarkStart w:id="1421" w:name="_Toc19713"/>
      <w:r>
        <w:rPr>
          <w:rFonts w:hint="eastAsia" w:ascii="黑体" w:hAnsi="黑体" w:eastAsia="黑体" w:cs="黑体"/>
          <w:b w:val="0"/>
          <w:bCs w:val="0"/>
          <w:color w:val="auto"/>
          <w:sz w:val="24"/>
          <w:szCs w:val="24"/>
          <w:highlight w:val="none"/>
        </w:rPr>
        <w:t>6. 安全文明施工、环境保护与劳动用工管理</w:t>
      </w:r>
      <w:bookmarkEnd w:id="1415"/>
      <w:bookmarkEnd w:id="1416"/>
      <w:bookmarkEnd w:id="1417"/>
      <w:bookmarkEnd w:id="1418"/>
      <w:bookmarkEnd w:id="1419"/>
      <w:bookmarkEnd w:id="1420"/>
      <w:bookmarkEnd w:id="1421"/>
      <w:r>
        <w:rPr>
          <w:rFonts w:hint="eastAsia" w:ascii="黑体" w:hAnsi="黑体" w:eastAsia="黑体" w:cs="黑体"/>
          <w:b w:val="0"/>
          <w:bCs w:val="0"/>
          <w:color w:val="auto"/>
          <w:sz w:val="24"/>
          <w:szCs w:val="24"/>
          <w:highlight w:val="none"/>
        </w:rPr>
        <w:t>（具体内容仅供参考，请据实选择、修改、填写）</w:t>
      </w:r>
    </w:p>
    <w:p w14:paraId="4C9087BE">
      <w:pPr>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6.1安全文明施工</w:t>
      </w:r>
    </w:p>
    <w:p w14:paraId="539D3B02">
      <w:pPr>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6.1.1 分包人在施工期间应严格遵守《建筑安装工程安全技术规程》 《建筑安装工人安全操作规程》 《中华人民共和国消防条例》 《企业事业单位消防安全管理规定》和其它相关的现行法规、规范。</w:t>
      </w:r>
    </w:p>
    <w:p w14:paraId="4B5A72EE">
      <w:pPr>
        <w:pStyle w:val="10"/>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6.1.2 分包人在施工期间必须严格按</w:t>
      </w:r>
      <w:r>
        <w:rPr>
          <w:rFonts w:hint="eastAsia" w:ascii="仿宋_GB2312" w:hAnsi="仿宋_GB2312" w:eastAsia="仿宋_GB2312" w:cs="仿宋_GB2312"/>
          <w:color w:val="auto"/>
          <w:sz w:val="24"/>
          <w:szCs w:val="24"/>
          <w:highlight w:val="none"/>
          <w:u w:val="single"/>
        </w:rPr>
        <w:t>《广东省建筑工程文明施工检查评分细则》</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优良 </w:t>
      </w:r>
      <w:r>
        <w:rPr>
          <w:rFonts w:hint="eastAsia" w:ascii="仿宋_GB2312" w:hAnsi="仿宋_GB2312" w:eastAsia="仿宋_GB2312" w:cs="仿宋_GB2312"/>
          <w:color w:val="auto"/>
          <w:sz w:val="24"/>
          <w:szCs w:val="24"/>
          <w:highlight w:val="none"/>
        </w:rPr>
        <w:t>要求施工并严格实施国家、部、省和市颁布的有关文明施工管理办法和规定。</w:t>
      </w:r>
    </w:p>
    <w:p w14:paraId="0E994F3B">
      <w:pPr>
        <w:pStyle w:val="10"/>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6.1.3</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分包人必须严格执行承包人质量、环境及职业安全健康管理体系文件，必须积极配合承包人在本工程中实现质量、环境、职业安全健康管理体系的全过程；否则承包人有权更换施工队伍。</w:t>
      </w:r>
    </w:p>
    <w:p w14:paraId="6E9AD51B">
      <w:pPr>
        <w:pStyle w:val="10"/>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6.1.4</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分包人委派的现场管理代表同时是本项目的安全生产直接责任人，对本项目的安全生产负直接责任，分包人现场必须另设专职安全员，执行承包人及现场管理人员对安全生产的管理要求。</w:t>
      </w:r>
    </w:p>
    <w:p w14:paraId="699251E6">
      <w:pPr>
        <w:keepNext w:val="0"/>
        <w:keepLines w:val="0"/>
        <w:pageBreakBefore w:val="0"/>
        <w:widowControl w:val="0"/>
        <w:kinsoku/>
        <w:wordWrap/>
        <w:overflowPunct/>
        <w:topLinePunct w:val="0"/>
        <w:autoSpaceDE w:val="0"/>
        <w:autoSpaceDN w:val="0"/>
        <w:bidi w:val="0"/>
        <w:adjustRightInd w:val="0"/>
        <w:snapToGrid w:val="0"/>
        <w:spacing w:line="400" w:lineRule="exact"/>
        <w:ind w:left="0" w:firstLine="493"/>
        <w:jc w:val="both"/>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 xml:space="preserve">6.1.5 </w:t>
      </w:r>
      <w:r>
        <w:rPr>
          <w:rFonts w:hint="eastAsia" w:ascii="仿宋_GB2312" w:hAnsi="仿宋_GB2312" w:eastAsia="仿宋_GB2312" w:cs="仿宋_GB2312"/>
          <w:b w:val="0"/>
          <w:bCs w:val="0"/>
          <w:color w:val="auto"/>
          <w:kern w:val="2"/>
          <w:sz w:val="24"/>
          <w:szCs w:val="24"/>
          <w:highlight w:val="none"/>
          <w:lang w:val="en-US" w:eastAsia="zh-CN"/>
        </w:rPr>
        <w:t>分包人保证所承担的分包工程项目安全生产条件所需资金的投入，并按相关规定要求提供分包合同范围内的安全生产费用投入发票给承包人。</w:t>
      </w:r>
    </w:p>
    <w:p w14:paraId="76B7D482">
      <w:pPr>
        <w:pStyle w:val="10"/>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6.1.6 </w:t>
      </w:r>
      <w:r>
        <w:rPr>
          <w:rFonts w:hint="eastAsia" w:ascii="仿宋_GB2312" w:hAnsi="仿宋_GB2312" w:eastAsia="仿宋_GB2312" w:cs="仿宋_GB2312"/>
          <w:color w:val="auto"/>
          <w:sz w:val="24"/>
          <w:szCs w:val="24"/>
          <w:highlight w:val="none"/>
        </w:rPr>
        <w:t>分包人在施工</w:t>
      </w:r>
      <w:r>
        <w:rPr>
          <w:rFonts w:hint="eastAsia" w:ascii="仿宋_GB2312" w:hAnsi="仿宋_GB2312" w:eastAsia="仿宋_GB2312" w:cs="仿宋_GB2312"/>
          <w:color w:val="auto"/>
          <w:sz w:val="24"/>
          <w:szCs w:val="24"/>
          <w:highlight w:val="none"/>
          <w:lang w:val="en-US" w:eastAsia="zh-CN"/>
        </w:rPr>
        <w:t>管理</w:t>
      </w:r>
      <w:r>
        <w:rPr>
          <w:rFonts w:hint="eastAsia" w:ascii="仿宋_GB2312" w:hAnsi="仿宋_GB2312" w:eastAsia="仿宋_GB2312" w:cs="仿宋_GB2312"/>
          <w:color w:val="auto"/>
          <w:sz w:val="24"/>
          <w:szCs w:val="24"/>
          <w:highlight w:val="none"/>
        </w:rPr>
        <w:t>过程中，</w:t>
      </w:r>
      <w:r>
        <w:rPr>
          <w:rFonts w:hint="eastAsia" w:ascii="仿宋_GB2312" w:hAnsi="仿宋_GB2312" w:eastAsia="仿宋_GB2312" w:cs="仿宋_GB2312"/>
          <w:b w:val="0"/>
          <w:bCs w:val="0"/>
          <w:color w:val="auto"/>
          <w:kern w:val="2"/>
          <w:sz w:val="24"/>
          <w:szCs w:val="24"/>
          <w:highlight w:val="none"/>
          <w:lang w:val="en-US" w:eastAsia="zh-CN" w:bidi="ar-SA"/>
        </w:rPr>
        <w:t>须严格执行承包人的相关制度和管理办法，承包人一旦发现分包人相关违章、违约行为，将按附件9、附件10相关规定进行处罚或支付违约金，</w:t>
      </w:r>
      <w:r>
        <w:rPr>
          <w:rFonts w:hint="eastAsia" w:ascii="仿宋_GB2312" w:hAnsi="仿宋_GB2312" w:eastAsia="仿宋_GB2312" w:cs="仿宋_GB2312"/>
          <w:color w:val="auto"/>
          <w:sz w:val="24"/>
          <w:szCs w:val="24"/>
          <w:highlight w:val="none"/>
        </w:rPr>
        <w:t>导致发生安全、火灾等事故，分包人应承担全部责任和由此发生的一切费用。</w:t>
      </w:r>
    </w:p>
    <w:p w14:paraId="325A0CB9">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6.2 环境保护</w:t>
      </w:r>
    </w:p>
    <w:p w14:paraId="5E237725">
      <w:pPr>
        <w:pageBreakBefore w:val="0"/>
        <w:kinsoku/>
        <w:overflowPunct/>
        <w:topLinePunct w:val="0"/>
        <w:bidi w:val="0"/>
        <w:adjustRightInd w:val="0"/>
        <w:snapToGrid w:val="0"/>
        <w:spacing w:line="400" w:lineRule="exact"/>
        <w:ind w:firstLine="456" w:firstLineChars="200"/>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分包人在施工生产过程中，必须落实好扬尘污染防治措施，确保做到“六个百分百”:</w:t>
      </w:r>
    </w:p>
    <w:p w14:paraId="27E7BAB3">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1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①</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建筑施工现场100%围挡；</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2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②</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工地裸土100%覆盖；</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3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③</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工地主要路面100%硬化；</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4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④</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拆除工程100%洒水抑尘；</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5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⑤</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出工地运输车辆100%冲净无撒漏；</w:t>
      </w:r>
      <w:r>
        <w:rPr>
          <w:rFonts w:hint="eastAsia" w:ascii="仿宋_GB2312" w:hAnsi="仿宋_GB2312" w:eastAsia="仿宋_GB2312" w:cs="仿宋_GB2312"/>
          <w:color w:val="auto"/>
          <w:sz w:val="24"/>
          <w:szCs w:val="24"/>
          <w:highlight w:val="none"/>
        </w:rPr>
        <w:fldChar w:fldCharType="begin"/>
      </w:r>
      <w:r>
        <w:rPr>
          <w:rFonts w:hint="eastAsia" w:ascii="仿宋_GB2312" w:hAnsi="仿宋_GB2312" w:eastAsia="仿宋_GB2312" w:cs="仿宋_GB2312"/>
          <w:color w:val="auto"/>
          <w:sz w:val="24"/>
          <w:szCs w:val="24"/>
          <w:highlight w:val="none"/>
        </w:rPr>
        <w:instrText xml:space="preserve"> = 6 \* GB3 </w:instrText>
      </w:r>
      <w:r>
        <w:rPr>
          <w:rFonts w:hint="eastAsia" w:ascii="仿宋_GB2312" w:hAnsi="仿宋_GB2312" w:eastAsia="仿宋_GB2312" w:cs="仿宋_GB2312"/>
          <w:color w:val="auto"/>
          <w:sz w:val="24"/>
          <w:szCs w:val="24"/>
          <w:highlight w:val="none"/>
        </w:rPr>
        <w:fldChar w:fldCharType="separate"/>
      </w:r>
      <w:r>
        <w:rPr>
          <w:rFonts w:hint="eastAsia" w:ascii="仿宋_GB2312" w:hAnsi="仿宋_GB2312" w:eastAsia="仿宋_GB2312" w:cs="仿宋_GB2312"/>
          <w:color w:val="auto"/>
          <w:sz w:val="24"/>
          <w:szCs w:val="24"/>
          <w:highlight w:val="none"/>
        </w:rPr>
        <w:t>⑥</w:t>
      </w:r>
      <w:r>
        <w:rPr>
          <w:rFonts w:hint="eastAsia" w:ascii="仿宋_GB2312" w:hAnsi="仿宋_GB2312" w:eastAsia="仿宋_GB2312" w:cs="仿宋_GB2312"/>
          <w:color w:val="auto"/>
          <w:sz w:val="24"/>
          <w:szCs w:val="24"/>
          <w:highlight w:val="none"/>
        </w:rPr>
        <w:fldChar w:fldCharType="end"/>
      </w:r>
      <w:r>
        <w:rPr>
          <w:rFonts w:hint="eastAsia" w:ascii="仿宋_GB2312" w:hAnsi="仿宋_GB2312" w:eastAsia="仿宋_GB2312" w:cs="仿宋_GB2312"/>
          <w:color w:val="auto"/>
          <w:sz w:val="24"/>
          <w:szCs w:val="24"/>
          <w:highlight w:val="none"/>
        </w:rPr>
        <w:t xml:space="preserve"> 裸露场地100%覆盖。如分包人未做到上述扬尘污染措施“六个百分百”，因此受到发包人监理及相关部门的罚款及造成承包人与分包人的经济损失均由分包人承担。</w:t>
      </w:r>
    </w:p>
    <w:p w14:paraId="14453592">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422" w:name="_Toc29268"/>
      <w:bookmarkStart w:id="1423" w:name="_Toc21746"/>
      <w:bookmarkStart w:id="1424" w:name="_Toc7717"/>
      <w:bookmarkStart w:id="1425" w:name="_Toc389586439"/>
      <w:bookmarkStart w:id="1426" w:name="_Toc26404"/>
      <w:bookmarkStart w:id="1427" w:name="_Toc30410"/>
      <w:bookmarkStart w:id="1428" w:name="_Toc11299"/>
      <w:r>
        <w:rPr>
          <w:rFonts w:hint="eastAsia" w:ascii="楷体_GB2312" w:hAnsi="楷体_GB2312" w:eastAsia="楷体_GB2312" w:cs="楷体_GB2312"/>
          <w:b w:val="0"/>
          <w:bCs w:val="0"/>
          <w:color w:val="auto"/>
          <w:sz w:val="24"/>
          <w:szCs w:val="24"/>
          <w:highlight w:val="none"/>
        </w:rPr>
        <w:t>6.3 劳动用工管理</w:t>
      </w:r>
      <w:bookmarkEnd w:id="1422"/>
      <w:bookmarkEnd w:id="1423"/>
      <w:bookmarkEnd w:id="1424"/>
      <w:bookmarkEnd w:id="1425"/>
      <w:bookmarkEnd w:id="1426"/>
      <w:bookmarkEnd w:id="1427"/>
      <w:bookmarkEnd w:id="1428"/>
    </w:p>
    <w:p w14:paraId="3D4464A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w:t>
      </w:r>
      <w:r>
        <w:rPr>
          <w:rFonts w:hint="eastAsia" w:ascii="仿宋_GB2312" w:hAnsi="仿宋_GB2312" w:eastAsia="仿宋_GB2312" w:cs="仿宋_GB2312"/>
          <w:color w:val="auto"/>
          <w:sz w:val="24"/>
          <w:szCs w:val="24"/>
          <w:highlight w:val="none"/>
          <w:lang w:val="en-US" w:eastAsia="zh-CN"/>
        </w:rPr>
        <w:t xml:space="preserve">1 </w:t>
      </w:r>
      <w:r>
        <w:rPr>
          <w:rFonts w:hint="eastAsia" w:ascii="仿宋_GB2312" w:hAnsi="仿宋_GB2312" w:eastAsia="仿宋_GB2312" w:cs="仿宋_GB2312"/>
          <w:color w:val="auto"/>
          <w:sz w:val="24"/>
          <w:szCs w:val="24"/>
          <w:highlight w:val="none"/>
        </w:rPr>
        <w:t>分包人应保证能投入足够的熟练施工班组人员，确保按时完成计划；如需要赶工时，分包人应积极配合，不得以此为由要求增加费用，调整单价。如因分包人不服从承包人施工管理安排，造成延误，所导致的损失由分包人负责，按本合同违约条款规定，对分包人进行处罚。</w:t>
      </w:r>
    </w:p>
    <w:p w14:paraId="134D5AE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6.3.2</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本工程如发生承包人工程款不到位的情况，分包人应妥善解决工人工资，不得以此为由向发包人、政府有关部门发任何函件或上访、聚众闹事，并确保不对承包人、发包人及社会各方造成负面影响。</w:t>
      </w:r>
    </w:p>
    <w:p w14:paraId="2735F88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6.3.3</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分包人与进场劳务人员依法签订劳动合同及购买工伤保险等社会保险，相关费用由分包人承担。分包人施工人员的建筑意外伤害保险由分包人负责购买，并且分包人施工人员在施工期间发生的一切意外伤害均由分包人承担。</w:t>
      </w:r>
    </w:p>
    <w:p w14:paraId="4A6315C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6.3.4 分包人雇佣的人员所需必要膳宿条件的提供方：</w:t>
      </w:r>
      <w:r>
        <w:rPr>
          <w:rFonts w:hint="eastAsia" w:ascii="仿宋_GB2312" w:hAnsi="仿宋_GB2312" w:eastAsia="仿宋_GB2312" w:cs="仿宋_GB2312"/>
          <w:color w:val="auto"/>
          <w:sz w:val="24"/>
          <w:szCs w:val="24"/>
          <w:highlight w:val="none"/>
          <w:u w:val="single"/>
        </w:rPr>
        <w:t xml:space="preserve"> 自行解决 </w:t>
      </w:r>
      <w:r>
        <w:rPr>
          <w:rFonts w:hint="eastAsia" w:ascii="仿宋_GB2312" w:hAnsi="仿宋_GB2312" w:eastAsia="仿宋_GB2312" w:cs="仿宋_GB2312"/>
          <w:color w:val="auto"/>
          <w:sz w:val="24"/>
          <w:szCs w:val="24"/>
          <w:highlight w:val="none"/>
        </w:rPr>
        <w:t>。</w:t>
      </w:r>
    </w:p>
    <w:p w14:paraId="5FA1EE59">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提供方为分包人雇佣的人员提供必要膳宿条件，包括：</w:t>
      </w:r>
      <w:r>
        <w:rPr>
          <w:rFonts w:hint="eastAsia" w:ascii="仿宋_GB2312" w:hAnsi="仿宋_GB2312" w:eastAsia="仿宋_GB2312" w:cs="仿宋_GB2312"/>
          <w:color w:val="auto"/>
          <w:sz w:val="24"/>
          <w:szCs w:val="24"/>
          <w:highlight w:val="none"/>
          <w:u w:val="single"/>
        </w:rPr>
        <w:t xml:space="preserve"> 自行解决</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3D930A0D">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6.3.5 分包人必须为作业人员按规范配置齐全劳保防护用品，劳保用品费用由分包人承担。若由承包人提供劳保用品、工作服，则按承包人采购价从分包人工程款中扣除相关领用费用。</w:t>
      </w:r>
    </w:p>
    <w:p w14:paraId="6B807B55">
      <w:pPr>
        <w:pageBreakBefore w:val="0"/>
        <w:kinsoku/>
        <w:wordWrap w:val="0"/>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6.3.6 若有工人在施工期间提前退场或新进场的，分包人必须及时通知承包人，并及时将新进场的工人名单及身份证复印件交承包人备案。</w:t>
      </w:r>
    </w:p>
    <w:p w14:paraId="445F6BA8">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6.3.7 分包人拖欠其雇佣人员的劳动报酬或劳务分包单位的劳务费用应承担的违约责任：</w:t>
      </w:r>
      <w:r>
        <w:rPr>
          <w:rFonts w:hint="eastAsia" w:ascii="仿宋_GB2312" w:hAnsi="仿宋_GB2312" w:eastAsia="仿宋_GB2312" w:cs="仿宋_GB2312"/>
          <w:color w:val="auto"/>
          <w:sz w:val="24"/>
          <w:szCs w:val="24"/>
          <w:highlight w:val="none"/>
          <w:u w:val="single"/>
        </w:rPr>
        <w:t xml:space="preserve"> 承包人有权责令分包人限期支付拖欠的费用，逾期仍未支付的，分包人支付10万元违约金。承包人有权从任何应支付给分包人的款项中扣除并代其支付，同时，</w:t>
      </w:r>
      <w:r>
        <w:rPr>
          <w:rFonts w:hint="eastAsia" w:ascii="仿宋_GB2312" w:hAnsi="仿宋_GB2312" w:eastAsia="仿宋_GB2312" w:cs="仿宋_GB2312"/>
          <w:color w:val="auto"/>
          <w:kern w:val="0"/>
          <w:sz w:val="24"/>
          <w:szCs w:val="24"/>
          <w:highlight w:val="none"/>
          <w:u w:val="single"/>
        </w:rPr>
        <w:t>承包人有权解除合同并责令分包人退场，由此产生的一切损失及后果由分包人承担</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1BBCACE2">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6.3.8 如因分包人劳动用人管理存在缺陷或不法等原因，导致因承包人被牵连或被追究法律责任的，分包人应向承包人承担赔偿责任，包括且不限于承包人支付的各种赔偿金、补偿金、诉讼费、律师费、鉴定费、公证费、差旅费等。</w:t>
      </w:r>
    </w:p>
    <w:p w14:paraId="3F36DB70">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6.4 工人工资专户管理</w:t>
      </w:r>
    </w:p>
    <w:p w14:paraId="00B8962C">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6.4.1 根据相关规定及发包人要求，如需承包人代发工人工资的，分包人需向承包人出具</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工人工资专用账户总包代发协议</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工人工资代发委托书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工人工资代发知情与承诺书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具体见附件</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color w:val="auto"/>
          <w:sz w:val="24"/>
          <w:szCs w:val="24"/>
          <w:highlight w:val="none"/>
        </w:rPr>
        <w:t>按承包人要求提供真实的工人工资相关资料，并按照承包人财务管理制度办理相关手续。</w:t>
      </w:r>
    </w:p>
    <w:p w14:paraId="48CAB7A6">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6.4.2分包人须按《广东省建设领域工人工资支付分账管理暂行办法》(粤人社规〔2015〕3号)等有关规定的通知，落实本工程工人工资支付分账管理等事宜。</w:t>
      </w:r>
    </w:p>
    <w:p w14:paraId="7889EA7E">
      <w:pPr>
        <w:pageBreakBefore w:val="0"/>
        <w:tabs>
          <w:tab w:val="left" w:pos="720"/>
        </w:tabs>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6.4.3 分包人对本工程工人工资支付真实性负责，对工人工资支付情况进行监督。</w:t>
      </w:r>
    </w:p>
    <w:p w14:paraId="178B9F6C">
      <w:pPr>
        <w:pageBreakBefore w:val="0"/>
        <w:tabs>
          <w:tab w:val="left" w:pos="720"/>
        </w:tabs>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6.4.4 分包人须建立工人考勤、工资结算和支付等管理台账，并于每次申请工程进度款时向承包人报备，资料应当保存至工程竣工且结清全部工资后2年以上。</w:t>
      </w:r>
    </w:p>
    <w:p w14:paraId="47623482">
      <w:pPr>
        <w:pageBreakBefore w:val="0"/>
        <w:kinsoku/>
        <w:overflowPunct/>
        <w:topLinePunct w:val="0"/>
        <w:autoSpaceDE/>
        <w:autoSpaceDN/>
        <w:bidi w:val="0"/>
        <w:adjustRightInd w:val="0"/>
        <w:snapToGrid w:val="0"/>
        <w:spacing w:line="390" w:lineRule="exact"/>
        <w:ind w:left="-2" w:leftChars="-1"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6.4.5 如发生追讨本工程工人工资、造成群体性事件或其他不良行为的，仍由分包人承担全部责任。</w:t>
      </w:r>
    </w:p>
    <w:p w14:paraId="4BC100E5">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429" w:name="_Toc31528"/>
      <w:bookmarkStart w:id="1430" w:name="_Toc11493"/>
      <w:bookmarkStart w:id="1431" w:name="_Toc3219"/>
      <w:bookmarkStart w:id="1432" w:name="_Toc31791"/>
      <w:bookmarkStart w:id="1433" w:name="_Toc26109"/>
      <w:bookmarkStart w:id="1434" w:name="_Toc389586440"/>
      <w:bookmarkStart w:id="1435" w:name="_Toc31727"/>
      <w:r>
        <w:rPr>
          <w:rFonts w:hint="eastAsia" w:ascii="黑体" w:hAnsi="黑体" w:eastAsia="黑体" w:cs="黑体"/>
          <w:b w:val="0"/>
          <w:bCs w:val="0"/>
          <w:color w:val="auto"/>
          <w:sz w:val="24"/>
          <w:szCs w:val="24"/>
          <w:highlight w:val="none"/>
        </w:rPr>
        <w:t>7. 工期和进度</w:t>
      </w:r>
      <w:bookmarkEnd w:id="1429"/>
      <w:bookmarkEnd w:id="1430"/>
      <w:bookmarkEnd w:id="1431"/>
      <w:bookmarkEnd w:id="1432"/>
      <w:bookmarkEnd w:id="1433"/>
      <w:bookmarkEnd w:id="1434"/>
      <w:bookmarkEnd w:id="1435"/>
    </w:p>
    <w:p w14:paraId="0DB0E31D">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436" w:name="_Toc8119"/>
      <w:bookmarkStart w:id="1437" w:name="_Toc2247"/>
      <w:bookmarkStart w:id="1438" w:name="_Toc13896"/>
      <w:bookmarkStart w:id="1439" w:name="_Toc32222"/>
      <w:bookmarkStart w:id="1440" w:name="_Toc16295"/>
      <w:bookmarkStart w:id="1441" w:name="_Toc389586441"/>
      <w:bookmarkStart w:id="1442" w:name="_Toc31406"/>
      <w:r>
        <w:rPr>
          <w:rFonts w:hint="eastAsia" w:ascii="楷体_GB2312" w:hAnsi="楷体_GB2312" w:eastAsia="楷体_GB2312" w:cs="楷体_GB2312"/>
          <w:b w:val="0"/>
          <w:bCs w:val="0"/>
          <w:color w:val="auto"/>
          <w:sz w:val="24"/>
          <w:szCs w:val="24"/>
          <w:highlight w:val="none"/>
        </w:rPr>
        <w:t>7.1 施工组织</w:t>
      </w:r>
      <w:bookmarkEnd w:id="1436"/>
      <w:bookmarkEnd w:id="1437"/>
      <w:bookmarkEnd w:id="1438"/>
      <w:bookmarkEnd w:id="1439"/>
      <w:bookmarkEnd w:id="1440"/>
      <w:bookmarkEnd w:id="1441"/>
      <w:bookmarkEnd w:id="1442"/>
    </w:p>
    <w:p w14:paraId="152A1E8E">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7.1.1 施工组织设计的编制和批准</w:t>
      </w:r>
    </w:p>
    <w:p w14:paraId="35D5C47D">
      <w:pPr>
        <w:pageBreakBefore w:val="0"/>
        <w:widowControl/>
        <w:kinsoku/>
        <w:overflowPunct/>
        <w:topLinePunct w:val="0"/>
        <w:autoSpaceDE/>
        <w:autoSpaceDN/>
        <w:bidi w:val="0"/>
        <w:adjustRightInd w:val="0"/>
        <w:snapToGrid w:val="0"/>
        <w:spacing w:line="39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分包人提交详细施工组织设计的期限：</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bidi="ar"/>
        </w:rPr>
        <w:t>分包合同签订后</w:t>
      </w:r>
      <w:r>
        <w:rPr>
          <w:rFonts w:hint="eastAsia" w:ascii="仿宋_GB2312" w:hAnsi="仿宋_GB2312" w:eastAsia="仿宋_GB2312" w:cs="仿宋_GB2312"/>
          <w:color w:val="auto"/>
          <w:kern w:val="0"/>
          <w:sz w:val="24"/>
          <w:szCs w:val="24"/>
          <w:highlight w:val="none"/>
          <w:u w:val="single"/>
          <w:lang w:val="en-US" w:eastAsia="zh-CN" w:bidi="ar"/>
        </w:rPr>
        <w:t xml:space="preserve"> 7</w:t>
      </w:r>
      <w:r>
        <w:rPr>
          <w:rFonts w:hint="eastAsia" w:ascii="仿宋_GB2312" w:hAnsi="仿宋_GB2312" w:eastAsia="仿宋_GB2312" w:cs="仿宋_GB2312"/>
          <w:color w:val="auto"/>
          <w:kern w:val="0"/>
          <w:sz w:val="24"/>
          <w:szCs w:val="24"/>
          <w:highlight w:val="none"/>
          <w:u w:val="single"/>
          <w:lang w:bidi="ar"/>
        </w:rPr>
        <w:t xml:space="preserve"> 天内/或开工前</w:t>
      </w:r>
      <w:r>
        <w:rPr>
          <w:rFonts w:hint="eastAsia" w:ascii="仿宋_GB2312" w:hAnsi="仿宋_GB2312" w:eastAsia="仿宋_GB2312" w:cs="仿宋_GB2312"/>
          <w:color w:val="auto"/>
          <w:kern w:val="0"/>
          <w:sz w:val="24"/>
          <w:szCs w:val="24"/>
          <w:highlight w:val="none"/>
          <w:u w:val="single"/>
          <w:lang w:val="en-US" w:eastAsia="zh-CN" w:bidi="ar"/>
        </w:rPr>
        <w:t>3</w:t>
      </w:r>
      <w:r>
        <w:rPr>
          <w:rFonts w:hint="eastAsia" w:ascii="仿宋_GB2312" w:hAnsi="仿宋_GB2312" w:eastAsia="仿宋_GB2312" w:cs="仿宋_GB2312"/>
          <w:color w:val="auto"/>
          <w:kern w:val="0"/>
          <w:sz w:val="24"/>
          <w:szCs w:val="24"/>
          <w:highlight w:val="none"/>
          <w:u w:val="single"/>
          <w:lang w:bidi="ar"/>
        </w:rPr>
        <w:t>天</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0A768A2B">
      <w:pPr>
        <w:pageBreakBefore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承包人对分包人施工组织设计进行确认或提出修改意见的期限：</w:t>
      </w:r>
      <w:r>
        <w:rPr>
          <w:rFonts w:hint="eastAsia" w:ascii="仿宋_GB2312" w:hAnsi="仿宋_GB2312" w:eastAsia="仿宋_GB2312" w:cs="仿宋_GB2312"/>
          <w:color w:val="auto"/>
          <w:sz w:val="24"/>
          <w:szCs w:val="24"/>
          <w:highlight w:val="none"/>
          <w:u w:val="single"/>
        </w:rPr>
        <w:t xml:space="preserve">  收到施工组织设计后 </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u w:val="single"/>
        </w:rPr>
        <w:t>天内提出修改意见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14:paraId="2B9657B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分包人未按时提交详细施工组织设计的违约责任：</w:t>
      </w:r>
      <w:r>
        <w:rPr>
          <w:rFonts w:hint="eastAsia" w:ascii="仿宋_GB2312" w:hAnsi="仿宋_GB2312" w:eastAsia="仿宋_GB2312" w:cs="仿宋_GB2312"/>
          <w:color w:val="auto"/>
          <w:sz w:val="24"/>
          <w:szCs w:val="24"/>
          <w:highlight w:val="none"/>
          <w:u w:val="single"/>
        </w:rPr>
        <w:t xml:space="preserve"> 造成工期延误的，工期不得顺延；因此产生的一切损失及后果由分包人承担 </w:t>
      </w:r>
      <w:r>
        <w:rPr>
          <w:rFonts w:hint="eastAsia" w:ascii="仿宋_GB2312" w:hAnsi="仿宋_GB2312" w:eastAsia="仿宋_GB2312" w:cs="仿宋_GB2312"/>
          <w:color w:val="auto"/>
          <w:sz w:val="24"/>
          <w:szCs w:val="24"/>
          <w:highlight w:val="none"/>
        </w:rPr>
        <w:t>。</w:t>
      </w:r>
    </w:p>
    <w:p w14:paraId="112D86F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承包人对施工组织设计</w:t>
      </w:r>
      <w:r>
        <w:rPr>
          <w:rFonts w:hint="eastAsia" w:ascii="仿宋_GB2312" w:hAnsi="仿宋_GB2312" w:eastAsia="仿宋_GB2312" w:cs="仿宋_GB2312"/>
          <w:color w:val="auto"/>
          <w:kern w:val="0"/>
          <w:sz w:val="24"/>
          <w:szCs w:val="24"/>
          <w:highlight w:val="none"/>
        </w:rPr>
        <w:t>未按时确认且未提出修改意见的违约责任：</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造成工期延误的，工期相应调整</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14D4DBDE">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7.1.2 劳动力保障</w:t>
      </w:r>
    </w:p>
    <w:p w14:paraId="60BF285A">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分包人未按时补足劳动力的违约责任：</w:t>
      </w:r>
      <w:r>
        <w:rPr>
          <w:rFonts w:hint="eastAsia" w:ascii="仿宋_GB2312" w:hAnsi="仿宋_GB2312" w:eastAsia="仿宋_GB2312" w:cs="仿宋_GB2312"/>
          <w:color w:val="auto"/>
          <w:kern w:val="0"/>
          <w:sz w:val="24"/>
          <w:szCs w:val="24"/>
          <w:highlight w:val="none"/>
          <w:u w:val="single"/>
        </w:rPr>
        <w:t xml:space="preserve"> 承包人有权要求分包人</w:t>
      </w:r>
      <w:r>
        <w:rPr>
          <w:rFonts w:hint="eastAsia" w:ascii="仿宋_GB2312" w:hAnsi="仿宋_GB2312" w:eastAsia="仿宋_GB2312" w:cs="仿宋_GB2312"/>
          <w:color w:val="auto"/>
          <w:sz w:val="24"/>
          <w:szCs w:val="24"/>
          <w:highlight w:val="none"/>
          <w:u w:val="single"/>
        </w:rPr>
        <w:t>支付</w:t>
      </w:r>
      <w:r>
        <w:rPr>
          <w:rFonts w:hint="eastAsia" w:ascii="仿宋_GB2312" w:hAnsi="仿宋_GB2312" w:eastAsia="仿宋_GB2312" w:cs="仿宋_GB2312"/>
          <w:color w:val="auto"/>
          <w:kern w:val="0"/>
          <w:sz w:val="24"/>
          <w:szCs w:val="24"/>
          <w:highlight w:val="none"/>
          <w:u w:val="single"/>
        </w:rPr>
        <w:t>违约金</w:t>
      </w:r>
      <w:r>
        <w:rPr>
          <w:rFonts w:hint="eastAsia" w:ascii="仿宋_GB2312" w:hAnsi="仿宋_GB2312" w:eastAsia="仿宋_GB2312" w:cs="仿宋_GB2312"/>
          <w:color w:val="auto"/>
          <w:kern w:val="0"/>
          <w:sz w:val="24"/>
          <w:szCs w:val="24"/>
          <w:highlight w:val="none"/>
          <w:u w:val="single"/>
          <w:lang w:val="en-US" w:eastAsia="zh-CN"/>
        </w:rPr>
        <w:t>10</w:t>
      </w:r>
      <w:r>
        <w:rPr>
          <w:rFonts w:hint="eastAsia" w:ascii="仿宋_GB2312" w:hAnsi="仿宋_GB2312" w:eastAsia="仿宋_GB2312" w:cs="仿宋_GB2312"/>
          <w:color w:val="auto"/>
          <w:kern w:val="0"/>
          <w:sz w:val="24"/>
          <w:szCs w:val="24"/>
          <w:highlight w:val="none"/>
          <w:u w:val="single"/>
        </w:rPr>
        <w:t xml:space="preserve">万元；同时，承包人有权通过减少分包工程量或另行增加施工队伍等各项措施赶工，由此产生的一切损失及后果由分包人承担  </w:t>
      </w:r>
      <w:r>
        <w:rPr>
          <w:rFonts w:hint="eastAsia" w:ascii="仿宋_GB2312" w:hAnsi="仿宋_GB2312" w:eastAsia="仿宋_GB2312" w:cs="仿宋_GB2312"/>
          <w:color w:val="auto"/>
          <w:kern w:val="0"/>
          <w:sz w:val="24"/>
          <w:szCs w:val="24"/>
          <w:highlight w:val="none"/>
        </w:rPr>
        <w:t>。</w:t>
      </w:r>
    </w:p>
    <w:p w14:paraId="2A6716C4">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443" w:name="_Toc17523"/>
      <w:bookmarkStart w:id="1444" w:name="_Toc14688"/>
      <w:bookmarkStart w:id="1445" w:name="_Toc18122"/>
      <w:bookmarkStart w:id="1446" w:name="_Toc28156"/>
      <w:bookmarkStart w:id="1447" w:name="_Toc389586442"/>
      <w:bookmarkStart w:id="1448" w:name="_Toc24795"/>
      <w:bookmarkStart w:id="1449" w:name="_Toc1980"/>
      <w:r>
        <w:rPr>
          <w:rFonts w:hint="eastAsia" w:ascii="楷体_GB2312" w:hAnsi="楷体_GB2312" w:eastAsia="楷体_GB2312" w:cs="楷体_GB2312"/>
          <w:b w:val="0"/>
          <w:bCs w:val="0"/>
          <w:color w:val="auto"/>
          <w:sz w:val="24"/>
          <w:szCs w:val="24"/>
          <w:highlight w:val="none"/>
        </w:rPr>
        <w:t>7.2 开工</w:t>
      </w:r>
      <w:bookmarkEnd w:id="1443"/>
      <w:bookmarkEnd w:id="1444"/>
      <w:bookmarkEnd w:id="1445"/>
      <w:bookmarkEnd w:id="1446"/>
      <w:bookmarkEnd w:id="1447"/>
      <w:bookmarkEnd w:id="1448"/>
      <w:bookmarkEnd w:id="1449"/>
    </w:p>
    <w:p w14:paraId="24613917">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因承包人原因未能在计划开工日期之日起</w:t>
      </w:r>
      <w:r>
        <w:rPr>
          <w:rFonts w:hint="eastAsia" w:ascii="仿宋_GB2312" w:hAnsi="仿宋_GB2312" w:eastAsia="仿宋_GB2312" w:cs="仿宋_GB2312"/>
          <w:color w:val="auto"/>
          <w:kern w:val="0"/>
          <w:sz w:val="24"/>
          <w:szCs w:val="24"/>
          <w:highlight w:val="none"/>
          <w:u w:val="single"/>
        </w:rPr>
        <w:t xml:space="preserve">  /  </w:t>
      </w:r>
      <w:r>
        <w:rPr>
          <w:rFonts w:hint="eastAsia" w:ascii="仿宋_GB2312" w:hAnsi="仿宋_GB2312" w:eastAsia="仿宋_GB2312" w:cs="仿宋_GB2312"/>
          <w:color w:val="auto"/>
          <w:kern w:val="0"/>
          <w:sz w:val="24"/>
          <w:szCs w:val="24"/>
          <w:highlight w:val="none"/>
        </w:rPr>
        <w:t>天内发出开工通知的，分包人有权提出价格调整要求，或者解除合同。</w:t>
      </w:r>
    </w:p>
    <w:p w14:paraId="309ED035">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450" w:name="_Toc22374"/>
      <w:bookmarkStart w:id="1451" w:name="_Toc19044"/>
      <w:bookmarkStart w:id="1452" w:name="_Toc18781"/>
      <w:bookmarkStart w:id="1453" w:name="_Toc31368"/>
      <w:bookmarkStart w:id="1454" w:name="_Toc389586443"/>
      <w:bookmarkStart w:id="1455" w:name="_Toc18648"/>
      <w:bookmarkStart w:id="1456" w:name="_Toc7306"/>
      <w:r>
        <w:rPr>
          <w:rFonts w:hint="eastAsia" w:ascii="楷体_GB2312" w:hAnsi="楷体_GB2312" w:eastAsia="楷体_GB2312" w:cs="楷体_GB2312"/>
          <w:b w:val="0"/>
          <w:bCs w:val="0"/>
          <w:color w:val="auto"/>
          <w:sz w:val="24"/>
          <w:szCs w:val="24"/>
          <w:highlight w:val="none"/>
        </w:rPr>
        <w:t>7.3 测量放线</w:t>
      </w:r>
      <w:bookmarkEnd w:id="1450"/>
      <w:bookmarkEnd w:id="1451"/>
      <w:bookmarkEnd w:id="1452"/>
      <w:bookmarkEnd w:id="1453"/>
      <w:bookmarkEnd w:id="1454"/>
      <w:bookmarkEnd w:id="1455"/>
      <w:bookmarkEnd w:id="1456"/>
    </w:p>
    <w:p w14:paraId="4852B39A">
      <w:pPr>
        <w:pageBreakBefore w:val="0"/>
        <w:kinsoku/>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承包人提供测量基准点、基准线和水准点及其书面资料的期限：</w:t>
      </w:r>
      <w:r>
        <w:rPr>
          <w:rFonts w:hint="eastAsia" w:ascii="仿宋_GB2312" w:hAnsi="仿宋_GB2312" w:eastAsia="仿宋_GB2312" w:cs="仿宋_GB2312"/>
          <w:color w:val="auto"/>
          <w:sz w:val="24"/>
          <w:szCs w:val="24"/>
          <w:highlight w:val="none"/>
          <w:u w:val="single"/>
        </w:rPr>
        <w:t xml:space="preserve"> 实际开工日期3天前    </w:t>
      </w:r>
      <w:r>
        <w:rPr>
          <w:rFonts w:hint="eastAsia" w:ascii="仿宋_GB2312" w:hAnsi="仿宋_GB2312" w:eastAsia="仿宋_GB2312" w:cs="仿宋_GB2312"/>
          <w:color w:val="auto"/>
          <w:sz w:val="24"/>
          <w:szCs w:val="24"/>
          <w:highlight w:val="none"/>
        </w:rPr>
        <w:t>。</w:t>
      </w:r>
    </w:p>
    <w:p w14:paraId="3DFFD429">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457" w:name="_Toc26099"/>
      <w:bookmarkStart w:id="1458" w:name="_Toc6659"/>
      <w:bookmarkStart w:id="1459" w:name="_Toc4764"/>
      <w:bookmarkStart w:id="1460" w:name="_Toc29566"/>
      <w:bookmarkStart w:id="1461" w:name="_Toc13103"/>
      <w:bookmarkStart w:id="1462" w:name="_Toc32395"/>
      <w:bookmarkStart w:id="1463" w:name="_Toc389586444"/>
      <w:r>
        <w:rPr>
          <w:rFonts w:hint="eastAsia" w:ascii="楷体_GB2312" w:hAnsi="楷体_GB2312" w:eastAsia="楷体_GB2312" w:cs="楷体_GB2312"/>
          <w:b w:val="0"/>
          <w:bCs w:val="0"/>
          <w:color w:val="auto"/>
          <w:sz w:val="24"/>
          <w:szCs w:val="24"/>
          <w:highlight w:val="none"/>
        </w:rPr>
        <w:t>7.4 工期延误</w:t>
      </w:r>
      <w:bookmarkEnd w:id="1457"/>
      <w:bookmarkEnd w:id="1458"/>
      <w:bookmarkEnd w:id="1459"/>
      <w:bookmarkEnd w:id="1460"/>
      <w:bookmarkEnd w:id="1461"/>
      <w:bookmarkEnd w:id="1462"/>
      <w:bookmarkEnd w:id="1463"/>
    </w:p>
    <w:p w14:paraId="36731168">
      <w:pPr>
        <w:pageBreakBefore w:val="0"/>
        <w:kinsoku/>
        <w:wordWrap/>
        <w:overflowPunct/>
        <w:topLinePunct w:val="0"/>
        <w:bidi w:val="0"/>
        <w:adjustRightInd w:val="0"/>
        <w:snapToGrid w:val="0"/>
        <w:spacing w:line="400" w:lineRule="exact"/>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7.4.1因分包人原因造成工期延误，分包人应承担的逾期完工违约责任：</w:t>
      </w:r>
      <w:r>
        <w:rPr>
          <w:rFonts w:hint="eastAsia" w:ascii="仿宋_GB2312" w:hAnsi="仿宋_GB2312" w:eastAsia="仿宋_GB2312" w:cs="仿宋_GB2312"/>
          <w:color w:val="auto"/>
          <w:sz w:val="24"/>
          <w:szCs w:val="24"/>
          <w:highlight w:val="none"/>
          <w:u w:val="single"/>
        </w:rPr>
        <w:t xml:space="preserve"> 按照专用合同条款第21.2.1款执行 </w:t>
      </w:r>
      <w:r>
        <w:rPr>
          <w:rFonts w:hint="eastAsia" w:ascii="仿宋_GB2312" w:hAnsi="仿宋_GB2312" w:eastAsia="仿宋_GB2312" w:cs="仿宋_GB2312"/>
          <w:color w:val="auto"/>
          <w:sz w:val="24"/>
          <w:szCs w:val="24"/>
          <w:highlight w:val="none"/>
        </w:rPr>
        <w:t>。</w:t>
      </w:r>
    </w:p>
    <w:p w14:paraId="403DA00C">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464" w:name="_Toc30286"/>
      <w:bookmarkStart w:id="1465" w:name="_Toc31419"/>
      <w:bookmarkStart w:id="1466" w:name="_Toc27008"/>
      <w:bookmarkStart w:id="1467" w:name="_Toc30219"/>
      <w:bookmarkStart w:id="1468" w:name="_Toc27523"/>
      <w:bookmarkStart w:id="1469" w:name="_Toc389586445"/>
      <w:bookmarkStart w:id="1470" w:name="_Toc10978"/>
      <w:r>
        <w:rPr>
          <w:rFonts w:hint="eastAsia" w:ascii="楷体_GB2312" w:hAnsi="楷体_GB2312" w:eastAsia="楷体_GB2312" w:cs="楷体_GB2312"/>
          <w:b w:val="0"/>
          <w:bCs w:val="0"/>
          <w:color w:val="auto"/>
          <w:sz w:val="24"/>
          <w:szCs w:val="24"/>
          <w:highlight w:val="none"/>
        </w:rPr>
        <w:t>7.5 不利物质条件</w:t>
      </w:r>
      <w:bookmarkEnd w:id="1464"/>
      <w:bookmarkEnd w:id="1465"/>
      <w:bookmarkEnd w:id="1466"/>
      <w:bookmarkEnd w:id="1467"/>
      <w:bookmarkEnd w:id="1468"/>
      <w:bookmarkEnd w:id="1469"/>
      <w:bookmarkEnd w:id="1470"/>
    </w:p>
    <w:p w14:paraId="19DDC52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不利物质条件的其他情形：</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101ACEA6">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471" w:name="_Toc389586446"/>
      <w:bookmarkStart w:id="1472" w:name="_Toc28081"/>
      <w:bookmarkStart w:id="1473" w:name="_Toc29957"/>
      <w:bookmarkStart w:id="1474" w:name="_Toc6998"/>
      <w:bookmarkStart w:id="1475" w:name="_Toc18399"/>
      <w:bookmarkStart w:id="1476" w:name="_Toc25827"/>
      <w:bookmarkStart w:id="1477" w:name="_Toc3950"/>
      <w:r>
        <w:rPr>
          <w:rFonts w:hint="eastAsia" w:ascii="楷体_GB2312" w:hAnsi="楷体_GB2312" w:eastAsia="楷体_GB2312" w:cs="楷体_GB2312"/>
          <w:b w:val="0"/>
          <w:bCs w:val="0"/>
          <w:color w:val="auto"/>
          <w:sz w:val="24"/>
          <w:szCs w:val="24"/>
          <w:highlight w:val="none"/>
        </w:rPr>
        <w:t>7.6 异常恶劣的气候条件</w:t>
      </w:r>
      <w:bookmarkEnd w:id="1471"/>
      <w:bookmarkEnd w:id="1472"/>
      <w:bookmarkEnd w:id="1473"/>
      <w:bookmarkEnd w:id="1474"/>
      <w:bookmarkEnd w:id="1475"/>
      <w:bookmarkEnd w:id="1476"/>
      <w:bookmarkEnd w:id="1477"/>
    </w:p>
    <w:p w14:paraId="35750C9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异常恶劣的气候条件包括：</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1C5111BC">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478" w:name="_Toc17080"/>
      <w:bookmarkStart w:id="1479" w:name="_Toc19043"/>
      <w:bookmarkStart w:id="1480" w:name="_Toc389586447"/>
      <w:bookmarkStart w:id="1481" w:name="_Toc10971"/>
      <w:bookmarkStart w:id="1482" w:name="_Toc31297"/>
      <w:bookmarkStart w:id="1483" w:name="_Toc14121"/>
      <w:bookmarkStart w:id="1484" w:name="_Toc29183"/>
      <w:r>
        <w:rPr>
          <w:rFonts w:hint="eastAsia" w:ascii="黑体" w:hAnsi="黑体" w:eastAsia="黑体" w:cs="黑体"/>
          <w:b w:val="0"/>
          <w:bCs w:val="0"/>
          <w:color w:val="auto"/>
          <w:sz w:val="24"/>
          <w:szCs w:val="24"/>
          <w:highlight w:val="none"/>
        </w:rPr>
        <w:t>8. 材料与设备</w:t>
      </w:r>
      <w:bookmarkEnd w:id="1478"/>
      <w:bookmarkEnd w:id="1479"/>
      <w:bookmarkEnd w:id="1480"/>
      <w:bookmarkEnd w:id="1481"/>
      <w:bookmarkEnd w:id="1482"/>
      <w:bookmarkEnd w:id="1483"/>
      <w:bookmarkEnd w:id="1484"/>
    </w:p>
    <w:p w14:paraId="0DF73BBA">
      <w:pPr>
        <w:pageBreakBefore w:val="0"/>
        <w:widowControl w:val="0"/>
        <w:kinsoku/>
        <w:overflowPunct/>
        <w:topLinePunct w:val="0"/>
        <w:autoSpaceDE/>
        <w:autoSpaceDN/>
        <w:bidi w:val="0"/>
        <w:adjustRightInd w:val="0"/>
        <w:snapToGrid w:val="0"/>
        <w:spacing w:line="400" w:lineRule="exact"/>
        <w:ind w:firstLine="480" w:firstLineChars="200"/>
        <w:textAlignment w:val="auto"/>
        <w:outlineLvl w:val="2"/>
        <w:rPr>
          <w:rFonts w:hint="eastAsia" w:ascii="楷体_GB2312" w:hAnsi="楷体_GB2312" w:eastAsia="楷体_GB2312" w:cs="楷体_GB2312"/>
          <w:b w:val="0"/>
          <w:bCs w:val="0"/>
          <w:color w:val="auto"/>
          <w:sz w:val="24"/>
          <w:szCs w:val="24"/>
          <w:highlight w:val="none"/>
        </w:rPr>
      </w:pPr>
      <w:bookmarkStart w:id="1485" w:name="_Toc12408"/>
      <w:bookmarkStart w:id="1486" w:name="_Toc7546"/>
      <w:bookmarkStart w:id="1487" w:name="_Toc1109"/>
      <w:bookmarkStart w:id="1488" w:name="_Toc24449"/>
      <w:bookmarkStart w:id="1489" w:name="_Toc389586448"/>
      <w:bookmarkStart w:id="1490" w:name="_Toc29536"/>
      <w:bookmarkStart w:id="1491" w:name="_Toc18906"/>
      <w:r>
        <w:rPr>
          <w:rFonts w:hint="eastAsia" w:ascii="楷体_GB2312" w:hAnsi="楷体_GB2312" w:eastAsia="楷体_GB2312" w:cs="楷体_GB2312"/>
          <w:b w:val="0"/>
          <w:bCs w:val="0"/>
          <w:color w:val="auto"/>
          <w:sz w:val="24"/>
          <w:szCs w:val="24"/>
          <w:highlight w:val="none"/>
        </w:rPr>
        <w:t>8.1 承包人供应材料与工程设备</w:t>
      </w:r>
      <w:bookmarkEnd w:id="1485"/>
      <w:bookmarkEnd w:id="1486"/>
      <w:bookmarkEnd w:id="1487"/>
      <w:bookmarkEnd w:id="1488"/>
      <w:bookmarkEnd w:id="1489"/>
      <w:bookmarkEnd w:id="1490"/>
      <w:bookmarkEnd w:id="1491"/>
    </w:p>
    <w:p w14:paraId="43A92C5D">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sz w:val="24"/>
          <w:szCs w:val="24"/>
          <w:highlight w:val="none"/>
        </w:rPr>
      </w:pPr>
      <w:bookmarkStart w:id="1492" w:name="_Toc30333"/>
      <w:bookmarkStart w:id="1493" w:name="_Toc4380"/>
      <w:r>
        <w:rPr>
          <w:rFonts w:hint="eastAsia" w:ascii="仿宋_GB2312" w:hAnsi="仿宋_GB2312" w:eastAsia="仿宋_GB2312" w:cs="仿宋_GB2312"/>
          <w:color w:val="auto"/>
          <w:sz w:val="24"/>
          <w:szCs w:val="24"/>
          <w:highlight w:val="none"/>
        </w:rPr>
        <w:t>8.1.1 分包人不得自行采购应由承包人供应的的材料和工程设备用于分包工程，否则视为分包人违约，承包人有权解除合同并要求分包人承担由此造成的一切损失。承包人在支付分包人工程款时，有权优先抵扣承包人向分包人供应的材料款和工程设备款。</w:t>
      </w:r>
      <w:bookmarkEnd w:id="1492"/>
      <w:bookmarkEnd w:id="1493"/>
    </w:p>
    <w:p w14:paraId="03432016">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8.1.2 承包人供应材料和工程设备的损耗率：</w:t>
      </w:r>
      <w:r>
        <w:rPr>
          <w:rFonts w:hint="eastAsia" w:ascii="仿宋_GB2312" w:hAnsi="仿宋_GB2312" w:eastAsia="仿宋_GB2312" w:cs="仿宋_GB2312"/>
          <w:color w:val="auto"/>
          <w:sz w:val="24"/>
          <w:szCs w:val="24"/>
          <w:highlight w:val="none"/>
          <w:u w:val="single"/>
        </w:rPr>
        <w:t xml:space="preserve"> 分包人包工包料  </w:t>
      </w:r>
      <w:r>
        <w:rPr>
          <w:rFonts w:hint="eastAsia" w:ascii="仿宋_GB2312" w:hAnsi="仿宋_GB2312" w:eastAsia="仿宋_GB2312" w:cs="仿宋_GB2312"/>
          <w:color w:val="auto"/>
          <w:sz w:val="24"/>
          <w:szCs w:val="24"/>
          <w:highlight w:val="none"/>
        </w:rPr>
        <w:t>。</w:t>
      </w:r>
    </w:p>
    <w:p w14:paraId="5CC52A20">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8.1.3 分包人通知承包人材料、工程设备进场时间的期限：</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49F3EB19">
      <w:pPr>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outlineLvl w:val="2"/>
        <w:rPr>
          <w:rFonts w:hint="eastAsia" w:ascii="仿宋_GB2312" w:hAnsi="仿宋_GB2312" w:eastAsia="仿宋_GB2312" w:cs="仿宋_GB2312"/>
          <w:b/>
          <w:color w:val="auto"/>
          <w:sz w:val="24"/>
          <w:szCs w:val="24"/>
          <w:highlight w:val="none"/>
        </w:rPr>
      </w:pPr>
      <w:bookmarkStart w:id="1494" w:name="_Toc28668"/>
      <w:bookmarkStart w:id="1495" w:name="_Toc25100"/>
      <w:bookmarkStart w:id="1496" w:name="_Toc26616"/>
      <w:bookmarkStart w:id="1497" w:name="_Toc389586449"/>
      <w:bookmarkStart w:id="1498" w:name="_Toc25751"/>
      <w:bookmarkStart w:id="1499" w:name="_Toc9776"/>
      <w:bookmarkStart w:id="1500" w:name="_Toc13095"/>
      <w:r>
        <w:rPr>
          <w:rFonts w:hint="eastAsia" w:ascii="楷体_GB2312" w:hAnsi="楷体_GB2312" w:eastAsia="楷体_GB2312" w:cs="楷体_GB2312"/>
          <w:b w:val="0"/>
          <w:bCs w:val="0"/>
          <w:color w:val="auto"/>
          <w:sz w:val="24"/>
          <w:szCs w:val="24"/>
          <w:highlight w:val="none"/>
        </w:rPr>
        <w:t>8.2 分包人供应材料与工程设备</w:t>
      </w:r>
      <w:bookmarkEnd w:id="1494"/>
      <w:bookmarkEnd w:id="1495"/>
      <w:bookmarkEnd w:id="1496"/>
      <w:bookmarkEnd w:id="1497"/>
      <w:bookmarkEnd w:id="1498"/>
      <w:bookmarkEnd w:id="1499"/>
      <w:bookmarkEnd w:id="1500"/>
    </w:p>
    <w:p w14:paraId="655C236B">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8.2.1 </w:t>
      </w:r>
      <w:r>
        <w:rPr>
          <w:rFonts w:hint="eastAsia" w:ascii="仿宋_GB2312" w:hAnsi="仿宋_GB2312" w:eastAsia="仿宋_GB2312" w:cs="仿宋_GB2312"/>
          <w:color w:val="auto"/>
          <w:sz w:val="24"/>
          <w:szCs w:val="24"/>
          <w:highlight w:val="none"/>
        </w:rPr>
        <w:t>分包人负责采购的材料、设备必须按照总包合同的约定以及材料、设备的有关标准要求采购，所用材料、设备必须合格，并提供产品合格证明（产品出厂合格证、相关试验、检验、检测合格证明、国家环保标准合格证明等），采用进口产品，应提供进口报关单、完税证明及商检证明；分包人对采购材料、设备的质量负责；分包人在材料到货后4小时内通知承包人工程师清点</w:t>
      </w:r>
      <w:r>
        <w:rPr>
          <w:rFonts w:hint="eastAsia" w:ascii="仿宋_GB2312" w:hAnsi="仿宋_GB2312" w:eastAsia="仿宋_GB2312" w:cs="仿宋_GB2312"/>
          <w:color w:val="auto"/>
          <w:kern w:val="0"/>
          <w:sz w:val="24"/>
          <w:szCs w:val="24"/>
          <w:highlight w:val="none"/>
        </w:rPr>
        <w:t>。</w:t>
      </w:r>
    </w:p>
    <w:p w14:paraId="6E07B052">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8.2.2</w:t>
      </w:r>
      <w:r>
        <w:rPr>
          <w:rFonts w:hint="eastAsia" w:ascii="仿宋_GB2312" w:hAnsi="仿宋_GB2312" w:eastAsia="仿宋_GB2312" w:cs="仿宋_GB2312"/>
          <w:color w:val="auto"/>
          <w:sz w:val="24"/>
          <w:szCs w:val="24"/>
          <w:highlight w:val="none"/>
        </w:rPr>
        <w:t>主要材料的品牌选择必须符合承包人或业主的要求。如未经承包人或业主同意，擅自使用非投标品牌，承包人有权要求返工并罚款材料费的两倍</w:t>
      </w:r>
      <w:r>
        <w:rPr>
          <w:rFonts w:hint="eastAsia" w:ascii="仿宋_GB2312" w:hAnsi="仿宋_GB2312" w:eastAsia="仿宋_GB2312" w:cs="仿宋_GB2312"/>
          <w:color w:val="auto"/>
          <w:kern w:val="0"/>
          <w:sz w:val="24"/>
          <w:szCs w:val="24"/>
          <w:highlight w:val="none"/>
        </w:rPr>
        <w:t>。</w:t>
      </w:r>
    </w:p>
    <w:p w14:paraId="76742BFE">
      <w:pPr>
        <w:pageBreakBefore w:val="0"/>
        <w:kinsoku/>
        <w:wordWrap w:val="0"/>
        <w:overflowPunct/>
        <w:topLinePunct w:val="0"/>
        <w:bidi w:val="0"/>
        <w:adjustRightInd w:val="0"/>
        <w:snapToGrid w:val="0"/>
        <w:spacing w:line="400" w:lineRule="exact"/>
        <w:ind w:firstLine="46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8.2.3 分包人对其所采购的材料和工程设备的质量瑕疵的责任不因承包人的验收而免除。</w:t>
      </w:r>
    </w:p>
    <w:p w14:paraId="0CD4457F">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01" w:name="_Toc354"/>
      <w:bookmarkStart w:id="1502" w:name="_Toc24711"/>
      <w:bookmarkStart w:id="1503" w:name="_Toc28541"/>
      <w:bookmarkStart w:id="1504" w:name="_Toc16313"/>
      <w:bookmarkStart w:id="1505" w:name="_Toc389586450"/>
      <w:bookmarkStart w:id="1506" w:name="_Toc10280"/>
      <w:bookmarkStart w:id="1507" w:name="_Toc25573"/>
      <w:r>
        <w:rPr>
          <w:rFonts w:hint="eastAsia" w:ascii="楷体_GB2312" w:hAnsi="楷体_GB2312" w:eastAsia="楷体_GB2312" w:cs="楷体_GB2312"/>
          <w:b w:val="0"/>
          <w:bCs w:val="0"/>
          <w:color w:val="auto"/>
          <w:sz w:val="24"/>
          <w:szCs w:val="24"/>
          <w:highlight w:val="none"/>
        </w:rPr>
        <w:t>8.3样品</w:t>
      </w:r>
      <w:bookmarkEnd w:id="1501"/>
      <w:bookmarkEnd w:id="1502"/>
      <w:bookmarkEnd w:id="1503"/>
      <w:bookmarkEnd w:id="1504"/>
      <w:bookmarkEnd w:id="1505"/>
      <w:bookmarkEnd w:id="1506"/>
      <w:bookmarkEnd w:id="1507"/>
    </w:p>
    <w:p w14:paraId="43AB73B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需要分包人报送样品的材料或工程设备，样品的种类、名称、规格、数量要求：</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07F59E75">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08" w:name="_Toc21073"/>
      <w:bookmarkStart w:id="1509" w:name="_Toc8731"/>
      <w:bookmarkStart w:id="1510" w:name="_Toc389586451"/>
      <w:bookmarkStart w:id="1511" w:name="_Toc31169"/>
      <w:bookmarkStart w:id="1512" w:name="_Toc31338"/>
      <w:bookmarkStart w:id="1513" w:name="_Toc3621"/>
      <w:bookmarkStart w:id="1514" w:name="_Toc30027"/>
      <w:r>
        <w:rPr>
          <w:rFonts w:hint="eastAsia" w:ascii="楷体_GB2312" w:hAnsi="楷体_GB2312" w:eastAsia="楷体_GB2312" w:cs="楷体_GB2312"/>
          <w:b w:val="0"/>
          <w:bCs w:val="0"/>
          <w:color w:val="auto"/>
          <w:sz w:val="24"/>
          <w:szCs w:val="24"/>
          <w:highlight w:val="none"/>
        </w:rPr>
        <w:t>8.4 材料与工程设备的替代</w:t>
      </w:r>
      <w:bookmarkEnd w:id="1508"/>
      <w:bookmarkEnd w:id="1509"/>
      <w:bookmarkEnd w:id="1510"/>
      <w:bookmarkEnd w:id="1511"/>
      <w:bookmarkEnd w:id="1512"/>
      <w:bookmarkEnd w:id="1513"/>
      <w:bookmarkEnd w:id="1514"/>
    </w:p>
    <w:p w14:paraId="5241C3F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关于材料与工程设备替代的约定：</w:t>
      </w:r>
      <w:r>
        <w:rPr>
          <w:rFonts w:hint="eastAsia" w:ascii="仿宋_GB2312" w:hAnsi="仿宋_GB2312" w:eastAsia="仿宋_GB2312" w:cs="仿宋_GB2312"/>
          <w:color w:val="auto"/>
          <w:kern w:val="0"/>
          <w:sz w:val="24"/>
          <w:szCs w:val="24"/>
          <w:highlight w:val="none"/>
          <w:u w:val="single"/>
        </w:rPr>
        <w:t xml:space="preserve">  /   </w:t>
      </w:r>
      <w:r>
        <w:rPr>
          <w:rFonts w:hint="eastAsia" w:ascii="仿宋_GB2312" w:hAnsi="仿宋_GB2312" w:eastAsia="仿宋_GB2312" w:cs="仿宋_GB2312"/>
          <w:color w:val="auto"/>
          <w:kern w:val="0"/>
          <w:sz w:val="24"/>
          <w:szCs w:val="24"/>
          <w:highlight w:val="none"/>
        </w:rPr>
        <w:t>。</w:t>
      </w:r>
    </w:p>
    <w:p w14:paraId="2743C43A">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15" w:name="_Toc389586452"/>
      <w:bookmarkStart w:id="1516" w:name="_Toc12703"/>
      <w:bookmarkStart w:id="1517" w:name="_Toc5821"/>
      <w:bookmarkStart w:id="1518" w:name="_Toc4719"/>
      <w:bookmarkStart w:id="1519" w:name="_Toc20057"/>
      <w:bookmarkStart w:id="1520" w:name="_Toc25901"/>
      <w:bookmarkStart w:id="1521" w:name="_Toc10470"/>
      <w:r>
        <w:rPr>
          <w:rFonts w:hint="eastAsia" w:ascii="楷体_GB2312" w:hAnsi="楷体_GB2312" w:eastAsia="楷体_GB2312" w:cs="楷体_GB2312"/>
          <w:b w:val="0"/>
          <w:bCs w:val="0"/>
          <w:color w:val="auto"/>
          <w:sz w:val="24"/>
          <w:szCs w:val="24"/>
          <w:highlight w:val="none"/>
        </w:rPr>
        <w:t>8.5 施工设备和临时设施</w:t>
      </w:r>
      <w:bookmarkEnd w:id="1515"/>
      <w:bookmarkEnd w:id="1516"/>
      <w:bookmarkEnd w:id="1517"/>
      <w:bookmarkEnd w:id="1518"/>
      <w:bookmarkEnd w:id="1519"/>
      <w:bookmarkEnd w:id="1520"/>
      <w:bookmarkEnd w:id="1521"/>
    </w:p>
    <w:p w14:paraId="6CE19BD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承包人提供的施工设备和临时设施包括：</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43D9DF44">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22" w:name="_Toc389586453"/>
      <w:bookmarkStart w:id="1523" w:name="_Toc25930"/>
      <w:bookmarkStart w:id="1524" w:name="_Toc19894"/>
      <w:bookmarkStart w:id="1525" w:name="_Toc30742"/>
      <w:bookmarkStart w:id="1526" w:name="_Toc4767"/>
      <w:bookmarkStart w:id="1527" w:name="_Toc16546"/>
      <w:bookmarkStart w:id="1528" w:name="_Toc32311"/>
      <w:r>
        <w:rPr>
          <w:rFonts w:hint="eastAsia" w:ascii="黑体" w:hAnsi="黑体" w:eastAsia="黑体" w:cs="黑体"/>
          <w:b w:val="0"/>
          <w:bCs w:val="0"/>
          <w:color w:val="auto"/>
          <w:sz w:val="24"/>
          <w:szCs w:val="24"/>
          <w:highlight w:val="none"/>
        </w:rPr>
        <w:t>9. 试验和检验</w:t>
      </w:r>
      <w:bookmarkEnd w:id="1522"/>
      <w:bookmarkEnd w:id="1523"/>
      <w:bookmarkEnd w:id="1524"/>
      <w:bookmarkEnd w:id="1525"/>
      <w:bookmarkEnd w:id="1526"/>
      <w:bookmarkEnd w:id="1527"/>
      <w:bookmarkEnd w:id="1528"/>
      <w:r>
        <w:rPr>
          <w:rFonts w:hint="eastAsia" w:ascii="仿宋_GB2312" w:hAnsi="仿宋_GB2312" w:eastAsia="仿宋_GB2312" w:cs="仿宋_GB2312"/>
          <w:color w:val="auto"/>
          <w:sz w:val="24"/>
          <w:szCs w:val="24"/>
          <w:highlight w:val="none"/>
        </w:rPr>
        <w:t xml:space="preserve"> </w:t>
      </w:r>
    </w:p>
    <w:p w14:paraId="57F356D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关于试验和检验的约定：</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按照总包合同相关规定执行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4A002374">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529" w:name="_Toc29531"/>
      <w:bookmarkStart w:id="1530" w:name="_Toc6889"/>
      <w:bookmarkStart w:id="1531" w:name="_Toc30279"/>
      <w:bookmarkStart w:id="1532" w:name="_Toc17536"/>
      <w:bookmarkStart w:id="1533" w:name="_Toc32338"/>
      <w:bookmarkStart w:id="1534" w:name="_Toc389586454"/>
      <w:bookmarkStart w:id="1535" w:name="_Toc1553"/>
      <w:r>
        <w:rPr>
          <w:rFonts w:hint="eastAsia" w:ascii="黑体" w:hAnsi="黑体" w:eastAsia="黑体" w:cs="黑体"/>
          <w:b w:val="0"/>
          <w:bCs w:val="0"/>
          <w:color w:val="auto"/>
          <w:sz w:val="24"/>
          <w:szCs w:val="24"/>
          <w:highlight w:val="none"/>
        </w:rPr>
        <w:t>10. 分包合同变更</w:t>
      </w:r>
      <w:bookmarkEnd w:id="1529"/>
      <w:bookmarkEnd w:id="1530"/>
      <w:bookmarkEnd w:id="1531"/>
      <w:bookmarkEnd w:id="1532"/>
      <w:bookmarkEnd w:id="1533"/>
      <w:bookmarkEnd w:id="1534"/>
      <w:bookmarkEnd w:id="1535"/>
    </w:p>
    <w:p w14:paraId="0CB3A99F">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36" w:name="_Toc7317"/>
      <w:bookmarkStart w:id="1537" w:name="_Toc12543"/>
      <w:bookmarkStart w:id="1538" w:name="_Toc16346"/>
      <w:bookmarkStart w:id="1539" w:name="_Toc20264"/>
      <w:bookmarkStart w:id="1540" w:name="_Toc389586455"/>
      <w:bookmarkStart w:id="1541" w:name="_Toc17214"/>
      <w:bookmarkStart w:id="1542" w:name="_Toc5994"/>
      <w:r>
        <w:rPr>
          <w:rFonts w:hint="eastAsia" w:ascii="楷体_GB2312" w:hAnsi="楷体_GB2312" w:eastAsia="楷体_GB2312" w:cs="楷体_GB2312"/>
          <w:b w:val="0"/>
          <w:bCs w:val="0"/>
          <w:color w:val="auto"/>
          <w:sz w:val="24"/>
          <w:szCs w:val="24"/>
          <w:highlight w:val="none"/>
        </w:rPr>
        <w:t>10.1 分包合同变更的范围</w:t>
      </w:r>
      <w:bookmarkEnd w:id="1536"/>
      <w:bookmarkEnd w:id="1537"/>
      <w:bookmarkEnd w:id="1538"/>
      <w:bookmarkEnd w:id="1539"/>
      <w:bookmarkEnd w:id="1540"/>
      <w:bookmarkEnd w:id="1541"/>
      <w:bookmarkEnd w:id="1542"/>
    </w:p>
    <w:p w14:paraId="6778083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关于分包合同变更范围的约定：</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2F88528C">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543" w:name="_Toc8922"/>
      <w:bookmarkStart w:id="1544" w:name="_Toc8909"/>
      <w:bookmarkStart w:id="1545" w:name="_Toc27303"/>
      <w:bookmarkStart w:id="1546" w:name="_Toc9535"/>
      <w:bookmarkStart w:id="1547" w:name="_Toc19283"/>
      <w:bookmarkStart w:id="1548" w:name="_Toc389586456"/>
      <w:bookmarkStart w:id="1549" w:name="_Toc1595"/>
      <w:r>
        <w:rPr>
          <w:rFonts w:hint="eastAsia" w:ascii="楷体_GB2312" w:hAnsi="楷体_GB2312" w:eastAsia="楷体_GB2312" w:cs="楷体_GB2312"/>
          <w:b w:val="0"/>
          <w:bCs w:val="0"/>
          <w:color w:val="auto"/>
          <w:sz w:val="24"/>
          <w:szCs w:val="24"/>
          <w:highlight w:val="none"/>
        </w:rPr>
        <w:t>10.2 分包合同变更估价</w:t>
      </w:r>
      <w:bookmarkEnd w:id="1543"/>
      <w:bookmarkEnd w:id="1544"/>
      <w:bookmarkEnd w:id="1545"/>
      <w:bookmarkEnd w:id="1546"/>
      <w:bookmarkEnd w:id="1547"/>
      <w:bookmarkEnd w:id="1548"/>
      <w:bookmarkEnd w:id="1549"/>
    </w:p>
    <w:p w14:paraId="796FB2BA">
      <w:pPr>
        <w:pStyle w:val="5"/>
        <w:pageBreakBefore w:val="0"/>
        <w:kinsoku/>
        <w:wordWrap w:val="0"/>
        <w:overflowPunct/>
        <w:topLinePunct w:val="0"/>
        <w:bidi w:val="0"/>
        <w:adjustRightInd w:val="0"/>
        <w:snapToGrid w:val="0"/>
        <w:spacing w:before="0" w:after="0" w:line="400" w:lineRule="exact"/>
        <w:ind w:firstLine="480" w:firstLineChars="200"/>
        <w:jc w:val="left"/>
        <w:rPr>
          <w:rFonts w:hint="eastAsia" w:ascii="仿宋_GB2312" w:hAnsi="仿宋_GB2312" w:eastAsia="仿宋_GB2312" w:cs="仿宋_GB2312"/>
          <w:color w:val="auto"/>
          <w:sz w:val="24"/>
          <w:szCs w:val="24"/>
          <w:highlight w:val="none"/>
        </w:rPr>
      </w:pPr>
      <w:bookmarkStart w:id="1550" w:name="_Toc12278"/>
      <w:r>
        <w:rPr>
          <w:rFonts w:hint="eastAsia" w:ascii="仿宋_GB2312" w:hAnsi="仿宋_GB2312" w:eastAsia="仿宋_GB2312" w:cs="仿宋_GB2312"/>
          <w:b w:val="0"/>
          <w:bCs w:val="0"/>
          <w:color w:val="auto"/>
          <w:sz w:val="24"/>
          <w:szCs w:val="24"/>
          <w:highlight w:val="none"/>
        </w:rPr>
        <w:t>10.2.1</w:t>
      </w:r>
      <w:r>
        <w:rPr>
          <w:rFonts w:hint="eastAsia" w:ascii="仿宋_GB2312" w:hAnsi="仿宋_GB2312" w:eastAsia="仿宋_GB2312" w:cs="仿宋_GB2312"/>
          <w:color w:val="auto"/>
          <w:sz w:val="24"/>
          <w:szCs w:val="24"/>
          <w:highlight w:val="none"/>
        </w:rPr>
        <w:t xml:space="preserve"> </w:t>
      </w:r>
      <w:bookmarkEnd w:id="1550"/>
      <w:r>
        <w:rPr>
          <w:rFonts w:hint="eastAsia" w:ascii="仿宋_GB2312" w:hAnsi="仿宋_GB2312" w:eastAsia="仿宋_GB2312" w:cs="仿宋_GB2312"/>
          <w:color w:val="auto"/>
          <w:sz w:val="24"/>
          <w:szCs w:val="24"/>
          <w:highlight w:val="none"/>
        </w:rPr>
        <w:t xml:space="preserve"> 变更估价程序</w:t>
      </w:r>
    </w:p>
    <w:p w14:paraId="1C7ECD9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与合同工作内容相关的工作一律不办理签证。特殊情况下，发生合同工作范围外的工作时，必须办理承包人统一格式的变更签证单，签证单必须提供签证发生的完整支持资料（包括但不限于签证工程指令签发的确切时间及编号、签证事实发生完成时间及签证单提交的日期、签证的依据、签证事实及完成情况简述、涉及的工程量、其它需注明的情况等），在事件发生之日起七天内申报，签证单编号连续，并且所有审核人员签名齐全。以上任何一点不符合本条款规定，则视为无效签证，不予计量。</w:t>
      </w:r>
    </w:p>
    <w:p w14:paraId="01BEEDF3">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51" w:name="_Toc31849"/>
      <w:bookmarkStart w:id="1552" w:name="_Toc1536"/>
      <w:bookmarkStart w:id="1553" w:name="_Toc389586458"/>
      <w:bookmarkStart w:id="1554" w:name="_Toc405"/>
      <w:bookmarkStart w:id="1555" w:name="_Toc10715"/>
      <w:bookmarkStart w:id="1556" w:name="_Toc12126"/>
      <w:bookmarkStart w:id="1557" w:name="_Toc10906"/>
      <w:r>
        <w:rPr>
          <w:rFonts w:hint="eastAsia" w:ascii="楷体_GB2312" w:hAnsi="楷体_GB2312" w:eastAsia="楷体_GB2312" w:cs="楷体_GB2312"/>
          <w:b w:val="0"/>
          <w:bCs w:val="0"/>
          <w:color w:val="auto"/>
          <w:sz w:val="24"/>
          <w:szCs w:val="24"/>
          <w:highlight w:val="none"/>
        </w:rPr>
        <w:t>10.3 变更引起的工期调整</w:t>
      </w:r>
      <w:bookmarkEnd w:id="1551"/>
      <w:bookmarkEnd w:id="1552"/>
    </w:p>
    <w:bookmarkEnd w:id="1553"/>
    <w:bookmarkEnd w:id="1554"/>
    <w:bookmarkEnd w:id="1555"/>
    <w:bookmarkEnd w:id="1556"/>
    <w:bookmarkEnd w:id="1557"/>
    <w:p w14:paraId="38510566">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因变更引起工期变化的，确定增减工期天数的方法：</w:t>
      </w:r>
      <w:r>
        <w:rPr>
          <w:rFonts w:hint="eastAsia" w:ascii="仿宋_GB2312" w:hAnsi="仿宋_GB2312" w:eastAsia="仿宋_GB2312" w:cs="仿宋_GB2312"/>
          <w:color w:val="auto"/>
          <w:sz w:val="24"/>
          <w:szCs w:val="24"/>
          <w:highlight w:val="none"/>
          <w:u w:val="single"/>
        </w:rPr>
        <w:t xml:space="preserve"> 按照总包合同相关规定执行</w:t>
      </w:r>
      <w:r>
        <w:rPr>
          <w:rFonts w:hint="eastAsia" w:ascii="仿宋_GB2312" w:hAnsi="仿宋_GB2312" w:eastAsia="仿宋_GB2312" w:cs="仿宋_GB2312"/>
          <w:color w:val="auto"/>
          <w:sz w:val="24"/>
          <w:szCs w:val="24"/>
          <w:highlight w:val="none"/>
        </w:rPr>
        <w:t>。</w:t>
      </w:r>
    </w:p>
    <w:p w14:paraId="282BEB13">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10.4 变更原则</w:t>
      </w:r>
    </w:p>
    <w:p w14:paraId="43D67684">
      <w:pPr>
        <w:pageBreakBefore w:val="0"/>
        <w:widowControl w:val="0"/>
        <w:kinsoku/>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变更签证以本合同明确的承包范围及分包人的投标承诺为依据，以现场实际发生为事实，变更工程量不超过发包人审批的数量。</w:t>
      </w:r>
    </w:p>
    <w:p w14:paraId="61AE9F48">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58" w:name="_Toc11043"/>
      <w:bookmarkStart w:id="1559" w:name="_Toc11476"/>
      <w:bookmarkStart w:id="1560" w:name="_Toc16881"/>
      <w:bookmarkStart w:id="1561" w:name="_Toc12909"/>
      <w:bookmarkStart w:id="1562" w:name="_Toc389586459"/>
      <w:bookmarkStart w:id="1563" w:name="_Toc25934"/>
      <w:bookmarkStart w:id="1564" w:name="_Toc682"/>
      <w:r>
        <w:rPr>
          <w:rFonts w:hint="eastAsia" w:ascii="黑体" w:hAnsi="黑体" w:eastAsia="黑体" w:cs="黑体"/>
          <w:b w:val="0"/>
          <w:bCs w:val="0"/>
          <w:color w:val="auto"/>
          <w:sz w:val="24"/>
          <w:szCs w:val="24"/>
          <w:highlight w:val="none"/>
        </w:rPr>
        <w:t>11. 合同价格</w:t>
      </w:r>
      <w:bookmarkEnd w:id="1558"/>
      <w:bookmarkEnd w:id="1559"/>
      <w:bookmarkEnd w:id="1560"/>
      <w:bookmarkEnd w:id="1561"/>
      <w:bookmarkEnd w:id="1562"/>
      <w:bookmarkEnd w:id="1563"/>
      <w:bookmarkEnd w:id="1564"/>
    </w:p>
    <w:p w14:paraId="13B403C3">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65" w:name="_Toc4727"/>
      <w:r>
        <w:rPr>
          <w:rFonts w:hint="eastAsia" w:ascii="楷体_GB2312" w:hAnsi="楷体_GB2312" w:eastAsia="楷体_GB2312" w:cs="楷体_GB2312"/>
          <w:b w:val="0"/>
          <w:bCs w:val="0"/>
          <w:color w:val="auto"/>
          <w:sz w:val="24"/>
          <w:szCs w:val="24"/>
          <w:highlight w:val="none"/>
        </w:rPr>
        <w:t>11.1 单价合同</w:t>
      </w:r>
      <w:bookmarkEnd w:id="1565"/>
    </w:p>
    <w:p w14:paraId="26FC91D0">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综合单价包含的风险范围：</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57E41AA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风险费用的计算方法：</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31CAD834">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风险范围以外合同价格的调整方法：</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7EFB43F3">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566" w:name="_Toc17029"/>
      <w:r>
        <w:rPr>
          <w:rFonts w:hint="eastAsia" w:ascii="楷体_GB2312" w:hAnsi="楷体_GB2312" w:eastAsia="楷体_GB2312" w:cs="楷体_GB2312"/>
          <w:b w:val="0"/>
          <w:bCs w:val="0"/>
          <w:color w:val="auto"/>
          <w:sz w:val="24"/>
          <w:szCs w:val="24"/>
          <w:highlight w:val="none"/>
        </w:rPr>
        <w:t>11.2 总价合同</w:t>
      </w:r>
      <w:bookmarkEnd w:id="1566"/>
    </w:p>
    <w:p w14:paraId="1EA4273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总价包含的风险范围：</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0C95FD72">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风险费用的计算方法：</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25C64469">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风险范围以外合同价格的调整方法：</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43F32916">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 xml:space="preserve">11.3 </w:t>
      </w:r>
      <w:r>
        <w:rPr>
          <w:rFonts w:hint="eastAsia" w:ascii="仿宋_GB2312" w:hAnsi="仿宋_GB2312" w:eastAsia="仿宋_GB2312" w:cs="仿宋_GB2312"/>
          <w:color w:val="auto"/>
          <w:sz w:val="24"/>
          <w:szCs w:val="24"/>
          <w:highlight w:val="none"/>
        </w:rPr>
        <w:t>其他价格形式：</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78464D61">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67" w:name="_Toc30948"/>
      <w:bookmarkStart w:id="1568" w:name="_Toc28150"/>
      <w:bookmarkStart w:id="1569" w:name="_Toc389586460"/>
      <w:bookmarkStart w:id="1570" w:name="_Toc710"/>
      <w:bookmarkStart w:id="1571" w:name="_Toc27234"/>
      <w:bookmarkStart w:id="1572" w:name="_Toc6535"/>
      <w:bookmarkStart w:id="1573" w:name="_Toc16289"/>
      <w:r>
        <w:rPr>
          <w:rFonts w:hint="eastAsia" w:ascii="黑体" w:hAnsi="黑体" w:eastAsia="黑体" w:cs="黑体"/>
          <w:b w:val="0"/>
          <w:bCs w:val="0"/>
          <w:color w:val="auto"/>
          <w:sz w:val="24"/>
          <w:szCs w:val="24"/>
          <w:highlight w:val="none"/>
        </w:rPr>
        <w:t>12. 价格调整</w:t>
      </w:r>
      <w:bookmarkEnd w:id="1567"/>
      <w:bookmarkEnd w:id="1568"/>
      <w:bookmarkEnd w:id="1569"/>
      <w:bookmarkEnd w:id="1570"/>
      <w:bookmarkEnd w:id="1571"/>
      <w:bookmarkEnd w:id="1572"/>
      <w:bookmarkEnd w:id="1573"/>
    </w:p>
    <w:p w14:paraId="5E6279E5">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74" w:name="_Toc6789"/>
      <w:bookmarkStart w:id="1575" w:name="_Toc2681"/>
      <w:bookmarkStart w:id="1576" w:name="_Toc5826"/>
      <w:bookmarkStart w:id="1577" w:name="_Toc389586461"/>
      <w:bookmarkStart w:id="1578" w:name="_Toc13361"/>
      <w:bookmarkStart w:id="1579" w:name="_Toc5314"/>
      <w:bookmarkStart w:id="1580" w:name="_Toc1852"/>
      <w:r>
        <w:rPr>
          <w:rFonts w:hint="eastAsia" w:ascii="楷体_GB2312" w:hAnsi="楷体_GB2312" w:eastAsia="楷体_GB2312" w:cs="楷体_GB2312"/>
          <w:b w:val="0"/>
          <w:bCs w:val="0"/>
          <w:color w:val="auto"/>
          <w:sz w:val="24"/>
          <w:szCs w:val="24"/>
          <w:highlight w:val="none"/>
        </w:rPr>
        <w:t>12.1 市场价格波动引起的调整</w:t>
      </w:r>
      <w:bookmarkEnd w:id="1574"/>
      <w:bookmarkEnd w:id="1575"/>
      <w:bookmarkEnd w:id="1576"/>
      <w:bookmarkEnd w:id="1577"/>
      <w:bookmarkEnd w:id="1578"/>
      <w:bookmarkEnd w:id="1579"/>
      <w:bookmarkEnd w:id="1580"/>
    </w:p>
    <w:p w14:paraId="5A48C813">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市场价格波动</w:t>
      </w:r>
      <w:r>
        <w:rPr>
          <w:rFonts w:hint="eastAsia" w:ascii="仿宋_GB2312" w:hAnsi="仿宋_GB2312" w:eastAsia="仿宋_GB2312" w:cs="仿宋_GB2312"/>
          <w:color w:val="auto"/>
          <w:sz w:val="24"/>
          <w:szCs w:val="24"/>
          <w:highlight w:val="none"/>
        </w:rPr>
        <w:t>是否调整分包合同价格的约定：</w:t>
      </w:r>
      <w:r>
        <w:rPr>
          <w:rFonts w:hint="eastAsia" w:ascii="仿宋_GB2312" w:hAnsi="仿宋_GB2312" w:eastAsia="仿宋_GB2312" w:cs="仿宋_GB2312"/>
          <w:color w:val="auto"/>
          <w:sz w:val="24"/>
          <w:szCs w:val="24"/>
          <w:highlight w:val="none"/>
          <w:u w:val="single"/>
        </w:rPr>
        <w:t>按照总包合同相关规定执行</w:t>
      </w:r>
      <w:r>
        <w:rPr>
          <w:rFonts w:hint="eastAsia" w:ascii="仿宋_GB2312" w:hAnsi="仿宋_GB2312" w:eastAsia="仿宋_GB2312" w:cs="仿宋_GB2312"/>
          <w:color w:val="auto"/>
          <w:sz w:val="24"/>
          <w:szCs w:val="24"/>
          <w:highlight w:val="none"/>
        </w:rPr>
        <w:t>。</w:t>
      </w:r>
    </w:p>
    <w:p w14:paraId="32618A9B">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因市场价格波动，调整合同价格的方式：</w:t>
      </w:r>
      <w:r>
        <w:rPr>
          <w:rFonts w:hint="eastAsia" w:ascii="仿宋_GB2312" w:hAnsi="仿宋_GB2312" w:eastAsia="仿宋_GB2312" w:cs="仿宋_GB2312"/>
          <w:color w:val="auto"/>
          <w:sz w:val="24"/>
          <w:szCs w:val="24"/>
          <w:highlight w:val="none"/>
          <w:u w:val="single"/>
        </w:rPr>
        <w:t xml:space="preserve"> 按照总包合同相关规定执行</w:t>
      </w:r>
      <w:r>
        <w:rPr>
          <w:rFonts w:hint="eastAsia" w:ascii="仿宋_GB2312" w:hAnsi="仿宋_GB2312" w:eastAsia="仿宋_GB2312" w:cs="仿宋_GB2312"/>
          <w:color w:val="auto"/>
          <w:sz w:val="24"/>
          <w:szCs w:val="24"/>
          <w:highlight w:val="none"/>
        </w:rPr>
        <w:t>。</w:t>
      </w:r>
    </w:p>
    <w:p w14:paraId="6EA9E3EA">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81" w:name="_Toc26177"/>
      <w:bookmarkStart w:id="1582" w:name="_Toc7468"/>
      <w:bookmarkStart w:id="1583" w:name="_Toc2187"/>
      <w:bookmarkStart w:id="1584" w:name="_Toc12149"/>
      <w:bookmarkStart w:id="1585" w:name="_Toc7589"/>
      <w:bookmarkStart w:id="1586" w:name="_Toc389586462"/>
      <w:bookmarkStart w:id="1587" w:name="_Toc25214"/>
      <w:r>
        <w:rPr>
          <w:rFonts w:hint="eastAsia" w:ascii="黑体" w:hAnsi="黑体" w:eastAsia="黑体" w:cs="黑体"/>
          <w:b w:val="0"/>
          <w:bCs w:val="0"/>
          <w:color w:val="auto"/>
          <w:sz w:val="24"/>
          <w:szCs w:val="24"/>
          <w:highlight w:val="none"/>
        </w:rPr>
        <w:t>13. 计量</w:t>
      </w:r>
    </w:p>
    <w:p w14:paraId="41F55130">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13.1 计量原则和计量周期</w:t>
      </w:r>
    </w:p>
    <w:p w14:paraId="69177DD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13.1.1 工程量计算规则：</w:t>
      </w:r>
      <w:r>
        <w:rPr>
          <w:rFonts w:hint="eastAsia" w:ascii="仿宋_GB2312" w:hAnsi="仿宋_GB2312" w:eastAsia="仿宋_GB2312" w:cs="仿宋_GB2312"/>
          <w:color w:val="auto"/>
          <w:sz w:val="24"/>
          <w:szCs w:val="24"/>
          <w:highlight w:val="none"/>
          <w:u w:val="single"/>
        </w:rPr>
        <w:t xml:space="preserve"> 按照总包合同相关规定执行</w:t>
      </w:r>
      <w:r>
        <w:rPr>
          <w:rFonts w:hint="eastAsia" w:ascii="仿宋_GB2312" w:hAnsi="仿宋_GB2312" w:eastAsia="仿宋_GB2312" w:cs="仿宋_GB2312"/>
          <w:color w:val="auto"/>
          <w:sz w:val="24"/>
          <w:szCs w:val="24"/>
          <w:highlight w:val="none"/>
        </w:rPr>
        <w:t>。</w:t>
      </w:r>
    </w:p>
    <w:p w14:paraId="036D3B71">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13.1.2 工程量计量周期：</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p w14:paraId="09EA93A4">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13.2 计量程序</w:t>
      </w:r>
    </w:p>
    <w:p w14:paraId="2F812D23">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关于计量程序的约定：</w:t>
      </w:r>
      <w:r>
        <w:rPr>
          <w:rFonts w:hint="eastAsia" w:ascii="仿宋_GB2312" w:hAnsi="仿宋_GB2312" w:eastAsia="仿宋_GB2312" w:cs="仿宋_GB2312"/>
          <w:color w:val="auto"/>
          <w:sz w:val="24"/>
          <w:szCs w:val="24"/>
          <w:highlight w:val="none"/>
          <w:u w:val="single"/>
        </w:rPr>
        <w:t xml:space="preserve">  按照总包合同相关规定执行  </w:t>
      </w:r>
      <w:r>
        <w:rPr>
          <w:rFonts w:hint="eastAsia" w:ascii="仿宋_GB2312" w:hAnsi="仿宋_GB2312" w:eastAsia="仿宋_GB2312" w:cs="仿宋_GB2312"/>
          <w:color w:val="auto"/>
          <w:sz w:val="24"/>
          <w:szCs w:val="24"/>
          <w:highlight w:val="none"/>
        </w:rPr>
        <w:t>。</w:t>
      </w:r>
    </w:p>
    <w:bookmarkEnd w:id="1581"/>
    <w:bookmarkEnd w:id="1582"/>
    <w:bookmarkEnd w:id="1583"/>
    <w:bookmarkEnd w:id="1584"/>
    <w:bookmarkEnd w:id="1585"/>
    <w:bookmarkEnd w:id="1586"/>
    <w:bookmarkEnd w:id="1587"/>
    <w:p w14:paraId="7FB9E7DF">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588" w:name="_Toc31318"/>
      <w:bookmarkStart w:id="1589" w:name="_Toc30090"/>
      <w:bookmarkStart w:id="1590" w:name="_Toc29951"/>
      <w:bookmarkStart w:id="1591" w:name="_Toc1642"/>
      <w:bookmarkStart w:id="1592" w:name="_Toc17426"/>
      <w:bookmarkStart w:id="1593" w:name="_Toc389586465"/>
      <w:bookmarkStart w:id="1594" w:name="_Toc22852"/>
      <w:r>
        <w:rPr>
          <w:rFonts w:hint="eastAsia" w:ascii="黑体" w:hAnsi="黑体" w:eastAsia="黑体" w:cs="黑体"/>
          <w:b w:val="0"/>
          <w:bCs w:val="0"/>
          <w:color w:val="auto"/>
          <w:sz w:val="24"/>
          <w:szCs w:val="24"/>
          <w:highlight w:val="none"/>
        </w:rPr>
        <w:t>14. 工程款支付</w:t>
      </w:r>
      <w:bookmarkEnd w:id="1588"/>
      <w:bookmarkEnd w:id="1589"/>
      <w:bookmarkEnd w:id="1590"/>
      <w:bookmarkEnd w:id="1591"/>
      <w:bookmarkEnd w:id="1592"/>
      <w:bookmarkEnd w:id="1593"/>
      <w:bookmarkEnd w:id="1594"/>
    </w:p>
    <w:p w14:paraId="1CA7A634">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595" w:name="_Toc29862"/>
      <w:bookmarkStart w:id="1596" w:name="_Toc30972"/>
      <w:bookmarkStart w:id="1597" w:name="_Toc30423"/>
      <w:bookmarkStart w:id="1598" w:name="_Toc32275"/>
      <w:bookmarkStart w:id="1599" w:name="_Toc389586466"/>
      <w:bookmarkStart w:id="1600" w:name="_Toc1488"/>
      <w:bookmarkStart w:id="1601" w:name="_Toc27030"/>
      <w:r>
        <w:rPr>
          <w:rFonts w:hint="eastAsia" w:ascii="楷体_GB2312" w:hAnsi="楷体_GB2312" w:eastAsia="楷体_GB2312" w:cs="楷体_GB2312"/>
          <w:b w:val="0"/>
          <w:bCs w:val="0"/>
          <w:color w:val="auto"/>
          <w:sz w:val="24"/>
          <w:szCs w:val="24"/>
          <w:highlight w:val="none"/>
        </w:rPr>
        <w:t>14.1 预付款</w:t>
      </w:r>
      <w:bookmarkEnd w:id="1595"/>
      <w:bookmarkEnd w:id="1596"/>
      <w:bookmarkEnd w:id="1597"/>
      <w:bookmarkEnd w:id="1598"/>
      <w:bookmarkEnd w:id="1599"/>
      <w:bookmarkEnd w:id="1600"/>
      <w:bookmarkEnd w:id="1601"/>
    </w:p>
    <w:p w14:paraId="74CCAB5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预付款支付比例或金额：</w:t>
      </w:r>
      <w:r>
        <w:rPr>
          <w:rFonts w:hint="eastAsia" w:ascii="仿宋_GB2312" w:hAnsi="仿宋_GB2312" w:eastAsia="仿宋_GB2312" w:cs="仿宋_GB2312"/>
          <w:color w:val="auto"/>
          <w:sz w:val="24"/>
          <w:szCs w:val="24"/>
          <w:highlight w:val="none"/>
          <w:u w:val="single"/>
        </w:rPr>
        <w:t xml:space="preserve"> 预付款支付比例不超过总包合同相应比例  </w:t>
      </w:r>
      <w:r>
        <w:rPr>
          <w:rFonts w:hint="eastAsia" w:ascii="仿宋_GB2312" w:hAnsi="仿宋_GB2312" w:eastAsia="仿宋_GB2312" w:cs="仿宋_GB2312"/>
          <w:color w:val="auto"/>
          <w:sz w:val="24"/>
          <w:szCs w:val="24"/>
          <w:highlight w:val="none"/>
        </w:rPr>
        <w:t>。</w:t>
      </w:r>
    </w:p>
    <w:p w14:paraId="66FBF41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预付款支付期限：</w:t>
      </w:r>
      <w:r>
        <w:rPr>
          <w:rFonts w:hint="eastAsia" w:ascii="仿宋_GB2312" w:hAnsi="仿宋_GB2312" w:eastAsia="仿宋_GB2312" w:cs="仿宋_GB2312"/>
          <w:color w:val="auto"/>
          <w:sz w:val="24"/>
          <w:szCs w:val="24"/>
          <w:highlight w:val="none"/>
          <w:u w:val="single"/>
        </w:rPr>
        <w:t xml:space="preserve">  承包人收到发包方支付的预付款后10个工作日内  </w:t>
      </w:r>
      <w:r>
        <w:rPr>
          <w:rFonts w:hint="eastAsia" w:ascii="仿宋_GB2312" w:hAnsi="仿宋_GB2312" w:eastAsia="仿宋_GB2312" w:cs="仿宋_GB2312"/>
          <w:color w:val="auto"/>
          <w:sz w:val="24"/>
          <w:szCs w:val="24"/>
          <w:highlight w:val="none"/>
        </w:rPr>
        <w:t>。</w:t>
      </w:r>
    </w:p>
    <w:p w14:paraId="0A081903">
      <w:pPr>
        <w:pageBreakBefore w:val="0"/>
        <w:kinsoku/>
        <w:wordWrap w:val="0"/>
        <w:overflowPunct/>
        <w:topLinePunct w:val="0"/>
        <w:bidi w:val="0"/>
        <w:adjustRightInd w:val="0"/>
        <w:snapToGrid w:val="0"/>
        <w:spacing w:line="400" w:lineRule="exact"/>
        <w:ind w:firstLine="4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关于预付款扣回的约定：</w:t>
      </w:r>
      <w:r>
        <w:rPr>
          <w:rFonts w:hint="eastAsia" w:ascii="仿宋_GB2312" w:hAnsi="仿宋_GB2312" w:eastAsia="仿宋_GB2312" w:cs="仿宋_GB2312"/>
          <w:color w:val="auto"/>
          <w:sz w:val="24"/>
          <w:szCs w:val="24"/>
          <w:highlight w:val="none"/>
          <w:u w:val="single"/>
        </w:rPr>
        <w:t xml:space="preserve">  预付款</w:t>
      </w:r>
      <w:r>
        <w:rPr>
          <w:rFonts w:hint="eastAsia" w:ascii="仿宋_GB2312" w:hAnsi="仿宋_GB2312" w:eastAsia="仿宋_GB2312" w:cs="仿宋_GB2312"/>
          <w:color w:val="auto"/>
          <w:sz w:val="24"/>
          <w:szCs w:val="24"/>
          <w:highlight w:val="none"/>
          <w:u w:val="single"/>
          <w:lang w:val="en-US" w:eastAsia="zh-CN"/>
        </w:rPr>
        <w:t>按支付比例</w:t>
      </w:r>
      <w:r>
        <w:rPr>
          <w:rFonts w:hint="eastAsia" w:ascii="仿宋_GB2312" w:hAnsi="仿宋_GB2312" w:eastAsia="仿宋_GB2312" w:cs="仿宋_GB2312"/>
          <w:color w:val="auto"/>
          <w:sz w:val="24"/>
          <w:szCs w:val="24"/>
          <w:highlight w:val="none"/>
          <w:u w:val="single"/>
        </w:rPr>
        <w:t>在</w:t>
      </w:r>
      <w:r>
        <w:rPr>
          <w:rFonts w:hint="eastAsia" w:ascii="仿宋_GB2312" w:hAnsi="仿宋_GB2312" w:eastAsia="仿宋_GB2312" w:cs="仿宋_GB2312"/>
          <w:color w:val="auto"/>
          <w:sz w:val="24"/>
          <w:szCs w:val="24"/>
          <w:highlight w:val="none"/>
          <w:u w:val="single"/>
          <w:lang w:val="en-US" w:eastAsia="zh-CN"/>
        </w:rPr>
        <w:t>每期进度款中进行抵扣</w:t>
      </w:r>
      <w:r>
        <w:rPr>
          <w:rFonts w:hint="eastAsia" w:ascii="仿宋_GB2312" w:hAnsi="仿宋_GB2312" w:eastAsia="仿宋_GB2312" w:cs="仿宋_GB2312"/>
          <w:color w:val="auto"/>
          <w:sz w:val="24"/>
          <w:szCs w:val="24"/>
          <w:highlight w:val="none"/>
          <w:u w:val="single"/>
        </w:rPr>
        <w:t xml:space="preserve">，直至合同累计完成金额达到合同价格的 80 %时全部扣完  </w:t>
      </w:r>
      <w:r>
        <w:rPr>
          <w:rFonts w:hint="eastAsia" w:ascii="仿宋_GB2312" w:hAnsi="仿宋_GB2312" w:eastAsia="仿宋_GB2312" w:cs="仿宋_GB2312"/>
          <w:color w:val="auto"/>
          <w:sz w:val="24"/>
          <w:szCs w:val="24"/>
          <w:highlight w:val="none"/>
        </w:rPr>
        <w:t>。</w:t>
      </w:r>
    </w:p>
    <w:p w14:paraId="73A49A0E">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02" w:name="_Toc9984"/>
      <w:bookmarkStart w:id="1603" w:name="_Toc31249"/>
      <w:bookmarkStart w:id="1604" w:name="_Toc389586467"/>
      <w:bookmarkStart w:id="1605" w:name="_Toc5586"/>
      <w:bookmarkStart w:id="1606" w:name="_Toc4466"/>
      <w:bookmarkStart w:id="1607" w:name="_Toc21042"/>
      <w:bookmarkStart w:id="1608" w:name="_Toc27248"/>
      <w:r>
        <w:rPr>
          <w:rFonts w:hint="eastAsia" w:ascii="楷体_GB2312" w:hAnsi="楷体_GB2312" w:eastAsia="楷体_GB2312" w:cs="楷体_GB2312"/>
          <w:b w:val="0"/>
          <w:bCs w:val="0"/>
          <w:color w:val="auto"/>
          <w:sz w:val="24"/>
          <w:szCs w:val="24"/>
          <w:highlight w:val="none"/>
        </w:rPr>
        <w:t>14.2 安全文明施工费的支付</w:t>
      </w:r>
      <w:bookmarkEnd w:id="1602"/>
      <w:bookmarkEnd w:id="1603"/>
      <w:bookmarkEnd w:id="1604"/>
      <w:bookmarkEnd w:id="1605"/>
      <w:bookmarkEnd w:id="1606"/>
      <w:bookmarkEnd w:id="1607"/>
      <w:bookmarkEnd w:id="1608"/>
    </w:p>
    <w:p w14:paraId="7B536E0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承包人支付安全文明施工费的比例及期限：</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595F54A5">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609" w:name="_Toc9727"/>
      <w:bookmarkStart w:id="1610" w:name="_Toc16428"/>
      <w:bookmarkStart w:id="1611" w:name="_Toc389586468"/>
      <w:bookmarkStart w:id="1612" w:name="_Toc11279"/>
      <w:bookmarkStart w:id="1613" w:name="_Toc16015"/>
      <w:bookmarkStart w:id="1614" w:name="_Toc20392"/>
      <w:bookmarkStart w:id="1615" w:name="_Toc19799"/>
      <w:r>
        <w:rPr>
          <w:rFonts w:hint="eastAsia" w:ascii="楷体_GB2312" w:hAnsi="楷体_GB2312" w:eastAsia="楷体_GB2312" w:cs="楷体_GB2312"/>
          <w:b w:val="0"/>
          <w:bCs w:val="0"/>
          <w:color w:val="auto"/>
          <w:sz w:val="24"/>
          <w:szCs w:val="24"/>
          <w:highlight w:val="none"/>
        </w:rPr>
        <w:t>14.3 工程进度款支付</w:t>
      </w:r>
      <w:bookmarkEnd w:id="1609"/>
      <w:bookmarkEnd w:id="1610"/>
      <w:bookmarkEnd w:id="1611"/>
      <w:bookmarkEnd w:id="1612"/>
      <w:bookmarkEnd w:id="1613"/>
      <w:bookmarkEnd w:id="1614"/>
      <w:bookmarkEnd w:id="1615"/>
    </w:p>
    <w:p w14:paraId="64ED4F8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 xml:space="preserve">.1 </w:t>
      </w:r>
      <w:r>
        <w:rPr>
          <w:rFonts w:hint="eastAsia" w:ascii="仿宋_GB2312" w:hAnsi="仿宋_GB2312" w:eastAsia="仿宋_GB2312" w:cs="仿宋_GB2312"/>
          <w:color w:val="auto"/>
          <w:sz w:val="24"/>
          <w:szCs w:val="24"/>
          <w:highlight w:val="none"/>
        </w:rPr>
        <w:t>分包人月度计量工作量=分包人当期实际完成且经发包人批复的工程量×本合同清单价格。</w:t>
      </w:r>
    </w:p>
    <w:p w14:paraId="336837F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14.3.2 分包人月度支付工程款=分包人月度计量工作量×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80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-承包人所代付的费用。</w:t>
      </w:r>
    </w:p>
    <w:p w14:paraId="629153D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 xml:space="preserve">.3 </w:t>
      </w:r>
      <w:r>
        <w:rPr>
          <w:rFonts w:hint="eastAsia" w:ascii="仿宋_GB2312" w:hAnsi="仿宋_GB2312" w:eastAsia="仿宋_GB2312" w:cs="仿宋_GB2312"/>
          <w:color w:val="auto"/>
          <w:sz w:val="24"/>
          <w:szCs w:val="24"/>
          <w:highlight w:val="none"/>
        </w:rPr>
        <w:t>分包人所报工程量必须满足承包人及发包人的计量要求，每次支付工程款在承包人收到建设单位/发包人相应款项为前提，进度支付比例不高于主合同比例（即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80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如建设单位未能按总合同拨款而导致甲方方不能按时付款给乙方，乙方承诺不直接追究甲方经济责任和法律责任（含直接向法院和仲裁委对甲方直接进行起诉或仲裁追偿），应双方协同并以工程承包人名义依法提起诉讼，共同追讨建设单位工程欠款。</w:t>
      </w:r>
    </w:p>
    <w:p w14:paraId="6D4ED3EC">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14.3.4 工程进度款付款周期：</w:t>
      </w:r>
      <w:r>
        <w:rPr>
          <w:rFonts w:hint="eastAsia" w:ascii="仿宋_GB2312" w:hAnsi="仿宋_GB2312" w:eastAsia="仿宋_GB2312" w:cs="仿宋_GB2312"/>
          <w:color w:val="auto"/>
          <w:sz w:val="24"/>
          <w:szCs w:val="24"/>
          <w:highlight w:val="none"/>
          <w:u w:val="single"/>
        </w:rPr>
        <w:t xml:space="preserve"> 总包合同相关规定执行  </w:t>
      </w:r>
      <w:r>
        <w:rPr>
          <w:rFonts w:hint="eastAsia" w:ascii="仿宋_GB2312" w:hAnsi="仿宋_GB2312" w:eastAsia="仿宋_GB2312" w:cs="仿宋_GB2312"/>
          <w:color w:val="auto"/>
          <w:sz w:val="24"/>
          <w:szCs w:val="24"/>
          <w:highlight w:val="none"/>
        </w:rPr>
        <w:t>。</w:t>
      </w:r>
    </w:p>
    <w:p w14:paraId="667947F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14.3</w:t>
      </w:r>
      <w:r>
        <w:rPr>
          <w:rFonts w:hint="eastAsia" w:ascii="仿宋_GB2312" w:hAnsi="仿宋_GB2312" w:eastAsia="仿宋_GB2312" w:cs="仿宋_GB2312"/>
          <w:color w:val="auto"/>
          <w:kern w:val="0"/>
          <w:sz w:val="24"/>
          <w:szCs w:val="24"/>
          <w:highlight w:val="none"/>
        </w:rPr>
        <w:t xml:space="preserve">.5 </w:t>
      </w:r>
      <w:r>
        <w:rPr>
          <w:rFonts w:hint="eastAsia" w:ascii="仿宋_GB2312" w:hAnsi="仿宋_GB2312" w:eastAsia="仿宋_GB2312" w:cs="仿宋_GB2312"/>
          <w:color w:val="auto"/>
          <w:sz w:val="24"/>
          <w:szCs w:val="24"/>
          <w:highlight w:val="none"/>
        </w:rPr>
        <w:t>进度付款申请单应包括的内容：</w:t>
      </w:r>
      <w:r>
        <w:rPr>
          <w:rFonts w:hint="eastAsia" w:ascii="仿宋_GB2312" w:hAnsi="仿宋_GB2312" w:eastAsia="仿宋_GB2312" w:cs="仿宋_GB2312"/>
          <w:color w:val="auto"/>
          <w:sz w:val="24"/>
          <w:szCs w:val="24"/>
          <w:highlight w:val="none"/>
          <w:u w:val="single"/>
        </w:rPr>
        <w:t xml:space="preserve"> 扣款明细表、分包方</w:t>
      </w:r>
      <w:r>
        <w:rPr>
          <w:rFonts w:hint="eastAsia" w:ascii="仿宋_GB2312" w:hAnsi="仿宋_GB2312" w:eastAsia="仿宋_GB2312" w:cs="仿宋_GB2312"/>
          <w:color w:val="auto"/>
          <w:sz w:val="24"/>
          <w:szCs w:val="24"/>
          <w:highlight w:val="none"/>
          <w:u w:val="single"/>
          <w:lang w:val="en-US" w:eastAsia="zh-CN"/>
        </w:rPr>
        <w:t>进度款申请</w:t>
      </w:r>
      <w:r>
        <w:rPr>
          <w:rFonts w:hint="eastAsia" w:ascii="仿宋_GB2312" w:hAnsi="仿宋_GB2312" w:eastAsia="仿宋_GB2312" w:cs="仿宋_GB2312"/>
          <w:color w:val="auto"/>
          <w:sz w:val="24"/>
          <w:szCs w:val="24"/>
          <w:highlight w:val="none"/>
          <w:u w:val="single"/>
        </w:rPr>
        <w:t xml:space="preserve">表 </w:t>
      </w:r>
      <w:r>
        <w:rPr>
          <w:rFonts w:hint="eastAsia" w:ascii="仿宋_GB2312" w:hAnsi="仿宋_GB2312" w:eastAsia="仿宋_GB2312" w:cs="仿宋_GB2312"/>
          <w:color w:val="auto"/>
          <w:sz w:val="24"/>
          <w:szCs w:val="24"/>
          <w:highlight w:val="none"/>
        </w:rPr>
        <w:t>。</w:t>
      </w:r>
    </w:p>
    <w:p w14:paraId="213A302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14.3.6 进度款审核和支付</w:t>
      </w:r>
    </w:p>
    <w:p w14:paraId="31DF591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（1）承包人对完成审核并签发进度款支付证书的期限：</w:t>
      </w:r>
      <w:r>
        <w:rPr>
          <w:rFonts w:hint="eastAsia" w:ascii="仿宋_GB2312" w:hAnsi="仿宋_GB2312" w:eastAsia="仿宋_GB2312" w:cs="仿宋_GB2312"/>
          <w:color w:val="auto"/>
          <w:sz w:val="24"/>
          <w:szCs w:val="24"/>
          <w:highlight w:val="none"/>
          <w:u w:val="single"/>
        </w:rPr>
        <w:t xml:space="preserve"> 承包人应在收到分包人修正后的进度付款申请单及相关资料后</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u w:val="single"/>
        </w:rPr>
        <w:t xml:space="preserve">天内完成审核，向分包人签发无异议部分的临时进度款支付证书 </w:t>
      </w:r>
      <w:r>
        <w:rPr>
          <w:rFonts w:hint="eastAsia" w:ascii="仿宋_GB2312" w:hAnsi="仿宋_GB2312" w:eastAsia="仿宋_GB2312" w:cs="仿宋_GB2312"/>
          <w:color w:val="auto"/>
          <w:sz w:val="24"/>
          <w:szCs w:val="24"/>
          <w:highlight w:val="none"/>
        </w:rPr>
        <w:t>。</w:t>
      </w:r>
    </w:p>
    <w:p w14:paraId="37B06A0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（2）承包人完成支付的期限：</w:t>
      </w:r>
      <w:r>
        <w:rPr>
          <w:rFonts w:hint="eastAsia" w:ascii="仿宋_GB2312" w:hAnsi="仿宋_GB2312" w:eastAsia="仿宋_GB2312" w:cs="仿宋_GB2312"/>
          <w:color w:val="auto"/>
          <w:sz w:val="24"/>
          <w:szCs w:val="24"/>
          <w:highlight w:val="none"/>
          <w:u w:val="single"/>
        </w:rPr>
        <w:t xml:space="preserve"> 承包人收到发包人支付的相应工程款后</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u w:val="single"/>
        </w:rPr>
        <w:t xml:space="preserve">0个工作日内支付给分包人  </w:t>
      </w:r>
      <w:r>
        <w:rPr>
          <w:rFonts w:hint="eastAsia" w:ascii="仿宋_GB2312" w:hAnsi="仿宋_GB2312" w:eastAsia="仿宋_GB2312" w:cs="仿宋_GB2312"/>
          <w:color w:val="auto"/>
          <w:sz w:val="24"/>
          <w:szCs w:val="24"/>
          <w:highlight w:val="none"/>
        </w:rPr>
        <w:t>。</w:t>
      </w:r>
    </w:p>
    <w:p w14:paraId="78B4D72D">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16" w:name="_Toc17707"/>
      <w:bookmarkStart w:id="1617" w:name="_Toc1019"/>
      <w:bookmarkStart w:id="1618" w:name="_Toc10341"/>
      <w:bookmarkStart w:id="1619" w:name="_Toc27419"/>
      <w:bookmarkStart w:id="1620" w:name="_Toc24471"/>
      <w:bookmarkStart w:id="1621" w:name="_Toc8983"/>
      <w:r>
        <w:rPr>
          <w:rFonts w:hint="eastAsia" w:ascii="楷体_GB2312" w:hAnsi="楷体_GB2312" w:eastAsia="楷体_GB2312" w:cs="楷体_GB2312"/>
          <w:b w:val="0"/>
          <w:bCs w:val="0"/>
          <w:color w:val="auto"/>
          <w:sz w:val="24"/>
          <w:szCs w:val="24"/>
          <w:highlight w:val="none"/>
        </w:rPr>
        <w:t>14.4 支付账户</w:t>
      </w:r>
      <w:bookmarkEnd w:id="1616"/>
      <w:bookmarkEnd w:id="1617"/>
      <w:bookmarkEnd w:id="1618"/>
      <w:bookmarkEnd w:id="1619"/>
      <w:bookmarkEnd w:id="1620"/>
      <w:bookmarkEnd w:id="1621"/>
    </w:p>
    <w:p w14:paraId="0EE499A7">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收款单位：[必须是分包人营业执照上的全称，需与发票信息一致]</w:t>
      </w:r>
    </w:p>
    <w:p w14:paraId="10F45DC7">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开户行：</w:t>
      </w:r>
    </w:p>
    <w:p w14:paraId="31157100">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银行账号：</w:t>
      </w:r>
    </w:p>
    <w:p w14:paraId="68273B01">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22" w:name="_Toc7673"/>
      <w:bookmarkStart w:id="1623" w:name="_Toc15457"/>
      <w:bookmarkStart w:id="1624" w:name="_Toc18643"/>
      <w:bookmarkStart w:id="1625" w:name="_Toc4032"/>
      <w:bookmarkStart w:id="1626" w:name="_Toc29339"/>
      <w:bookmarkStart w:id="1627" w:name="_Toc19525"/>
      <w:r>
        <w:rPr>
          <w:rFonts w:hint="eastAsia" w:ascii="楷体_GB2312" w:hAnsi="楷体_GB2312" w:eastAsia="楷体_GB2312" w:cs="楷体_GB2312"/>
          <w:b w:val="0"/>
          <w:bCs w:val="0"/>
          <w:color w:val="auto"/>
          <w:sz w:val="24"/>
          <w:szCs w:val="24"/>
          <w:highlight w:val="none"/>
        </w:rPr>
        <w:t>14.5 付款条件和发票条款</w:t>
      </w:r>
      <w:bookmarkEnd w:id="1622"/>
      <w:bookmarkEnd w:id="1623"/>
      <w:bookmarkEnd w:id="1624"/>
      <w:bookmarkEnd w:id="1625"/>
      <w:bookmarkEnd w:id="1626"/>
      <w:bookmarkEnd w:id="1627"/>
    </w:p>
    <w:p w14:paraId="0DBDAF8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14.5.1分包人须按照以下约定向承包人开具合法有效的增值税发票，承包人每次</w:t>
      </w:r>
      <w:r>
        <w:rPr>
          <w:rFonts w:hint="eastAsia" w:ascii="仿宋_GB2312" w:hAnsi="仿宋_GB2312" w:eastAsia="仿宋_GB2312" w:cs="仿宋_GB2312"/>
          <w:color w:val="auto"/>
          <w:sz w:val="24"/>
          <w:szCs w:val="24"/>
          <w:highlight w:val="none"/>
        </w:rPr>
        <w:t>付款前分包人需向承包人提供</w:t>
      </w:r>
      <w:bookmarkStart w:id="1628" w:name="_Hlk73262560"/>
      <w:r>
        <w:rPr>
          <w:rFonts w:hint="eastAsia" w:ascii="仿宋_GB2312" w:hAnsi="仿宋_GB2312" w:eastAsia="仿宋_GB2312" w:cs="仿宋_GB2312"/>
          <w:color w:val="auto"/>
          <w:sz w:val="24"/>
          <w:szCs w:val="24"/>
          <w:highlight w:val="none"/>
        </w:rPr>
        <w:t>等额的合法有效的增值税专用发票</w:t>
      </w:r>
      <w:bookmarkEnd w:id="1628"/>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本合同末次支付前，分包人须向承包人提交合同全额的增值税发票，</w:t>
      </w:r>
      <w:r>
        <w:rPr>
          <w:rFonts w:hint="eastAsia" w:ascii="仿宋_GB2312" w:hAnsi="仿宋_GB2312" w:eastAsia="仿宋_GB2312" w:cs="仿宋_GB2312"/>
          <w:color w:val="auto"/>
          <w:sz w:val="24"/>
          <w:szCs w:val="24"/>
          <w:highlight w:val="none"/>
        </w:rPr>
        <w:t>否则，承包人将有权拒绝支付合同款项，本合同发票适用的税率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9</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4B2AD99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14.5.2 发票类型</w:t>
      </w:r>
    </w:p>
    <w:p w14:paraId="61D72846">
      <w:pPr>
        <w:pageBreakBefore w:val="0"/>
        <w:tabs>
          <w:tab w:val="left" w:pos="993"/>
        </w:tabs>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本合同适用以下发票（请勾选）：</w:t>
      </w:r>
    </w:p>
    <w:p w14:paraId="295C28FE">
      <w:pPr>
        <w:pageBreakBefore w:val="0"/>
        <w:kinsoku/>
        <w:wordWrap w:val="0"/>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增值税专用发票</w:t>
      </w:r>
    </w:p>
    <w:p w14:paraId="673FD8FF">
      <w:pPr>
        <w:pageBreakBefore w:val="0"/>
        <w:kinsoku/>
        <w:wordWrap w:val="0"/>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增值税普通发票</w:t>
      </w:r>
      <w:r>
        <w:rPr>
          <w:rFonts w:hint="eastAsia" w:ascii="仿宋_GB2312" w:hAnsi="仿宋_GB2312" w:eastAsia="仿宋_GB2312" w:cs="仿宋_GB2312"/>
          <w:color w:val="auto"/>
          <w:sz w:val="24"/>
          <w:szCs w:val="24"/>
          <w:highlight w:val="none"/>
        </w:rPr>
        <w:tab/>
      </w:r>
    </w:p>
    <w:p w14:paraId="664FA15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本合同发票适用的税率：</w:t>
      </w:r>
      <w:r>
        <w:rPr>
          <w:rFonts w:hint="eastAsia" w:ascii="仿宋_GB2312" w:hAnsi="仿宋_GB2312" w:eastAsia="仿宋_GB2312" w:cs="仿宋_GB2312"/>
          <w:color w:val="auto"/>
          <w:sz w:val="24"/>
          <w:szCs w:val="24"/>
          <w:highlight w:val="none"/>
          <w:u w:val="single"/>
        </w:rPr>
        <w:t xml:space="preserve">    </w:t>
      </w:r>
    </w:p>
    <w:p w14:paraId="06799A15">
      <w:pPr>
        <w:pageBreakBefore w:val="0"/>
        <w:kinsoku/>
        <w:wordWrap w:val="0"/>
        <w:overflowPunct/>
        <w:topLinePunct w:val="0"/>
        <w:bidi w:val="0"/>
        <w:adjustRightInd w:val="0"/>
        <w:snapToGrid w:val="0"/>
        <w:spacing w:line="40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9%</w:t>
      </w:r>
    </w:p>
    <w:p w14:paraId="1281064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p w14:paraId="1B629C0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其它（请注明）________</w:t>
      </w:r>
    </w:p>
    <w:p w14:paraId="2F8D87B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如果本合同选择采用增值税专用发票，则适用以下关于增值税专用发票的规定：</w:t>
      </w:r>
    </w:p>
    <w:p w14:paraId="718B99D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就约定的合同价款和价外费用（包括但不限于违约金、赔偿款、奖励款等）之金额按适用税率向承包人开具合法有效的增值税专用发票。上述的增值税专用发票必须符合中国《增值税专用发票使用规定》等相关法律法规的相关要求。</w:t>
      </w:r>
    </w:p>
    <w:p w14:paraId="6FBBD16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14.5.3 发票内容</w:t>
      </w:r>
    </w:p>
    <w:p w14:paraId="4E218984">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承包人开票信息如下：</w:t>
      </w:r>
    </w:p>
    <w:p w14:paraId="2544C59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公司名称： 广东省源天工程有限公司</w:t>
      </w:r>
    </w:p>
    <w:p w14:paraId="1746EC0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纳税人识别号： 914400001903224486</w:t>
      </w:r>
    </w:p>
    <w:p w14:paraId="7DE2960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户名：广东省源天工程有限公司</w:t>
      </w:r>
    </w:p>
    <w:p w14:paraId="77A4F299">
      <w:pPr>
        <w:pageBreakBefore w:val="0"/>
        <w:kinsoku/>
        <w:wordWrap w:val="0"/>
        <w:overflowPunct/>
        <w:topLinePunct w:val="0"/>
        <w:bidi w:val="0"/>
        <w:adjustRightInd w:val="0"/>
        <w:snapToGrid w:val="0"/>
        <w:spacing w:line="400" w:lineRule="exact"/>
        <w:ind w:firstLine="480" w:firstLineChars="20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开户行： 中国建设银行股份有限公司</w:t>
      </w:r>
      <w:r>
        <w:rPr>
          <w:rFonts w:hint="eastAsia" w:ascii="仿宋_GB2312" w:hAnsi="仿宋_GB2312" w:eastAsia="仿宋_GB2312" w:cs="仿宋_GB2312"/>
          <w:color w:val="auto"/>
          <w:sz w:val="24"/>
          <w:szCs w:val="24"/>
          <w:highlight w:val="none"/>
          <w:lang w:val="en-US" w:eastAsia="zh-CN"/>
        </w:rPr>
        <w:t>广州增城开发区支行</w:t>
      </w:r>
    </w:p>
    <w:p w14:paraId="216FA2D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帐号：44001541702050099311</w:t>
      </w:r>
    </w:p>
    <w:p w14:paraId="4D66CCF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地址：广州市增城新塘镇广深大道中 46 号</w:t>
      </w:r>
    </w:p>
    <w:p w14:paraId="119F759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14:paraId="63E61A6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发票内容应当与合同约定的内容一致，注明</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_。</w:t>
      </w:r>
    </w:p>
    <w:p w14:paraId="60977B3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分包人应在发票的备注栏注明建筑服务发生地县（市、区）名称及项目名称。</w:t>
      </w:r>
    </w:p>
    <w:p w14:paraId="34B7E30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14.5.4 发票开具和送达时限</w:t>
      </w:r>
    </w:p>
    <w:p w14:paraId="42475C7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分包人应在收到承包人开票要求后__</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___天内向承包人开具增值税发票，并在发票记载的开具时间之日起的__</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___天内送达承包人。若分包人开具的增值税发票不正确的，应在接到承包人要求后的__</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___天内重新开具正确的增值税发票并送达至承包人，分包人自行承担相关费用。</w:t>
      </w:r>
    </w:p>
    <w:p w14:paraId="7FF0BBA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14.5.5 发票丢失和违约条款</w:t>
      </w:r>
    </w:p>
    <w:p w14:paraId="497C7359">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发票无论何种原因丢失，分包人应配合承包人按照国家法律、法规、规章、政策等规定重新取得相关凭证。</w:t>
      </w:r>
    </w:p>
    <w:p w14:paraId="79950086">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14.5.6 分包人合规纳税义务的约定</w:t>
      </w:r>
    </w:p>
    <w:p w14:paraId="7302E5CF">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分包人须遵从相关法律、条例和通知(下称法定要求)，并呈交所需的通知及申请，及支付所须的费用和税项(下称法定费用)。</w:t>
      </w:r>
    </w:p>
    <w:p w14:paraId="3E74DCD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若分包人未有缴交其应缴的法定费用，承包人可代缴该等法定费用，并从按本合同应付或将支付予分包人的款项中扣除；或以债项形式向分包人追讨。</w:t>
      </w:r>
    </w:p>
    <w:p w14:paraId="731EC12B">
      <w:pPr>
        <w:pageBreakBefore w:val="0"/>
        <w:widowControl w:val="0"/>
        <w:kinsoku/>
        <w:wordWrap w:val="0"/>
        <w:overflowPunct/>
        <w:topLinePunct w:val="0"/>
        <w:autoSpaceDE/>
        <w:autoSpaceDN/>
        <w:bidi w:val="0"/>
        <w:adjustRightInd w:val="0"/>
        <w:snapToGrid w:val="0"/>
        <w:spacing w:line="390" w:lineRule="exact"/>
        <w:ind w:firstLine="42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分包人违反国家法律、法规、规章、政策等规定开具、提供发票的，分包人应自行承担相应法律责任。</w:t>
      </w:r>
    </w:p>
    <w:p w14:paraId="5BB5B956">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color w:val="auto"/>
          <w:highlight w:val="none"/>
        </w:rPr>
      </w:pPr>
      <w:r>
        <w:rPr>
          <w:rFonts w:hint="eastAsia" w:ascii="仿宋_GB2312" w:hAnsi="仿宋_GB2312" w:eastAsia="仿宋_GB2312" w:cs="仿宋_GB2312"/>
          <w:b w:val="0"/>
          <w:bCs w:val="0"/>
          <w:color w:val="auto"/>
          <w:kern w:val="2"/>
          <w:sz w:val="24"/>
          <w:szCs w:val="24"/>
          <w:highlight w:val="none"/>
          <w:lang w:val="en-US" w:eastAsia="zh-CN" w:bidi="ar-SA"/>
        </w:rPr>
        <w:t>14.5.7 款项支付方式:</w:t>
      </w:r>
      <w:r>
        <w:rPr>
          <w:rFonts w:hint="eastAsia" w:ascii="仿宋_GB2312" w:hAnsi="仿宋_GB2312" w:eastAsia="仿宋_GB2312" w:cs="仿宋_GB2312"/>
          <w:b w:val="0"/>
          <w:bCs/>
          <w:i w:val="0"/>
          <w:iCs w:val="0"/>
          <w:color w:val="auto"/>
          <w:sz w:val="24"/>
          <w:szCs w:val="24"/>
          <w:highlight w:val="none"/>
          <w:u w:val="single"/>
          <w:lang w:val="en-US" w:eastAsia="zh-CN" w:bidi="ar-SA"/>
        </w:rPr>
        <w:t>银行转账、电汇、银行支票、银行承兑汇票、信用证、商业汇票等</w:t>
      </w:r>
    </w:p>
    <w:p w14:paraId="2E6606FC">
      <w:pPr>
        <w:pStyle w:val="4"/>
        <w:keepNext/>
        <w:keepLines/>
        <w:pageBreakBefore w:val="0"/>
        <w:widowControl w:val="0"/>
        <w:numPr>
          <w:ilvl w:val="0"/>
          <w:numId w:val="0"/>
        </w:numPr>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29" w:name="_Toc29577"/>
      <w:bookmarkStart w:id="1630" w:name="_Toc31799"/>
      <w:bookmarkStart w:id="1631" w:name="_Toc18307"/>
      <w:bookmarkStart w:id="1632" w:name="_Toc27446"/>
      <w:bookmarkStart w:id="1633" w:name="_Toc16293"/>
      <w:bookmarkStart w:id="1634" w:name="_Toc24966"/>
      <w:bookmarkStart w:id="1635" w:name="_Toc389586469"/>
      <w:r>
        <w:rPr>
          <w:rFonts w:hint="eastAsia" w:ascii="黑体" w:hAnsi="黑体" w:eastAsia="黑体" w:cs="黑体"/>
          <w:b w:val="0"/>
          <w:bCs w:val="0"/>
          <w:color w:val="auto"/>
          <w:sz w:val="24"/>
          <w:szCs w:val="24"/>
          <w:highlight w:val="none"/>
          <w:lang w:val="en-US" w:eastAsia="zh-CN"/>
        </w:rPr>
        <w:t xml:space="preserve">15. </w:t>
      </w:r>
      <w:r>
        <w:rPr>
          <w:rFonts w:hint="eastAsia" w:ascii="黑体" w:hAnsi="黑体" w:eastAsia="黑体" w:cs="黑体"/>
          <w:b w:val="0"/>
          <w:bCs w:val="0"/>
          <w:color w:val="auto"/>
          <w:sz w:val="24"/>
          <w:szCs w:val="24"/>
          <w:highlight w:val="none"/>
        </w:rPr>
        <w:t>成品保护</w:t>
      </w:r>
      <w:bookmarkEnd w:id="1629"/>
      <w:bookmarkEnd w:id="1630"/>
      <w:bookmarkEnd w:id="1631"/>
    </w:p>
    <w:p w14:paraId="43AD790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关于成品保护的约定：</w:t>
      </w:r>
      <w:r>
        <w:rPr>
          <w:rFonts w:hint="eastAsia" w:ascii="仿宋_GB2312" w:hAnsi="仿宋_GB2312" w:eastAsia="仿宋_GB2312" w:cs="仿宋_GB2312"/>
          <w:color w:val="auto"/>
          <w:kern w:val="0"/>
          <w:sz w:val="24"/>
          <w:szCs w:val="24"/>
          <w:highlight w:val="none"/>
          <w:u w:val="single"/>
        </w:rPr>
        <w:t xml:space="preserve">  按通用合同条款执行  </w:t>
      </w:r>
      <w:r>
        <w:rPr>
          <w:rFonts w:hint="eastAsia" w:ascii="仿宋_GB2312" w:hAnsi="仿宋_GB2312" w:eastAsia="仿宋_GB2312" w:cs="仿宋_GB2312"/>
          <w:color w:val="auto"/>
          <w:kern w:val="0"/>
          <w:sz w:val="24"/>
          <w:szCs w:val="24"/>
          <w:highlight w:val="none"/>
        </w:rPr>
        <w:t>。</w:t>
      </w:r>
    </w:p>
    <w:p w14:paraId="2F941382">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黑体" w:hAnsi="黑体" w:eastAsia="黑体" w:cs="黑体"/>
          <w:b w:val="0"/>
          <w:bCs w:val="0"/>
          <w:color w:val="auto"/>
          <w:sz w:val="24"/>
          <w:szCs w:val="24"/>
          <w:highlight w:val="none"/>
        </w:rPr>
      </w:pPr>
      <w:bookmarkStart w:id="1636" w:name="_Toc26655"/>
      <w:bookmarkStart w:id="1637" w:name="_Toc8527"/>
      <w:bookmarkStart w:id="1638" w:name="_Toc3569"/>
      <w:r>
        <w:rPr>
          <w:rFonts w:hint="eastAsia" w:ascii="黑体" w:hAnsi="黑体" w:eastAsia="黑体" w:cs="黑体"/>
          <w:b w:val="0"/>
          <w:bCs w:val="0"/>
          <w:color w:val="auto"/>
          <w:sz w:val="24"/>
          <w:szCs w:val="24"/>
          <w:highlight w:val="none"/>
        </w:rPr>
        <w:t>16. 试车</w:t>
      </w:r>
      <w:bookmarkEnd w:id="1632"/>
      <w:bookmarkEnd w:id="1633"/>
      <w:bookmarkEnd w:id="1634"/>
      <w:bookmarkEnd w:id="1635"/>
      <w:bookmarkEnd w:id="1636"/>
      <w:bookmarkEnd w:id="1637"/>
      <w:bookmarkEnd w:id="1638"/>
    </w:p>
    <w:p w14:paraId="739420CE">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39" w:name="_Toc5866"/>
      <w:bookmarkStart w:id="1640" w:name="_Toc32657"/>
      <w:bookmarkStart w:id="1641" w:name="_Toc22559"/>
      <w:bookmarkStart w:id="1642" w:name="_Toc18589"/>
      <w:bookmarkStart w:id="1643" w:name="_Toc25041"/>
      <w:bookmarkStart w:id="1644" w:name="_Toc389586470"/>
      <w:bookmarkStart w:id="1645" w:name="_Toc13490"/>
      <w:r>
        <w:rPr>
          <w:rFonts w:hint="eastAsia" w:ascii="楷体_GB2312" w:hAnsi="楷体_GB2312" w:eastAsia="楷体_GB2312" w:cs="楷体_GB2312"/>
          <w:b w:val="0"/>
          <w:bCs w:val="0"/>
          <w:color w:val="auto"/>
          <w:sz w:val="24"/>
          <w:szCs w:val="24"/>
          <w:highlight w:val="none"/>
        </w:rPr>
        <w:t>16.1 试车的组织和配合</w:t>
      </w:r>
      <w:bookmarkEnd w:id="1639"/>
      <w:bookmarkEnd w:id="1640"/>
      <w:bookmarkEnd w:id="1641"/>
      <w:bookmarkEnd w:id="1642"/>
      <w:bookmarkEnd w:id="1643"/>
      <w:bookmarkEnd w:id="1644"/>
      <w:bookmarkEnd w:id="1645"/>
    </w:p>
    <w:p w14:paraId="149EB92B">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关于试车内容的约定：</w:t>
      </w:r>
      <w:r>
        <w:rPr>
          <w:rFonts w:hint="eastAsia" w:ascii="仿宋_GB2312" w:hAnsi="仿宋_GB2312" w:eastAsia="仿宋_GB2312" w:cs="仿宋_GB2312"/>
          <w:color w:val="auto"/>
          <w:kern w:val="0"/>
          <w:sz w:val="24"/>
          <w:szCs w:val="24"/>
          <w:highlight w:val="none"/>
          <w:u w:val="single"/>
        </w:rPr>
        <w:t xml:space="preserve">   /   </w:t>
      </w:r>
      <w:r>
        <w:rPr>
          <w:rFonts w:hint="eastAsia" w:ascii="仿宋_GB2312" w:hAnsi="仿宋_GB2312" w:eastAsia="仿宋_GB2312" w:cs="仿宋_GB2312"/>
          <w:color w:val="auto"/>
          <w:kern w:val="0"/>
          <w:sz w:val="24"/>
          <w:szCs w:val="24"/>
          <w:highlight w:val="none"/>
        </w:rPr>
        <w:t>。</w:t>
      </w:r>
    </w:p>
    <w:p w14:paraId="4FAE3ED2">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kern w:val="0"/>
          <w:sz w:val="24"/>
          <w:szCs w:val="24"/>
          <w:highlight w:val="none"/>
        </w:rPr>
      </w:pPr>
      <w:bookmarkStart w:id="1646" w:name="_Toc1321"/>
      <w:bookmarkStart w:id="1647" w:name="_Toc24752"/>
      <w:bookmarkStart w:id="1648" w:name="_Toc14374"/>
      <w:bookmarkStart w:id="1649" w:name="_Toc18622"/>
      <w:bookmarkStart w:id="1650" w:name="_Toc826"/>
      <w:bookmarkStart w:id="1651" w:name="_Toc17435"/>
      <w:bookmarkStart w:id="1652" w:name="_Toc389586471"/>
      <w:r>
        <w:rPr>
          <w:rFonts w:hint="eastAsia" w:ascii="楷体_GB2312" w:hAnsi="楷体_GB2312" w:eastAsia="楷体_GB2312" w:cs="楷体_GB2312"/>
          <w:b w:val="0"/>
          <w:bCs w:val="0"/>
          <w:color w:val="auto"/>
          <w:kern w:val="0"/>
          <w:sz w:val="24"/>
          <w:szCs w:val="24"/>
          <w:highlight w:val="none"/>
        </w:rPr>
        <w:t>16.2 试车的费用承担</w:t>
      </w:r>
      <w:bookmarkEnd w:id="1646"/>
      <w:bookmarkEnd w:id="1647"/>
      <w:bookmarkEnd w:id="1648"/>
      <w:bookmarkEnd w:id="1649"/>
      <w:bookmarkEnd w:id="1650"/>
      <w:bookmarkEnd w:id="1651"/>
      <w:bookmarkEnd w:id="1652"/>
    </w:p>
    <w:p w14:paraId="3B063759">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关于试车费用明细及试车费用承担的约定：</w:t>
      </w:r>
      <w:r>
        <w:rPr>
          <w:rFonts w:hint="eastAsia" w:ascii="仿宋_GB2312" w:hAnsi="仿宋_GB2312" w:eastAsia="仿宋_GB2312" w:cs="仿宋_GB2312"/>
          <w:color w:val="auto"/>
          <w:kern w:val="0"/>
          <w:sz w:val="24"/>
          <w:szCs w:val="24"/>
          <w:highlight w:val="none"/>
          <w:u w:val="single"/>
        </w:rPr>
        <w:t xml:space="preserve"> / </w:t>
      </w:r>
      <w:r>
        <w:rPr>
          <w:rFonts w:hint="eastAsia" w:ascii="仿宋_GB2312" w:hAnsi="仿宋_GB2312" w:eastAsia="仿宋_GB2312" w:cs="仿宋_GB2312"/>
          <w:color w:val="auto"/>
          <w:kern w:val="0"/>
          <w:sz w:val="24"/>
          <w:szCs w:val="24"/>
          <w:highlight w:val="none"/>
        </w:rPr>
        <w:t>。</w:t>
      </w:r>
    </w:p>
    <w:p w14:paraId="553757E3">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53" w:name="_Toc29919"/>
      <w:bookmarkStart w:id="1654" w:name="_Toc26225"/>
      <w:bookmarkStart w:id="1655" w:name="_Toc25188"/>
      <w:bookmarkStart w:id="1656" w:name="_Toc13530"/>
      <w:bookmarkStart w:id="1657" w:name="_Toc389586472"/>
      <w:bookmarkStart w:id="1658" w:name="_Toc19513"/>
      <w:bookmarkStart w:id="1659" w:name="_Toc20572"/>
      <w:r>
        <w:rPr>
          <w:rFonts w:hint="eastAsia" w:ascii="黑体" w:hAnsi="黑体" w:eastAsia="黑体" w:cs="黑体"/>
          <w:b w:val="0"/>
          <w:bCs w:val="0"/>
          <w:color w:val="auto"/>
          <w:sz w:val="24"/>
          <w:szCs w:val="24"/>
          <w:highlight w:val="none"/>
        </w:rPr>
        <w:t>17. 完工验收</w:t>
      </w:r>
      <w:bookmarkEnd w:id="1653"/>
      <w:bookmarkEnd w:id="1654"/>
      <w:bookmarkEnd w:id="1655"/>
      <w:bookmarkEnd w:id="1656"/>
      <w:bookmarkEnd w:id="1657"/>
      <w:bookmarkEnd w:id="1658"/>
      <w:bookmarkEnd w:id="1659"/>
    </w:p>
    <w:p w14:paraId="43157EB4">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60" w:name="_Toc5403"/>
      <w:bookmarkStart w:id="1661" w:name="_Toc23294"/>
      <w:bookmarkStart w:id="1662" w:name="_Toc2824"/>
      <w:bookmarkStart w:id="1663" w:name="_Toc6509"/>
      <w:bookmarkStart w:id="1664" w:name="_Toc389586473"/>
      <w:bookmarkStart w:id="1665" w:name="_Toc6191"/>
      <w:bookmarkStart w:id="1666" w:name="_Toc25152"/>
      <w:r>
        <w:rPr>
          <w:rFonts w:hint="eastAsia" w:ascii="楷体_GB2312" w:hAnsi="楷体_GB2312" w:eastAsia="楷体_GB2312" w:cs="楷体_GB2312"/>
          <w:b w:val="0"/>
          <w:bCs w:val="0"/>
          <w:color w:val="auto"/>
          <w:sz w:val="24"/>
          <w:szCs w:val="24"/>
          <w:highlight w:val="none"/>
        </w:rPr>
        <w:t>17.1 完工验收条件</w:t>
      </w:r>
      <w:bookmarkEnd w:id="1660"/>
      <w:bookmarkEnd w:id="1661"/>
      <w:bookmarkEnd w:id="1662"/>
      <w:bookmarkEnd w:id="1663"/>
      <w:bookmarkEnd w:id="1664"/>
      <w:bookmarkEnd w:id="1665"/>
      <w:bookmarkEnd w:id="1666"/>
    </w:p>
    <w:p w14:paraId="24F7C8F1">
      <w:pPr>
        <w:pageBreakBefore w:val="0"/>
        <w:widowControl w:val="0"/>
        <w:kinsoku/>
        <w:overflowPunct/>
        <w:topLinePunct w:val="0"/>
        <w:autoSpaceDE/>
        <w:autoSpaceDN/>
        <w:bidi w:val="0"/>
        <w:adjustRightInd w:val="0"/>
        <w:snapToGrid w:val="0"/>
        <w:spacing w:line="39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kern w:val="0"/>
          <w:sz w:val="24"/>
          <w:szCs w:val="24"/>
          <w:highlight w:val="none"/>
        </w:rPr>
        <w:t>（4）申请完工验收应具备的其他条件：</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按总包合同相关规定执行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44A7631F">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67" w:name="_Toc389586474"/>
      <w:bookmarkStart w:id="1668" w:name="_Toc11881"/>
      <w:bookmarkStart w:id="1669" w:name="_Toc18272"/>
      <w:bookmarkStart w:id="1670" w:name="_Toc12816"/>
      <w:bookmarkStart w:id="1671" w:name="_Toc30396"/>
      <w:bookmarkStart w:id="1672" w:name="_Toc9385"/>
      <w:bookmarkStart w:id="1673" w:name="_Toc26341"/>
      <w:r>
        <w:rPr>
          <w:rFonts w:hint="eastAsia" w:ascii="楷体_GB2312" w:hAnsi="楷体_GB2312" w:eastAsia="楷体_GB2312" w:cs="楷体_GB2312"/>
          <w:b w:val="0"/>
          <w:bCs w:val="0"/>
          <w:color w:val="auto"/>
          <w:sz w:val="24"/>
          <w:szCs w:val="24"/>
          <w:highlight w:val="none"/>
        </w:rPr>
        <w:t>17.2 完工验收程序</w:t>
      </w:r>
      <w:bookmarkEnd w:id="1667"/>
      <w:bookmarkEnd w:id="1668"/>
      <w:bookmarkEnd w:id="1669"/>
      <w:bookmarkEnd w:id="1670"/>
      <w:bookmarkEnd w:id="1671"/>
      <w:bookmarkEnd w:id="1672"/>
      <w:bookmarkEnd w:id="1673"/>
    </w:p>
    <w:p w14:paraId="5DD68DF3">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分包人申请完工验收的程序：</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按总包合同相关规定执行</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41678FDF">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674" w:name="_Toc22224"/>
      <w:bookmarkStart w:id="1675" w:name="_Toc24443"/>
      <w:bookmarkStart w:id="1676" w:name="_Toc5280"/>
      <w:bookmarkStart w:id="1677" w:name="_Toc389586475"/>
      <w:bookmarkStart w:id="1678" w:name="_Toc15562"/>
      <w:bookmarkStart w:id="1679" w:name="_Toc420"/>
      <w:bookmarkStart w:id="1680" w:name="_Toc29610"/>
      <w:r>
        <w:rPr>
          <w:rFonts w:hint="eastAsia" w:ascii="楷体_GB2312" w:hAnsi="楷体_GB2312" w:eastAsia="楷体_GB2312" w:cs="楷体_GB2312"/>
          <w:b w:val="0"/>
          <w:bCs w:val="0"/>
          <w:color w:val="auto"/>
          <w:sz w:val="24"/>
          <w:szCs w:val="24"/>
          <w:highlight w:val="none"/>
        </w:rPr>
        <w:t>17.3 完工日期</w:t>
      </w:r>
      <w:bookmarkEnd w:id="1674"/>
      <w:bookmarkEnd w:id="1675"/>
      <w:bookmarkEnd w:id="1676"/>
      <w:bookmarkEnd w:id="1677"/>
      <w:bookmarkEnd w:id="1678"/>
      <w:bookmarkEnd w:id="1679"/>
      <w:bookmarkEnd w:id="1680"/>
    </w:p>
    <w:p w14:paraId="53BCFF07">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分包工程自完工验收合格至移交承包人的期间未能保持质量合格状态的，分包人应承担的违约责任：</w:t>
      </w:r>
      <w:r>
        <w:rPr>
          <w:rFonts w:hint="eastAsia" w:ascii="仿宋_GB2312" w:hAnsi="仿宋_GB2312" w:eastAsia="仿宋_GB2312" w:cs="仿宋_GB2312"/>
          <w:color w:val="auto"/>
          <w:kern w:val="0"/>
          <w:sz w:val="24"/>
          <w:szCs w:val="24"/>
          <w:highlight w:val="none"/>
          <w:u w:val="single"/>
        </w:rPr>
        <w:t xml:space="preserve"> 因分包人的原因导致工程质量标准达不到总包合同要求的，分包人必须无偿进行返工，直至达到验收标准为止</w:t>
      </w:r>
      <w:r>
        <w:rPr>
          <w:rFonts w:hint="eastAsia" w:ascii="仿宋_GB2312" w:hAnsi="仿宋_GB2312" w:eastAsia="仿宋_GB2312" w:cs="仿宋_GB2312"/>
          <w:b w:val="0"/>
          <w:bCs w:val="0"/>
          <w:color w:val="auto"/>
          <w:kern w:val="0"/>
          <w:sz w:val="24"/>
          <w:szCs w:val="24"/>
          <w:highlight w:val="none"/>
          <w:u w:val="none"/>
        </w:rPr>
        <w:t>，工期不予延长，</w:t>
      </w:r>
      <w:r>
        <w:rPr>
          <w:rFonts w:hint="eastAsia" w:ascii="仿宋_GB2312" w:hAnsi="仿宋_GB2312" w:eastAsia="仿宋_GB2312" w:cs="仿宋_GB2312"/>
          <w:color w:val="auto"/>
          <w:kern w:val="0"/>
          <w:sz w:val="24"/>
          <w:szCs w:val="24"/>
          <w:highlight w:val="none"/>
          <w:u w:val="single"/>
        </w:rPr>
        <w:t xml:space="preserve">由此造成的其他一切损失及后果由分包人承担 </w:t>
      </w:r>
      <w:r>
        <w:rPr>
          <w:rFonts w:hint="eastAsia" w:ascii="仿宋_GB2312" w:hAnsi="仿宋_GB2312" w:eastAsia="仿宋_GB2312" w:cs="仿宋_GB2312"/>
          <w:color w:val="auto"/>
          <w:kern w:val="0"/>
          <w:sz w:val="24"/>
          <w:szCs w:val="24"/>
          <w:highlight w:val="none"/>
        </w:rPr>
        <w:t>。</w:t>
      </w:r>
    </w:p>
    <w:p w14:paraId="15CAA565">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81" w:name="_Toc29053"/>
      <w:bookmarkStart w:id="1682" w:name="_Toc25657"/>
      <w:bookmarkStart w:id="1683" w:name="_Toc17241"/>
      <w:bookmarkStart w:id="1684" w:name="_Toc28787"/>
      <w:bookmarkStart w:id="1685" w:name="_Toc14944"/>
      <w:bookmarkStart w:id="1686" w:name="_Toc30331"/>
      <w:bookmarkStart w:id="1687" w:name="_Toc389586476"/>
      <w:r>
        <w:rPr>
          <w:rFonts w:hint="eastAsia" w:ascii="楷体_GB2312" w:hAnsi="楷体_GB2312" w:eastAsia="楷体_GB2312" w:cs="楷体_GB2312"/>
          <w:b w:val="0"/>
          <w:bCs w:val="0"/>
          <w:color w:val="auto"/>
          <w:sz w:val="24"/>
          <w:szCs w:val="24"/>
          <w:highlight w:val="none"/>
        </w:rPr>
        <w:t>17.4 完工退场</w:t>
      </w:r>
      <w:bookmarkEnd w:id="1681"/>
      <w:bookmarkEnd w:id="1682"/>
      <w:bookmarkEnd w:id="1683"/>
      <w:bookmarkEnd w:id="1684"/>
      <w:bookmarkEnd w:id="1685"/>
      <w:bookmarkEnd w:id="1686"/>
      <w:bookmarkEnd w:id="1687"/>
    </w:p>
    <w:p w14:paraId="444336F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分包人对施工场地进行清理并退场的期限：</w:t>
      </w:r>
      <w:r>
        <w:rPr>
          <w:rFonts w:hint="eastAsia" w:ascii="仿宋_GB2312" w:hAnsi="仿宋_GB2312" w:eastAsia="仿宋_GB2312" w:cs="仿宋_GB2312"/>
          <w:color w:val="auto"/>
          <w:kern w:val="0"/>
          <w:sz w:val="24"/>
          <w:szCs w:val="24"/>
          <w:highlight w:val="none"/>
          <w:u w:val="single"/>
        </w:rPr>
        <w:t xml:space="preserve">  分包人应在分包工程完工验收合格后3天内对施工场地进行清理后退场 </w:t>
      </w:r>
      <w:r>
        <w:rPr>
          <w:rFonts w:hint="eastAsia" w:ascii="仿宋_GB2312" w:hAnsi="仿宋_GB2312" w:eastAsia="仿宋_GB2312" w:cs="仿宋_GB2312"/>
          <w:color w:val="auto"/>
          <w:kern w:val="0"/>
          <w:sz w:val="24"/>
          <w:szCs w:val="24"/>
          <w:highlight w:val="none"/>
        </w:rPr>
        <w:t>。</w:t>
      </w:r>
    </w:p>
    <w:p w14:paraId="38EE49F5">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88" w:name="_Toc6259"/>
      <w:bookmarkStart w:id="1689" w:name="_Toc4578"/>
      <w:bookmarkStart w:id="1690" w:name="_Toc389586477"/>
      <w:bookmarkStart w:id="1691" w:name="_Toc11216"/>
      <w:bookmarkStart w:id="1692" w:name="_Toc27448"/>
      <w:bookmarkStart w:id="1693" w:name="_Toc28380"/>
      <w:bookmarkStart w:id="1694" w:name="_Toc18296"/>
      <w:r>
        <w:rPr>
          <w:rFonts w:hint="eastAsia" w:ascii="黑体" w:hAnsi="黑体" w:eastAsia="黑体" w:cs="黑体"/>
          <w:b w:val="0"/>
          <w:bCs w:val="0"/>
          <w:color w:val="auto"/>
          <w:sz w:val="24"/>
          <w:szCs w:val="24"/>
          <w:highlight w:val="none"/>
        </w:rPr>
        <w:t>18. 分包工程移交</w:t>
      </w:r>
      <w:bookmarkEnd w:id="1688"/>
      <w:bookmarkEnd w:id="1689"/>
      <w:bookmarkEnd w:id="1690"/>
      <w:bookmarkEnd w:id="1691"/>
      <w:bookmarkEnd w:id="1692"/>
      <w:bookmarkEnd w:id="1693"/>
      <w:bookmarkEnd w:id="1694"/>
    </w:p>
    <w:p w14:paraId="0B25E25A">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695" w:name="_Toc2548"/>
      <w:bookmarkStart w:id="1696" w:name="_Toc21388"/>
      <w:bookmarkStart w:id="1697" w:name="_Toc30532"/>
      <w:bookmarkStart w:id="1698" w:name="_Toc389586478"/>
      <w:bookmarkStart w:id="1699" w:name="_Toc20805"/>
      <w:bookmarkStart w:id="1700" w:name="_Toc7670"/>
      <w:bookmarkStart w:id="1701" w:name="_Toc21867"/>
      <w:r>
        <w:rPr>
          <w:rFonts w:hint="eastAsia" w:ascii="楷体_GB2312" w:hAnsi="楷体_GB2312" w:eastAsia="楷体_GB2312" w:cs="楷体_GB2312"/>
          <w:b w:val="0"/>
          <w:bCs w:val="0"/>
          <w:color w:val="auto"/>
          <w:sz w:val="24"/>
          <w:szCs w:val="24"/>
          <w:highlight w:val="none"/>
        </w:rPr>
        <w:t>18.1 分包工程移交时间</w:t>
      </w:r>
      <w:bookmarkEnd w:id="1695"/>
      <w:bookmarkEnd w:id="1696"/>
      <w:bookmarkEnd w:id="1697"/>
      <w:bookmarkEnd w:id="1698"/>
      <w:bookmarkEnd w:id="1699"/>
      <w:bookmarkEnd w:id="1700"/>
      <w:bookmarkEnd w:id="1701"/>
    </w:p>
    <w:p w14:paraId="1389EFF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承包人</w:t>
      </w:r>
      <w:r>
        <w:rPr>
          <w:rFonts w:hint="eastAsia" w:ascii="仿宋_GB2312" w:hAnsi="仿宋_GB2312" w:eastAsia="仿宋_GB2312" w:cs="仿宋_GB2312"/>
          <w:color w:val="auto"/>
          <w:kern w:val="0"/>
          <w:sz w:val="24"/>
          <w:szCs w:val="24"/>
          <w:highlight w:val="none"/>
        </w:rPr>
        <w:t>向分包人颁发分包工程接收证书的期限：</w:t>
      </w:r>
      <w:r>
        <w:rPr>
          <w:rFonts w:hint="eastAsia" w:ascii="仿宋_GB2312" w:hAnsi="仿宋_GB2312" w:eastAsia="仿宋_GB2312" w:cs="仿宋_GB2312"/>
          <w:color w:val="auto"/>
          <w:kern w:val="0"/>
          <w:sz w:val="24"/>
          <w:szCs w:val="24"/>
          <w:highlight w:val="none"/>
          <w:u w:val="single"/>
        </w:rPr>
        <w:t xml:space="preserve"> 按照通用合同条款执行  </w:t>
      </w:r>
      <w:r>
        <w:rPr>
          <w:rFonts w:hint="eastAsia" w:ascii="仿宋_GB2312" w:hAnsi="仿宋_GB2312" w:eastAsia="仿宋_GB2312" w:cs="仿宋_GB2312"/>
          <w:color w:val="auto"/>
          <w:kern w:val="0"/>
          <w:sz w:val="24"/>
          <w:szCs w:val="24"/>
          <w:highlight w:val="none"/>
        </w:rPr>
        <w:t>。</w:t>
      </w:r>
    </w:p>
    <w:p w14:paraId="6FB36CB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u w:val="single"/>
        </w:rPr>
      </w:pPr>
      <w:r>
        <w:rPr>
          <w:rFonts w:hint="eastAsia" w:ascii="仿宋_GB2312" w:hAnsi="仿宋_GB2312" w:eastAsia="仿宋_GB2312" w:cs="仿宋_GB2312"/>
          <w:color w:val="auto"/>
          <w:kern w:val="0"/>
          <w:sz w:val="24"/>
          <w:szCs w:val="24"/>
          <w:highlight w:val="none"/>
        </w:rPr>
        <w:t>合同当事人完成分包工程以及全部工程资料移交的期限：</w:t>
      </w:r>
      <w:r>
        <w:rPr>
          <w:rFonts w:hint="eastAsia" w:ascii="仿宋_GB2312" w:hAnsi="仿宋_GB2312" w:eastAsia="仿宋_GB2312" w:cs="仿宋_GB2312"/>
          <w:color w:val="auto"/>
          <w:kern w:val="0"/>
          <w:sz w:val="24"/>
          <w:szCs w:val="24"/>
          <w:highlight w:val="none"/>
          <w:u w:val="single"/>
        </w:rPr>
        <w:t xml:space="preserve"> 按照通用合同条款执行 </w:t>
      </w:r>
      <w:r>
        <w:rPr>
          <w:rFonts w:hint="eastAsia" w:ascii="仿宋_GB2312" w:hAnsi="仿宋_GB2312" w:eastAsia="仿宋_GB2312" w:cs="仿宋_GB2312"/>
          <w:color w:val="auto"/>
          <w:kern w:val="0"/>
          <w:sz w:val="24"/>
          <w:szCs w:val="24"/>
          <w:highlight w:val="none"/>
        </w:rPr>
        <w:t>。</w:t>
      </w:r>
    </w:p>
    <w:p w14:paraId="73DEFDC4">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工程资料的套数、内容：</w:t>
      </w:r>
      <w:r>
        <w:rPr>
          <w:rFonts w:hint="eastAsia" w:ascii="仿宋_GB2312" w:hAnsi="仿宋_GB2312" w:eastAsia="仿宋_GB2312" w:cs="仿宋_GB2312"/>
          <w:color w:val="auto"/>
          <w:kern w:val="0"/>
          <w:sz w:val="24"/>
          <w:szCs w:val="24"/>
          <w:highlight w:val="none"/>
          <w:u w:val="single"/>
        </w:rPr>
        <w:t xml:space="preserve"> 按总包合同相关要求执行  </w:t>
      </w:r>
      <w:r>
        <w:rPr>
          <w:rFonts w:hint="eastAsia" w:ascii="仿宋_GB2312" w:hAnsi="仿宋_GB2312" w:eastAsia="仿宋_GB2312" w:cs="仿宋_GB2312"/>
          <w:color w:val="auto"/>
          <w:kern w:val="0"/>
          <w:sz w:val="24"/>
          <w:szCs w:val="24"/>
          <w:highlight w:val="none"/>
        </w:rPr>
        <w:t>。</w:t>
      </w:r>
    </w:p>
    <w:p w14:paraId="40005956">
      <w:pPr>
        <w:pStyle w:val="4"/>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702" w:name="_Toc31789"/>
      <w:bookmarkStart w:id="1703" w:name="_Toc10794"/>
      <w:bookmarkStart w:id="1704" w:name="_Toc389586479"/>
      <w:bookmarkStart w:id="1705" w:name="_Toc21456"/>
      <w:bookmarkStart w:id="1706" w:name="_Toc11334"/>
      <w:bookmarkStart w:id="1707" w:name="_Toc15190"/>
      <w:bookmarkStart w:id="1708" w:name="_Toc6089"/>
      <w:r>
        <w:rPr>
          <w:rFonts w:hint="eastAsia" w:ascii="黑体" w:hAnsi="黑体" w:eastAsia="黑体" w:cs="黑体"/>
          <w:b w:val="0"/>
          <w:bCs w:val="0"/>
          <w:color w:val="auto"/>
          <w:sz w:val="24"/>
          <w:szCs w:val="24"/>
          <w:highlight w:val="none"/>
        </w:rPr>
        <w:t>19. 结算</w:t>
      </w:r>
      <w:bookmarkEnd w:id="1702"/>
      <w:bookmarkEnd w:id="1703"/>
      <w:bookmarkEnd w:id="1704"/>
      <w:bookmarkEnd w:id="1705"/>
      <w:bookmarkEnd w:id="1706"/>
      <w:bookmarkEnd w:id="1707"/>
      <w:bookmarkEnd w:id="1708"/>
    </w:p>
    <w:p w14:paraId="7FA0EE38">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709" w:name="_Toc25001"/>
      <w:bookmarkStart w:id="1710" w:name="_Toc24732"/>
      <w:bookmarkStart w:id="1711" w:name="_Toc4810"/>
      <w:bookmarkStart w:id="1712" w:name="_Toc21832"/>
      <w:bookmarkStart w:id="1713" w:name="_Toc28103"/>
      <w:bookmarkStart w:id="1714" w:name="_Toc31232"/>
      <w:bookmarkStart w:id="1715" w:name="_Toc389586480"/>
      <w:r>
        <w:rPr>
          <w:rFonts w:hint="eastAsia" w:ascii="楷体_GB2312" w:hAnsi="楷体_GB2312" w:eastAsia="楷体_GB2312" w:cs="楷体_GB2312"/>
          <w:b w:val="0"/>
          <w:bCs w:val="0"/>
          <w:color w:val="auto"/>
          <w:sz w:val="24"/>
          <w:szCs w:val="24"/>
          <w:highlight w:val="none"/>
        </w:rPr>
        <w:t>19.1 结算申请</w:t>
      </w:r>
      <w:bookmarkEnd w:id="1709"/>
      <w:bookmarkEnd w:id="1710"/>
      <w:bookmarkEnd w:id="1711"/>
      <w:bookmarkEnd w:id="1712"/>
      <w:bookmarkEnd w:id="1713"/>
      <w:bookmarkEnd w:id="1714"/>
      <w:bookmarkEnd w:id="1715"/>
    </w:p>
    <w:p w14:paraId="576082A7">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19.1.1 分包人提交分包工程结算申请单的期限：</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rPr>
        <w:t>按总包合同相关规定执行</w:t>
      </w:r>
      <w:r>
        <w:rPr>
          <w:rFonts w:hint="eastAsia" w:ascii="仿宋_GB2312" w:hAnsi="仿宋_GB2312" w:eastAsia="仿宋_GB2312" w:cs="仿宋_GB2312"/>
          <w:color w:val="auto"/>
          <w:sz w:val="24"/>
          <w:szCs w:val="24"/>
          <w:highlight w:val="none"/>
        </w:rPr>
        <w:t>。</w:t>
      </w:r>
    </w:p>
    <w:p w14:paraId="4B6885B1">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19.1.2 分包工程结算申请单需要的资料清单和份数：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提供</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套结算书，编制成册并附上封面目录，包括但不限于</w:t>
      </w:r>
      <w:r>
        <w:rPr>
          <w:rFonts w:hint="eastAsia" w:ascii="仿宋_GB2312" w:hAnsi="仿宋_GB2312" w:eastAsia="仿宋_GB2312" w:cs="仿宋_GB2312"/>
          <w:color w:val="auto"/>
          <w:sz w:val="24"/>
          <w:szCs w:val="24"/>
          <w:highlight w:val="none"/>
          <w:u w:val="single"/>
        </w:rPr>
        <w:t xml:space="preserve">分包工程结算表、工程量汇总表、扣款明细表、分包方领料统计表 、现场签证单  </w:t>
      </w:r>
      <w:r>
        <w:rPr>
          <w:rFonts w:hint="eastAsia" w:ascii="仿宋_GB2312" w:hAnsi="仿宋_GB2312" w:eastAsia="仿宋_GB2312" w:cs="仿宋_GB2312"/>
          <w:color w:val="auto"/>
          <w:sz w:val="24"/>
          <w:szCs w:val="24"/>
          <w:highlight w:val="none"/>
        </w:rPr>
        <w:t>。</w:t>
      </w:r>
    </w:p>
    <w:p w14:paraId="73E5DEA0">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19.1.3 分包工程结算申请单应包括的内容：</w:t>
      </w:r>
      <w:r>
        <w:rPr>
          <w:rFonts w:hint="eastAsia" w:ascii="仿宋_GB2312" w:hAnsi="仿宋_GB2312" w:eastAsia="仿宋_GB2312" w:cs="仿宋_GB2312"/>
          <w:color w:val="auto"/>
          <w:sz w:val="24"/>
          <w:szCs w:val="24"/>
          <w:highlight w:val="none"/>
          <w:u w:val="single"/>
        </w:rPr>
        <w:t xml:space="preserve">  除通用合同条款约定的内容外，还应包括分包合同、补充协议（如有）、工程量计算书、变更签证资料、验收记录及报告、工作联系单、施工图纸或其他相关商务资料  </w:t>
      </w:r>
      <w:r>
        <w:rPr>
          <w:rFonts w:hint="eastAsia" w:ascii="仿宋_GB2312" w:hAnsi="仿宋_GB2312" w:eastAsia="仿宋_GB2312" w:cs="仿宋_GB2312"/>
          <w:color w:val="auto"/>
          <w:sz w:val="24"/>
          <w:szCs w:val="24"/>
          <w:highlight w:val="none"/>
        </w:rPr>
        <w:t>。</w:t>
      </w:r>
    </w:p>
    <w:p w14:paraId="68759773">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716" w:name="_Toc9608"/>
      <w:bookmarkStart w:id="1717" w:name="_Toc23750"/>
      <w:bookmarkStart w:id="1718" w:name="_Toc28403"/>
      <w:bookmarkStart w:id="1719" w:name="_Toc389586481"/>
      <w:bookmarkStart w:id="1720" w:name="_Toc29152"/>
      <w:bookmarkStart w:id="1721" w:name="_Toc3009"/>
      <w:bookmarkStart w:id="1722" w:name="_Toc5112"/>
      <w:r>
        <w:rPr>
          <w:rFonts w:hint="eastAsia" w:ascii="楷体_GB2312" w:hAnsi="楷体_GB2312" w:eastAsia="楷体_GB2312" w:cs="楷体_GB2312"/>
          <w:b w:val="0"/>
          <w:bCs w:val="0"/>
          <w:color w:val="auto"/>
          <w:sz w:val="24"/>
          <w:szCs w:val="24"/>
          <w:highlight w:val="none"/>
        </w:rPr>
        <w:t>19.2 结算审核</w:t>
      </w:r>
      <w:bookmarkEnd w:id="1716"/>
      <w:bookmarkEnd w:id="1717"/>
      <w:bookmarkEnd w:id="1718"/>
      <w:bookmarkEnd w:id="1719"/>
      <w:bookmarkEnd w:id="1720"/>
      <w:bookmarkEnd w:id="1721"/>
      <w:bookmarkEnd w:id="1722"/>
    </w:p>
    <w:p w14:paraId="0770EF4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19.2.1 承包人完成结算申请单审核并签发完工付款证书的期限：</w:t>
      </w:r>
      <w:r>
        <w:rPr>
          <w:rFonts w:hint="eastAsia" w:ascii="仿宋_GB2312" w:hAnsi="仿宋_GB2312" w:eastAsia="仿宋_GB2312" w:cs="仿宋_GB2312"/>
          <w:color w:val="auto"/>
          <w:sz w:val="24"/>
          <w:szCs w:val="24"/>
          <w:highlight w:val="none"/>
          <w:u w:val="single"/>
        </w:rPr>
        <w:t xml:space="preserve"> 按通用合同条款执行  </w:t>
      </w:r>
      <w:r>
        <w:rPr>
          <w:rFonts w:hint="eastAsia" w:ascii="仿宋_GB2312" w:hAnsi="仿宋_GB2312" w:eastAsia="仿宋_GB2312" w:cs="仿宋_GB2312"/>
          <w:color w:val="auto"/>
          <w:sz w:val="24"/>
          <w:szCs w:val="24"/>
          <w:highlight w:val="none"/>
        </w:rPr>
        <w:t>。</w:t>
      </w:r>
    </w:p>
    <w:p w14:paraId="65FE5A3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承包人完成完工付款的期限：</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承包人收到发包人支付的相应工程款后，30个工作日内支付给分包人</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0E1D288D">
      <w:pPr>
        <w:pStyle w:val="10"/>
        <w:pageBreakBefore w:val="0"/>
        <w:widowControl w:val="0"/>
        <w:kinsoku/>
        <w:overflowPunct/>
        <w:topLinePunct w:val="0"/>
        <w:autoSpaceDE/>
        <w:autoSpaceDN/>
        <w:bidi w:val="0"/>
        <w:adjustRightInd w:val="0"/>
        <w:snapToGrid w:val="0"/>
        <w:spacing w:line="39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 xml:space="preserve">    19.2.2 </w:t>
      </w:r>
      <w:r>
        <w:rPr>
          <w:rFonts w:hint="eastAsia" w:ascii="仿宋_GB2312" w:hAnsi="仿宋_GB2312" w:eastAsia="仿宋_GB2312" w:cs="仿宋_GB2312"/>
          <w:color w:val="auto"/>
          <w:sz w:val="24"/>
          <w:szCs w:val="24"/>
          <w:highlight w:val="none"/>
        </w:rPr>
        <w:t>分包结算必须在总包合同结算完成后方可办理结算确认手续，分包合同结算以承包方最终确认为准且工程量不得大于总包合同结算工程量，分包合同结算金额不得超出初步结算审核金额。</w:t>
      </w:r>
    </w:p>
    <w:p w14:paraId="1B862552">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723" w:name="_Toc25895"/>
      <w:bookmarkStart w:id="1724" w:name="_Toc29387"/>
      <w:bookmarkStart w:id="1725" w:name="_Toc14677"/>
      <w:bookmarkStart w:id="1726" w:name="_Toc5425"/>
      <w:bookmarkStart w:id="1727" w:name="_Toc389586482"/>
      <w:bookmarkStart w:id="1728" w:name="_Toc24649"/>
      <w:bookmarkStart w:id="1729" w:name="_Toc1431"/>
      <w:r>
        <w:rPr>
          <w:rFonts w:hint="eastAsia" w:ascii="楷体_GB2312" w:hAnsi="楷体_GB2312" w:eastAsia="楷体_GB2312" w:cs="楷体_GB2312"/>
          <w:b w:val="0"/>
          <w:bCs w:val="0"/>
          <w:color w:val="auto"/>
          <w:sz w:val="24"/>
          <w:szCs w:val="24"/>
          <w:highlight w:val="none"/>
        </w:rPr>
        <w:t>19.3 最终结清</w:t>
      </w:r>
      <w:bookmarkEnd w:id="1723"/>
      <w:bookmarkEnd w:id="1724"/>
      <w:bookmarkEnd w:id="1725"/>
      <w:bookmarkEnd w:id="1726"/>
      <w:bookmarkEnd w:id="1727"/>
      <w:bookmarkEnd w:id="1728"/>
      <w:bookmarkEnd w:id="1729"/>
    </w:p>
    <w:p w14:paraId="45C64657">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19.3.1 分包人提交最终结清申请单的期限：</w:t>
      </w:r>
      <w:r>
        <w:rPr>
          <w:rFonts w:hint="eastAsia" w:ascii="仿宋_GB2312" w:hAnsi="仿宋_GB2312" w:eastAsia="仿宋_GB2312" w:cs="仿宋_GB2312"/>
          <w:color w:val="auto"/>
          <w:sz w:val="24"/>
          <w:szCs w:val="24"/>
          <w:highlight w:val="none"/>
          <w:u w:val="single"/>
        </w:rPr>
        <w:t xml:space="preserve"> 按通用合同条款执行 </w:t>
      </w:r>
      <w:r>
        <w:rPr>
          <w:rFonts w:hint="eastAsia" w:ascii="仿宋_GB2312" w:hAnsi="仿宋_GB2312" w:eastAsia="仿宋_GB2312" w:cs="仿宋_GB2312"/>
          <w:color w:val="auto"/>
          <w:sz w:val="24"/>
          <w:szCs w:val="24"/>
          <w:highlight w:val="none"/>
        </w:rPr>
        <w:t>。</w:t>
      </w:r>
    </w:p>
    <w:p w14:paraId="16E2293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分包人提交最终结清申请单的份数：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u w:val="single"/>
        </w:rPr>
        <w:t xml:space="preserve">份                               </w:t>
      </w:r>
      <w:r>
        <w:rPr>
          <w:rFonts w:hint="eastAsia" w:ascii="仿宋_GB2312" w:hAnsi="仿宋_GB2312" w:eastAsia="仿宋_GB2312" w:cs="仿宋_GB2312"/>
          <w:color w:val="auto"/>
          <w:sz w:val="24"/>
          <w:szCs w:val="24"/>
          <w:highlight w:val="none"/>
        </w:rPr>
        <w:t>。</w:t>
      </w:r>
    </w:p>
    <w:p w14:paraId="04365153">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关于最终结清申请单内容的特殊约定：</w:t>
      </w:r>
      <w:r>
        <w:rPr>
          <w:rFonts w:hint="eastAsia" w:ascii="仿宋_GB2312" w:hAnsi="仿宋_GB2312" w:eastAsia="仿宋_GB2312" w:cs="仿宋_GB2312"/>
          <w:color w:val="auto"/>
          <w:kern w:val="0"/>
          <w:sz w:val="24"/>
          <w:szCs w:val="24"/>
          <w:highlight w:val="none"/>
          <w:u w:val="single"/>
        </w:rPr>
        <w:t xml:space="preserve"> 分包人向承包人提交最终结清申请单时同时提交农民工工资已全部付清的声明，保证无拖欠农民工工资  </w:t>
      </w:r>
      <w:r>
        <w:rPr>
          <w:rFonts w:hint="eastAsia" w:ascii="仿宋_GB2312" w:hAnsi="仿宋_GB2312" w:eastAsia="仿宋_GB2312" w:cs="仿宋_GB2312"/>
          <w:color w:val="auto"/>
          <w:kern w:val="0"/>
          <w:sz w:val="24"/>
          <w:szCs w:val="24"/>
          <w:highlight w:val="none"/>
        </w:rPr>
        <w:t>。</w:t>
      </w:r>
    </w:p>
    <w:p w14:paraId="7E57C1B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19.3.2 承包人完成最终结清申请单的审批并颁发最终结清证书的期限：</w:t>
      </w:r>
      <w:r>
        <w:rPr>
          <w:rFonts w:hint="eastAsia" w:ascii="仿宋_GB2312" w:hAnsi="仿宋_GB2312" w:eastAsia="仿宋_GB2312" w:cs="仿宋_GB2312"/>
          <w:color w:val="auto"/>
          <w:sz w:val="24"/>
          <w:szCs w:val="24"/>
          <w:highlight w:val="none"/>
          <w:u w:val="single"/>
        </w:rPr>
        <w:t xml:space="preserve"> 按总包合同相关规定执行 </w:t>
      </w:r>
      <w:r>
        <w:rPr>
          <w:rFonts w:hint="eastAsia" w:ascii="仿宋_GB2312" w:hAnsi="仿宋_GB2312" w:eastAsia="仿宋_GB2312" w:cs="仿宋_GB2312"/>
          <w:color w:val="auto"/>
          <w:sz w:val="24"/>
          <w:szCs w:val="24"/>
          <w:highlight w:val="none"/>
        </w:rPr>
        <w:t>。</w:t>
      </w:r>
    </w:p>
    <w:p w14:paraId="45267FFE">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承包人完成最终支付的期限：</w:t>
      </w:r>
      <w:r>
        <w:rPr>
          <w:rFonts w:hint="eastAsia" w:ascii="仿宋_GB2312" w:hAnsi="仿宋_GB2312" w:eastAsia="仿宋_GB2312" w:cs="仿宋_GB2312"/>
          <w:color w:val="auto"/>
          <w:kern w:val="0"/>
          <w:sz w:val="24"/>
          <w:szCs w:val="24"/>
          <w:highlight w:val="none"/>
          <w:u w:val="single"/>
        </w:rPr>
        <w:t xml:space="preserve">  按总包合同相关规定执行 </w:t>
      </w:r>
      <w:r>
        <w:rPr>
          <w:rFonts w:hint="eastAsia" w:ascii="仿宋_GB2312" w:hAnsi="仿宋_GB2312" w:eastAsia="仿宋_GB2312" w:cs="仿宋_GB2312"/>
          <w:color w:val="auto"/>
          <w:kern w:val="0"/>
          <w:sz w:val="24"/>
          <w:szCs w:val="24"/>
          <w:highlight w:val="none"/>
        </w:rPr>
        <w:t>。</w:t>
      </w:r>
    </w:p>
    <w:p w14:paraId="3688D510">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30" w:name="_Toc23541"/>
      <w:bookmarkStart w:id="1731" w:name="_Toc389586483"/>
      <w:bookmarkStart w:id="1732" w:name="_Toc6833"/>
      <w:bookmarkStart w:id="1733" w:name="_Toc11577"/>
      <w:bookmarkStart w:id="1734" w:name="_Toc10769"/>
      <w:bookmarkStart w:id="1735" w:name="_Toc8150"/>
      <w:bookmarkStart w:id="1736" w:name="_Toc12755"/>
      <w:r>
        <w:rPr>
          <w:rFonts w:hint="eastAsia" w:ascii="黑体" w:hAnsi="黑体" w:eastAsia="黑体" w:cs="黑体"/>
          <w:b w:val="0"/>
          <w:bCs w:val="0"/>
          <w:color w:val="auto"/>
          <w:sz w:val="24"/>
          <w:szCs w:val="24"/>
          <w:highlight w:val="none"/>
        </w:rPr>
        <w:t>20. 缺陷责任期与保修期</w:t>
      </w:r>
      <w:bookmarkEnd w:id="1730"/>
      <w:bookmarkEnd w:id="1731"/>
      <w:bookmarkEnd w:id="1732"/>
      <w:bookmarkEnd w:id="1733"/>
      <w:bookmarkEnd w:id="1734"/>
      <w:bookmarkEnd w:id="1735"/>
      <w:bookmarkEnd w:id="1736"/>
    </w:p>
    <w:p w14:paraId="33E17DEB">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kern w:val="0"/>
          <w:sz w:val="24"/>
          <w:szCs w:val="24"/>
          <w:highlight w:val="none"/>
        </w:rPr>
      </w:pPr>
      <w:bookmarkStart w:id="1737" w:name="_Toc6548"/>
      <w:bookmarkStart w:id="1738" w:name="_Toc16953"/>
      <w:bookmarkStart w:id="1739" w:name="_Toc3483"/>
      <w:bookmarkStart w:id="1740" w:name="_Toc3259"/>
      <w:bookmarkStart w:id="1741" w:name="_Toc389586484"/>
      <w:bookmarkStart w:id="1742" w:name="_Toc30342"/>
      <w:bookmarkStart w:id="1743" w:name="_Toc3182"/>
      <w:r>
        <w:rPr>
          <w:rFonts w:hint="eastAsia" w:ascii="楷体_GB2312" w:hAnsi="楷体_GB2312" w:eastAsia="楷体_GB2312" w:cs="楷体_GB2312"/>
          <w:b w:val="0"/>
          <w:bCs w:val="0"/>
          <w:color w:val="auto"/>
          <w:kern w:val="0"/>
          <w:sz w:val="24"/>
          <w:szCs w:val="24"/>
          <w:highlight w:val="none"/>
        </w:rPr>
        <w:t>20.1 缺陷责任期</w:t>
      </w:r>
      <w:bookmarkEnd w:id="1737"/>
      <w:bookmarkEnd w:id="1738"/>
      <w:bookmarkEnd w:id="1739"/>
      <w:bookmarkEnd w:id="1740"/>
      <w:bookmarkEnd w:id="1741"/>
      <w:bookmarkEnd w:id="1742"/>
      <w:bookmarkEnd w:id="1743"/>
    </w:p>
    <w:p w14:paraId="15C6BF1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20.1.1 缺陷责任期的起算日：</w:t>
      </w:r>
      <w:r>
        <w:rPr>
          <w:rFonts w:hint="eastAsia" w:ascii="仿宋_GB2312" w:hAnsi="仿宋_GB2312" w:eastAsia="仿宋_GB2312" w:cs="仿宋_GB2312"/>
          <w:color w:val="auto"/>
          <w:kern w:val="0"/>
          <w:sz w:val="24"/>
          <w:szCs w:val="24"/>
          <w:highlight w:val="none"/>
          <w:u w:val="single"/>
        </w:rPr>
        <w:t xml:space="preserve"> 按通用合同条款执行 </w:t>
      </w:r>
      <w:r>
        <w:rPr>
          <w:rFonts w:hint="eastAsia" w:ascii="仿宋_GB2312" w:hAnsi="仿宋_GB2312" w:eastAsia="仿宋_GB2312" w:cs="仿宋_GB2312"/>
          <w:color w:val="auto"/>
          <w:kern w:val="0"/>
          <w:sz w:val="24"/>
          <w:szCs w:val="24"/>
          <w:highlight w:val="none"/>
        </w:rPr>
        <w:t>。</w:t>
      </w:r>
    </w:p>
    <w:p w14:paraId="2C4E725A">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缺陷责任期的具体期限：</w:t>
      </w:r>
      <w:r>
        <w:rPr>
          <w:rFonts w:hint="eastAsia" w:ascii="仿宋_GB2312" w:hAnsi="仿宋_GB2312" w:eastAsia="仿宋_GB2312" w:cs="仿宋_GB2312"/>
          <w:color w:val="auto"/>
          <w:kern w:val="0"/>
          <w:sz w:val="24"/>
          <w:szCs w:val="24"/>
          <w:highlight w:val="none"/>
          <w:u w:val="single"/>
        </w:rPr>
        <w:t xml:space="preserve"> 24个月 </w:t>
      </w:r>
      <w:r>
        <w:rPr>
          <w:rFonts w:hint="eastAsia" w:ascii="仿宋_GB2312" w:hAnsi="仿宋_GB2312" w:eastAsia="仿宋_GB2312" w:cs="仿宋_GB2312"/>
          <w:color w:val="auto"/>
          <w:kern w:val="0"/>
          <w:sz w:val="24"/>
          <w:szCs w:val="24"/>
          <w:highlight w:val="none"/>
        </w:rPr>
        <w:t>。</w:t>
      </w:r>
    </w:p>
    <w:p w14:paraId="0BE4948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20.1.3 分包人发出缺陷责任期届满通知的期限：</w:t>
      </w:r>
      <w:r>
        <w:rPr>
          <w:rFonts w:hint="eastAsia" w:ascii="仿宋_GB2312" w:hAnsi="仿宋_GB2312" w:eastAsia="仿宋_GB2312" w:cs="仿宋_GB2312"/>
          <w:color w:val="auto"/>
          <w:kern w:val="0"/>
          <w:sz w:val="24"/>
          <w:szCs w:val="24"/>
          <w:highlight w:val="none"/>
          <w:u w:val="single"/>
        </w:rPr>
        <w:t xml:space="preserve"> 按通用合同条款执行 </w:t>
      </w:r>
      <w:r>
        <w:rPr>
          <w:rFonts w:hint="eastAsia" w:ascii="仿宋_GB2312" w:hAnsi="仿宋_GB2312" w:eastAsia="仿宋_GB2312" w:cs="仿宋_GB2312"/>
          <w:color w:val="auto"/>
          <w:kern w:val="0"/>
          <w:sz w:val="24"/>
          <w:szCs w:val="24"/>
          <w:highlight w:val="none"/>
        </w:rPr>
        <w:t>。</w:t>
      </w:r>
    </w:p>
    <w:p w14:paraId="3E3E1538">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44" w:name="_Toc7167"/>
      <w:bookmarkStart w:id="1745" w:name="_Toc29783"/>
      <w:bookmarkStart w:id="1746" w:name="_Toc389586485"/>
      <w:bookmarkStart w:id="1747" w:name="_Toc26591"/>
      <w:bookmarkStart w:id="1748" w:name="_Toc25003"/>
      <w:bookmarkStart w:id="1749" w:name="_Toc24310"/>
      <w:bookmarkStart w:id="1750" w:name="_Toc18860"/>
      <w:r>
        <w:rPr>
          <w:rFonts w:hint="eastAsia" w:ascii="楷体_GB2312" w:hAnsi="楷体_GB2312" w:eastAsia="楷体_GB2312" w:cs="楷体_GB2312"/>
          <w:b w:val="0"/>
          <w:bCs w:val="0"/>
          <w:color w:val="auto"/>
          <w:sz w:val="24"/>
          <w:szCs w:val="24"/>
          <w:highlight w:val="none"/>
        </w:rPr>
        <w:t>20.2 保修期</w:t>
      </w:r>
      <w:bookmarkEnd w:id="1744"/>
      <w:bookmarkEnd w:id="1745"/>
      <w:bookmarkEnd w:id="1746"/>
      <w:bookmarkEnd w:id="1747"/>
      <w:bookmarkEnd w:id="1748"/>
      <w:bookmarkEnd w:id="1749"/>
      <w:bookmarkEnd w:id="1750"/>
    </w:p>
    <w:p w14:paraId="7D197CAD">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20.2.1 保修期的起算日：</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验收送电日期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6FE155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保修期具体期限：</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验收送电起算满2年</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w:t>
      </w:r>
    </w:p>
    <w:p w14:paraId="1EB472FD">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51" w:name="_Toc14990"/>
      <w:bookmarkStart w:id="1752" w:name="_Toc389586486"/>
      <w:bookmarkStart w:id="1753" w:name="_Toc8302"/>
      <w:bookmarkStart w:id="1754" w:name="_Toc32459"/>
      <w:bookmarkStart w:id="1755" w:name="_Toc14091"/>
      <w:bookmarkStart w:id="1756" w:name="_Toc22397"/>
      <w:bookmarkStart w:id="1757" w:name="_Toc19333"/>
      <w:r>
        <w:rPr>
          <w:rFonts w:hint="eastAsia" w:ascii="楷体_GB2312" w:hAnsi="楷体_GB2312" w:eastAsia="楷体_GB2312" w:cs="楷体_GB2312"/>
          <w:b w:val="0"/>
          <w:bCs w:val="0"/>
          <w:color w:val="auto"/>
          <w:sz w:val="24"/>
          <w:szCs w:val="24"/>
          <w:highlight w:val="none"/>
        </w:rPr>
        <w:t>20.3 质量保证金</w:t>
      </w:r>
      <w:bookmarkEnd w:id="1751"/>
      <w:bookmarkEnd w:id="1752"/>
      <w:bookmarkEnd w:id="1753"/>
      <w:bookmarkEnd w:id="1754"/>
      <w:bookmarkEnd w:id="1755"/>
      <w:bookmarkEnd w:id="1756"/>
      <w:bookmarkEnd w:id="1757"/>
    </w:p>
    <w:p w14:paraId="3E78735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20.3.1 质量保证金的扣留金额和扣留方式：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rPr>
        <w:t>按结算合同价格的3%扣留，在保修期结束且分包人完成保修责任后30天内无息返还</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27DAAB01">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20.3.2 质量保证金的发票开具选择以下方式：（请勾选）</w:t>
      </w:r>
    </w:p>
    <w:p w14:paraId="6C6E9DEE">
      <w:pPr>
        <w:pageBreakBefore w:val="0"/>
        <w:kinsoku/>
        <w:wordWrap w:val="0"/>
        <w:overflowPunct/>
        <w:topLinePunct w:val="0"/>
        <w:bidi w:val="0"/>
        <w:adjustRightInd w:val="0"/>
        <w:snapToGrid w:val="0"/>
        <w:spacing w:line="400" w:lineRule="exact"/>
        <w:ind w:left="105" w:leftChars="50" w:firstLine="31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分包人向承包人</w:t>
      </w:r>
      <w:r>
        <w:rPr>
          <w:rFonts w:hint="eastAsia" w:ascii="仿宋_GB2312" w:hAnsi="仿宋_GB2312" w:eastAsia="仿宋_GB2312" w:cs="仿宋_GB2312"/>
          <w:color w:val="auto"/>
          <w:kern w:val="0"/>
          <w:sz w:val="24"/>
          <w:szCs w:val="24"/>
          <w:highlight w:val="none"/>
        </w:rPr>
        <w:t>按照14.5条款</w:t>
      </w:r>
      <w:r>
        <w:rPr>
          <w:rFonts w:hint="eastAsia" w:ascii="仿宋_GB2312" w:hAnsi="仿宋_GB2312" w:eastAsia="仿宋_GB2312" w:cs="仿宋_GB2312"/>
          <w:color w:val="auto"/>
          <w:sz w:val="24"/>
          <w:szCs w:val="24"/>
          <w:highlight w:val="none"/>
        </w:rPr>
        <w:t>开具结算款全额发票（即含质量保证金）。如最终因质量问题等原因承包人无法向分包人全额支付质量保证金，承包人将配合分包人对之前索取的发票办理红冲</w:t>
      </w:r>
    </w:p>
    <w:p w14:paraId="2138D651">
      <w:pPr>
        <w:pageBreakBefore w:val="0"/>
        <w:kinsoku/>
        <w:wordWrap w:val="0"/>
        <w:overflowPunct/>
        <w:topLinePunct w:val="0"/>
        <w:bidi w:val="0"/>
        <w:adjustRightInd w:val="0"/>
        <w:snapToGrid w:val="0"/>
        <w:spacing w:line="400" w:lineRule="exact"/>
        <w:ind w:left="105" w:leftChars="50" w:firstLine="315"/>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分包人按扣留质量保证金后的结算款金额</w:t>
      </w:r>
      <w:r>
        <w:rPr>
          <w:rFonts w:hint="eastAsia" w:ascii="仿宋_GB2312" w:hAnsi="仿宋_GB2312" w:eastAsia="仿宋_GB2312" w:cs="仿宋_GB2312"/>
          <w:color w:val="auto"/>
          <w:kern w:val="0"/>
          <w:sz w:val="24"/>
          <w:szCs w:val="24"/>
          <w:highlight w:val="none"/>
        </w:rPr>
        <w:t>按照14.5条款</w:t>
      </w:r>
      <w:r>
        <w:rPr>
          <w:rFonts w:hint="eastAsia" w:ascii="仿宋_GB2312" w:hAnsi="仿宋_GB2312" w:eastAsia="仿宋_GB2312" w:cs="仿宋_GB2312"/>
          <w:color w:val="auto"/>
          <w:sz w:val="24"/>
          <w:szCs w:val="24"/>
          <w:highlight w:val="none"/>
        </w:rPr>
        <w:t>向承包人开具发票。待扣留期满后，按照最终承包人支付的质量保证金金额向承包人开具发票</w:t>
      </w:r>
    </w:p>
    <w:p w14:paraId="17BD887F">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758" w:name="_Toc27920"/>
      <w:bookmarkStart w:id="1759" w:name="_Toc27471"/>
      <w:bookmarkStart w:id="1760" w:name="_Toc5494"/>
      <w:bookmarkStart w:id="1761" w:name="_Toc16712"/>
      <w:bookmarkStart w:id="1762" w:name="_Toc389586487"/>
      <w:bookmarkStart w:id="1763" w:name="_Toc648"/>
      <w:bookmarkStart w:id="1764" w:name="_Toc22387"/>
      <w:r>
        <w:rPr>
          <w:rFonts w:hint="eastAsia" w:ascii="黑体" w:hAnsi="黑体" w:eastAsia="黑体" w:cs="黑体"/>
          <w:b w:val="0"/>
          <w:bCs w:val="0"/>
          <w:color w:val="auto"/>
          <w:sz w:val="24"/>
          <w:szCs w:val="24"/>
          <w:highlight w:val="none"/>
        </w:rPr>
        <w:t>21. 违约</w:t>
      </w:r>
      <w:bookmarkEnd w:id="1758"/>
      <w:bookmarkEnd w:id="1759"/>
      <w:bookmarkEnd w:id="1760"/>
      <w:bookmarkEnd w:id="1761"/>
      <w:bookmarkEnd w:id="1762"/>
      <w:bookmarkEnd w:id="1763"/>
      <w:bookmarkEnd w:id="1764"/>
      <w:bookmarkStart w:id="1765" w:name="_Toc363"/>
      <w:bookmarkStart w:id="1766" w:name="_Toc17658"/>
      <w:bookmarkStart w:id="1767" w:name="_Toc389586490"/>
      <w:bookmarkStart w:id="1768" w:name="_Toc26418"/>
      <w:bookmarkStart w:id="1769" w:name="_Toc31028"/>
      <w:bookmarkStart w:id="1770" w:name="_Toc1194"/>
    </w:p>
    <w:p w14:paraId="4F2C639A">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71" w:name="_Toc27149"/>
      <w:r>
        <w:rPr>
          <w:rFonts w:hint="eastAsia" w:ascii="楷体_GB2312" w:hAnsi="楷体_GB2312" w:eastAsia="楷体_GB2312" w:cs="楷体_GB2312"/>
          <w:b w:val="0"/>
          <w:bCs w:val="0"/>
          <w:color w:val="auto"/>
          <w:sz w:val="24"/>
          <w:szCs w:val="24"/>
          <w:highlight w:val="none"/>
        </w:rPr>
        <w:t>21.1 承包人违约</w:t>
      </w:r>
      <w:bookmarkEnd w:id="1771"/>
    </w:p>
    <w:p w14:paraId="1CBF8C3F">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21.1.1 </w:t>
      </w:r>
      <w:r>
        <w:rPr>
          <w:rFonts w:hint="eastAsia" w:ascii="仿宋_GB2312" w:hAnsi="仿宋_GB2312" w:eastAsia="仿宋_GB2312" w:cs="仿宋_GB2312"/>
          <w:color w:val="auto"/>
          <w:kern w:val="0"/>
          <w:sz w:val="24"/>
          <w:szCs w:val="24"/>
          <w:highlight w:val="none"/>
          <w:u w:val="single"/>
        </w:rPr>
        <w:t>承包人应按照本合同约定及时支付分包人工程款。</w:t>
      </w:r>
      <w:r>
        <w:rPr>
          <w:rFonts w:hint="eastAsia" w:ascii="仿宋_GB2312" w:hAnsi="仿宋_GB2312" w:eastAsia="仿宋_GB2312" w:cs="仿宋_GB2312"/>
          <w:color w:val="auto"/>
          <w:kern w:val="0"/>
          <w:sz w:val="24"/>
          <w:szCs w:val="24"/>
          <w:highlight w:val="none"/>
          <w:u w:val="single"/>
          <w:lang w:val="en-US" w:eastAsia="zh-CN"/>
        </w:rPr>
        <w:t>分包人</w:t>
      </w:r>
      <w:r>
        <w:rPr>
          <w:rFonts w:hint="eastAsia" w:ascii="仿宋_GB2312" w:hAnsi="仿宋_GB2312" w:eastAsia="仿宋_GB2312" w:cs="仿宋_GB2312"/>
          <w:color w:val="auto"/>
          <w:kern w:val="0"/>
          <w:sz w:val="24"/>
          <w:szCs w:val="24"/>
          <w:highlight w:val="none"/>
          <w:u w:val="single"/>
        </w:rPr>
        <w:t>明知且自愿接受以下付款约定：</w:t>
      </w:r>
      <w:r>
        <w:rPr>
          <w:rFonts w:hint="eastAsia" w:ascii="仿宋_GB2312" w:hAnsi="仿宋_GB2312" w:eastAsia="仿宋_GB2312" w:cs="仿宋_GB2312"/>
          <w:color w:val="auto"/>
          <w:kern w:val="0"/>
          <w:sz w:val="24"/>
          <w:szCs w:val="24"/>
          <w:highlight w:val="none"/>
          <w:u w:val="single"/>
          <w:lang w:val="en-US" w:eastAsia="zh-CN"/>
        </w:rPr>
        <w:t>承包人</w:t>
      </w:r>
      <w:r>
        <w:rPr>
          <w:rFonts w:hint="eastAsia" w:ascii="仿宋_GB2312" w:hAnsi="仿宋_GB2312" w:eastAsia="仿宋_GB2312" w:cs="仿宋_GB2312"/>
          <w:color w:val="auto"/>
          <w:kern w:val="0"/>
          <w:sz w:val="24"/>
          <w:szCs w:val="24"/>
          <w:highlight w:val="none"/>
          <w:u w:val="single"/>
        </w:rPr>
        <w:t>支付合同相关款项是建立在收到业主（或其他甲方的付款方）如期支付相关工程款前提下，本合同款项有可能因业主等原因延期支付；若</w:t>
      </w:r>
      <w:r>
        <w:rPr>
          <w:rFonts w:hint="eastAsia" w:ascii="仿宋_GB2312" w:hAnsi="仿宋_GB2312" w:eastAsia="仿宋_GB2312" w:cs="仿宋_GB2312"/>
          <w:color w:val="auto"/>
          <w:kern w:val="0"/>
          <w:sz w:val="24"/>
          <w:szCs w:val="24"/>
          <w:highlight w:val="none"/>
          <w:u w:val="single"/>
          <w:lang w:val="en-US" w:eastAsia="zh-CN"/>
        </w:rPr>
        <w:t>承包人</w:t>
      </w:r>
      <w:r>
        <w:rPr>
          <w:rFonts w:hint="eastAsia" w:ascii="仿宋_GB2312" w:hAnsi="仿宋_GB2312" w:eastAsia="仿宋_GB2312" w:cs="仿宋_GB2312"/>
          <w:color w:val="auto"/>
          <w:kern w:val="0"/>
          <w:sz w:val="24"/>
          <w:szCs w:val="24"/>
          <w:highlight w:val="none"/>
          <w:u w:val="single"/>
        </w:rPr>
        <w:t>未能按合同约定及时付款，双方应友好协商解决。无法协商解决进入诉讼程序解决的，</w:t>
      </w:r>
      <w:r>
        <w:rPr>
          <w:rFonts w:hint="eastAsia" w:ascii="仿宋_GB2312" w:hAnsi="仿宋_GB2312" w:eastAsia="仿宋_GB2312" w:cs="仿宋_GB2312"/>
          <w:color w:val="auto"/>
          <w:kern w:val="0"/>
          <w:sz w:val="24"/>
          <w:szCs w:val="24"/>
          <w:highlight w:val="none"/>
          <w:u w:val="single"/>
          <w:lang w:val="en-US" w:eastAsia="zh-CN"/>
        </w:rPr>
        <w:t>分包人</w:t>
      </w:r>
      <w:r>
        <w:rPr>
          <w:rFonts w:hint="eastAsia" w:ascii="仿宋_GB2312" w:hAnsi="仿宋_GB2312" w:eastAsia="仿宋_GB2312" w:cs="仿宋_GB2312"/>
          <w:color w:val="auto"/>
          <w:kern w:val="0"/>
          <w:sz w:val="24"/>
          <w:szCs w:val="24"/>
          <w:highlight w:val="none"/>
          <w:u w:val="single"/>
        </w:rPr>
        <w:t>明确同意，自</w:t>
      </w:r>
      <w:r>
        <w:rPr>
          <w:rFonts w:hint="eastAsia" w:ascii="仿宋_GB2312" w:hAnsi="仿宋_GB2312" w:eastAsia="仿宋_GB2312" w:cs="仿宋_GB2312"/>
          <w:color w:val="auto"/>
          <w:kern w:val="0"/>
          <w:sz w:val="24"/>
          <w:szCs w:val="24"/>
          <w:highlight w:val="none"/>
          <w:u w:val="single"/>
          <w:lang w:val="en-US" w:eastAsia="zh-CN"/>
        </w:rPr>
        <w:t>承包人</w:t>
      </w:r>
      <w:r>
        <w:rPr>
          <w:rFonts w:hint="eastAsia" w:ascii="仿宋_GB2312" w:hAnsi="仿宋_GB2312" w:eastAsia="仿宋_GB2312" w:cs="仿宋_GB2312"/>
          <w:color w:val="auto"/>
          <w:kern w:val="0"/>
          <w:sz w:val="24"/>
          <w:szCs w:val="24"/>
          <w:highlight w:val="none"/>
          <w:u w:val="single"/>
        </w:rPr>
        <w:t>逾期付款之日起6 个月内未付款无责免息；逾期超过 6 个月的，逾期利息/违约金不超过全国银行间同业拆借中心公布的1年期贷款市场报价利率，且逾期利息/违约金总额不超过逾期未付款总金额的10%。该约定为双方之间特别约定条款，与本合同其他条款不一致的，以本条款约定为准。</w:t>
      </w:r>
      <w:r>
        <w:rPr>
          <w:rFonts w:hint="eastAsia" w:ascii="仿宋_GB2312" w:hAnsi="仿宋_GB2312" w:eastAsia="仿宋_GB2312" w:cs="仿宋_GB2312"/>
          <w:color w:val="auto"/>
          <w:sz w:val="24"/>
          <w:szCs w:val="24"/>
          <w:highlight w:val="none"/>
        </w:rPr>
        <w:t>分包人因承包人违约暂停施工满</w:t>
      </w:r>
      <w:r>
        <w:rPr>
          <w:rFonts w:hint="eastAsia" w:ascii="仿宋_GB2312" w:hAnsi="仿宋_GB2312" w:eastAsia="仿宋_GB2312" w:cs="仿宋_GB2312"/>
          <w:color w:val="auto"/>
          <w:sz w:val="24"/>
          <w:szCs w:val="24"/>
          <w:highlight w:val="none"/>
          <w:u w:val="single"/>
        </w:rPr>
        <w:t xml:space="preserve"> 28 </w:t>
      </w:r>
      <w:r>
        <w:rPr>
          <w:rFonts w:hint="eastAsia" w:ascii="仿宋_GB2312" w:hAnsi="仿宋_GB2312" w:eastAsia="仿宋_GB2312" w:cs="仿宋_GB2312"/>
          <w:color w:val="auto"/>
          <w:sz w:val="24"/>
          <w:szCs w:val="24"/>
          <w:highlight w:val="none"/>
        </w:rPr>
        <w:t>天后，承包人仍不纠正其违约行为的，分包人有权解除合同。</w:t>
      </w:r>
    </w:p>
    <w:p w14:paraId="03E5232C">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21.1.2 因承包人违约解除合同的，关于已完工程估价、清算和付款的约定：承包人应在分包合同解除后</w:t>
      </w:r>
      <w:r>
        <w:rPr>
          <w:rFonts w:hint="eastAsia" w:ascii="仿宋_GB2312" w:hAnsi="仿宋_GB2312" w:eastAsia="仿宋_GB2312" w:cs="仿宋_GB2312"/>
          <w:color w:val="auto"/>
          <w:sz w:val="24"/>
          <w:szCs w:val="24"/>
          <w:highlight w:val="none"/>
          <w:u w:val="single"/>
        </w:rPr>
        <w:t xml:space="preserve"> 28 </w:t>
      </w:r>
      <w:r>
        <w:rPr>
          <w:rFonts w:hint="eastAsia" w:ascii="仿宋_GB2312" w:hAnsi="仿宋_GB2312" w:eastAsia="仿宋_GB2312" w:cs="仿宋_GB2312"/>
          <w:color w:val="auto"/>
          <w:sz w:val="24"/>
          <w:szCs w:val="24"/>
          <w:highlight w:val="none"/>
        </w:rPr>
        <w:t>天内解除分包人履约担保，分包合同当事人应按专用合同条款的约定完成已完工程估价、清算和付款。</w:t>
      </w:r>
    </w:p>
    <w:p w14:paraId="4B47995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21.1.3 分包人应就收取的违约金向承包人按照 14.5 条款开具合法有效的增值税发票。</w:t>
      </w:r>
    </w:p>
    <w:p w14:paraId="1F508007">
      <w:pPr>
        <w:pStyle w:val="5"/>
        <w:pageBreakBefore w:val="0"/>
        <w:widowControl w:val="0"/>
        <w:kinsoku/>
        <w:wordWrap w:val="0"/>
        <w:overflowPunct/>
        <w:topLinePunct w:val="0"/>
        <w:autoSpaceDE/>
        <w:autoSpaceDN/>
        <w:bidi w:val="0"/>
        <w:adjustRightInd w:val="0"/>
        <w:snapToGrid w:val="0"/>
        <w:spacing w:before="0" w:after="0" w:line="390" w:lineRule="exact"/>
        <w:ind w:firstLine="480" w:firstLineChars="200"/>
        <w:textAlignment w:val="auto"/>
        <w:rPr>
          <w:rFonts w:hint="eastAsia" w:ascii="仿宋_GB2312" w:hAnsi="仿宋_GB2312" w:eastAsia="仿宋_GB2312" w:cs="仿宋_GB2312"/>
          <w:color w:val="auto"/>
          <w:sz w:val="24"/>
          <w:szCs w:val="24"/>
          <w:highlight w:val="none"/>
        </w:rPr>
      </w:pPr>
      <w:bookmarkStart w:id="1772" w:name="_Toc7603"/>
      <w:r>
        <w:rPr>
          <w:rFonts w:hint="eastAsia" w:ascii="楷体_GB2312" w:hAnsi="楷体_GB2312" w:eastAsia="楷体_GB2312" w:cs="楷体_GB2312"/>
          <w:b w:val="0"/>
          <w:bCs w:val="0"/>
          <w:color w:val="auto"/>
          <w:sz w:val="24"/>
          <w:szCs w:val="24"/>
          <w:highlight w:val="none"/>
        </w:rPr>
        <w:t>21.2 分包人违约</w:t>
      </w:r>
      <w:bookmarkEnd w:id="1772"/>
    </w:p>
    <w:p w14:paraId="1020ACBB">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21.2.1 分包人违约时应支付的违约金或违约金的计算方法：</w:t>
      </w:r>
    </w:p>
    <w:p w14:paraId="303C5D18">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分包人在签证时串通承包人代表或监理人对工程量计量弄虚作假的，除虚假部分的工程量不予计量外，还须按合同单价对虚假部分工程量给予双倍违约金。</w:t>
      </w:r>
    </w:p>
    <w:p w14:paraId="2599461D">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因分包人原因，造成工期延误的，按合同标的额的5%向承包人支付违约金。工期不予顺延，违约金在工程款中扣除。</w:t>
      </w:r>
    </w:p>
    <w:p w14:paraId="6C8CF00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因分包人原因，导致被有关部门处以行政罚款的，由分包人承担。如因此给承包人造成损失的，承包人有权向分包人追偿，追偿时可从分包人的工程款中扣除。</w:t>
      </w:r>
    </w:p>
    <w:p w14:paraId="73D68D19">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color w:val="auto"/>
          <w:kern w:val="2"/>
          <w:sz w:val="24"/>
          <w:szCs w:val="24"/>
          <w:highlight w:val="none"/>
          <w:u w:val="single"/>
          <w:lang w:val="en-US" w:eastAsia="zh-CN"/>
        </w:rPr>
        <w:t>4</w:t>
      </w: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color w:val="auto"/>
          <w:kern w:val="2"/>
          <w:sz w:val="24"/>
          <w:szCs w:val="24"/>
          <w:highlight w:val="none"/>
          <w:u w:val="single"/>
        </w:rPr>
        <w:t>若由于乙方原因发生</w:t>
      </w:r>
      <w:r>
        <w:rPr>
          <w:rFonts w:hint="eastAsia" w:ascii="仿宋_GB2312" w:hAnsi="仿宋_GB2312" w:eastAsia="仿宋_GB2312" w:cs="仿宋_GB2312"/>
          <w:color w:val="auto"/>
          <w:sz w:val="24"/>
          <w:szCs w:val="24"/>
          <w:highlight w:val="none"/>
          <w:u w:val="single"/>
        </w:rPr>
        <w:t>讨薪等维稳事件，乙方应当在发生事件之日起五日内解决完毕，否则甲方有权在第三方见证下解决农民工的讨薪争议，甲方因此支付的费用有权向乙方追偿</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 xml:space="preserve">并且乙方承担 50000 元/次的违约金 </w:t>
      </w:r>
      <w:r>
        <w:rPr>
          <w:rFonts w:hint="eastAsia" w:ascii="仿宋_GB2312" w:hAnsi="仿宋_GB2312" w:eastAsia="仿宋_GB2312" w:cs="仿宋_GB2312"/>
          <w:color w:val="auto"/>
          <w:sz w:val="24"/>
          <w:szCs w:val="24"/>
          <w:highlight w:val="none"/>
          <w:u w:val="single"/>
        </w:rPr>
        <w:t>。</w:t>
      </w:r>
    </w:p>
    <w:p w14:paraId="12355ACA">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color w:val="auto"/>
          <w:kern w:val="2"/>
          <w:sz w:val="24"/>
          <w:szCs w:val="24"/>
          <w:highlight w:val="none"/>
          <w:u w:val="single"/>
          <w:lang w:val="en-US" w:eastAsia="zh-CN"/>
        </w:rPr>
        <w:t>5</w:t>
      </w: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b w:val="0"/>
          <w:bCs w:val="0"/>
          <w:color w:val="auto"/>
          <w:kern w:val="2"/>
          <w:sz w:val="24"/>
          <w:szCs w:val="24"/>
          <w:highlight w:val="none"/>
          <w:u w:val="single"/>
          <w:lang w:val="en-US" w:eastAsia="zh-CN"/>
        </w:rPr>
        <w:t>因乙方原因造成甲方或第三方损失的，</w:t>
      </w:r>
      <w:r>
        <w:rPr>
          <w:rFonts w:hint="eastAsia" w:ascii="仿宋_GB2312" w:hAnsi="仿宋_GB2312" w:eastAsia="仿宋_GB2312" w:cs="仿宋_GB2312"/>
          <w:b w:val="0"/>
          <w:bCs w:val="0"/>
          <w:color w:val="auto"/>
          <w:sz w:val="24"/>
          <w:szCs w:val="24"/>
          <w:highlight w:val="none"/>
          <w:u w:val="single"/>
          <w:lang w:val="en-US" w:eastAsia="zh-CN"/>
        </w:rPr>
        <w:t>由乙方承担赔偿责任。</w:t>
      </w:r>
      <w:r>
        <w:rPr>
          <w:rFonts w:hint="eastAsia" w:ascii="仿宋_GB2312" w:hAnsi="仿宋_GB2312" w:eastAsia="仿宋_GB2312" w:cs="仿宋_GB2312"/>
          <w:color w:val="auto"/>
          <w:kern w:val="2"/>
          <w:sz w:val="24"/>
          <w:szCs w:val="24"/>
          <w:highlight w:val="none"/>
          <w:u w:val="single"/>
        </w:rPr>
        <w:t>因</w:t>
      </w:r>
      <w:r>
        <w:rPr>
          <w:rFonts w:hint="eastAsia" w:ascii="仿宋_GB2312" w:hAnsi="仿宋_GB2312" w:eastAsia="仿宋_GB2312" w:cs="仿宋_GB2312"/>
          <w:color w:val="auto"/>
          <w:kern w:val="2"/>
          <w:sz w:val="24"/>
          <w:szCs w:val="24"/>
          <w:highlight w:val="none"/>
          <w:u w:val="single"/>
          <w:lang w:val="en-US" w:eastAsia="zh-CN"/>
        </w:rPr>
        <w:t>乙</w:t>
      </w:r>
      <w:r>
        <w:rPr>
          <w:rFonts w:hint="eastAsia" w:ascii="仿宋_GB2312" w:hAnsi="仿宋_GB2312" w:eastAsia="仿宋_GB2312" w:cs="仿宋_GB2312"/>
          <w:color w:val="auto"/>
          <w:kern w:val="2"/>
          <w:sz w:val="24"/>
          <w:szCs w:val="24"/>
          <w:highlight w:val="none"/>
          <w:u w:val="single"/>
        </w:rPr>
        <w:t>方</w:t>
      </w:r>
      <w:r>
        <w:rPr>
          <w:rFonts w:hint="eastAsia" w:ascii="仿宋_GB2312" w:hAnsi="仿宋_GB2312" w:eastAsia="仿宋_GB2312" w:cs="仿宋_GB2312"/>
          <w:color w:val="auto"/>
          <w:kern w:val="2"/>
          <w:sz w:val="24"/>
          <w:szCs w:val="24"/>
          <w:highlight w:val="none"/>
          <w:u w:val="single"/>
          <w:lang w:val="en-US" w:eastAsia="zh-CN"/>
        </w:rPr>
        <w:t>原因造成甲方被第三方起诉或被申请仲裁的</w:t>
      </w:r>
      <w:r>
        <w:rPr>
          <w:rFonts w:hint="eastAsia" w:ascii="仿宋_GB2312" w:hAnsi="仿宋_GB2312" w:eastAsia="仿宋_GB2312" w:cs="仿宋_GB2312"/>
          <w:color w:val="auto"/>
          <w:kern w:val="2"/>
          <w:sz w:val="24"/>
          <w:szCs w:val="24"/>
          <w:highlight w:val="none"/>
          <w:u w:val="single"/>
        </w:rPr>
        <w:t>，</w:t>
      </w:r>
      <w:r>
        <w:rPr>
          <w:rFonts w:hint="eastAsia" w:ascii="仿宋_GB2312" w:hAnsi="仿宋_GB2312" w:eastAsia="仿宋_GB2312" w:cs="仿宋_GB2312"/>
          <w:color w:val="auto"/>
          <w:kern w:val="2"/>
          <w:sz w:val="24"/>
          <w:szCs w:val="24"/>
          <w:highlight w:val="none"/>
          <w:u w:val="single"/>
          <w:lang w:val="en-US" w:eastAsia="zh-CN"/>
        </w:rPr>
        <w:t>甲</w:t>
      </w:r>
      <w:r>
        <w:rPr>
          <w:rFonts w:hint="eastAsia" w:ascii="仿宋_GB2312" w:hAnsi="仿宋_GB2312" w:eastAsia="仿宋_GB2312" w:cs="仿宋_GB2312"/>
          <w:color w:val="auto"/>
          <w:kern w:val="2"/>
          <w:sz w:val="24"/>
          <w:szCs w:val="24"/>
          <w:highlight w:val="none"/>
          <w:u w:val="single"/>
        </w:rPr>
        <w:t>方维权产生的费用（包括但不限于诉讼费、仲裁费、律师费、公证费、鉴定费、检测费、差旅费等）均由</w:t>
      </w:r>
      <w:r>
        <w:rPr>
          <w:rFonts w:hint="eastAsia" w:ascii="仿宋_GB2312" w:hAnsi="仿宋_GB2312" w:eastAsia="仿宋_GB2312" w:cs="仿宋_GB2312"/>
          <w:color w:val="auto"/>
          <w:kern w:val="2"/>
          <w:sz w:val="24"/>
          <w:szCs w:val="24"/>
          <w:highlight w:val="none"/>
          <w:u w:val="single"/>
          <w:lang w:val="en-US" w:eastAsia="zh-CN"/>
        </w:rPr>
        <w:t>乙</w:t>
      </w:r>
      <w:r>
        <w:rPr>
          <w:rFonts w:hint="eastAsia" w:ascii="仿宋_GB2312" w:hAnsi="仿宋_GB2312" w:eastAsia="仿宋_GB2312" w:cs="仿宋_GB2312"/>
          <w:color w:val="auto"/>
          <w:kern w:val="2"/>
          <w:sz w:val="24"/>
          <w:szCs w:val="24"/>
          <w:highlight w:val="none"/>
          <w:u w:val="single"/>
        </w:rPr>
        <w:t>方承担。甲方有权从任一期应付乙方款项中等额扣回，如有不足由乙方另行补足，甲方有权继续向乙方追偿</w:t>
      </w:r>
      <w:r>
        <w:rPr>
          <w:rFonts w:hint="eastAsia" w:ascii="仿宋_GB2312" w:hAnsi="仿宋_GB2312" w:eastAsia="仿宋_GB2312" w:cs="仿宋_GB2312"/>
          <w:color w:val="auto"/>
          <w:kern w:val="2"/>
          <w:sz w:val="24"/>
          <w:szCs w:val="24"/>
          <w:highlight w:val="none"/>
          <w:u w:val="single"/>
          <w:lang w:eastAsia="zh-CN"/>
        </w:rPr>
        <w:t>，</w:t>
      </w:r>
      <w:r>
        <w:rPr>
          <w:rFonts w:hint="eastAsia" w:ascii="仿宋_GB2312" w:hAnsi="仿宋_GB2312" w:eastAsia="仿宋_GB2312" w:cs="仿宋_GB2312"/>
          <w:color w:val="auto"/>
          <w:kern w:val="2"/>
          <w:sz w:val="24"/>
          <w:szCs w:val="24"/>
          <w:highlight w:val="none"/>
          <w:u w:val="single"/>
          <w:lang w:val="en-US" w:eastAsia="zh-CN"/>
        </w:rPr>
        <w:t>并且</w:t>
      </w:r>
      <w:r>
        <w:rPr>
          <w:rFonts w:hint="eastAsia" w:ascii="仿宋_GB2312" w:hAnsi="仿宋_GB2312" w:eastAsia="仿宋_GB2312" w:cs="仿宋_GB2312"/>
          <w:color w:val="auto"/>
          <w:sz w:val="24"/>
          <w:szCs w:val="24"/>
          <w:highlight w:val="none"/>
          <w:u w:val="single"/>
          <w:lang w:val="en-US" w:eastAsia="zh-CN"/>
        </w:rPr>
        <w:t xml:space="preserve">乙方承担 50000 元/次的违约金 </w:t>
      </w:r>
      <w:r>
        <w:rPr>
          <w:rFonts w:hint="eastAsia" w:ascii="仿宋_GB2312" w:hAnsi="仿宋_GB2312" w:eastAsia="仿宋_GB2312" w:cs="仿宋_GB2312"/>
          <w:color w:val="auto"/>
          <w:sz w:val="24"/>
          <w:szCs w:val="24"/>
          <w:highlight w:val="none"/>
          <w:u w:val="single"/>
        </w:rPr>
        <w:t>。</w:t>
      </w:r>
    </w:p>
    <w:p w14:paraId="7FF02893">
      <w:pPr>
        <w:pStyle w:val="2"/>
        <w:ind w:firstLine="480" w:firstLineChars="200"/>
        <w:rPr>
          <w:rFonts w:hint="eastAsia" w:ascii="仿宋_GB2312" w:hAnsi="仿宋_GB2312" w:eastAsia="仿宋_GB2312" w:cs="仿宋_GB2312"/>
          <w:b w:val="0"/>
          <w:bCs w:val="0"/>
          <w:color w:val="auto"/>
          <w:kern w:val="2"/>
          <w:sz w:val="24"/>
          <w:szCs w:val="24"/>
          <w:highlight w:val="none"/>
          <w:u w:val="single"/>
          <w:lang w:val="en-US" w:eastAsia="zh-CN"/>
        </w:rPr>
      </w:pPr>
      <w:r>
        <w:rPr>
          <w:rFonts w:hint="eastAsia" w:ascii="仿宋_GB2312" w:hAnsi="仿宋_GB2312" w:eastAsia="仿宋_GB2312" w:cs="仿宋_GB2312"/>
          <w:b w:val="0"/>
          <w:bCs w:val="0"/>
          <w:color w:val="auto"/>
          <w:kern w:val="2"/>
          <w:sz w:val="24"/>
          <w:szCs w:val="24"/>
          <w:highlight w:val="none"/>
          <w:u w:val="single"/>
          <w:lang w:val="en-US" w:eastAsia="zh-CN"/>
        </w:rPr>
        <w:t>（6）对施工条件未成就的部分，乙方应严格遵守甲方的书面指令，不得擅自施工。乙方未收到甲方指令，擅自施工造成甲方或第三方损失的，由乙方承担赔偿责任。</w:t>
      </w:r>
    </w:p>
    <w:p w14:paraId="045C0A2B">
      <w:pPr>
        <w:pStyle w:val="2"/>
        <w:ind w:firstLine="480" w:firstLineChars="200"/>
        <w:rPr>
          <w:rFonts w:hint="eastAsia" w:ascii="仿宋_GB2312" w:hAnsi="仿宋_GB2312" w:eastAsia="仿宋_GB2312" w:cs="仿宋_GB2312"/>
          <w:color w:val="auto"/>
          <w:kern w:val="2"/>
          <w:highlight w:val="none"/>
          <w:u w:val="single"/>
        </w:rPr>
      </w:pPr>
      <w:r>
        <w:rPr>
          <w:rFonts w:hint="eastAsia" w:ascii="仿宋_GB2312" w:hAnsi="仿宋_GB2312" w:eastAsia="仿宋_GB2312" w:cs="仿宋_GB2312"/>
          <w:b w:val="0"/>
          <w:bCs w:val="0"/>
          <w:color w:val="auto"/>
          <w:kern w:val="2"/>
          <w:sz w:val="24"/>
          <w:szCs w:val="24"/>
          <w:highlight w:val="none"/>
          <w:u w:val="single"/>
          <w:lang w:val="en-US" w:eastAsia="zh-CN"/>
        </w:rPr>
        <w:t>（7）乙方应严格执行《中华人民共和国安全生产法》和政府部门的有关规定以及甲方对安全工作的管理要求。在施工过程中，因乙方原因造成安全事故均由乙方自行承担责任；发生一般及以上等级的安全事故，甲方有权因此单方解除合同，且要求乙方支付合同总价5%的违约金。</w:t>
      </w:r>
    </w:p>
    <w:p w14:paraId="4A2E8165">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关于承包人违约解除合同的特别约定：承包人发出整改通知后，分包人在指定的合理期限内仍不纠正违约行为，承包人有权解除合同。</w:t>
      </w:r>
    </w:p>
    <w:p w14:paraId="008E8431">
      <w:pPr>
        <w:pageBreakBefore w:val="0"/>
        <w:widowControl w:val="0"/>
        <w:kinsoku/>
        <w:wordWrap w:val="0"/>
        <w:overflowPunct/>
        <w:topLinePunct w:val="0"/>
        <w:autoSpaceDE/>
        <w:autoSpaceDN/>
        <w:bidi w:val="0"/>
        <w:adjustRightInd w:val="0"/>
        <w:snapToGrid w:val="0"/>
        <w:spacing w:line="39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21.2.2 因分包人违约解除合同的，关于分包工程估价、清算和付款的约定：</w:t>
      </w:r>
      <w:r>
        <w:rPr>
          <w:rFonts w:hint="eastAsia" w:ascii="仿宋_GB2312" w:hAnsi="仿宋_GB2312" w:eastAsia="仿宋_GB2312" w:cs="仿宋_GB2312"/>
          <w:color w:val="auto"/>
          <w:sz w:val="24"/>
          <w:szCs w:val="24"/>
          <w:highlight w:val="none"/>
          <w:u w:val="single"/>
        </w:rPr>
        <w:t xml:space="preserve"> 按照分包人实际完成工程量及分包工程单价、变更估价办法计算的工程造价的60%结算，同时扣除各项应扣款。承包人收到发包人支付的相应工程款后30天内付清</w:t>
      </w:r>
      <w:r>
        <w:rPr>
          <w:rFonts w:hint="eastAsia" w:ascii="仿宋_GB2312" w:hAnsi="仿宋_GB2312" w:eastAsia="仿宋_GB2312" w:cs="仿宋_GB2312"/>
          <w:color w:val="auto"/>
          <w:sz w:val="24"/>
          <w:szCs w:val="24"/>
          <w:highlight w:val="none"/>
        </w:rPr>
        <w:t>。</w:t>
      </w:r>
    </w:p>
    <w:p w14:paraId="5D46913F">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21.2.3 承包人供应材料与工程设备，分包人提交的供应计划中的承包人供应数量与实际使用量不一致的违约金的计算方法：</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78B7852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21.2.4 分包人向承包人支付的违约金并非原合同约定价款，因此合同总价款不变，分包人应向承包人开具的发票金额不受该等违约赔偿安排的影响。承包人仅会就收取的违约金款项向分包人提供相应收据，不会开具对应的增值税发票。</w:t>
      </w:r>
    </w:p>
    <w:p w14:paraId="4618ACD7">
      <w:pPr>
        <w:autoSpaceDE/>
        <w:autoSpaceDN/>
        <w:adjustRightInd/>
        <w:spacing w:line="390" w:lineRule="exact"/>
        <w:ind w:firstLine="480" w:firstLineChars="200"/>
        <w:rPr>
          <w:rFonts w:hint="default" w:eastAsia="仿宋_GB2312"/>
          <w:color w:val="auto"/>
          <w:highlight w:val="none"/>
          <w:lang w:val="en-US" w:eastAsia="zh-CN"/>
        </w:rPr>
      </w:pPr>
      <w:r>
        <w:rPr>
          <w:rFonts w:hint="eastAsia" w:ascii="仿宋_GB2312" w:hAnsi="仿宋_GB2312" w:eastAsia="仿宋_GB2312" w:cs="仿宋_GB2312"/>
          <w:color w:val="auto"/>
          <w:sz w:val="24"/>
          <w:szCs w:val="24"/>
          <w:highlight w:val="none"/>
        </w:rPr>
        <w:t>21.2.</w:t>
      </w:r>
      <w:r>
        <w:rPr>
          <w:rFonts w:hint="eastAsia" w:ascii="仿宋_GB2312" w:hAnsi="仿宋_GB2312" w:eastAsia="仿宋_GB2312" w:cs="仿宋_GB2312"/>
          <w:color w:val="auto"/>
          <w:sz w:val="24"/>
          <w:szCs w:val="24"/>
          <w:highlight w:val="none"/>
          <w:lang w:val="en-US" w:eastAsia="zh-CN"/>
        </w:rPr>
        <w:t>5 乙方应及时向甲方开具并送达</w:t>
      </w:r>
      <w:r>
        <w:rPr>
          <w:rFonts w:hint="eastAsia" w:ascii="仿宋_GB2312" w:hAnsi="仿宋_GB2312" w:eastAsia="仿宋_GB2312" w:cs="仿宋_GB2312"/>
          <w:b w:val="0"/>
          <w:bCs w:val="0"/>
          <w:color w:val="auto"/>
          <w:sz w:val="24"/>
          <w:szCs w:val="24"/>
          <w:highlight w:val="none"/>
        </w:rPr>
        <w:t>合法有效的增值税发票</w:t>
      </w:r>
      <w:r>
        <w:rPr>
          <w:rFonts w:hint="eastAsia" w:ascii="仿宋_GB2312" w:hAnsi="仿宋_GB2312" w:eastAsia="仿宋_GB2312" w:cs="仿宋_GB2312"/>
          <w:color w:val="auto"/>
          <w:sz w:val="24"/>
          <w:szCs w:val="24"/>
          <w:highlight w:val="none"/>
          <w:lang w:val="en-US" w:eastAsia="zh-CN"/>
        </w:rPr>
        <w:t>，若乙方未按照约定开具发票，则甲方有权拒绝支付货款，并要求乙方支付未开票金额10%的违约金，若乙方未及时开具发票，给甲方造成经济损失的，乙方应赔偿甲方的各项损失，</w:t>
      </w:r>
      <w:r>
        <w:rPr>
          <w:rFonts w:hint="eastAsia" w:ascii="仿宋_GB2312" w:hAnsi="仿宋_GB2312" w:eastAsia="仿宋_GB2312" w:cs="仿宋_GB2312"/>
          <w:b w:val="0"/>
          <w:bCs w:val="0"/>
          <w:color w:val="auto"/>
          <w:sz w:val="24"/>
          <w:szCs w:val="24"/>
          <w:highlight w:val="none"/>
        </w:rPr>
        <w:t>包括但不限于</w:t>
      </w:r>
      <w:r>
        <w:rPr>
          <w:rFonts w:hint="eastAsia" w:ascii="仿宋_GB2312" w:hAnsi="仿宋_GB2312" w:eastAsia="仿宋_GB2312" w:cs="仿宋_GB2312"/>
          <w:b w:val="0"/>
          <w:bCs w:val="0"/>
          <w:color w:val="auto"/>
          <w:sz w:val="24"/>
          <w:szCs w:val="24"/>
          <w:highlight w:val="none"/>
          <w:lang w:val="en-US" w:eastAsia="zh-CN"/>
        </w:rPr>
        <w:t>企业所得税及增值税等</w:t>
      </w:r>
      <w:r>
        <w:rPr>
          <w:rFonts w:hint="eastAsia" w:ascii="仿宋_GB2312" w:hAnsi="仿宋_GB2312" w:eastAsia="仿宋_GB2312" w:cs="仿宋_GB2312"/>
          <w:b w:val="0"/>
          <w:bCs w:val="0"/>
          <w:color w:val="auto"/>
          <w:sz w:val="24"/>
          <w:szCs w:val="24"/>
          <w:highlight w:val="none"/>
        </w:rPr>
        <w:t>税金、附加费、罚款、滞纳金和</w:t>
      </w:r>
      <w:r>
        <w:rPr>
          <w:rFonts w:hint="eastAsia" w:ascii="仿宋_GB2312" w:hAnsi="仿宋_GB2312" w:eastAsia="仿宋_GB2312" w:cs="仿宋_GB2312"/>
          <w:b w:val="0"/>
          <w:bCs w:val="0"/>
          <w:color w:val="auto"/>
          <w:sz w:val="24"/>
          <w:szCs w:val="24"/>
          <w:highlight w:val="none"/>
          <w:lang w:val="en-US" w:eastAsia="zh-CN"/>
        </w:rPr>
        <w:t>律师费等</w:t>
      </w:r>
      <w:r>
        <w:rPr>
          <w:rFonts w:hint="eastAsia" w:ascii="仿宋_GB2312" w:hAnsi="仿宋_GB2312" w:eastAsia="仿宋_GB2312" w:cs="仿宋_GB2312"/>
          <w:b w:val="0"/>
          <w:bCs w:val="0"/>
          <w:color w:val="auto"/>
          <w:sz w:val="24"/>
          <w:szCs w:val="24"/>
          <w:highlight w:val="none"/>
        </w:rPr>
        <w:t>有关法律</w:t>
      </w:r>
      <w:r>
        <w:rPr>
          <w:rFonts w:hint="eastAsia" w:ascii="仿宋_GB2312" w:hAnsi="仿宋_GB2312" w:eastAsia="仿宋_GB2312" w:cs="仿宋_GB2312"/>
          <w:b w:val="0"/>
          <w:bCs w:val="0"/>
          <w:color w:val="auto"/>
          <w:sz w:val="24"/>
          <w:szCs w:val="24"/>
          <w:highlight w:val="none"/>
          <w:lang w:val="en-US" w:eastAsia="zh-CN"/>
        </w:rPr>
        <w:t>及追偿损失发生的相关</w:t>
      </w:r>
      <w:r>
        <w:rPr>
          <w:rFonts w:hint="eastAsia" w:ascii="仿宋_GB2312" w:hAnsi="仿宋_GB2312" w:eastAsia="仿宋_GB2312" w:cs="仿宋_GB2312"/>
          <w:b w:val="0"/>
          <w:bCs w:val="0"/>
          <w:color w:val="auto"/>
          <w:sz w:val="24"/>
          <w:szCs w:val="24"/>
          <w:highlight w:val="none"/>
        </w:rPr>
        <w:t>费用</w:t>
      </w:r>
      <w:r>
        <w:rPr>
          <w:rFonts w:hint="eastAsia" w:ascii="仿宋_GB2312" w:hAnsi="仿宋_GB2312" w:eastAsia="仿宋_GB2312" w:cs="仿宋_GB2312"/>
          <w:color w:val="auto"/>
          <w:sz w:val="24"/>
          <w:szCs w:val="24"/>
          <w:highlight w:val="none"/>
          <w:lang w:val="en-US" w:eastAsia="zh-CN"/>
        </w:rPr>
        <w:t>。上述违约金及各项损失，</w:t>
      </w:r>
      <w:r>
        <w:rPr>
          <w:rFonts w:hint="eastAsia" w:ascii="仿宋_GB2312" w:hAnsi="仿宋_GB2312" w:eastAsia="仿宋_GB2312" w:cs="仿宋_GB2312"/>
          <w:b w:val="0"/>
          <w:bCs w:val="0"/>
          <w:color w:val="auto"/>
          <w:sz w:val="24"/>
          <w:szCs w:val="24"/>
          <w:highlight w:val="none"/>
        </w:rPr>
        <w:t>甲方有权在分包工程款中扣除</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如给</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b w:val="0"/>
          <w:bCs w:val="0"/>
          <w:color w:val="auto"/>
          <w:sz w:val="24"/>
          <w:szCs w:val="24"/>
          <w:highlight w:val="none"/>
        </w:rPr>
        <w:t>造成严重损失的、致使合同无法继续履行等情况，</w:t>
      </w:r>
      <w:r>
        <w:rPr>
          <w:rFonts w:hint="eastAsia" w:ascii="仿宋_GB2312" w:hAnsi="仿宋_GB2312" w:eastAsia="仿宋_GB2312" w:cs="仿宋_GB2312"/>
          <w:color w:val="auto"/>
          <w:sz w:val="24"/>
          <w:szCs w:val="24"/>
          <w:highlight w:val="none"/>
          <w:lang w:val="en-US" w:eastAsia="zh-CN"/>
        </w:rPr>
        <w:t>甲方</w:t>
      </w:r>
      <w:r>
        <w:rPr>
          <w:rFonts w:hint="eastAsia" w:ascii="仿宋_GB2312" w:hAnsi="仿宋_GB2312" w:eastAsia="仿宋_GB2312" w:cs="仿宋_GB2312"/>
          <w:b w:val="0"/>
          <w:bCs w:val="0"/>
          <w:color w:val="auto"/>
          <w:sz w:val="24"/>
          <w:szCs w:val="24"/>
          <w:highlight w:val="none"/>
        </w:rPr>
        <w:t>有权终止合同。</w:t>
      </w:r>
    </w:p>
    <w:p w14:paraId="17FEAF8C">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73" w:name="_Toc18703"/>
      <w:r>
        <w:rPr>
          <w:rFonts w:hint="eastAsia" w:ascii="黑体" w:hAnsi="黑体" w:eastAsia="黑体" w:cs="黑体"/>
          <w:b w:val="0"/>
          <w:bCs w:val="0"/>
          <w:color w:val="auto"/>
          <w:sz w:val="24"/>
          <w:szCs w:val="24"/>
          <w:highlight w:val="none"/>
        </w:rPr>
        <w:t>22. 不可抗力</w:t>
      </w:r>
      <w:bookmarkEnd w:id="1765"/>
      <w:bookmarkEnd w:id="1766"/>
      <w:bookmarkEnd w:id="1767"/>
      <w:bookmarkEnd w:id="1768"/>
      <w:bookmarkEnd w:id="1769"/>
      <w:bookmarkEnd w:id="1770"/>
      <w:bookmarkEnd w:id="1773"/>
      <w:r>
        <w:rPr>
          <w:rFonts w:hint="eastAsia" w:ascii="仿宋_GB2312" w:hAnsi="仿宋_GB2312" w:eastAsia="仿宋_GB2312" w:cs="仿宋_GB2312"/>
          <w:color w:val="auto"/>
          <w:sz w:val="24"/>
          <w:szCs w:val="24"/>
          <w:highlight w:val="none"/>
        </w:rPr>
        <w:t xml:space="preserve"> </w:t>
      </w:r>
    </w:p>
    <w:p w14:paraId="1E8BC088">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74" w:name="_Toc13901"/>
      <w:bookmarkStart w:id="1775" w:name="_Toc7470"/>
      <w:bookmarkStart w:id="1776" w:name="_Toc28971"/>
      <w:bookmarkStart w:id="1777" w:name="_Toc5485"/>
      <w:bookmarkStart w:id="1778" w:name="_Toc389586491"/>
      <w:bookmarkStart w:id="1779" w:name="_Toc284"/>
      <w:bookmarkStart w:id="1780" w:name="_Toc17283"/>
      <w:r>
        <w:rPr>
          <w:rFonts w:hint="eastAsia" w:ascii="楷体_GB2312" w:hAnsi="楷体_GB2312" w:eastAsia="楷体_GB2312" w:cs="楷体_GB2312"/>
          <w:b w:val="0"/>
          <w:bCs w:val="0"/>
          <w:color w:val="auto"/>
          <w:sz w:val="24"/>
          <w:szCs w:val="24"/>
          <w:highlight w:val="none"/>
        </w:rPr>
        <w:t>22.1 不可抗力的确认和通知</w:t>
      </w:r>
      <w:bookmarkEnd w:id="1774"/>
      <w:bookmarkEnd w:id="1775"/>
      <w:bookmarkEnd w:id="1776"/>
      <w:bookmarkEnd w:id="1777"/>
      <w:bookmarkEnd w:id="1778"/>
      <w:bookmarkEnd w:id="1779"/>
      <w:bookmarkEnd w:id="1780"/>
    </w:p>
    <w:p w14:paraId="2C9F5B10">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不可抗力的其他情形</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u w:val="single"/>
        </w:rPr>
        <w:t xml:space="preserve">  按照总包合同相关规定执行       </w:t>
      </w:r>
      <w:r>
        <w:rPr>
          <w:rFonts w:hint="eastAsia" w:ascii="仿宋_GB2312" w:hAnsi="仿宋_GB2312" w:eastAsia="仿宋_GB2312" w:cs="仿宋_GB2312"/>
          <w:color w:val="auto"/>
          <w:kern w:val="0"/>
          <w:sz w:val="24"/>
          <w:szCs w:val="24"/>
          <w:highlight w:val="none"/>
        </w:rPr>
        <w:t>。</w:t>
      </w:r>
    </w:p>
    <w:p w14:paraId="5004227A">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781" w:name="_Toc10173"/>
      <w:bookmarkStart w:id="1782" w:name="_Toc12350"/>
      <w:bookmarkStart w:id="1783" w:name="_Toc10991"/>
      <w:bookmarkStart w:id="1784" w:name="_Toc10845"/>
      <w:bookmarkStart w:id="1785" w:name="_Toc389586492"/>
      <w:bookmarkStart w:id="1786" w:name="_Toc23425"/>
      <w:bookmarkStart w:id="1787" w:name="_Toc17420"/>
      <w:r>
        <w:rPr>
          <w:rFonts w:hint="eastAsia" w:ascii="楷体_GB2312" w:hAnsi="楷体_GB2312" w:eastAsia="楷体_GB2312" w:cs="楷体_GB2312"/>
          <w:b w:val="0"/>
          <w:bCs w:val="0"/>
          <w:color w:val="auto"/>
          <w:sz w:val="24"/>
          <w:szCs w:val="24"/>
          <w:highlight w:val="none"/>
        </w:rPr>
        <w:t>22.2 因不可抗力解除合同</w:t>
      </w:r>
      <w:bookmarkEnd w:id="1781"/>
      <w:bookmarkEnd w:id="1782"/>
      <w:bookmarkEnd w:id="1783"/>
      <w:bookmarkEnd w:id="1784"/>
      <w:bookmarkEnd w:id="1785"/>
      <w:bookmarkEnd w:id="1786"/>
      <w:bookmarkEnd w:id="1787"/>
    </w:p>
    <w:p w14:paraId="0E0A4F65">
      <w:pPr>
        <w:pageBreakBefore w:val="0"/>
        <w:kinsoku/>
        <w:wordWrap w:val="0"/>
        <w:overflowPunct/>
        <w:topLinePunct w:val="0"/>
        <w:bidi w:val="0"/>
        <w:adjustRightInd w:val="0"/>
        <w:snapToGrid w:val="0"/>
        <w:spacing w:line="400" w:lineRule="exact"/>
        <w:ind w:firstLine="482"/>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因不可抗力解除合同，承包人应支付款项包括：</w:t>
      </w:r>
      <w:r>
        <w:rPr>
          <w:rFonts w:hint="eastAsia" w:ascii="仿宋_GB2312" w:hAnsi="仿宋_GB2312" w:eastAsia="仿宋_GB2312" w:cs="仿宋_GB2312"/>
          <w:color w:val="auto"/>
          <w:sz w:val="24"/>
          <w:szCs w:val="24"/>
          <w:highlight w:val="none"/>
          <w:u w:val="single"/>
        </w:rPr>
        <w:t xml:space="preserve">  双方协商确定     </w:t>
      </w:r>
      <w:r>
        <w:rPr>
          <w:rFonts w:hint="eastAsia" w:ascii="仿宋_GB2312" w:hAnsi="仿宋_GB2312" w:eastAsia="仿宋_GB2312" w:cs="仿宋_GB2312"/>
          <w:color w:val="auto"/>
          <w:sz w:val="24"/>
          <w:szCs w:val="24"/>
          <w:highlight w:val="none"/>
        </w:rPr>
        <w:t>。</w:t>
      </w:r>
    </w:p>
    <w:p w14:paraId="783934AD">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88" w:name="_Toc10368"/>
      <w:bookmarkStart w:id="1789" w:name="_Toc9990"/>
      <w:bookmarkStart w:id="1790" w:name="_Toc18316"/>
      <w:bookmarkStart w:id="1791" w:name="_Toc389586493"/>
      <w:bookmarkStart w:id="1792" w:name="_Toc7471"/>
      <w:bookmarkStart w:id="1793" w:name="_Toc15474"/>
      <w:bookmarkStart w:id="1794" w:name="_Toc8379"/>
      <w:r>
        <w:rPr>
          <w:rFonts w:hint="eastAsia" w:ascii="黑体" w:hAnsi="黑体" w:eastAsia="黑体" w:cs="黑体"/>
          <w:b w:val="0"/>
          <w:bCs w:val="0"/>
          <w:color w:val="auto"/>
          <w:sz w:val="24"/>
          <w:szCs w:val="24"/>
          <w:highlight w:val="none"/>
        </w:rPr>
        <w:t>23. 保险</w:t>
      </w:r>
      <w:bookmarkEnd w:id="1788"/>
      <w:bookmarkEnd w:id="1789"/>
      <w:bookmarkEnd w:id="1790"/>
      <w:bookmarkEnd w:id="1791"/>
      <w:bookmarkEnd w:id="1792"/>
      <w:bookmarkEnd w:id="1793"/>
      <w:bookmarkEnd w:id="1794"/>
      <w:r>
        <w:rPr>
          <w:rFonts w:hint="eastAsia" w:ascii="仿宋_GB2312" w:hAnsi="仿宋_GB2312" w:eastAsia="仿宋_GB2312" w:cs="仿宋_GB2312"/>
          <w:color w:val="auto"/>
          <w:sz w:val="24"/>
          <w:szCs w:val="24"/>
          <w:highlight w:val="none"/>
        </w:rPr>
        <w:t xml:space="preserve"> </w:t>
      </w:r>
    </w:p>
    <w:p w14:paraId="64831E01">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795" w:name="_Toc15967"/>
      <w:bookmarkStart w:id="1796" w:name="_Toc28656"/>
      <w:bookmarkStart w:id="1797" w:name="_Toc2105"/>
      <w:bookmarkStart w:id="1798" w:name="_Toc18245"/>
      <w:bookmarkStart w:id="1799" w:name="_Toc18383"/>
      <w:bookmarkStart w:id="1800" w:name="_Toc389586494"/>
      <w:bookmarkStart w:id="1801" w:name="_Toc14202"/>
      <w:r>
        <w:rPr>
          <w:rFonts w:hint="eastAsia" w:ascii="楷体_GB2312" w:hAnsi="楷体_GB2312" w:eastAsia="楷体_GB2312" w:cs="楷体_GB2312"/>
          <w:b w:val="0"/>
          <w:bCs w:val="0"/>
          <w:color w:val="auto"/>
          <w:sz w:val="24"/>
          <w:szCs w:val="24"/>
          <w:highlight w:val="none"/>
        </w:rPr>
        <w:t>23.1 其他保险</w:t>
      </w:r>
      <w:bookmarkEnd w:id="1795"/>
      <w:bookmarkEnd w:id="1796"/>
      <w:bookmarkEnd w:id="1797"/>
      <w:bookmarkEnd w:id="1798"/>
      <w:bookmarkEnd w:id="1799"/>
      <w:bookmarkEnd w:id="1800"/>
      <w:bookmarkEnd w:id="1801"/>
    </w:p>
    <w:p w14:paraId="70782772">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关于意外伤害保险、财产保险的特别约定：</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21EF89F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办理意外伤害保险的具体事项：</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3D992DD7">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办理财产保险的具体事项：</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color w:val="auto"/>
          <w:sz w:val="24"/>
          <w:szCs w:val="24"/>
          <w:highlight w:val="none"/>
        </w:rPr>
        <w:t>。</w:t>
      </w:r>
    </w:p>
    <w:p w14:paraId="44A46766">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802" w:name="_Toc4571"/>
      <w:bookmarkStart w:id="1803" w:name="_Toc25256"/>
      <w:bookmarkStart w:id="1804" w:name="_Toc389586495"/>
      <w:bookmarkStart w:id="1805" w:name="_Toc22543"/>
      <w:bookmarkStart w:id="1806" w:name="_Toc10289"/>
      <w:bookmarkStart w:id="1807" w:name="_Toc25113"/>
      <w:bookmarkStart w:id="1808" w:name="_Toc30107"/>
      <w:r>
        <w:rPr>
          <w:rFonts w:hint="eastAsia" w:ascii="楷体_GB2312" w:hAnsi="楷体_GB2312" w:eastAsia="楷体_GB2312" w:cs="楷体_GB2312"/>
          <w:b w:val="0"/>
          <w:bCs w:val="0"/>
          <w:color w:val="auto"/>
          <w:sz w:val="24"/>
          <w:szCs w:val="24"/>
          <w:highlight w:val="none"/>
        </w:rPr>
        <w:t>23.2 保险凭证</w:t>
      </w:r>
      <w:bookmarkEnd w:id="1802"/>
      <w:bookmarkEnd w:id="1803"/>
      <w:bookmarkEnd w:id="1804"/>
      <w:bookmarkEnd w:id="1805"/>
      <w:bookmarkEnd w:id="1806"/>
      <w:bookmarkEnd w:id="1807"/>
      <w:bookmarkEnd w:id="1808"/>
    </w:p>
    <w:p w14:paraId="2BC68098">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分包人提交保险凭证和保险单复印件的期限：</w:t>
      </w:r>
      <w:r>
        <w:rPr>
          <w:rFonts w:hint="eastAsia" w:ascii="仿宋_GB2312" w:hAnsi="仿宋_GB2312" w:eastAsia="仿宋_GB2312" w:cs="仿宋_GB2312"/>
          <w:color w:val="auto"/>
          <w:sz w:val="24"/>
          <w:szCs w:val="24"/>
          <w:highlight w:val="none"/>
          <w:u w:val="single"/>
        </w:rPr>
        <w:t xml:space="preserve"> 开工前1天         </w:t>
      </w:r>
      <w:r>
        <w:rPr>
          <w:rFonts w:hint="eastAsia" w:ascii="仿宋_GB2312" w:hAnsi="仿宋_GB2312" w:eastAsia="仿宋_GB2312" w:cs="仿宋_GB2312"/>
          <w:color w:val="auto"/>
          <w:sz w:val="24"/>
          <w:szCs w:val="24"/>
          <w:highlight w:val="none"/>
        </w:rPr>
        <w:t>。</w:t>
      </w:r>
    </w:p>
    <w:p w14:paraId="7CC9B4EF">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809" w:name="_Toc5628"/>
      <w:bookmarkStart w:id="1810" w:name="_Toc24960"/>
      <w:bookmarkStart w:id="1811" w:name="_Toc6953"/>
      <w:bookmarkStart w:id="1812" w:name="_Toc13703"/>
      <w:bookmarkStart w:id="1813" w:name="_Toc31110"/>
      <w:bookmarkStart w:id="1814" w:name="_Toc3979"/>
      <w:bookmarkStart w:id="1815" w:name="_Toc389586496"/>
      <w:r>
        <w:rPr>
          <w:rFonts w:hint="eastAsia" w:ascii="黑体" w:hAnsi="黑体" w:eastAsia="黑体" w:cs="黑体"/>
          <w:b w:val="0"/>
          <w:bCs w:val="0"/>
          <w:color w:val="auto"/>
          <w:sz w:val="24"/>
          <w:szCs w:val="24"/>
          <w:highlight w:val="none"/>
        </w:rPr>
        <w:t>24. 索赔</w:t>
      </w:r>
      <w:bookmarkEnd w:id="1809"/>
      <w:bookmarkEnd w:id="1810"/>
      <w:bookmarkEnd w:id="1811"/>
      <w:bookmarkEnd w:id="1812"/>
      <w:bookmarkEnd w:id="1813"/>
      <w:bookmarkEnd w:id="1814"/>
      <w:bookmarkEnd w:id="1815"/>
      <w:r>
        <w:rPr>
          <w:rFonts w:hint="eastAsia" w:ascii="仿宋_GB2312" w:hAnsi="仿宋_GB2312" w:eastAsia="仿宋_GB2312" w:cs="仿宋_GB2312"/>
          <w:color w:val="auto"/>
          <w:sz w:val="24"/>
          <w:szCs w:val="24"/>
          <w:highlight w:val="none"/>
        </w:rPr>
        <w:t xml:space="preserve"> </w:t>
      </w:r>
    </w:p>
    <w:p w14:paraId="42CCD136">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楷体_GB2312" w:hAnsi="楷体_GB2312" w:eastAsia="楷体_GB2312" w:cs="楷体_GB2312"/>
          <w:b w:val="0"/>
          <w:bCs w:val="0"/>
          <w:color w:val="auto"/>
          <w:sz w:val="24"/>
          <w:szCs w:val="24"/>
          <w:highlight w:val="none"/>
        </w:rPr>
      </w:pPr>
      <w:bookmarkStart w:id="1816" w:name="_Toc2360"/>
      <w:bookmarkStart w:id="1817" w:name="_Toc28182"/>
      <w:bookmarkStart w:id="1818" w:name="_Toc389586497"/>
      <w:bookmarkStart w:id="1819" w:name="_Toc26068"/>
      <w:bookmarkStart w:id="1820" w:name="_Toc32169"/>
      <w:bookmarkStart w:id="1821" w:name="_Toc24103"/>
      <w:bookmarkStart w:id="1822" w:name="_Toc783"/>
      <w:r>
        <w:rPr>
          <w:rFonts w:hint="eastAsia" w:ascii="楷体_GB2312" w:hAnsi="楷体_GB2312" w:eastAsia="楷体_GB2312" w:cs="楷体_GB2312"/>
          <w:b w:val="0"/>
          <w:bCs w:val="0"/>
          <w:color w:val="auto"/>
          <w:sz w:val="24"/>
          <w:szCs w:val="24"/>
          <w:highlight w:val="none"/>
        </w:rPr>
        <w:t>24.1 对分包人索赔的处理</w:t>
      </w:r>
      <w:bookmarkEnd w:id="1816"/>
      <w:bookmarkEnd w:id="1817"/>
      <w:bookmarkEnd w:id="1818"/>
      <w:bookmarkEnd w:id="1819"/>
      <w:bookmarkEnd w:id="1820"/>
      <w:bookmarkEnd w:id="1821"/>
      <w:bookmarkEnd w:id="1822"/>
    </w:p>
    <w:p w14:paraId="329BBBBB">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关于对分包人索赔的处理的约定：</w:t>
      </w:r>
      <w:r>
        <w:rPr>
          <w:rFonts w:hint="eastAsia" w:ascii="仿宋_GB2312" w:hAnsi="仿宋_GB2312" w:eastAsia="仿宋_GB2312" w:cs="仿宋_GB2312"/>
          <w:color w:val="auto"/>
          <w:sz w:val="24"/>
          <w:szCs w:val="24"/>
          <w:highlight w:val="none"/>
          <w:u w:val="single"/>
        </w:rPr>
        <w:t xml:space="preserve">   按通用合同条款执行   </w:t>
      </w:r>
      <w:r>
        <w:rPr>
          <w:rFonts w:hint="eastAsia" w:ascii="仿宋_GB2312" w:hAnsi="仿宋_GB2312" w:eastAsia="仿宋_GB2312" w:cs="仿宋_GB2312"/>
          <w:color w:val="auto"/>
          <w:sz w:val="24"/>
          <w:szCs w:val="24"/>
          <w:highlight w:val="none"/>
        </w:rPr>
        <w:t>。</w:t>
      </w:r>
    </w:p>
    <w:p w14:paraId="15BF6D8D">
      <w:pPr>
        <w:pageBreakBefore w:val="0"/>
        <w:kinsoku/>
        <w:wordWrap w:val="0"/>
        <w:overflowPunct/>
        <w:topLinePunct w:val="0"/>
        <w:bidi w:val="0"/>
        <w:adjustRightInd w:val="0"/>
        <w:snapToGrid w:val="0"/>
        <w:spacing w:line="400" w:lineRule="exact"/>
        <w:ind w:left="105" w:leftChars="50" w:firstLine="360" w:firstLineChars="15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分包人向承包人支付的赔偿款并非原合同约定价款，因此合同总价款不变，分包人应向承包人开具的发票金额不受该等违约赔偿安排的影响。承包人仅会就收取的赔偿款项向分包人提供相应收据，不会开具对应的增值税发票。</w:t>
      </w:r>
    </w:p>
    <w:p w14:paraId="269707B0">
      <w:pPr>
        <w:pStyle w:val="5"/>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仿宋_GB2312" w:hAnsi="仿宋_GB2312" w:eastAsia="仿宋_GB2312" w:cs="仿宋_GB2312"/>
          <w:color w:val="auto"/>
          <w:sz w:val="24"/>
          <w:szCs w:val="24"/>
          <w:highlight w:val="none"/>
        </w:rPr>
      </w:pPr>
      <w:bookmarkStart w:id="1823" w:name="_Toc3981"/>
      <w:bookmarkStart w:id="1824" w:name="_Toc29299"/>
      <w:bookmarkStart w:id="1825" w:name="_Toc7634"/>
      <w:bookmarkStart w:id="1826" w:name="_Toc13164"/>
      <w:bookmarkStart w:id="1827" w:name="_Toc6273"/>
      <w:bookmarkStart w:id="1828" w:name="_Toc389586498"/>
      <w:bookmarkStart w:id="1829" w:name="_Toc6874"/>
      <w:r>
        <w:rPr>
          <w:rFonts w:hint="eastAsia" w:ascii="楷体_GB2312" w:hAnsi="楷体_GB2312" w:eastAsia="楷体_GB2312" w:cs="楷体_GB2312"/>
          <w:b w:val="0"/>
          <w:bCs w:val="0"/>
          <w:color w:val="auto"/>
          <w:sz w:val="24"/>
          <w:szCs w:val="24"/>
          <w:highlight w:val="none"/>
        </w:rPr>
        <w:t>24.2 对承包人索赔的处理</w:t>
      </w:r>
      <w:bookmarkEnd w:id="1823"/>
      <w:bookmarkEnd w:id="1824"/>
      <w:bookmarkEnd w:id="1825"/>
      <w:bookmarkEnd w:id="1826"/>
      <w:bookmarkEnd w:id="1827"/>
      <w:bookmarkEnd w:id="1828"/>
      <w:bookmarkEnd w:id="1829"/>
    </w:p>
    <w:p w14:paraId="796B3355">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关于对承包人索赔的处理的约定：</w:t>
      </w:r>
      <w:r>
        <w:rPr>
          <w:rFonts w:hint="eastAsia" w:ascii="仿宋_GB2312" w:hAnsi="仿宋_GB2312" w:eastAsia="仿宋_GB2312" w:cs="仿宋_GB2312"/>
          <w:color w:val="auto"/>
          <w:sz w:val="24"/>
          <w:szCs w:val="24"/>
          <w:highlight w:val="none"/>
          <w:u w:val="single"/>
        </w:rPr>
        <w:t xml:space="preserve">  按通用合同条款执行        </w:t>
      </w:r>
      <w:r>
        <w:rPr>
          <w:rFonts w:hint="eastAsia" w:ascii="仿宋_GB2312" w:hAnsi="仿宋_GB2312" w:eastAsia="仿宋_GB2312" w:cs="仿宋_GB2312"/>
          <w:color w:val="auto"/>
          <w:sz w:val="24"/>
          <w:szCs w:val="24"/>
          <w:highlight w:val="none"/>
        </w:rPr>
        <w:t>。</w:t>
      </w:r>
    </w:p>
    <w:p w14:paraId="7BAB98BB">
      <w:pPr>
        <w:pageBreakBefore w:val="0"/>
        <w:tabs>
          <w:tab w:val="left" w:pos="1635"/>
        </w:tabs>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分包人应就收取的赔偿款向承包人按照14.5条款开具合法有效的增值税发票。</w:t>
      </w:r>
    </w:p>
    <w:p w14:paraId="1EA310EA">
      <w:pPr>
        <w:pStyle w:val="4"/>
        <w:pageBreakBefore w:val="0"/>
        <w:widowControl w:val="0"/>
        <w:kinsoku/>
        <w:wordWrap w:val="0"/>
        <w:overflowPunct/>
        <w:topLinePunct w:val="0"/>
        <w:autoSpaceDE/>
        <w:autoSpaceDN/>
        <w:bidi w:val="0"/>
        <w:adjustRightInd w:val="0"/>
        <w:snapToGrid w:val="0"/>
        <w:spacing w:before="0" w:after="0" w:line="400" w:lineRule="exact"/>
        <w:ind w:firstLine="480" w:firstLineChars="200"/>
        <w:textAlignment w:val="auto"/>
        <w:rPr>
          <w:rFonts w:hint="eastAsia" w:ascii="黑体" w:hAnsi="黑体" w:eastAsia="黑体" w:cs="黑体"/>
          <w:b w:val="0"/>
          <w:bCs w:val="0"/>
          <w:color w:val="auto"/>
          <w:sz w:val="24"/>
          <w:szCs w:val="24"/>
          <w:highlight w:val="none"/>
        </w:rPr>
      </w:pPr>
      <w:bookmarkStart w:id="1830" w:name="_Toc27786"/>
      <w:bookmarkStart w:id="1831" w:name="_Toc6530"/>
      <w:bookmarkStart w:id="1832" w:name="_Toc17329"/>
      <w:bookmarkStart w:id="1833" w:name="_Toc389586499"/>
      <w:bookmarkStart w:id="1834" w:name="_Toc14667"/>
      <w:bookmarkStart w:id="1835" w:name="_Toc15056"/>
      <w:bookmarkStart w:id="1836" w:name="_Toc1788"/>
      <w:r>
        <w:rPr>
          <w:rFonts w:hint="eastAsia" w:ascii="黑体" w:hAnsi="黑体" w:eastAsia="黑体" w:cs="黑体"/>
          <w:b w:val="0"/>
          <w:bCs w:val="0"/>
          <w:color w:val="auto"/>
          <w:sz w:val="24"/>
          <w:szCs w:val="24"/>
          <w:highlight w:val="none"/>
        </w:rPr>
        <w:t>25. 争议解决</w:t>
      </w:r>
      <w:bookmarkEnd w:id="1830"/>
      <w:bookmarkEnd w:id="1831"/>
      <w:bookmarkEnd w:id="1832"/>
      <w:bookmarkEnd w:id="1833"/>
      <w:bookmarkEnd w:id="1834"/>
      <w:bookmarkEnd w:id="1835"/>
      <w:bookmarkEnd w:id="1836"/>
    </w:p>
    <w:p w14:paraId="2E79B8B5">
      <w:pPr>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楷体_GB2312" w:hAnsi="楷体_GB2312" w:eastAsia="楷体_GB2312" w:cs="楷体_GB2312"/>
          <w:b w:val="0"/>
          <w:bCs w:val="0"/>
          <w:color w:val="auto"/>
          <w:sz w:val="24"/>
          <w:szCs w:val="24"/>
          <w:highlight w:val="none"/>
        </w:rPr>
        <w:t>25.1</w:t>
      </w:r>
      <w:r>
        <w:rPr>
          <w:rFonts w:hint="eastAsia" w:ascii="仿宋_GB2312" w:hAnsi="仿宋_GB2312" w:eastAsia="仿宋_GB2312" w:cs="仿宋_GB2312"/>
          <w:color w:val="auto"/>
          <w:sz w:val="24"/>
          <w:szCs w:val="24"/>
          <w:highlight w:val="none"/>
        </w:rPr>
        <w:t xml:space="preserve"> 因合同及合同有关事项发生的争议，按下列第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种方式解决：</w:t>
      </w:r>
    </w:p>
    <w:p w14:paraId="0D85B919">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（1）向</w:t>
      </w:r>
      <w:r>
        <w:rPr>
          <w:rFonts w:hint="eastAsia" w:ascii="仿宋_GB2312" w:hAnsi="仿宋_GB2312" w:eastAsia="仿宋_GB2312" w:cs="仿宋_GB2312"/>
          <w:color w:val="auto"/>
          <w:sz w:val="24"/>
          <w:szCs w:val="24"/>
          <w:highlight w:val="none"/>
          <w:u w:val="single"/>
        </w:rPr>
        <w:t xml:space="preserve">      广州      </w:t>
      </w:r>
      <w:r>
        <w:rPr>
          <w:rFonts w:hint="eastAsia" w:ascii="仿宋_GB2312" w:hAnsi="仿宋_GB2312" w:eastAsia="仿宋_GB2312" w:cs="仿宋_GB2312"/>
          <w:color w:val="auto"/>
          <w:sz w:val="24"/>
          <w:szCs w:val="24"/>
          <w:highlight w:val="none"/>
        </w:rPr>
        <w:t>仲裁委员会申请仲裁。</w:t>
      </w:r>
    </w:p>
    <w:p w14:paraId="3F5EC1C6">
      <w:pPr>
        <w:pageBreakBefore w:val="0"/>
        <w:kinsoku/>
        <w:wordWrap w:val="0"/>
        <w:overflowPunct/>
        <w:topLinePunct w:val="0"/>
        <w:bidi w:val="0"/>
        <w:adjustRightInd w:val="0"/>
        <w:snapToGrid w:val="0"/>
        <w:spacing w:line="400" w:lineRule="exact"/>
        <w:ind w:firstLine="480" w:firstLineChars="200"/>
        <w:jc w:val="lef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（2）向</w:t>
      </w:r>
      <w:r>
        <w:rPr>
          <w:rFonts w:hint="eastAsia" w:ascii="仿宋_GB2312" w:hAnsi="仿宋_GB2312" w:eastAsia="仿宋_GB2312" w:cs="仿宋_GB2312"/>
          <w:color w:val="auto"/>
          <w:sz w:val="24"/>
          <w:szCs w:val="24"/>
          <w:highlight w:val="none"/>
          <w:u w:val="single"/>
        </w:rPr>
        <w:t xml:space="preserve">   甲方所在地   </w:t>
      </w:r>
      <w:r>
        <w:rPr>
          <w:rFonts w:hint="eastAsia" w:ascii="仿宋_GB2312" w:hAnsi="仿宋_GB2312" w:eastAsia="仿宋_GB2312" w:cs="仿宋_GB2312"/>
          <w:color w:val="auto"/>
          <w:sz w:val="24"/>
          <w:szCs w:val="24"/>
          <w:highlight w:val="none"/>
        </w:rPr>
        <w:t>人民法院起诉。</w:t>
      </w:r>
      <w:bookmarkEnd w:id="1273"/>
      <w:r>
        <w:rPr>
          <w:rFonts w:hint="eastAsia" w:ascii="仿宋_GB2312" w:hAnsi="仿宋_GB2312" w:eastAsia="仿宋_GB2312" w:cs="仿宋_GB2312"/>
          <w:b/>
          <w:color w:val="auto"/>
          <w:sz w:val="24"/>
          <w:szCs w:val="24"/>
          <w:highlight w:val="none"/>
        </w:rPr>
        <w:t xml:space="preserve"> </w:t>
      </w:r>
    </w:p>
    <w:p w14:paraId="521E0A75">
      <w:pPr>
        <w:pStyle w:val="2"/>
        <w:rPr>
          <w:rFonts w:hint="eastAsia" w:ascii="仿宋_GB2312" w:hAnsi="仿宋_GB2312" w:eastAsia="仿宋_GB2312" w:cs="仿宋_GB2312"/>
          <w:b/>
          <w:color w:val="auto"/>
          <w:sz w:val="24"/>
          <w:szCs w:val="24"/>
          <w:highlight w:val="none"/>
        </w:rPr>
      </w:pPr>
    </w:p>
    <w:p w14:paraId="7D3400CB">
      <w:pPr>
        <w:pStyle w:val="2"/>
        <w:rPr>
          <w:rFonts w:hint="eastAsia" w:ascii="仿宋_GB2312" w:hAnsi="仿宋_GB2312" w:eastAsia="仿宋_GB2312" w:cs="仿宋_GB2312"/>
          <w:b/>
          <w:color w:val="auto"/>
          <w:sz w:val="24"/>
          <w:szCs w:val="24"/>
          <w:highlight w:val="none"/>
        </w:rPr>
      </w:pPr>
    </w:p>
    <w:p w14:paraId="2A8F6330">
      <w:pPr>
        <w:pStyle w:val="2"/>
        <w:rPr>
          <w:rFonts w:hint="eastAsia" w:ascii="仿宋_GB2312" w:hAnsi="仿宋_GB2312" w:eastAsia="仿宋_GB2312" w:cs="仿宋_GB2312"/>
          <w:b/>
          <w:color w:val="auto"/>
          <w:sz w:val="24"/>
          <w:szCs w:val="24"/>
          <w:highlight w:val="none"/>
        </w:rPr>
      </w:pPr>
    </w:p>
    <w:p w14:paraId="525811B8">
      <w:pPr>
        <w:pStyle w:val="2"/>
        <w:rPr>
          <w:rFonts w:hint="eastAsia" w:ascii="仿宋_GB2312" w:hAnsi="仿宋_GB2312" w:eastAsia="仿宋_GB2312" w:cs="仿宋_GB2312"/>
          <w:b/>
          <w:color w:val="auto"/>
          <w:sz w:val="24"/>
          <w:szCs w:val="24"/>
          <w:highlight w:val="none"/>
        </w:rPr>
      </w:pPr>
    </w:p>
    <w:p w14:paraId="09F6F053">
      <w:pPr>
        <w:pStyle w:val="2"/>
        <w:rPr>
          <w:rFonts w:hint="eastAsia" w:ascii="仿宋_GB2312" w:hAnsi="仿宋_GB2312" w:eastAsia="仿宋_GB2312" w:cs="仿宋_GB2312"/>
          <w:b/>
          <w:color w:val="auto"/>
          <w:sz w:val="24"/>
          <w:szCs w:val="24"/>
          <w:highlight w:val="none"/>
        </w:rPr>
      </w:pPr>
    </w:p>
    <w:p w14:paraId="7E5FA7EB">
      <w:pPr>
        <w:pStyle w:val="2"/>
        <w:rPr>
          <w:rFonts w:hint="eastAsia" w:ascii="仿宋_GB2312" w:hAnsi="仿宋_GB2312" w:eastAsia="仿宋_GB2312" w:cs="仿宋_GB2312"/>
          <w:b/>
          <w:color w:val="auto"/>
          <w:sz w:val="24"/>
          <w:szCs w:val="24"/>
          <w:highlight w:val="none"/>
        </w:rPr>
      </w:pPr>
    </w:p>
    <w:p w14:paraId="0346DF4D">
      <w:pPr>
        <w:pStyle w:val="2"/>
        <w:rPr>
          <w:rFonts w:hint="eastAsia" w:ascii="仿宋_GB2312" w:hAnsi="仿宋_GB2312" w:eastAsia="仿宋_GB2312" w:cs="仿宋_GB2312"/>
          <w:b/>
          <w:color w:val="auto"/>
          <w:sz w:val="24"/>
          <w:szCs w:val="24"/>
          <w:highlight w:val="none"/>
        </w:rPr>
      </w:pPr>
    </w:p>
    <w:p w14:paraId="7D4FB809">
      <w:pPr>
        <w:pStyle w:val="2"/>
        <w:rPr>
          <w:rFonts w:hint="eastAsia" w:ascii="仿宋_GB2312" w:hAnsi="仿宋_GB2312" w:eastAsia="仿宋_GB2312" w:cs="仿宋_GB2312"/>
          <w:b/>
          <w:color w:val="auto"/>
          <w:sz w:val="24"/>
          <w:szCs w:val="24"/>
          <w:highlight w:val="none"/>
        </w:rPr>
      </w:pPr>
    </w:p>
    <w:p w14:paraId="64D4C23D">
      <w:pPr>
        <w:pStyle w:val="2"/>
        <w:rPr>
          <w:rFonts w:hint="eastAsia" w:ascii="仿宋_GB2312" w:hAnsi="仿宋_GB2312" w:eastAsia="仿宋_GB2312" w:cs="仿宋_GB2312"/>
          <w:b/>
          <w:color w:val="auto"/>
          <w:sz w:val="24"/>
          <w:szCs w:val="24"/>
          <w:highlight w:val="none"/>
        </w:rPr>
      </w:pPr>
    </w:p>
    <w:p w14:paraId="0D6E155A">
      <w:pPr>
        <w:pStyle w:val="2"/>
        <w:rPr>
          <w:rFonts w:hint="eastAsia" w:ascii="仿宋_GB2312" w:hAnsi="仿宋_GB2312" w:eastAsia="仿宋_GB2312" w:cs="仿宋_GB2312"/>
          <w:b/>
          <w:color w:val="auto"/>
          <w:sz w:val="24"/>
          <w:szCs w:val="24"/>
          <w:highlight w:val="none"/>
        </w:rPr>
      </w:pPr>
    </w:p>
    <w:p w14:paraId="38541D71">
      <w:pPr>
        <w:pStyle w:val="2"/>
        <w:rPr>
          <w:rFonts w:hint="eastAsia" w:ascii="仿宋_GB2312" w:hAnsi="仿宋_GB2312" w:eastAsia="仿宋_GB2312" w:cs="仿宋_GB2312"/>
          <w:b/>
          <w:color w:val="auto"/>
          <w:sz w:val="24"/>
          <w:szCs w:val="24"/>
          <w:highlight w:val="none"/>
        </w:rPr>
      </w:pPr>
    </w:p>
    <w:p w14:paraId="71ED3A5D">
      <w:pPr>
        <w:pStyle w:val="2"/>
        <w:rPr>
          <w:rFonts w:hint="eastAsia" w:ascii="仿宋_GB2312" w:hAnsi="仿宋_GB2312" w:eastAsia="仿宋_GB2312" w:cs="仿宋_GB2312"/>
          <w:b/>
          <w:color w:val="auto"/>
          <w:sz w:val="24"/>
          <w:szCs w:val="24"/>
          <w:highlight w:val="none"/>
        </w:rPr>
      </w:pPr>
    </w:p>
    <w:p w14:paraId="1DB28F95">
      <w:pPr>
        <w:pStyle w:val="2"/>
        <w:rPr>
          <w:rFonts w:hint="eastAsia" w:ascii="仿宋_GB2312" w:hAnsi="仿宋_GB2312" w:eastAsia="仿宋_GB2312" w:cs="仿宋_GB2312"/>
          <w:b/>
          <w:color w:val="auto"/>
          <w:sz w:val="24"/>
          <w:szCs w:val="24"/>
          <w:highlight w:val="none"/>
        </w:rPr>
      </w:pPr>
    </w:p>
    <w:p w14:paraId="18537B84">
      <w:pPr>
        <w:pStyle w:val="2"/>
        <w:rPr>
          <w:rFonts w:hint="eastAsia" w:ascii="仿宋_GB2312" w:hAnsi="仿宋_GB2312" w:eastAsia="仿宋_GB2312" w:cs="仿宋_GB2312"/>
          <w:b/>
          <w:color w:val="auto"/>
          <w:sz w:val="24"/>
          <w:szCs w:val="24"/>
          <w:highlight w:val="none"/>
        </w:rPr>
      </w:pPr>
    </w:p>
    <w:p w14:paraId="66E84053">
      <w:pPr>
        <w:pStyle w:val="2"/>
        <w:rPr>
          <w:rFonts w:hint="eastAsia" w:ascii="仿宋_GB2312" w:hAnsi="仿宋_GB2312" w:eastAsia="仿宋_GB2312" w:cs="仿宋_GB2312"/>
          <w:b/>
          <w:color w:val="auto"/>
          <w:sz w:val="24"/>
          <w:szCs w:val="24"/>
          <w:highlight w:val="none"/>
        </w:rPr>
      </w:pPr>
    </w:p>
    <w:p w14:paraId="5ED257A6">
      <w:pPr>
        <w:pStyle w:val="2"/>
        <w:rPr>
          <w:rFonts w:hint="eastAsia" w:ascii="仿宋_GB2312" w:hAnsi="仿宋_GB2312" w:eastAsia="仿宋_GB2312" w:cs="仿宋_GB2312"/>
          <w:b/>
          <w:color w:val="auto"/>
          <w:sz w:val="24"/>
          <w:szCs w:val="24"/>
          <w:highlight w:val="none"/>
        </w:rPr>
      </w:pPr>
    </w:p>
    <w:p w14:paraId="10A5B9F1">
      <w:pPr>
        <w:pStyle w:val="2"/>
        <w:rPr>
          <w:rFonts w:hint="eastAsia" w:ascii="仿宋_GB2312" w:hAnsi="仿宋_GB2312" w:eastAsia="仿宋_GB2312" w:cs="仿宋_GB2312"/>
          <w:b/>
          <w:color w:val="auto"/>
          <w:sz w:val="24"/>
          <w:szCs w:val="24"/>
          <w:highlight w:val="none"/>
        </w:rPr>
      </w:pPr>
    </w:p>
    <w:p w14:paraId="16AB7053">
      <w:pPr>
        <w:pStyle w:val="2"/>
        <w:rPr>
          <w:rFonts w:hint="eastAsia" w:ascii="仿宋_GB2312" w:hAnsi="仿宋_GB2312" w:eastAsia="仿宋_GB2312" w:cs="仿宋_GB2312"/>
          <w:b/>
          <w:color w:val="auto"/>
          <w:sz w:val="24"/>
          <w:szCs w:val="24"/>
          <w:highlight w:val="none"/>
        </w:rPr>
      </w:pPr>
    </w:p>
    <w:p w14:paraId="6FB8D94F">
      <w:pPr>
        <w:pStyle w:val="2"/>
        <w:rPr>
          <w:rFonts w:hint="eastAsia" w:ascii="仿宋_GB2312" w:hAnsi="仿宋_GB2312" w:eastAsia="仿宋_GB2312" w:cs="仿宋_GB2312"/>
          <w:b/>
          <w:color w:val="auto"/>
          <w:sz w:val="24"/>
          <w:szCs w:val="24"/>
          <w:highlight w:val="none"/>
        </w:rPr>
      </w:pPr>
    </w:p>
    <w:p w14:paraId="5810AE16">
      <w:pPr>
        <w:pStyle w:val="2"/>
        <w:rPr>
          <w:rFonts w:hint="eastAsia" w:ascii="仿宋_GB2312" w:hAnsi="仿宋_GB2312" w:eastAsia="仿宋_GB2312" w:cs="仿宋_GB2312"/>
          <w:b/>
          <w:color w:val="auto"/>
          <w:sz w:val="24"/>
          <w:szCs w:val="24"/>
          <w:highlight w:val="none"/>
        </w:rPr>
      </w:pPr>
    </w:p>
    <w:p w14:paraId="038301B5">
      <w:pPr>
        <w:pStyle w:val="2"/>
        <w:rPr>
          <w:rFonts w:hint="eastAsia" w:ascii="仿宋_GB2312" w:hAnsi="仿宋_GB2312" w:eastAsia="仿宋_GB2312" w:cs="仿宋_GB2312"/>
          <w:b/>
          <w:color w:val="auto"/>
          <w:sz w:val="24"/>
          <w:szCs w:val="24"/>
          <w:highlight w:val="none"/>
        </w:rPr>
      </w:pPr>
    </w:p>
    <w:p w14:paraId="1E111198">
      <w:pPr>
        <w:pStyle w:val="4"/>
        <w:pageBreakBefore w:val="0"/>
        <w:kinsoku/>
        <w:overflowPunct/>
        <w:topLinePunct w:val="0"/>
        <w:bidi w:val="0"/>
        <w:adjustRightInd w:val="0"/>
        <w:snapToGrid w:val="0"/>
        <w:spacing w:before="0" w:after="0" w:line="400" w:lineRule="exact"/>
        <w:rPr>
          <w:rFonts w:hint="eastAsia" w:ascii="黑体" w:hAnsi="黑体" w:eastAsia="黑体" w:cs="黑体"/>
          <w:color w:val="auto"/>
          <w:sz w:val="32"/>
          <w:szCs w:val="32"/>
          <w:highlight w:val="none"/>
        </w:rPr>
      </w:pPr>
      <w:bookmarkStart w:id="1837" w:name="_Toc14872"/>
      <w:r>
        <w:rPr>
          <w:rFonts w:hint="eastAsia" w:ascii="黑体" w:hAnsi="黑体" w:eastAsia="黑体" w:cs="黑体"/>
          <w:b w:val="0"/>
          <w:bCs w:val="0"/>
          <w:color w:val="auto"/>
          <w:sz w:val="32"/>
          <w:szCs w:val="32"/>
          <w:highlight w:val="none"/>
        </w:rPr>
        <w:t>附件1</w:t>
      </w:r>
      <w:bookmarkEnd w:id="1837"/>
    </w:p>
    <w:p w14:paraId="0D8B2CF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ajorEastAsia" w:hAnsiTheme="majorEastAsia" w:eastAsiaTheme="majorEastAsia" w:cstheme="majorEastAsia"/>
          <w:color w:val="auto"/>
          <w:sz w:val="40"/>
          <w:szCs w:val="40"/>
          <w:highlight w:val="none"/>
        </w:rPr>
      </w:pPr>
      <w:r>
        <w:rPr>
          <w:rFonts w:hint="eastAsia" w:asciiTheme="majorEastAsia" w:hAnsiTheme="majorEastAsia" w:eastAsiaTheme="majorEastAsia" w:cstheme="majorEastAsia"/>
          <w:color w:val="auto"/>
          <w:sz w:val="40"/>
          <w:szCs w:val="40"/>
          <w:highlight w:val="none"/>
        </w:rPr>
        <w:t>法定代表人身份证明书</w:t>
      </w:r>
    </w:p>
    <w:p w14:paraId="3A0D0D6F">
      <w:pPr>
        <w:pageBreakBefore w:val="0"/>
        <w:widowControl w:val="0"/>
        <w:kinsoku/>
        <w:wordWrap/>
        <w:overflowPunct/>
        <w:topLinePunct w:val="0"/>
        <w:autoSpaceDE/>
        <w:autoSpaceDN/>
        <w:bidi w:val="0"/>
        <w:adjustRightInd w:val="0"/>
        <w:snapToGrid w:val="0"/>
        <w:spacing w:before="0" w:after="0" w:line="400" w:lineRule="exact"/>
        <w:textAlignment w:val="auto"/>
        <w:outlineLvl w:val="9"/>
        <w:rPr>
          <w:rFonts w:hint="eastAsia"/>
          <w:color w:val="auto"/>
          <w:highlight w:val="none"/>
        </w:rPr>
      </w:pPr>
    </w:p>
    <w:p w14:paraId="3A99E8A1">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兹证明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现在我单位任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职务，为我单位的法定代表人。</w:t>
      </w:r>
    </w:p>
    <w:p w14:paraId="327CB2A9">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特此证明。</w:t>
      </w:r>
    </w:p>
    <w:p w14:paraId="0CC34856">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p>
    <w:p w14:paraId="736D069F">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附：法定代表人性别：</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身份证号码：</w:t>
      </w:r>
      <w:r>
        <w:rPr>
          <w:rFonts w:hint="eastAsia" w:ascii="仿宋_GB2312" w:hAnsi="仿宋_GB2312" w:eastAsia="仿宋_GB2312" w:cs="仿宋_GB2312"/>
          <w:color w:val="auto"/>
          <w:sz w:val="24"/>
          <w:szCs w:val="24"/>
          <w:highlight w:val="none"/>
          <w:u w:val="single"/>
        </w:rPr>
        <w:t xml:space="preserve">                               </w:t>
      </w:r>
    </w:p>
    <w:p w14:paraId="41C00C0D">
      <w:pPr>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（附法定代表人身份证复印件）</w:t>
      </w:r>
    </w:p>
    <w:p w14:paraId="49FFB41B">
      <w:pPr>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p w14:paraId="31AD0FB3">
      <w:pPr>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4"/>
          <w:szCs w:val="24"/>
          <w:highlight w:val="none"/>
        </w:rPr>
      </w:pPr>
    </w:p>
    <w:p w14:paraId="632FC86C">
      <w:pPr>
        <w:pageBreakBefore w:val="0"/>
        <w:widowControl w:val="0"/>
        <w:kinsoku/>
        <w:wordWrap/>
        <w:overflowPunct/>
        <w:topLinePunct w:val="0"/>
        <w:autoSpaceDE/>
        <w:autoSpaceDN/>
        <w:bidi w:val="0"/>
        <w:adjustRightInd w:val="0"/>
        <w:snapToGrid w:val="0"/>
        <w:spacing w:line="400" w:lineRule="exact"/>
        <w:ind w:firstLine="3840" w:firstLineChars="16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证明单位：（盖章）</w:t>
      </w:r>
    </w:p>
    <w:p w14:paraId="124281F2">
      <w:pPr>
        <w:pageBreakBefore w:val="0"/>
        <w:kinsoku/>
        <w:overflowPunct/>
        <w:topLinePunct w:val="0"/>
        <w:bidi w:val="0"/>
        <w:adjustRightInd w:val="0"/>
        <w:snapToGrid w:val="0"/>
        <w:spacing w:line="400" w:lineRule="exact"/>
        <w:ind w:firstLine="3840" w:firstLineChars="16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签发日期：     年     月     日</w:t>
      </w:r>
    </w:p>
    <w:tbl>
      <w:tblPr>
        <w:tblStyle w:val="19"/>
        <w:tblpPr w:leftFromText="180" w:rightFromText="180" w:vertAnchor="text" w:horzAnchor="page" w:tblpX="3387"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A55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5328" w:type="dxa"/>
            <w:vAlign w:val="center"/>
          </w:tcPr>
          <w:p w14:paraId="77BF833F">
            <w:pPr>
              <w:pageBreakBefore w:val="0"/>
              <w:kinsoku/>
              <w:overflowPunct/>
              <w:topLinePunct w:val="0"/>
              <w:bidi w:val="0"/>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法定代表人身份证正面</w:t>
            </w:r>
          </w:p>
        </w:tc>
      </w:tr>
      <w:tr w14:paraId="7A1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5328" w:type="dxa"/>
            <w:vAlign w:val="center"/>
          </w:tcPr>
          <w:p w14:paraId="6D998E8B">
            <w:pPr>
              <w:pageBreakBefore w:val="0"/>
              <w:kinsoku/>
              <w:overflowPunct/>
              <w:topLinePunct w:val="0"/>
              <w:bidi w:val="0"/>
              <w:adjustRightInd w:val="0"/>
              <w:snapToGrid w:val="0"/>
              <w:spacing w:line="40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法定代表人身份证反面</w:t>
            </w:r>
          </w:p>
        </w:tc>
      </w:tr>
    </w:tbl>
    <w:p w14:paraId="79060ABF">
      <w:pPr>
        <w:pageBreakBefore w:val="0"/>
        <w:kinsoku/>
        <w:overflowPunct/>
        <w:topLinePunct w:val="0"/>
        <w:bidi w:val="0"/>
        <w:adjustRightInd w:val="0"/>
        <w:snapToGrid w:val="0"/>
        <w:spacing w:line="400" w:lineRule="exact"/>
        <w:rPr>
          <w:rFonts w:hint="eastAsia" w:ascii="仿宋_GB2312" w:hAnsi="仿宋_GB2312" w:eastAsia="仿宋_GB2312" w:cs="仿宋_GB2312"/>
          <w:color w:val="auto"/>
          <w:sz w:val="24"/>
          <w:szCs w:val="24"/>
          <w:highlight w:val="none"/>
        </w:rPr>
      </w:pPr>
    </w:p>
    <w:p w14:paraId="63ED3E34">
      <w:pPr>
        <w:pageBreakBefore w:val="0"/>
        <w:kinsoku/>
        <w:wordWrap w:val="0"/>
        <w:overflowPunct/>
        <w:topLinePunct w:val="0"/>
        <w:bidi w:val="0"/>
        <w:adjustRightInd w:val="0"/>
        <w:snapToGrid w:val="0"/>
        <w:spacing w:line="400" w:lineRule="exact"/>
        <w:jc w:val="left"/>
        <w:rPr>
          <w:rFonts w:hint="eastAsia" w:ascii="仿宋_GB2312" w:hAnsi="仿宋_GB2312" w:eastAsia="仿宋_GB2312" w:cs="仿宋_GB2312"/>
          <w:color w:val="auto"/>
          <w:kern w:val="0"/>
          <w:sz w:val="24"/>
          <w:szCs w:val="24"/>
          <w:highlight w:val="none"/>
        </w:rPr>
      </w:pPr>
    </w:p>
    <w:p w14:paraId="3054BCD0">
      <w:pPr>
        <w:rPr>
          <w:rFonts w:hint="eastAsia" w:ascii="仿宋_GB2312" w:hAnsi="仿宋_GB2312" w:eastAsia="仿宋_GB2312" w:cs="仿宋_GB2312"/>
          <w:color w:val="auto"/>
          <w:sz w:val="24"/>
          <w:szCs w:val="24"/>
          <w:highlight w:val="none"/>
        </w:rPr>
      </w:pPr>
      <w:bookmarkStart w:id="1838" w:name="_Toc9646"/>
      <w:r>
        <w:rPr>
          <w:rFonts w:hint="eastAsia" w:ascii="仿宋_GB2312" w:hAnsi="仿宋_GB2312" w:eastAsia="仿宋_GB2312" w:cs="仿宋_GB2312"/>
          <w:color w:val="auto"/>
          <w:sz w:val="24"/>
          <w:szCs w:val="24"/>
          <w:highlight w:val="none"/>
        </w:rPr>
        <w:br w:type="page"/>
      </w:r>
    </w:p>
    <w:p w14:paraId="1B171400">
      <w:pPr>
        <w:pStyle w:val="5"/>
        <w:pageBreakBefore w:val="0"/>
        <w:kinsoku/>
        <w:overflowPunct/>
        <w:topLinePunct w:val="0"/>
        <w:bidi w:val="0"/>
        <w:adjustRightInd w:val="0"/>
        <w:snapToGrid w:val="0"/>
        <w:spacing w:before="0" w:after="0" w:line="400" w:lineRule="exact"/>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附件2</w:t>
      </w:r>
      <w:bookmarkEnd w:id="1838"/>
    </w:p>
    <w:p w14:paraId="6B5F3F6E">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ajorEastAsia" w:hAnsiTheme="majorEastAsia" w:eastAsiaTheme="majorEastAsia" w:cstheme="majorEastAsia"/>
          <w:color w:val="auto"/>
          <w:sz w:val="44"/>
          <w:szCs w:val="44"/>
          <w:highlight w:val="none"/>
        </w:rPr>
      </w:pPr>
      <w:r>
        <w:rPr>
          <w:rFonts w:hint="eastAsia" w:asciiTheme="majorEastAsia" w:hAnsiTheme="majorEastAsia" w:eastAsiaTheme="majorEastAsia" w:cstheme="majorEastAsia"/>
          <w:color w:val="auto"/>
          <w:sz w:val="44"/>
          <w:szCs w:val="44"/>
          <w:highlight w:val="none"/>
        </w:rPr>
        <w:t>法定代表人授权委托书</w:t>
      </w:r>
    </w:p>
    <w:p w14:paraId="6A302AF4">
      <w:pPr>
        <w:pageBreakBefore w:val="0"/>
        <w:widowControl w:val="0"/>
        <w:kinsoku/>
        <w:wordWrap/>
        <w:overflowPunct/>
        <w:topLinePunct w:val="0"/>
        <w:autoSpaceDE/>
        <w:autoSpaceDN/>
        <w:bidi w:val="0"/>
        <w:adjustRightInd w:val="0"/>
        <w:snapToGrid w:val="0"/>
        <w:spacing w:before="0" w:after="0" w:line="400" w:lineRule="exact"/>
        <w:textAlignment w:val="auto"/>
        <w:outlineLvl w:val="9"/>
        <w:rPr>
          <w:rFonts w:hint="eastAsia"/>
          <w:color w:val="auto"/>
          <w:highlight w:val="none"/>
        </w:rPr>
      </w:pPr>
    </w:p>
    <w:p w14:paraId="720EE535">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兹授权</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为我方委托代理人，其权限是：</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工程合同谈判、合同签署事宜及工程款项指定收款人。</w:t>
      </w:r>
    </w:p>
    <w:p w14:paraId="01F0D40C">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特此授权。</w:t>
      </w:r>
    </w:p>
    <w:p w14:paraId="55C027B2">
      <w:pPr>
        <w:pageBreakBefore w:val="0"/>
        <w:kinsoku/>
        <w:overflowPunct/>
        <w:topLinePunct w:val="0"/>
        <w:bidi w:val="0"/>
        <w:adjustRightInd w:val="0"/>
        <w:snapToGrid w:val="0"/>
        <w:spacing w:line="400" w:lineRule="exact"/>
        <w:ind w:firstLine="480" w:firstLineChars="200"/>
        <w:rPr>
          <w:rFonts w:hint="eastAsia" w:ascii="仿宋_GB2312" w:hAnsi="仿宋_GB2312" w:eastAsia="仿宋_GB2312" w:cs="仿宋_GB2312"/>
          <w:color w:val="auto"/>
          <w:sz w:val="24"/>
          <w:szCs w:val="24"/>
          <w:highlight w:val="none"/>
        </w:rPr>
      </w:pPr>
    </w:p>
    <w:p w14:paraId="66EEB71E">
      <w:pPr>
        <w:pageBreakBefore w:val="0"/>
        <w:kinsoku/>
        <w:overflowPunct/>
        <w:topLinePunct w:val="0"/>
        <w:bidi w:val="0"/>
        <w:adjustRightInd w:val="0"/>
        <w:snapToGrid w:val="0"/>
        <w:spacing w:line="400" w:lineRule="exact"/>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附：代理人性别：</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身份证号码：</w:t>
      </w:r>
      <w:r>
        <w:rPr>
          <w:rFonts w:hint="eastAsia" w:ascii="仿宋_GB2312" w:hAnsi="仿宋_GB2312" w:eastAsia="仿宋_GB2312" w:cs="仿宋_GB2312"/>
          <w:color w:val="auto"/>
          <w:sz w:val="24"/>
          <w:szCs w:val="24"/>
          <w:highlight w:val="none"/>
          <w:u w:val="single"/>
        </w:rPr>
        <w:t xml:space="preserve">                               </w:t>
      </w:r>
    </w:p>
    <w:p w14:paraId="6EDBBB46">
      <w:pPr>
        <w:pageBreakBefore w:val="0"/>
        <w:kinsoku/>
        <w:overflowPunct/>
        <w:topLinePunct w:val="0"/>
        <w:bidi w:val="0"/>
        <w:adjustRightInd w:val="0"/>
        <w:snapToGrid w:val="0"/>
        <w:spacing w:line="40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（附委托代理人身份证复印件）</w:t>
      </w:r>
    </w:p>
    <w:p w14:paraId="5987D846">
      <w:pPr>
        <w:pageBreakBefore w:val="0"/>
        <w:kinsoku/>
        <w:overflowPunct/>
        <w:topLinePunct w:val="0"/>
        <w:bidi w:val="0"/>
        <w:adjustRightInd w:val="0"/>
        <w:snapToGrid w:val="0"/>
        <w:spacing w:line="400" w:lineRule="exact"/>
        <w:rPr>
          <w:rFonts w:hint="eastAsia" w:ascii="仿宋_GB2312" w:hAnsi="仿宋_GB2312" w:eastAsia="仿宋_GB2312" w:cs="仿宋_GB2312"/>
          <w:color w:val="auto"/>
          <w:sz w:val="24"/>
          <w:szCs w:val="24"/>
          <w:highlight w:val="none"/>
        </w:rPr>
      </w:pPr>
    </w:p>
    <w:p w14:paraId="42B697A3">
      <w:pPr>
        <w:pageBreakBefore w:val="0"/>
        <w:kinsoku/>
        <w:overflowPunct/>
        <w:topLinePunct w:val="0"/>
        <w:bidi w:val="0"/>
        <w:adjustRightInd w:val="0"/>
        <w:snapToGrid w:val="0"/>
        <w:spacing w:line="400" w:lineRule="exact"/>
        <w:ind w:firstLine="3600" w:firstLineChars="1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法定代表人：（签名或盖章）</w:t>
      </w:r>
    </w:p>
    <w:p w14:paraId="25EDEC05">
      <w:pPr>
        <w:pageBreakBefore w:val="0"/>
        <w:kinsoku/>
        <w:overflowPunct/>
        <w:topLinePunct w:val="0"/>
        <w:bidi w:val="0"/>
        <w:adjustRightInd w:val="0"/>
        <w:snapToGrid w:val="0"/>
        <w:spacing w:line="400" w:lineRule="exact"/>
        <w:ind w:firstLine="3600" w:firstLineChars="1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授权单位</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（盖章）</w:t>
      </w:r>
    </w:p>
    <w:p w14:paraId="1AAF336D">
      <w:pPr>
        <w:pageBreakBefore w:val="0"/>
        <w:kinsoku/>
        <w:overflowPunct/>
        <w:topLinePunct w:val="0"/>
        <w:bidi w:val="0"/>
        <w:adjustRightInd w:val="0"/>
        <w:snapToGrid w:val="0"/>
        <w:spacing w:line="400" w:lineRule="exact"/>
        <w:ind w:firstLine="3600" w:firstLineChars="1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签发日期：         年      月      日</w:t>
      </w:r>
    </w:p>
    <w:tbl>
      <w:tblPr>
        <w:tblStyle w:val="19"/>
        <w:tblpPr w:leftFromText="180" w:rightFromText="180" w:vertAnchor="text" w:horzAnchor="page" w:tblpX="3245"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330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5328" w:type="dxa"/>
            <w:vAlign w:val="center"/>
          </w:tcPr>
          <w:p w14:paraId="141C0E53">
            <w:pPr>
              <w:snapToGrid w:val="0"/>
              <w:spacing w:line="380" w:lineRule="exact"/>
              <w:jc w:val="center"/>
              <w:rPr>
                <w:color w:val="auto"/>
                <w:sz w:val="24"/>
                <w:highlight w:val="none"/>
              </w:rPr>
            </w:pPr>
            <w:r>
              <w:rPr>
                <w:rFonts w:hint="eastAsia"/>
                <w:color w:val="auto"/>
                <w:sz w:val="24"/>
                <w:highlight w:val="none"/>
              </w:rPr>
              <w:t>受委托人身份证正面</w:t>
            </w:r>
          </w:p>
        </w:tc>
      </w:tr>
      <w:tr w14:paraId="4BA5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5328" w:type="dxa"/>
            <w:vAlign w:val="center"/>
          </w:tcPr>
          <w:p w14:paraId="283C1270">
            <w:pPr>
              <w:snapToGrid w:val="0"/>
              <w:spacing w:line="380" w:lineRule="exact"/>
              <w:jc w:val="center"/>
              <w:rPr>
                <w:color w:val="auto"/>
                <w:sz w:val="24"/>
                <w:highlight w:val="none"/>
              </w:rPr>
            </w:pPr>
            <w:r>
              <w:rPr>
                <w:rFonts w:hint="eastAsia"/>
                <w:color w:val="auto"/>
                <w:sz w:val="24"/>
                <w:highlight w:val="none"/>
              </w:rPr>
              <w:t>受委托人身份证反面</w:t>
            </w:r>
          </w:p>
        </w:tc>
      </w:tr>
    </w:tbl>
    <w:p w14:paraId="62C8B2A9">
      <w:pPr>
        <w:snapToGrid w:val="0"/>
        <w:spacing w:line="380" w:lineRule="exact"/>
        <w:rPr>
          <w:color w:val="auto"/>
          <w:sz w:val="24"/>
          <w:highlight w:val="none"/>
        </w:rPr>
      </w:pPr>
    </w:p>
    <w:p w14:paraId="4C845854">
      <w:pPr>
        <w:rPr>
          <w:rFonts w:ascii="Times New Roman" w:hAnsi="Times New Roman"/>
          <w:color w:val="auto"/>
          <w:sz w:val="24"/>
          <w:szCs w:val="24"/>
          <w:highlight w:val="none"/>
        </w:rPr>
      </w:pPr>
      <w:bookmarkStart w:id="1839" w:name="_Toc3834"/>
      <w:r>
        <w:rPr>
          <w:rFonts w:ascii="Times New Roman" w:hAnsi="Times New Roman"/>
          <w:color w:val="auto"/>
          <w:sz w:val="24"/>
          <w:szCs w:val="24"/>
          <w:highlight w:val="none"/>
        </w:rPr>
        <w:br w:type="page"/>
      </w:r>
    </w:p>
    <w:p w14:paraId="481A6B3F">
      <w:pPr>
        <w:pStyle w:val="5"/>
        <w:spacing w:before="120" w:beforeLines="50" w:after="120" w:afterLines="50" w:line="4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附件3</w:t>
      </w:r>
      <w:bookmarkEnd w:id="1839"/>
    </w:p>
    <w:p w14:paraId="63E50254">
      <w:pPr>
        <w:spacing w:after="240" w:afterLines="100" w:line="500" w:lineRule="exact"/>
        <w:jc w:val="center"/>
        <w:rPr>
          <w:rFonts w:ascii="黑体" w:hAnsi="黑体" w:eastAsia="黑体"/>
          <w:color w:val="auto"/>
          <w:sz w:val="44"/>
          <w:szCs w:val="44"/>
          <w:highlight w:val="none"/>
        </w:rPr>
      </w:pPr>
      <w:r>
        <w:rPr>
          <w:rFonts w:hint="eastAsia" w:asciiTheme="majorEastAsia" w:hAnsiTheme="majorEastAsia" w:eastAsiaTheme="majorEastAsia" w:cstheme="majorEastAsia"/>
          <w:color w:val="auto"/>
          <w:sz w:val="44"/>
          <w:szCs w:val="44"/>
          <w:highlight w:val="none"/>
        </w:rPr>
        <w:t>承诺书</w:t>
      </w:r>
    </w:p>
    <w:p w14:paraId="4A6F4C0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我司已对本项目的施工条件和合同条款等有了充分了解，现对承包人（甲方）做出如下承诺：</w:t>
      </w:r>
    </w:p>
    <w:p w14:paraId="05F58E3F">
      <w:pPr>
        <w:keepNext w:val="0"/>
        <w:keepLines w:val="0"/>
        <w:pageBreakBefore w:val="0"/>
        <w:widowControl w:val="0"/>
        <w:tabs>
          <w:tab w:val="left" w:pos="720"/>
        </w:tabs>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一、</w:t>
      </w:r>
      <w:r>
        <w:rPr>
          <w:rFonts w:hint="eastAsia" w:ascii="黑体" w:hAnsi="黑体" w:eastAsia="黑体" w:cs="黑体"/>
          <w:b w:val="0"/>
          <w:bCs w:val="0"/>
          <w:color w:val="auto"/>
          <w:sz w:val="24"/>
          <w:szCs w:val="24"/>
          <w:highlight w:val="none"/>
        </w:rPr>
        <w:t>现场条件充分了解承诺</w:t>
      </w:r>
    </w:p>
    <w:p w14:paraId="535C175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在合同签订前完成了踏勘现场的工作，并充分了解现场条件。我司理解承包人（甲方）向分包人（乙方）提供的有关现场的数据和资料，是承包人（甲方）现有的能被分包人（乙方）利用的资料，承包人（甲方）对分包人（乙方）做出的任何推论、理解和结论均不负责任。我司承诺不会因现场条件的阻碍而向承包人（甲方）索赔工期或费用，并保证不因现场条件的阻碍而影响合同承诺的竣工日期。</w:t>
      </w:r>
    </w:p>
    <w:p w14:paraId="7E7F2CCF">
      <w:pPr>
        <w:keepNext w:val="0"/>
        <w:keepLines w:val="0"/>
        <w:pageBreakBefore w:val="0"/>
        <w:widowControl w:val="0"/>
        <w:tabs>
          <w:tab w:val="left" w:pos="720"/>
        </w:tabs>
        <w:kinsoku/>
        <w:wordWrap/>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bookmarkStart w:id="1840" w:name="_Toc170636961"/>
      <w:bookmarkStart w:id="1841" w:name="_Toc123534414"/>
      <w:bookmarkStart w:id="1842" w:name="_Toc154973354"/>
      <w:bookmarkStart w:id="1843" w:name="_Toc228765209"/>
      <w:bookmarkStart w:id="1844" w:name="_Toc115711112"/>
      <w:bookmarkStart w:id="1845" w:name="_Toc170891230"/>
      <w:bookmarkStart w:id="1846" w:name="_Toc170636642"/>
      <w:bookmarkStart w:id="1847" w:name="_Toc170637712"/>
      <w:r>
        <w:rPr>
          <w:rFonts w:hint="eastAsia" w:ascii="黑体" w:hAnsi="黑体" w:eastAsia="黑体" w:cs="黑体"/>
          <w:b w:val="0"/>
          <w:bCs w:val="0"/>
          <w:color w:val="auto"/>
          <w:sz w:val="24"/>
          <w:szCs w:val="24"/>
          <w:highlight w:val="none"/>
          <w:lang w:eastAsia="zh-CN"/>
        </w:rPr>
        <w:t>二、</w:t>
      </w:r>
      <w:r>
        <w:rPr>
          <w:rFonts w:hint="eastAsia" w:ascii="黑体" w:hAnsi="黑体" w:eastAsia="黑体" w:cs="黑体"/>
          <w:b w:val="0"/>
          <w:bCs w:val="0"/>
          <w:color w:val="auto"/>
          <w:sz w:val="24"/>
          <w:szCs w:val="24"/>
          <w:highlight w:val="none"/>
        </w:rPr>
        <w:t>工期承诺</w:t>
      </w:r>
      <w:bookmarkEnd w:id="1840"/>
      <w:bookmarkEnd w:id="1841"/>
      <w:bookmarkEnd w:id="1842"/>
      <w:bookmarkEnd w:id="1843"/>
      <w:bookmarkEnd w:id="1844"/>
      <w:bookmarkEnd w:id="1845"/>
      <w:bookmarkEnd w:id="1846"/>
      <w:bookmarkEnd w:id="1847"/>
    </w:p>
    <w:p w14:paraId="077C190B">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充分了解本项目严格的工期要求。我司保证尽一切力量确保合同承诺的节点工期及竣工日期。在施工过程中，若本项目存在比正常项目更多的阻碍工期情况出现，我司承诺仍严格按合同条款的内容和规定执行。我司承诺若由于我司原因造成的工期延误或工作延误，将无条件地按合同中的违约条款执行并承担违约责任。</w:t>
      </w:r>
    </w:p>
    <w:p w14:paraId="2DF4A450">
      <w:pPr>
        <w:keepNext w:val="0"/>
        <w:keepLines w:val="0"/>
        <w:pageBreakBefore w:val="0"/>
        <w:widowControl w:val="0"/>
        <w:tabs>
          <w:tab w:val="left" w:pos="720"/>
        </w:tabs>
        <w:kinsoku/>
        <w:wordWrap/>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bookmarkStart w:id="1848" w:name="_Toc123534417"/>
      <w:bookmarkStart w:id="1849" w:name="_Toc170636645"/>
      <w:bookmarkStart w:id="1850" w:name="_Toc170636964"/>
      <w:bookmarkStart w:id="1851" w:name="_Toc154973357"/>
      <w:bookmarkStart w:id="1852" w:name="_Toc170637715"/>
      <w:bookmarkStart w:id="1853" w:name="_Toc170891233"/>
      <w:bookmarkStart w:id="1854" w:name="_Toc115711114"/>
      <w:bookmarkStart w:id="1855" w:name="_Toc228765212"/>
      <w:r>
        <w:rPr>
          <w:rFonts w:hint="eastAsia" w:ascii="黑体" w:hAnsi="黑体" w:eastAsia="黑体" w:cs="黑体"/>
          <w:b w:val="0"/>
          <w:bCs w:val="0"/>
          <w:color w:val="auto"/>
          <w:sz w:val="24"/>
          <w:szCs w:val="24"/>
          <w:highlight w:val="none"/>
          <w:lang w:eastAsia="zh-CN"/>
        </w:rPr>
        <w:t>三、</w:t>
      </w:r>
      <w:r>
        <w:rPr>
          <w:rFonts w:hint="eastAsia" w:ascii="黑体" w:hAnsi="黑体" w:eastAsia="黑体" w:cs="黑体"/>
          <w:b w:val="0"/>
          <w:bCs w:val="0"/>
          <w:color w:val="auto"/>
          <w:sz w:val="24"/>
          <w:szCs w:val="24"/>
          <w:highlight w:val="none"/>
        </w:rPr>
        <w:t>资源和资金投入承诺</w:t>
      </w:r>
      <w:bookmarkEnd w:id="1848"/>
      <w:bookmarkEnd w:id="1849"/>
      <w:bookmarkEnd w:id="1850"/>
      <w:bookmarkEnd w:id="1851"/>
      <w:bookmarkEnd w:id="1852"/>
      <w:bookmarkEnd w:id="1853"/>
      <w:bookmarkEnd w:id="1854"/>
      <w:bookmarkEnd w:id="1855"/>
    </w:p>
    <w:p w14:paraId="0401CC10">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充分了解本项目严格的资源和资金投入要求。并充分了解到本工程可能存在的不能实现流水施工而增加的投入要求。我司保证准备充足的资源和资金，按合同承诺的工期投入到位。若因资源和资金未按合同承诺的时间投入或供应不充分，影响了施工进度和竣工日期，我司愿承担有关违约责任。</w:t>
      </w:r>
    </w:p>
    <w:p w14:paraId="15E222D4">
      <w:pPr>
        <w:keepNext w:val="0"/>
        <w:keepLines w:val="0"/>
        <w:pageBreakBefore w:val="0"/>
        <w:widowControl w:val="0"/>
        <w:tabs>
          <w:tab w:val="left" w:pos="720"/>
        </w:tabs>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四、</w:t>
      </w:r>
      <w:r>
        <w:rPr>
          <w:rFonts w:hint="eastAsia" w:ascii="黑体" w:hAnsi="黑体" w:eastAsia="黑体" w:cs="黑体"/>
          <w:b w:val="0"/>
          <w:bCs w:val="0"/>
          <w:color w:val="auto"/>
          <w:sz w:val="24"/>
          <w:szCs w:val="24"/>
          <w:highlight w:val="none"/>
        </w:rPr>
        <w:t>施工组织设计承诺</w:t>
      </w:r>
    </w:p>
    <w:p w14:paraId="471F41F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我司已充分了解本工程复杂性、工期紧迫性、项目重要性，我司承诺将按承包人（甲方）制定的施工组织设计方案实施，并声明方案所要求的一切相关措施费用已包含在合同总价内。</w:t>
      </w:r>
    </w:p>
    <w:p w14:paraId="5723D75C">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五、</w:t>
      </w:r>
      <w:r>
        <w:rPr>
          <w:rFonts w:hint="eastAsia" w:ascii="黑体" w:hAnsi="黑体" w:eastAsia="黑体" w:cs="黑体"/>
          <w:b w:val="0"/>
          <w:bCs w:val="0"/>
          <w:color w:val="auto"/>
          <w:sz w:val="24"/>
          <w:szCs w:val="24"/>
          <w:highlight w:val="none"/>
        </w:rPr>
        <w:t>不拖欠劳务人员工资承诺</w:t>
      </w:r>
    </w:p>
    <w:p w14:paraId="0E2A7EC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已充分了解本工程的付款条款和付款条件，并清楚发包人或承包人（甲方）有不按合同比例付款的可能。我司承诺无论是否按时或按比例收取承包人（甲方）工程款，也将预备一定的自有资金确保劳务人员工资的发放，保证不拖欠劳务人员工资。并保证不以非正常手段向承包人（甲方）或发包人进行追讨，包括上访、拉横幅、围堵等，保证承包人（甲方）不因任何劳务人员工资事宜而受到任何处罚、诉讼或罚款。如发生上述情况，我司承担违约责任，直至被清退出场，并为此负法律责任。</w:t>
      </w:r>
    </w:p>
    <w:p w14:paraId="2C279512">
      <w:pPr>
        <w:pageBreakBefore w:val="0"/>
        <w:tabs>
          <w:tab w:val="left" w:pos="720"/>
        </w:tabs>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六、</w:t>
      </w:r>
      <w:r>
        <w:rPr>
          <w:rFonts w:hint="eastAsia" w:ascii="黑体" w:hAnsi="黑体" w:eastAsia="黑体" w:cs="黑体"/>
          <w:b w:val="0"/>
          <w:bCs w:val="0"/>
          <w:color w:val="auto"/>
          <w:sz w:val="24"/>
          <w:szCs w:val="24"/>
          <w:highlight w:val="none"/>
        </w:rPr>
        <w:t>中途退场和违约解除合同承诺</w:t>
      </w:r>
    </w:p>
    <w:p w14:paraId="0886A4C6">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承诺严格遵守合同的规定，若工程质量、安全、工期达不到承包人（甲方）要求符合解除合同的约定，我司承诺承包人（甲方）可以无条件立刻解除合同；若由于我司的原因造成工程停止施工或中途退场，须得到承包人（甲方）的同意。在承包人（甲方）同意解除合同后，我司所有人员、设备立刻无条件在7天内退场，在3天内和新进场单位对已进场材料协商购买，若协商不成功则无条件撤离现场，在7天内无条件完成和新进场单位的交接，无条件配合本工程有关资料和竣工验收的工作。</w:t>
      </w:r>
    </w:p>
    <w:p w14:paraId="6BC7468F">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承包人（甲方）因此而造成的一切损失（包括但不限于施工单价提高、赶工费用、进退场费、公证费、搬迁费、律师费等）及合同约定的相应处罚全部由我司承担。</w:t>
      </w:r>
    </w:p>
    <w:p w14:paraId="6BF8CD29">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如我司违反上述约定，我司遗留在项目范围内的所有设备、物品均视为我司自愿抛弃，承包人可任意自主处置。</w:t>
      </w:r>
    </w:p>
    <w:p w14:paraId="62F553C7">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我司对已完成内容承担保修责任。</w:t>
      </w:r>
    </w:p>
    <w:p w14:paraId="397A0D91">
      <w:pPr>
        <w:pageBreakBefore w:val="0"/>
        <w:tabs>
          <w:tab w:val="left" w:pos="720"/>
        </w:tabs>
        <w:kinsoku/>
        <w:overflowPunct/>
        <w:topLinePunct w:val="0"/>
        <w:autoSpaceDE/>
        <w:autoSpaceDN/>
        <w:bidi w:val="0"/>
        <w:adjustRightInd w:val="0"/>
        <w:snapToGrid w:val="0"/>
        <w:spacing w:line="400" w:lineRule="exact"/>
        <w:ind w:firstLine="480" w:firstLineChars="200"/>
        <w:rPr>
          <w:rFonts w:hint="eastAsia" w:ascii="黑体" w:hAnsi="黑体" w:eastAsia="黑体" w:cs="黑体"/>
          <w:b w:val="0"/>
          <w:bCs w:val="0"/>
          <w:color w:val="auto"/>
          <w:sz w:val="24"/>
          <w:szCs w:val="24"/>
          <w:highlight w:val="none"/>
        </w:rPr>
      </w:pPr>
      <w:bookmarkStart w:id="1856" w:name="_Toc228765226"/>
      <w:r>
        <w:rPr>
          <w:rFonts w:hint="eastAsia" w:ascii="黑体" w:hAnsi="黑体" w:eastAsia="黑体" w:cs="黑体"/>
          <w:b w:val="0"/>
          <w:bCs w:val="0"/>
          <w:color w:val="auto"/>
          <w:sz w:val="24"/>
          <w:szCs w:val="24"/>
          <w:highlight w:val="none"/>
          <w:lang w:eastAsia="zh-CN"/>
        </w:rPr>
        <w:t>七、</w:t>
      </w:r>
      <w:r>
        <w:rPr>
          <w:rFonts w:hint="eastAsia" w:ascii="黑体" w:hAnsi="黑体" w:eastAsia="黑体" w:cs="黑体"/>
          <w:b w:val="0"/>
          <w:bCs w:val="0"/>
          <w:color w:val="auto"/>
          <w:sz w:val="24"/>
          <w:szCs w:val="24"/>
          <w:highlight w:val="none"/>
        </w:rPr>
        <w:t>同意对工程范围和内容调整的承诺</w:t>
      </w:r>
      <w:bookmarkEnd w:id="1856"/>
    </w:p>
    <w:p w14:paraId="2DC085A9">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我司承诺，当承包人（甲方）认为我司进度或质量达不到承包人（甲方）或发包人要求，有必要对承包范围或内容进行局部调整时，我司同意按承包人（甲方）要求进行调整，并全力配合新班组的进场和施工，合同总造价按实调整。否则，由此给承包人（甲方）造成的损失和困难，我司同意承担全部责任及相关费用。</w:t>
      </w:r>
    </w:p>
    <w:p w14:paraId="010EA282">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p>
    <w:p w14:paraId="33FEBFD3">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p>
    <w:p w14:paraId="6AB11F2B">
      <w:pPr>
        <w:pageBreakBefore w:val="0"/>
        <w:widowControl/>
        <w:kinsoku/>
        <w:wordWrap w:val="0"/>
        <w:overflowPunct/>
        <w:topLinePunct w:val="0"/>
        <w:autoSpaceDE/>
        <w:autoSpaceDN/>
        <w:bidi w:val="0"/>
        <w:adjustRightInd w:val="0"/>
        <w:snapToGrid w:val="0"/>
        <w:spacing w:before="120" w:beforeLines="50" w:after="120" w:afterLines="50" w:line="400" w:lineRule="exact"/>
        <w:ind w:firstLine="480" w:firstLineChars="200"/>
        <w:jc w:val="righ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承诺方： （盖章）</w:t>
      </w:r>
      <w:r>
        <w:rPr>
          <w:rFonts w:hint="eastAsia" w:ascii="仿宋_GB2312" w:hAnsi="仿宋_GB2312" w:eastAsia="仿宋_GB2312" w:cs="仿宋_GB2312"/>
          <w:b w:val="0"/>
          <w:bCs w:val="0"/>
          <w:color w:val="auto"/>
          <w:sz w:val="24"/>
          <w:szCs w:val="24"/>
          <w:highlight w:val="none"/>
          <w:lang w:val="en-US" w:eastAsia="zh-CN"/>
        </w:rPr>
        <w:t xml:space="preserve">                    </w:t>
      </w:r>
    </w:p>
    <w:p w14:paraId="30FA5661">
      <w:pPr>
        <w:pageBreakBefore w:val="0"/>
        <w:widowControl/>
        <w:kinsoku/>
        <w:wordWrap w:val="0"/>
        <w:overflowPunct/>
        <w:topLinePunct w:val="0"/>
        <w:autoSpaceDE/>
        <w:autoSpaceDN/>
        <w:bidi w:val="0"/>
        <w:adjustRightInd w:val="0"/>
        <w:snapToGrid w:val="0"/>
        <w:spacing w:before="120" w:beforeLines="50" w:after="120" w:afterLines="50" w:line="400" w:lineRule="exact"/>
        <w:ind w:firstLine="480" w:firstLineChars="200"/>
        <w:jc w:val="righ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法定代表人或授权代理人(签名)：</w:t>
      </w:r>
      <w:r>
        <w:rPr>
          <w:rFonts w:hint="eastAsia" w:ascii="仿宋_GB2312" w:hAnsi="仿宋_GB2312" w:eastAsia="仿宋_GB2312" w:cs="仿宋_GB2312"/>
          <w:b w:val="0"/>
          <w:bCs w:val="0"/>
          <w:color w:val="auto"/>
          <w:sz w:val="24"/>
          <w:szCs w:val="24"/>
          <w:highlight w:val="none"/>
          <w:lang w:val="en-US" w:eastAsia="zh-CN"/>
        </w:rPr>
        <w:t xml:space="preserve">           </w:t>
      </w:r>
    </w:p>
    <w:p w14:paraId="3A7F0294">
      <w:pPr>
        <w:pageBreakBefore w:val="0"/>
        <w:kinsoku/>
        <w:wordWrap w:val="0"/>
        <w:overflowPunct/>
        <w:topLinePunct w:val="0"/>
        <w:autoSpaceDE/>
        <w:autoSpaceDN/>
        <w:bidi w:val="0"/>
        <w:adjustRightInd w:val="0"/>
        <w:snapToGrid w:val="0"/>
        <w:spacing w:before="120" w:beforeLines="50" w:after="120" w:afterLines="50" w:line="400" w:lineRule="exact"/>
        <w:ind w:firstLine="480" w:firstLineChars="200"/>
        <w:jc w:val="right"/>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日  期：   年    月    日</w:t>
      </w:r>
      <w:r>
        <w:rPr>
          <w:rFonts w:hint="eastAsia" w:ascii="仿宋_GB2312" w:hAnsi="仿宋_GB2312" w:eastAsia="仿宋_GB2312" w:cs="仿宋_GB2312"/>
          <w:b w:val="0"/>
          <w:bCs w:val="0"/>
          <w:color w:val="auto"/>
          <w:sz w:val="24"/>
          <w:szCs w:val="24"/>
          <w:highlight w:val="none"/>
          <w:lang w:val="en-US" w:eastAsia="zh-CN"/>
        </w:rPr>
        <w:t xml:space="preserve">        </w:t>
      </w:r>
    </w:p>
    <w:p w14:paraId="50969273">
      <w:pPr>
        <w:pageBreakBefore w:val="0"/>
        <w:kinsoku/>
        <w:overflowPunct/>
        <w:topLinePunct w:val="0"/>
        <w:autoSpaceDE/>
        <w:autoSpaceDN/>
        <w:bidi w:val="0"/>
        <w:adjustRightInd w:val="0"/>
        <w:snapToGrid w:val="0"/>
        <w:spacing w:line="400" w:lineRule="exact"/>
        <w:ind w:firstLine="600" w:firstLineChars="200"/>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color w:val="auto"/>
          <w:sz w:val="30"/>
          <w:szCs w:val="30"/>
          <w:highlight w:val="none"/>
        </w:rPr>
        <w:br w:type="page"/>
      </w:r>
    </w:p>
    <w:p w14:paraId="0739A816">
      <w:pPr>
        <w:pStyle w:val="7"/>
        <w:pageBreakBefore w:val="0"/>
        <w:kinsoku/>
        <w:overflowPunct/>
        <w:topLinePunct w:val="0"/>
        <w:autoSpaceDE/>
        <w:autoSpaceDN/>
        <w:bidi w:val="0"/>
        <w:adjustRightInd w:val="0"/>
        <w:snapToGrid w:val="0"/>
        <w:spacing w:line="400" w:lineRule="exact"/>
        <w:ind w:firstLine="640" w:firstLineChars="200"/>
        <w:rPr>
          <w:rFonts w:hint="eastAsia" w:ascii="仿宋_GB2312" w:hAnsi="仿宋_GB2312" w:eastAsia="仿宋_GB2312" w:cs="仿宋_GB2312"/>
          <w:b w:val="0"/>
          <w:bCs w:val="0"/>
          <w:color w:val="auto"/>
          <w:highlight w:val="none"/>
        </w:rPr>
        <w:sectPr>
          <w:footerReference r:id="rId7" w:type="default"/>
          <w:pgSz w:w="11906" w:h="16838"/>
          <w:pgMar w:top="2098" w:right="1474" w:bottom="1984" w:left="1587" w:header="567" w:footer="567" w:gutter="0"/>
          <w:pgNumType w:fmt="numberInDash"/>
          <w:cols w:space="720" w:num="1"/>
          <w:docGrid w:linePitch="312" w:charSpace="0"/>
        </w:sectPr>
      </w:pPr>
    </w:p>
    <w:p w14:paraId="743C205E">
      <w:pPr>
        <w:pStyle w:val="5"/>
        <w:pageBreakBefore w:val="0"/>
        <w:kinsoku/>
        <w:overflowPunct/>
        <w:topLinePunct w:val="0"/>
        <w:autoSpaceDE/>
        <w:autoSpaceDN/>
        <w:bidi w:val="0"/>
        <w:adjustRightInd w:val="0"/>
        <w:snapToGrid w:val="0"/>
        <w:spacing w:before="120" w:beforeLines="50" w:after="120" w:afterLines="50" w:line="400" w:lineRule="exact"/>
        <w:rPr>
          <w:rFonts w:hint="eastAsia" w:ascii="黑体" w:hAnsi="黑体" w:eastAsia="黑体" w:cs="黑体"/>
          <w:b w:val="0"/>
          <w:bCs w:val="0"/>
          <w:color w:val="auto"/>
          <w:sz w:val="32"/>
          <w:szCs w:val="32"/>
          <w:highlight w:val="none"/>
        </w:rPr>
      </w:pPr>
      <w:bookmarkStart w:id="1857" w:name="_Toc17820"/>
      <w:r>
        <w:rPr>
          <w:rFonts w:hint="eastAsia" w:ascii="黑体" w:hAnsi="黑体" w:eastAsia="黑体" w:cs="黑体"/>
          <w:b w:val="0"/>
          <w:bCs w:val="0"/>
          <w:color w:val="auto"/>
          <w:sz w:val="32"/>
          <w:szCs w:val="32"/>
          <w:highlight w:val="none"/>
        </w:rPr>
        <w:t>附</w:t>
      </w:r>
      <w:bookmarkStart w:id="1858" w:name="_Toc296944565"/>
      <w:bookmarkStart w:id="1859" w:name="_Toc296346727"/>
      <w:bookmarkStart w:id="1860" w:name="_Toc296347225"/>
      <w:bookmarkStart w:id="1861" w:name="_Toc267261693"/>
      <w:bookmarkStart w:id="1862" w:name="_Toc296503226"/>
      <w:bookmarkStart w:id="1863" w:name="_Toc296891054"/>
      <w:bookmarkStart w:id="1864" w:name="_Toc296891266"/>
      <w:r>
        <w:rPr>
          <w:rFonts w:hint="eastAsia" w:ascii="黑体" w:hAnsi="黑体" w:eastAsia="黑体" w:cs="黑体"/>
          <w:b w:val="0"/>
          <w:bCs w:val="0"/>
          <w:color w:val="auto"/>
          <w:sz w:val="32"/>
          <w:szCs w:val="32"/>
          <w:highlight w:val="none"/>
        </w:rPr>
        <w:t>件4</w:t>
      </w:r>
      <w:bookmarkEnd w:id="1857"/>
      <w:bookmarkEnd w:id="1858"/>
      <w:bookmarkEnd w:id="1859"/>
      <w:bookmarkEnd w:id="1860"/>
      <w:bookmarkEnd w:id="1861"/>
      <w:bookmarkEnd w:id="1862"/>
      <w:bookmarkEnd w:id="1863"/>
      <w:bookmarkEnd w:id="1864"/>
    </w:p>
    <w:p w14:paraId="33F6248A">
      <w:pPr>
        <w:keepNext w:val="0"/>
        <w:keepLines w:val="0"/>
        <w:pageBreakBefore w:val="0"/>
        <w:widowControl w:val="0"/>
        <w:kinsoku/>
        <w:wordWrap/>
        <w:overflowPunct/>
        <w:topLinePunct w:val="0"/>
        <w:autoSpaceDE/>
        <w:autoSpaceDN/>
        <w:bidi w:val="0"/>
        <w:adjustRightInd w:val="0"/>
        <w:snapToGrid w:val="0"/>
        <w:spacing w:line="500" w:lineRule="exact"/>
        <w:ind w:firstLine="800" w:firstLineChars="200"/>
        <w:jc w:val="center"/>
        <w:textAlignment w:val="auto"/>
        <w:rPr>
          <w:rFonts w:hint="eastAsia" w:asciiTheme="majorEastAsia" w:hAnsiTheme="majorEastAsia" w:eastAsiaTheme="majorEastAsia" w:cstheme="majorEastAsia"/>
          <w:b w:val="0"/>
          <w:bCs w:val="0"/>
          <w:color w:val="auto"/>
          <w:sz w:val="40"/>
          <w:szCs w:val="40"/>
          <w:highlight w:val="none"/>
        </w:rPr>
      </w:pPr>
      <w:r>
        <w:rPr>
          <w:rFonts w:hint="eastAsia" w:asciiTheme="majorEastAsia" w:hAnsiTheme="majorEastAsia" w:eastAsiaTheme="majorEastAsia" w:cstheme="majorEastAsia"/>
          <w:b w:val="0"/>
          <w:bCs w:val="0"/>
          <w:color w:val="auto"/>
          <w:sz w:val="40"/>
          <w:szCs w:val="40"/>
          <w:highlight w:val="none"/>
        </w:rPr>
        <w:t>工程质量保修书</w:t>
      </w:r>
    </w:p>
    <w:p w14:paraId="2EC01C3F">
      <w:pPr>
        <w:pStyle w:val="16"/>
        <w:rPr>
          <w:rFonts w:hint="eastAsia"/>
          <w:color w:val="auto"/>
          <w:highlight w:val="none"/>
        </w:rPr>
      </w:pPr>
    </w:p>
    <w:p w14:paraId="603D5A14">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承包人（全称）：</w:t>
      </w:r>
      <w:r>
        <w:rPr>
          <w:rFonts w:hint="eastAsia" w:ascii="仿宋_GB2312" w:hAnsi="仿宋_GB2312" w:eastAsia="仿宋_GB2312" w:cs="仿宋_GB2312"/>
          <w:b w:val="0"/>
          <w:bCs w:val="0"/>
          <w:color w:val="auto"/>
          <w:kern w:val="0"/>
          <w:sz w:val="24"/>
          <w:szCs w:val="24"/>
          <w:highlight w:val="none"/>
          <w:u w:val="single"/>
        </w:rPr>
        <w:t>广东省源天工程有限公司</w:t>
      </w:r>
      <w:r>
        <w:rPr>
          <w:rFonts w:hint="eastAsia" w:ascii="仿宋_GB2312" w:hAnsi="仿宋_GB2312" w:eastAsia="仿宋_GB2312" w:cs="仿宋_GB2312"/>
          <w:b w:val="0"/>
          <w:bCs w:val="0"/>
          <w:color w:val="auto"/>
          <w:kern w:val="0"/>
          <w:sz w:val="24"/>
          <w:szCs w:val="24"/>
          <w:highlight w:val="none"/>
        </w:rPr>
        <w:t xml:space="preserve"> </w:t>
      </w:r>
    </w:p>
    <w:p w14:paraId="4AF5F84D">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分包人（全称）：</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 xml:space="preserve"> </w:t>
      </w:r>
    </w:p>
    <w:p w14:paraId="37428413">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p>
    <w:p w14:paraId="7EC9603A">
      <w:pPr>
        <w:pageBreakBefore w:val="0"/>
        <w:kinsoku/>
        <w:wordWrap w:val="0"/>
        <w:overflowPunct/>
        <w:topLinePunct w:val="0"/>
        <w:autoSpaceDE/>
        <w:autoSpaceDN/>
        <w:bidi w:val="0"/>
        <w:adjustRightInd w:val="0"/>
        <w:snapToGrid w:val="0"/>
        <w:spacing w:line="400" w:lineRule="exact"/>
        <w:ind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承包人和分包人根据《中华人民共和国建筑法》和《建设工程质量管理条例》，经协商一致就</w:t>
      </w:r>
      <w:r>
        <w:rPr>
          <w:rFonts w:hint="eastAsia" w:ascii="仿宋_GB2312" w:hAnsi="仿宋_GB2312" w:eastAsia="仿宋_GB2312" w:cs="仿宋_GB2312"/>
          <w:b w:val="0"/>
          <w:bCs w:val="0"/>
          <w:color w:val="auto"/>
          <w:kern w:val="0"/>
          <w:sz w:val="24"/>
          <w:szCs w:val="24"/>
          <w:highlight w:val="none"/>
          <w:u w:val="single"/>
        </w:rPr>
        <w:t>增城区开发区下沉式污水处理厂新装22500kVA配电工程</w:t>
      </w:r>
      <w:r>
        <w:rPr>
          <w:rFonts w:hint="eastAsia" w:ascii="仿宋_GB2312" w:hAnsi="仿宋_GB2312" w:eastAsia="仿宋_GB2312" w:cs="仿宋_GB2312"/>
          <w:b w:val="0"/>
          <w:bCs w:val="0"/>
          <w:color w:val="auto"/>
          <w:kern w:val="0"/>
          <w:sz w:val="24"/>
          <w:szCs w:val="24"/>
          <w:highlight w:val="none"/>
          <w:u w:val="single"/>
          <w:lang w:val="en-US" w:eastAsia="zh-CN"/>
        </w:rPr>
        <w:t>专业分包合同</w:t>
      </w:r>
      <w:r>
        <w:rPr>
          <w:rFonts w:hint="eastAsia" w:ascii="仿宋_GB2312" w:hAnsi="仿宋_GB2312" w:eastAsia="仿宋_GB2312" w:cs="仿宋_GB2312"/>
          <w:b w:val="0"/>
          <w:bCs w:val="0"/>
          <w:color w:val="auto"/>
          <w:kern w:val="0"/>
          <w:sz w:val="24"/>
          <w:szCs w:val="24"/>
          <w:highlight w:val="none"/>
        </w:rPr>
        <w:t>（分包工程全称）签订工程质量保修书。</w:t>
      </w:r>
    </w:p>
    <w:p w14:paraId="3B10426E">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一、工程质量保修范围和内容</w:t>
      </w:r>
    </w:p>
    <w:p w14:paraId="4A717F68">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分包人在保修期内，按照有关法律规定和合同约定，承担工程质量保修责任。</w:t>
      </w:r>
    </w:p>
    <w:p w14:paraId="334B0BF9">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质量保修范围和内容：</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u w:val="single"/>
          <w:lang w:val="en-US" w:eastAsia="zh-CN"/>
        </w:rPr>
        <w:t>合同内所有内容</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w:t>
      </w:r>
    </w:p>
    <w:p w14:paraId="72CB6E2C">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二、保修期</w:t>
      </w:r>
    </w:p>
    <w:p w14:paraId="6593931D">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根据《建设工程质量管理条例》及有关规定，分包工程的保修期如下：</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u w:val="single"/>
          <w:lang w:val="en-US" w:eastAsia="zh-CN"/>
        </w:rPr>
        <w:t>验收送电起算满2年</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w:t>
      </w:r>
    </w:p>
    <w:p w14:paraId="0CB1F22A">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保修期自</w:t>
      </w:r>
      <w:r>
        <w:rPr>
          <w:rFonts w:hint="eastAsia" w:ascii="仿宋_GB2312" w:hAnsi="仿宋_GB2312" w:eastAsia="仿宋_GB2312" w:cs="仿宋_GB2312"/>
          <w:b w:val="0"/>
          <w:bCs w:val="0"/>
          <w:color w:val="auto"/>
          <w:kern w:val="0"/>
          <w:sz w:val="24"/>
          <w:szCs w:val="24"/>
          <w:highlight w:val="none"/>
          <w:u w:val="single"/>
          <w:lang w:val="en-US" w:eastAsia="zh-CN"/>
        </w:rPr>
        <w:t xml:space="preserve"> 验收送电日期</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起计算。</w:t>
      </w:r>
    </w:p>
    <w:p w14:paraId="57430DBC">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三、缺陷责任期</w:t>
      </w:r>
    </w:p>
    <w:p w14:paraId="16CB786F">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分包工程缺陷责任期为</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u w:val="single"/>
          <w:lang w:val="en-US" w:eastAsia="zh-CN"/>
        </w:rPr>
        <w:t>24</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个月，缺陷责任期自</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u w:val="single"/>
          <w:lang w:val="en-US" w:eastAsia="zh-CN"/>
        </w:rPr>
        <w:t>验收送电日期</w:t>
      </w:r>
      <w:r>
        <w:rPr>
          <w:rFonts w:hint="eastAsia" w:ascii="仿宋_GB2312" w:hAnsi="仿宋_GB2312" w:eastAsia="仿宋_GB2312" w:cs="仿宋_GB2312"/>
          <w:b w:val="0"/>
          <w:bCs w:val="0"/>
          <w:color w:val="auto"/>
          <w:kern w:val="0"/>
          <w:sz w:val="24"/>
          <w:szCs w:val="24"/>
          <w:highlight w:val="none"/>
          <w:u w:val="single"/>
        </w:rPr>
        <w:t xml:space="preserve">  </w:t>
      </w:r>
      <w:r>
        <w:rPr>
          <w:rFonts w:hint="eastAsia" w:ascii="仿宋_GB2312" w:hAnsi="仿宋_GB2312" w:eastAsia="仿宋_GB2312" w:cs="仿宋_GB2312"/>
          <w:b w:val="0"/>
          <w:bCs w:val="0"/>
          <w:color w:val="auto"/>
          <w:kern w:val="0"/>
          <w:sz w:val="24"/>
          <w:szCs w:val="24"/>
          <w:highlight w:val="none"/>
        </w:rPr>
        <w:t>起计算。</w:t>
      </w:r>
    </w:p>
    <w:p w14:paraId="38936295">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缺陷责任期终止后，承包人应退还剩余的质量保证金。</w:t>
      </w:r>
    </w:p>
    <w:p w14:paraId="638087B1">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四、质量保修责任</w:t>
      </w:r>
    </w:p>
    <w:p w14:paraId="2953E88E">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1．属于保修范围、内容的项目，分包人应当在接到保修通知之日起3天内派人保修</w:t>
      </w:r>
      <w:r>
        <w:rPr>
          <w:rFonts w:hint="eastAsia" w:ascii="仿宋_GB2312" w:hAnsi="仿宋_GB2312" w:eastAsia="仿宋_GB2312" w:cs="仿宋_GB2312"/>
          <w:b w:val="0"/>
          <w:bCs w:val="0"/>
          <w:color w:val="auto"/>
          <w:kern w:val="0"/>
          <w:sz w:val="24"/>
          <w:szCs w:val="24"/>
          <w:highlight w:val="none"/>
          <w:lang w:eastAsia="zh-CN"/>
        </w:rPr>
        <w:t>，</w:t>
      </w:r>
      <w:r>
        <w:rPr>
          <w:rFonts w:hint="eastAsia" w:ascii="仿宋_GB2312" w:hAnsi="仿宋_GB2312" w:eastAsia="仿宋_GB2312" w:cs="仿宋_GB2312"/>
          <w:b w:val="0"/>
          <w:bCs w:val="0"/>
          <w:color w:val="auto"/>
          <w:kern w:val="0"/>
          <w:sz w:val="24"/>
          <w:szCs w:val="24"/>
          <w:highlight w:val="none"/>
        </w:rPr>
        <w:t>分包人不在约定期限内派人保修的，承包人可以委托他人修理。</w:t>
      </w:r>
    </w:p>
    <w:p w14:paraId="3F982693">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2．发生紧急事故需抢修的，分包人在接到事故通知后，应当立即到达事故现场抢修。</w:t>
      </w:r>
    </w:p>
    <w:p w14:paraId="63A82F59">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3．对于涉及结构安全的质量问题，分包人应当按照《建设工程质量管理条例》的规定，立即向当地建设行政主管部门和有关部门报告，采取安全防范措施，并由原设计人或者具有相应资质等级的设计人提出保修方案，分包人实施保修。</w:t>
      </w:r>
    </w:p>
    <w:p w14:paraId="0A54D7F6">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4．质量保修完成后，由承包人组织验收。</w:t>
      </w:r>
    </w:p>
    <w:p w14:paraId="40A86008">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五、保修费用</w:t>
      </w:r>
    </w:p>
    <w:p w14:paraId="58C82DC0">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保修费用由造成质量缺陷的责任方承担。</w:t>
      </w:r>
    </w:p>
    <w:p w14:paraId="594DDCF5">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六、其他事项</w:t>
      </w:r>
    </w:p>
    <w:p w14:paraId="06EA043F">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双方约定的其他工程质量保修事项：               </w:t>
      </w:r>
    </w:p>
    <w:p w14:paraId="1B46A1F8">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工程质量保修书由承包人、分包人在工程完工验收前共同签署，作为分包合同的附件，其有效期限至保修期满。</w:t>
      </w:r>
    </w:p>
    <w:p w14:paraId="2DEAFE1A">
      <w:pPr>
        <w:pageBreakBefore w:val="0"/>
        <w:kinsoku/>
        <w:wordWrap w:val="0"/>
        <w:overflowPunct/>
        <w:topLinePunct w:val="0"/>
        <w:autoSpaceDE/>
        <w:autoSpaceDN/>
        <w:bidi w:val="0"/>
        <w:adjustRightInd w:val="0"/>
        <w:snapToGrid w:val="0"/>
        <w:spacing w:line="400" w:lineRule="exact"/>
        <w:ind w:left="105" w:leftChars="50" w:firstLine="480" w:firstLineChars="200"/>
        <w:jc w:val="left"/>
        <w:rPr>
          <w:rFonts w:hint="eastAsia" w:ascii="仿宋_GB2312" w:hAnsi="仿宋_GB2312" w:eastAsia="仿宋_GB2312" w:cs="仿宋_GB2312"/>
          <w:b w:val="0"/>
          <w:bCs w:val="0"/>
          <w:color w:val="auto"/>
          <w:kern w:val="0"/>
          <w:sz w:val="24"/>
          <w:szCs w:val="24"/>
          <w:highlight w:val="none"/>
        </w:rPr>
      </w:pPr>
    </w:p>
    <w:p w14:paraId="1B359393">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承包人(公章)：广东省源天工程有限公司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分包人(公章)：               </w:t>
      </w:r>
    </w:p>
    <w:p w14:paraId="0CA2DFB0">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地  址：广州市增城区新塘镇广深大道中46号地  址：           </w:t>
      </w:r>
    </w:p>
    <w:p w14:paraId="53985A6C">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法定代表人(签字)：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法定代表人(签字)：            </w:t>
      </w:r>
    </w:p>
    <w:p w14:paraId="522D94CB">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委托代理人(签字)：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委托代理人(签字)：            </w:t>
      </w:r>
    </w:p>
    <w:p w14:paraId="022F1E84">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日  期：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日  期：         </w:t>
      </w:r>
    </w:p>
    <w:p w14:paraId="2978BF33">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电  话：020-82683335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电  话：         </w:t>
      </w:r>
    </w:p>
    <w:p w14:paraId="4AAA7A61">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传  真：</w:t>
      </w:r>
      <w:r>
        <w:rPr>
          <w:rFonts w:hint="eastAsia" w:ascii="仿宋_GB2312" w:hAnsi="仿宋_GB2312" w:eastAsia="仿宋_GB2312" w:cs="仿宋_GB2312"/>
          <w:b w:val="0"/>
          <w:bCs w:val="0"/>
          <w:color w:val="auto"/>
          <w:kern w:val="0"/>
          <w:sz w:val="24"/>
          <w:szCs w:val="24"/>
          <w:highlight w:val="none"/>
          <w:lang w:val="en-US" w:eastAsia="zh-CN"/>
        </w:rPr>
        <w:t>/</w:t>
      </w:r>
      <w:r>
        <w:rPr>
          <w:rFonts w:hint="eastAsia" w:ascii="仿宋_GB2312" w:hAnsi="仿宋_GB2312" w:eastAsia="仿宋_GB2312" w:cs="仿宋_GB2312"/>
          <w:b w:val="0"/>
          <w:bCs w:val="0"/>
          <w:color w:val="auto"/>
          <w:kern w:val="0"/>
          <w:sz w:val="24"/>
          <w:szCs w:val="24"/>
          <w:highlight w:val="none"/>
        </w:rPr>
        <w:t xml:space="preserve"> 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传  真：           </w:t>
      </w:r>
    </w:p>
    <w:p w14:paraId="7B78A746">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开户银行：中国建设银行广州增城开发区支行开户银行：          </w:t>
      </w:r>
    </w:p>
    <w:p w14:paraId="71858211">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账  号：4400 1541 7020 5009 9311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账  号：</w:t>
      </w:r>
    </w:p>
    <w:p w14:paraId="6CEE3536">
      <w:pPr>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t xml:space="preserve">邮政编码：511340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 </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邮政编码：</w:t>
      </w:r>
    </w:p>
    <w:p w14:paraId="69F590EA">
      <w:pPr>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br w:type="page"/>
      </w:r>
    </w:p>
    <w:p w14:paraId="1C7F787B">
      <w:pPr>
        <w:keepNext w:val="0"/>
        <w:keepLines w:val="0"/>
        <w:pageBreakBefore w:val="0"/>
        <w:widowControl w:val="0"/>
        <w:kinsoku/>
        <w:wordWrap/>
        <w:overflowPunct/>
        <w:topLinePunct w:val="0"/>
        <w:autoSpaceDE/>
        <w:autoSpaceDN/>
        <w:bidi w:val="0"/>
        <w:spacing w:line="500" w:lineRule="exact"/>
        <w:textAlignment w:val="auto"/>
        <w:rPr>
          <w:rFonts w:hint="eastAsia" w:ascii="黑体" w:hAnsi="黑体" w:eastAsia="黑体" w:cs="黑体"/>
          <w:color w:val="auto"/>
          <w:sz w:val="40"/>
          <w:szCs w:val="40"/>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5</w:t>
      </w:r>
    </w:p>
    <w:p w14:paraId="0BF97A9E">
      <w:pPr>
        <w:keepNext w:val="0"/>
        <w:keepLines w:val="0"/>
        <w:pageBreakBefore w:val="0"/>
        <w:widowControl w:val="0"/>
        <w:kinsoku/>
        <w:wordWrap/>
        <w:overflowPunct/>
        <w:topLinePunct w:val="0"/>
        <w:autoSpaceDE/>
        <w:autoSpaceDN/>
        <w:bidi w:val="0"/>
        <w:adjustRightInd w:val="0"/>
        <w:snapToGrid w:val="0"/>
        <w:spacing w:line="500" w:lineRule="exact"/>
        <w:ind w:firstLine="800" w:firstLineChars="200"/>
        <w:jc w:val="center"/>
        <w:textAlignment w:val="auto"/>
        <w:outlineLvl w:val="0"/>
        <w:rPr>
          <w:rFonts w:hint="eastAsia" w:asciiTheme="majorEastAsia" w:hAnsiTheme="majorEastAsia" w:eastAsiaTheme="majorEastAsia" w:cstheme="majorEastAsia"/>
          <w:b w:val="0"/>
          <w:bCs w:val="0"/>
          <w:color w:val="auto"/>
          <w:sz w:val="40"/>
          <w:szCs w:val="40"/>
          <w:highlight w:val="none"/>
        </w:rPr>
      </w:pPr>
      <w:bookmarkStart w:id="1865" w:name="_Toc9158"/>
      <w:bookmarkStart w:id="1866" w:name="_Toc18868"/>
      <w:r>
        <w:rPr>
          <w:rFonts w:hint="eastAsia" w:asciiTheme="majorEastAsia" w:hAnsiTheme="majorEastAsia" w:eastAsiaTheme="majorEastAsia" w:cstheme="majorEastAsia"/>
          <w:b w:val="0"/>
          <w:bCs w:val="0"/>
          <w:color w:val="auto"/>
          <w:sz w:val="40"/>
          <w:szCs w:val="40"/>
          <w:highlight w:val="none"/>
        </w:rPr>
        <w:t>安全生产协议书</w:t>
      </w:r>
      <w:bookmarkEnd w:id="1865"/>
      <w:bookmarkEnd w:id="1866"/>
    </w:p>
    <w:p w14:paraId="28A530B8">
      <w:pPr>
        <w:pageBreakBefore w:val="0"/>
        <w:kinsoku/>
        <w:overflowPunct/>
        <w:topLinePunct w:val="0"/>
        <w:autoSpaceDE/>
        <w:autoSpaceDN/>
        <w:bidi w:val="0"/>
        <w:adjustRightInd w:val="0"/>
        <w:snapToGrid w:val="0"/>
        <w:spacing w:line="400" w:lineRule="exact"/>
        <w:ind w:firstLine="420" w:firstLineChars="200"/>
        <w:rPr>
          <w:rFonts w:hint="eastAsia" w:ascii="仿宋_GB2312" w:hAnsi="仿宋_GB2312" w:eastAsia="仿宋_GB2312" w:cs="仿宋_GB2312"/>
          <w:b w:val="0"/>
          <w:bCs w:val="0"/>
          <w:color w:val="auto"/>
          <w:highlight w:val="none"/>
        </w:rPr>
      </w:pPr>
    </w:p>
    <w:p w14:paraId="76C8861D">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总包单位（甲方）： 广东省源天工程有限公司</w:t>
      </w:r>
    </w:p>
    <w:p w14:paraId="06ADC0DE">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u w:val="single"/>
        </w:rPr>
      </w:pPr>
      <w:r>
        <w:rPr>
          <w:rFonts w:hint="eastAsia" w:ascii="仿宋_GB2312" w:hAnsi="仿宋_GB2312" w:eastAsia="仿宋_GB2312" w:cs="仿宋_GB2312"/>
          <w:b w:val="0"/>
          <w:bCs w:val="0"/>
          <w:color w:val="auto"/>
          <w:sz w:val="24"/>
          <w:szCs w:val="24"/>
          <w:highlight w:val="none"/>
        </w:rPr>
        <w:t>分包单位（乙方）：</w:t>
      </w:r>
      <w:r>
        <w:rPr>
          <w:rFonts w:hint="eastAsia" w:ascii="仿宋_GB2312" w:hAnsi="仿宋_GB2312" w:eastAsia="仿宋_GB2312" w:cs="仿宋_GB2312"/>
          <w:b w:val="0"/>
          <w:bCs w:val="0"/>
          <w:color w:val="auto"/>
          <w:sz w:val="24"/>
          <w:szCs w:val="24"/>
          <w:highlight w:val="none"/>
          <w:u w:val="single"/>
        </w:rPr>
        <w:t xml:space="preserve">                         </w:t>
      </w:r>
    </w:p>
    <w:p w14:paraId="2F2468B5">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仿宋_GB2312" w:eastAsia="仿宋_GB2312" w:cs="仿宋_GB2312"/>
          <w:b w:val="0"/>
          <w:bCs w:val="0"/>
          <w:color w:val="auto"/>
          <w:sz w:val="24"/>
          <w:szCs w:val="24"/>
          <w:highlight w:val="none"/>
        </w:rPr>
        <w:t>分包工程名称：</w:t>
      </w:r>
      <w:r>
        <w:rPr>
          <w:rFonts w:hint="eastAsia" w:ascii="仿宋_GB2312" w:hAnsi="仿宋_GB2312" w:eastAsia="仿宋_GB2312" w:cs="仿宋_GB2312"/>
          <w:b w:val="0"/>
          <w:bCs w:val="0"/>
          <w:color w:val="auto"/>
          <w:sz w:val="24"/>
          <w:szCs w:val="24"/>
          <w:highlight w:val="none"/>
          <w:u w:val="single"/>
        </w:rPr>
        <w:t>增城区开发区下沉式污水处理厂新装22500kVA配电工程</w:t>
      </w:r>
      <w:r>
        <w:rPr>
          <w:rFonts w:hint="eastAsia" w:ascii="仿宋_GB2312" w:hAnsi="仿宋_GB2312" w:eastAsia="仿宋_GB2312" w:cs="仿宋_GB2312"/>
          <w:b w:val="0"/>
          <w:bCs w:val="0"/>
          <w:color w:val="auto"/>
          <w:sz w:val="24"/>
          <w:szCs w:val="24"/>
          <w:highlight w:val="none"/>
          <w:u w:val="single"/>
          <w:lang w:val="en-US" w:eastAsia="zh-CN"/>
        </w:rPr>
        <w:t>专业分包合同</w:t>
      </w:r>
    </w:p>
    <w:p w14:paraId="6F8E65DA">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u w:val="single"/>
        </w:rPr>
      </w:pPr>
      <w:r>
        <w:rPr>
          <w:rFonts w:hint="eastAsia" w:ascii="仿宋_GB2312" w:hAnsi="仿宋_GB2312" w:eastAsia="仿宋_GB2312" w:cs="仿宋_GB2312"/>
          <w:b w:val="0"/>
          <w:bCs w:val="0"/>
          <w:color w:val="auto"/>
          <w:sz w:val="24"/>
          <w:szCs w:val="24"/>
          <w:highlight w:val="none"/>
        </w:rPr>
        <w:t>分包合同编号：</w:t>
      </w:r>
      <w:r>
        <w:rPr>
          <w:rFonts w:hint="eastAsia" w:ascii="仿宋_GB2312" w:hAnsi="仿宋_GB2312" w:eastAsia="仿宋_GB2312" w:cs="仿宋_GB2312"/>
          <w:b w:val="0"/>
          <w:bCs w:val="0"/>
          <w:color w:val="auto"/>
          <w:sz w:val="24"/>
          <w:szCs w:val="24"/>
          <w:highlight w:val="none"/>
          <w:u w:val="single"/>
        </w:rPr>
        <w:t xml:space="preserve">                            </w:t>
      </w:r>
    </w:p>
    <w:p w14:paraId="5C50D3B6">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p>
    <w:p w14:paraId="433A6E00">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为了明确双方安全生产管理职责和应当采取的安全措施，共同抓好工程项目安全管理，确保施工人员在施工过程的职业健康安全及安全生产文明施工顺利进行，依据《建筑法》、《中华人民共和国安全生产法》、《消防法》、《环境保护法》、《建设工程安全生产管理条例》、《企业安全生产费用提取和使用管理办法》等有关法律、法规、标准及</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公司管理制度、操作规程。经甲乙双方协商，就施工安全生产管理达成如下协议：</w:t>
      </w:r>
    </w:p>
    <w:p w14:paraId="47126561">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一、安全管理目标、指标</w:t>
      </w:r>
      <w:r>
        <w:rPr>
          <w:rFonts w:hint="eastAsia" w:ascii="仿宋_GB2312" w:hAnsi="仿宋_GB2312" w:eastAsia="仿宋_GB2312" w:cs="仿宋_GB2312"/>
          <w:b w:val="0"/>
          <w:bCs w:val="0"/>
          <w:color w:val="auto"/>
          <w:sz w:val="24"/>
          <w:szCs w:val="24"/>
          <w:highlight w:val="none"/>
        </w:rPr>
        <w:t>：</w:t>
      </w:r>
    </w:p>
    <w:p w14:paraId="2CFE2EFB">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杜绝发生一般及以上生产安全责任事故；避免发生重伤事故，减小轻伤事故，频率控制在≤6‰。不发生火灾事故。无中毒、坍塌和机械事故发生。避免发生负同等级及以上责任的交通事故。职工职业病发病率控制在≤0.2‰。</w:t>
      </w:r>
    </w:p>
    <w:p w14:paraId="4540E8F4">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安全教育和安全技术交底率100%；安全防护措施到位率100%；“三项人员”（项目负责人、安管人员、特种作业人员）持证上岗率100%；劳动用品配备保护率100%；安全隐患整改及时率100%；“危大工程”专项方案审批率100%；100%建立重大危险源清单和安全费用有效使用台账。</w:t>
      </w:r>
    </w:p>
    <w:p w14:paraId="35813EE3">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确保施工全过程的文明卫生，严格按照</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公司或当地规定做好场地布置及文明施工管理。</w:t>
      </w:r>
    </w:p>
    <w:p w14:paraId="042FF641">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（四）</w:t>
      </w:r>
      <w:r>
        <w:rPr>
          <w:rFonts w:hint="eastAsia" w:ascii="仿宋_GB2312" w:hAnsi="仿宋_GB2312" w:eastAsia="仿宋_GB2312" w:cs="仿宋_GB2312"/>
          <w:b w:val="0"/>
          <w:bCs w:val="0"/>
          <w:color w:val="auto"/>
          <w:sz w:val="24"/>
          <w:szCs w:val="24"/>
          <w:highlight w:val="none"/>
        </w:rPr>
        <w:t>重点消防部位消防设施配备100%；消防设施完好率100%；义务消防队员教育普及率100%；消防应急演练每年≥1次。</w:t>
      </w:r>
    </w:p>
    <w:p w14:paraId="44BF7314">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有效控制重要环境因素，杜绝重大环境污染事故；防污治污达到排放标准；加强管理，节能降耗，提高经济效益。</w:t>
      </w:r>
    </w:p>
    <w:p w14:paraId="454D3D38">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（六）</w:t>
      </w:r>
      <w:r>
        <w:rPr>
          <w:rFonts w:hint="eastAsia" w:ascii="仿宋_GB2312" w:hAnsi="仿宋_GB2312" w:eastAsia="仿宋_GB2312" w:cs="仿宋_GB2312"/>
          <w:b w:val="0"/>
          <w:bCs w:val="0"/>
          <w:color w:val="auto"/>
          <w:sz w:val="24"/>
          <w:szCs w:val="24"/>
          <w:highlight w:val="none"/>
        </w:rPr>
        <w:t>安全文明创优目标</w:t>
      </w:r>
    </w:p>
    <w:p w14:paraId="30AF6C10">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二、甲方责任</w:t>
      </w:r>
    </w:p>
    <w:p w14:paraId="6221096B">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及时传达、宣贯国家和省市有关安全生产、文明施工的方针、政策，和安全生产的法律法规、规定、标准、系列规章制度。</w:t>
      </w:r>
    </w:p>
    <w:p w14:paraId="257C8714">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建立健全工程项目安全生产责任制和操作规程。</w:t>
      </w:r>
    </w:p>
    <w:p w14:paraId="1D1800BA">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甲方对施工现场进行全面的安全生产管理和监督检查，指导、督促乙方管理人员及作业人员严格按照安全技术要求和操作规程作业。</w:t>
      </w:r>
    </w:p>
    <w:p w14:paraId="7AE9A496">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（四）</w:t>
      </w:r>
      <w:r>
        <w:rPr>
          <w:rFonts w:hint="eastAsia" w:ascii="仿宋_GB2312" w:hAnsi="仿宋_GB2312" w:eastAsia="仿宋_GB2312" w:cs="仿宋_GB2312"/>
          <w:b w:val="0"/>
          <w:bCs w:val="0"/>
          <w:color w:val="auto"/>
          <w:sz w:val="24"/>
          <w:szCs w:val="24"/>
          <w:highlight w:val="none"/>
        </w:rPr>
        <w:t>甲方应在分包单位进场后3日内组织对分包单位工程项目管理人员及作业班组主要负责人、专职安全员进行安全交底。交底的主要内容应包括安全生产协议中总分包双方的安全管理职责与权利及项目《安全生产策划书》的主要内容，以及</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公司及工程项目的安全管理目标、安全管理制度、现场实施标准等。</w:t>
      </w:r>
    </w:p>
    <w:p w14:paraId="53E2BB94">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甲方负责对特种作业人员的资格进行审查，发现无证人员上岗的，应立即制止作业，并有权要求乙方清退无证作业人员。</w:t>
      </w:r>
    </w:p>
    <w:p w14:paraId="32F4B938">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（六）</w:t>
      </w:r>
      <w:r>
        <w:rPr>
          <w:rFonts w:hint="eastAsia" w:ascii="仿宋_GB2312" w:hAnsi="仿宋_GB2312" w:eastAsia="仿宋_GB2312" w:cs="仿宋_GB2312"/>
          <w:b w:val="0"/>
          <w:bCs w:val="0"/>
          <w:color w:val="auto"/>
          <w:sz w:val="24"/>
          <w:szCs w:val="24"/>
          <w:highlight w:val="none"/>
        </w:rPr>
        <w:t>甲方各级管理部门和人员对乙方的安全生产、文明施工行为有权进行监督检查，对违反安全生产标准和规章制度的行为进行纠正，遇有重大危险隐患，有权要求乙方停工整改。</w:t>
      </w:r>
    </w:p>
    <w:p w14:paraId="4D6F0256">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（七）</w:t>
      </w:r>
      <w:r>
        <w:rPr>
          <w:rFonts w:hint="eastAsia" w:ascii="仿宋_GB2312" w:hAnsi="仿宋_GB2312" w:eastAsia="仿宋_GB2312" w:cs="仿宋_GB2312"/>
          <w:b w:val="0"/>
          <w:bCs w:val="0"/>
          <w:color w:val="auto"/>
          <w:sz w:val="24"/>
          <w:szCs w:val="24"/>
          <w:highlight w:val="none"/>
        </w:rPr>
        <w:t>甲方与乙方签订分包合同时，要明确安全防护、文明施工措施费用的管理要求。安全防护、文明施工措施由乙方实施的，应当将安全生产费用按比例直接支付乙方并监督使用，分包单位不再重复提取。</w:t>
      </w:r>
    </w:p>
    <w:p w14:paraId="270EBEE7">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（八）</w:t>
      </w:r>
      <w:r>
        <w:rPr>
          <w:rFonts w:hint="eastAsia" w:ascii="仿宋_GB2312" w:hAnsi="仿宋_GB2312" w:eastAsia="仿宋_GB2312" w:cs="仿宋_GB2312"/>
          <w:b w:val="0"/>
          <w:bCs w:val="0"/>
          <w:color w:val="auto"/>
          <w:sz w:val="24"/>
          <w:szCs w:val="24"/>
          <w:highlight w:val="none"/>
        </w:rPr>
        <w:t>施工过程中，如乙方没有达到安全生产标准、没有及时整改重大安全隐患的，甲方有权将乙方清退出场。甲方有权清退不服从安全管理、违章行为屡教不改、没有及时整改安全隐患的乙方班组或人员。</w:t>
      </w:r>
    </w:p>
    <w:p w14:paraId="5669E97D">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（九）</w:t>
      </w:r>
      <w:r>
        <w:rPr>
          <w:rFonts w:hint="eastAsia" w:ascii="仿宋_GB2312" w:hAnsi="仿宋_GB2312" w:eastAsia="仿宋_GB2312" w:cs="仿宋_GB2312"/>
          <w:b w:val="0"/>
          <w:bCs w:val="0"/>
          <w:color w:val="auto"/>
          <w:sz w:val="24"/>
          <w:szCs w:val="24"/>
          <w:highlight w:val="none"/>
        </w:rPr>
        <w:t>执行奖罚：对乙方及其班组、人员违反安全生产管理规定的行为，按照法律法规和甲方的安全生产管理制度进行处罚。</w:t>
      </w:r>
    </w:p>
    <w:p w14:paraId="1838AA86">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三、乙方责任</w:t>
      </w:r>
    </w:p>
    <w:p w14:paraId="2CF58592">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乙方对承担的分包工作范围内的安全生产工作负主体责任；必须确保其营业执照、施工资质、安全生产许可证在本项目实施期间始终在有效期内。</w:t>
      </w:r>
    </w:p>
    <w:p w14:paraId="1B6BBCFF">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乙方在开工前必须组建分包工程项目安全生产管理小组，</w:t>
      </w:r>
      <w:r>
        <w:rPr>
          <w:rFonts w:hint="eastAsia" w:ascii="仿宋_GB2312" w:hAnsi="仿宋_GB2312" w:eastAsia="仿宋_GB2312" w:cs="仿宋_GB2312"/>
          <w:b w:val="0"/>
          <w:bCs w:val="0"/>
          <w:color w:val="auto"/>
          <w:sz w:val="24"/>
          <w:szCs w:val="24"/>
          <w:highlight w:val="none"/>
          <w:lang w:val="en-US" w:eastAsia="zh-CN"/>
        </w:rPr>
        <w:t>纳入甲方安全管理体系。</w:t>
      </w:r>
      <w:r>
        <w:rPr>
          <w:rFonts w:hint="eastAsia" w:ascii="仿宋_GB2312" w:hAnsi="仿宋_GB2312" w:eastAsia="仿宋_GB2312" w:cs="仿宋_GB2312"/>
          <w:b w:val="0"/>
          <w:bCs w:val="0"/>
          <w:color w:val="auto"/>
          <w:sz w:val="24"/>
          <w:szCs w:val="24"/>
          <w:highlight w:val="none"/>
        </w:rPr>
        <w:t>项目管理小组应设置包括项目负责人、施工安全负责人和消防安全负责人、专职（兼职）安全员。并持证上岗。以上人员资质证件应报备甲方存档。</w:t>
      </w:r>
    </w:p>
    <w:p w14:paraId="711BD6D1">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乙方人员进场必须实行实名制管理，在施工前，必须接受甲方入场安全、文明施工教育和安全技术交底。乙方要建立安全教育培训档案，对未经安全教育培训或安全考核不合格的人员不得安排施工作业。乙方要将有关安全作业的要求向作业班组、作业人员做出详细说明，书面告知作业人员危险岗位的操作规程和违章操作的危害，并由双方签字确认。严禁雇佣童工、未成年工、不适宜从事有关工种的作业人员及身份不明的人员（如违法犯罪人员等），不得安排作业人员带病上岗。</w:t>
      </w:r>
    </w:p>
    <w:p w14:paraId="596C60DA">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（四）</w:t>
      </w:r>
      <w:r>
        <w:rPr>
          <w:rFonts w:hint="eastAsia" w:ascii="仿宋_GB2312" w:hAnsi="仿宋_GB2312" w:eastAsia="仿宋_GB2312" w:cs="仿宋_GB2312"/>
          <w:b w:val="0"/>
          <w:bCs w:val="0"/>
          <w:color w:val="auto"/>
          <w:sz w:val="24"/>
          <w:szCs w:val="24"/>
          <w:highlight w:val="none"/>
        </w:rPr>
        <w:t>乙方负责提供自有的特种作业人员有效的操作资格证和特种设备检验检测</w:t>
      </w:r>
      <w:r>
        <w:rPr>
          <w:rFonts w:hint="eastAsia" w:ascii="仿宋_GB2312" w:hAnsi="仿宋_GB2312" w:eastAsia="仿宋_GB2312" w:cs="仿宋_GB2312"/>
          <w:b w:val="0"/>
          <w:bCs w:val="0"/>
          <w:color w:val="auto"/>
          <w:spacing w:val="-6"/>
          <w:sz w:val="24"/>
          <w:szCs w:val="24"/>
          <w:highlight w:val="none"/>
        </w:rPr>
        <w:t>合格证，并报备甲方存档。禁止无证人员从事特种作业和使用无检验检测合格证的设备。</w:t>
      </w:r>
    </w:p>
    <w:p w14:paraId="3CD26F6B">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乙方应当服从甲方的安全生产管理，乙方不服从管理导致生产安全事故的，由乙方承担主要责任。乙方应主动清退不服从甲方管理的班组或个人。</w:t>
      </w:r>
    </w:p>
    <w:p w14:paraId="5F7BB752">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（六）</w:t>
      </w:r>
      <w:r>
        <w:rPr>
          <w:rFonts w:hint="eastAsia" w:ascii="仿宋_GB2312" w:hAnsi="仿宋_GB2312" w:eastAsia="仿宋_GB2312" w:cs="仿宋_GB2312"/>
          <w:b w:val="0"/>
          <w:bCs w:val="0"/>
          <w:color w:val="auto"/>
          <w:sz w:val="24"/>
          <w:szCs w:val="24"/>
          <w:highlight w:val="none"/>
        </w:rPr>
        <w:t>乙方保证所承担的分包工程项目安全生产条件所需资金的投入，并按相关规定要求提供分包合同范围内的安全生产费用投入发票给甲方，乙方对列入所承包工程预算的安全作业环境及安全施工措施所需费用，应当用于该工程的施工安全防护用具及设施的采购和更新、安全施工措施的落实、安全生产条件的改善，不得挪作他用。如乙方没有及时提供安全生产费用投入发票，甲方可以暂扣当次进度款中的安全生产措施费，直至乙方提交符合要求的安全生产费用投入发票。</w:t>
      </w:r>
    </w:p>
    <w:p w14:paraId="488DF993">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（七）</w:t>
      </w:r>
      <w:r>
        <w:rPr>
          <w:rFonts w:hint="eastAsia" w:ascii="仿宋_GB2312" w:hAnsi="仿宋_GB2312" w:eastAsia="仿宋_GB2312" w:cs="仿宋_GB2312"/>
          <w:b w:val="0"/>
          <w:bCs w:val="0"/>
          <w:color w:val="auto"/>
          <w:sz w:val="24"/>
          <w:szCs w:val="24"/>
          <w:highlight w:val="none"/>
        </w:rPr>
        <w:t>乙方负责为进场作业人员提供必要的、质量合格的劳动保护用品（如安全帽、安全带、手套、工作服、工作鞋等），并督促作业人员正确使用、佩戴劳动防护用品，及时制止违章指挥、违章操作、违反劳动纪律和冒险作业的行为。</w:t>
      </w:r>
    </w:p>
    <w:p w14:paraId="06D2F3F8">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（八）</w:t>
      </w:r>
      <w:r>
        <w:rPr>
          <w:rFonts w:hint="eastAsia" w:ascii="仿宋_GB2312" w:hAnsi="仿宋_GB2312" w:eastAsia="仿宋_GB2312" w:cs="仿宋_GB2312"/>
          <w:b w:val="0"/>
          <w:bCs w:val="0"/>
          <w:color w:val="auto"/>
          <w:sz w:val="24"/>
          <w:szCs w:val="24"/>
          <w:highlight w:val="none"/>
        </w:rPr>
        <w:t>乙方按照法规规定，负责购买工程安全生产责任保险等建筑工程保险，支付保险费。</w:t>
      </w:r>
    </w:p>
    <w:p w14:paraId="4C63DECB">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（九）</w:t>
      </w:r>
      <w:r>
        <w:rPr>
          <w:rFonts w:hint="eastAsia" w:ascii="仿宋_GB2312" w:hAnsi="仿宋_GB2312" w:eastAsia="仿宋_GB2312" w:cs="仿宋_GB2312"/>
          <w:b w:val="0"/>
          <w:bCs w:val="0"/>
          <w:color w:val="auto"/>
          <w:sz w:val="24"/>
          <w:szCs w:val="24"/>
          <w:highlight w:val="none"/>
        </w:rPr>
        <w:t>乙方的机具设备在投入使用前，应向甲方备案并申请组织验收，申报机具设备的规格、型号、数量、安全状况等并负责安全使用，使用操作符合国家及省市有关安全、质量、技术规范、标准，严禁机具无安全防护装置和“带病”运转、使用。乙方对所使用（租用）的机械设备（含特种设备）负有安全管理和维护保养的责任。</w:t>
      </w:r>
    </w:p>
    <w:p w14:paraId="0254BEF8">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w:t>
      </w:r>
      <w:r>
        <w:rPr>
          <w:rFonts w:hint="eastAsia" w:ascii="仿宋_GB2312" w:hAnsi="仿宋_GB2312" w:eastAsia="仿宋_GB2312" w:cs="仿宋_GB2312"/>
          <w:b w:val="0"/>
          <w:bCs w:val="0"/>
          <w:color w:val="auto"/>
          <w:sz w:val="24"/>
          <w:szCs w:val="24"/>
          <w:highlight w:val="none"/>
        </w:rPr>
        <w:t>乙方搭设的临时设施（包括工棚、宿舍等）必须符合国家有关安全规定要求，临时设施搭设施工前明确指定项目负责人及安全、防火责任人，同时上报甲方项目部，并办理有关验收手续，做好安全管理，落实防火、防触电措施。工棚、宿舍等不得私自拉接电热水器（含电热棒）、电炉、自制电热毯、电风扇等用电设备、设施；不得私自容留外来人员住宿。</w:t>
      </w:r>
    </w:p>
    <w:p w14:paraId="7F643185">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（十一）</w:t>
      </w:r>
      <w:r>
        <w:rPr>
          <w:rFonts w:hint="eastAsia" w:ascii="仿宋_GB2312" w:hAnsi="仿宋_GB2312" w:eastAsia="仿宋_GB2312" w:cs="仿宋_GB2312"/>
          <w:b w:val="0"/>
          <w:bCs w:val="0"/>
          <w:color w:val="auto"/>
          <w:sz w:val="24"/>
          <w:szCs w:val="24"/>
          <w:highlight w:val="none"/>
        </w:rPr>
        <w:t>乙方需要使用甲方搭设的脚手架、吊篮及卸料平台，需要拆改各种安全防护设施，需使用工程项目临时配电系统，需要自行安装垂直运输设备，需要进行动火作业，需要进行夜间施工等需向甲方提前提出作业申请。</w:t>
      </w:r>
    </w:p>
    <w:p w14:paraId="73F65D67">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（十二）</w:t>
      </w:r>
      <w:r>
        <w:rPr>
          <w:rFonts w:hint="eastAsia" w:ascii="仿宋_GB2312" w:hAnsi="仿宋_GB2312" w:eastAsia="仿宋_GB2312" w:cs="仿宋_GB2312"/>
          <w:b w:val="0"/>
          <w:bCs w:val="0"/>
          <w:color w:val="auto"/>
          <w:sz w:val="24"/>
          <w:szCs w:val="24"/>
          <w:highlight w:val="none"/>
        </w:rPr>
        <w:t>乙方必须严格执行经审批的危险性较大的分部分项工程专项施工方案和施工现场临时用电方案，严格落实高空作业“五必须”、有限空间作业“七不准”和动火作业审批制度。</w:t>
      </w:r>
    </w:p>
    <w:p w14:paraId="12B8C90C">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（十三）</w:t>
      </w:r>
      <w:r>
        <w:rPr>
          <w:rFonts w:hint="eastAsia" w:ascii="仿宋_GB2312" w:hAnsi="仿宋_GB2312" w:eastAsia="仿宋_GB2312" w:cs="仿宋_GB2312"/>
          <w:b w:val="0"/>
          <w:bCs w:val="0"/>
          <w:color w:val="auto"/>
          <w:sz w:val="24"/>
          <w:szCs w:val="24"/>
          <w:highlight w:val="none"/>
        </w:rPr>
        <w:t>乙方在工地设置饭堂，应报经卫生部门批准，并落实饮食卫生措施，不得采购不符合卫生要求的食物原料或半成品，不得供应变质食品，防止食物中毒，落实灭鼠、灭蝇等措施。</w:t>
      </w:r>
    </w:p>
    <w:p w14:paraId="6C6EEBF2">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（十四）</w:t>
      </w:r>
      <w:r>
        <w:rPr>
          <w:rFonts w:hint="eastAsia" w:ascii="仿宋_GB2312" w:hAnsi="仿宋_GB2312" w:eastAsia="仿宋_GB2312" w:cs="仿宋_GB2312"/>
          <w:b w:val="0"/>
          <w:bCs w:val="0"/>
          <w:color w:val="auto"/>
          <w:sz w:val="24"/>
          <w:szCs w:val="24"/>
          <w:highlight w:val="none"/>
        </w:rPr>
        <w:t>乙方应当指定兼职的应急救援人员和配备必要的应急物资。参加甲方组织的应急培训和应急演练活动。告知作业人员和相关人员在紧急情况下应当采取的应急措施。</w:t>
      </w:r>
    </w:p>
    <w:p w14:paraId="5AEB92D1">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（十五）</w:t>
      </w:r>
      <w:r>
        <w:rPr>
          <w:rFonts w:hint="eastAsia" w:ascii="仿宋_GB2312" w:hAnsi="仿宋_GB2312" w:eastAsia="仿宋_GB2312" w:cs="仿宋_GB2312"/>
          <w:b w:val="0"/>
          <w:bCs w:val="0"/>
          <w:color w:val="auto"/>
          <w:sz w:val="24"/>
          <w:szCs w:val="24"/>
          <w:highlight w:val="none"/>
        </w:rPr>
        <w:t>乙方要接受甲方各级职能管理部门和项目经理部的监督检查管理，同时也要接受行政部门、建设单位、监理单位等安全检查人员依法实施的监督检查，对检查提出的问题和隐患，乙方要落实“四定”（定人员、定时间、定措施、定责任）及时整改，不得以任何理由拒绝整改或设置障碍。</w:t>
      </w:r>
    </w:p>
    <w:p w14:paraId="1CF6E665">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（十六）</w:t>
      </w:r>
      <w:r>
        <w:rPr>
          <w:rFonts w:hint="eastAsia" w:ascii="仿宋_GB2312" w:hAnsi="仿宋_GB2312" w:eastAsia="仿宋_GB2312" w:cs="仿宋_GB2312"/>
          <w:b w:val="0"/>
          <w:bCs w:val="0"/>
          <w:color w:val="auto"/>
          <w:sz w:val="24"/>
          <w:szCs w:val="24"/>
          <w:highlight w:val="none"/>
        </w:rPr>
        <w:t>乙方有权拒绝甲方的违章指挥和强令冒险作业，发现直接危及人身安全的紧急情况时，有权停止作业或者在采取可能的应急措施后撤离作业场所。</w:t>
      </w:r>
    </w:p>
    <w:p w14:paraId="17D60C29">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（十七）</w:t>
      </w:r>
      <w:r>
        <w:rPr>
          <w:rFonts w:hint="eastAsia" w:ascii="仿宋_GB2312" w:hAnsi="仿宋_GB2312" w:eastAsia="仿宋_GB2312" w:cs="仿宋_GB2312"/>
          <w:b w:val="0"/>
          <w:bCs w:val="0"/>
          <w:color w:val="auto"/>
          <w:sz w:val="24"/>
          <w:szCs w:val="24"/>
          <w:highlight w:val="none"/>
        </w:rPr>
        <w:t>在施工中，由于乙方的原因未及时消除重大安全隐患而被有关单位、部门处罚或由于乙方违反国家、省市法律法规、甲方有关规章制度或不服从甲方管理等导致不良后果或影响的，乙方承担主要责任。</w:t>
      </w:r>
    </w:p>
    <w:p w14:paraId="22500B26">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（十八）</w:t>
      </w:r>
      <w:r>
        <w:rPr>
          <w:rFonts w:hint="eastAsia" w:ascii="仿宋_GB2312" w:hAnsi="仿宋_GB2312" w:eastAsia="仿宋_GB2312" w:cs="仿宋_GB2312"/>
          <w:b w:val="0"/>
          <w:bCs w:val="0"/>
          <w:color w:val="auto"/>
          <w:sz w:val="24"/>
          <w:szCs w:val="24"/>
          <w:highlight w:val="none"/>
        </w:rPr>
        <w:t>施工过程中，甲方要求乙方落实整改的安全隐患而不履行整改的，甲方有权先行整改，所发生的一切费用，在该工程的安全措施费中扣除，所需费用以甲方核准的费用为准。</w:t>
      </w:r>
    </w:p>
    <w:p w14:paraId="3D384F90">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（十九）</w:t>
      </w:r>
      <w:r>
        <w:rPr>
          <w:rFonts w:hint="eastAsia" w:ascii="仿宋_GB2312" w:hAnsi="仿宋_GB2312" w:eastAsia="仿宋_GB2312" w:cs="仿宋_GB2312"/>
          <w:b w:val="0"/>
          <w:bCs w:val="0"/>
          <w:color w:val="auto"/>
          <w:sz w:val="24"/>
          <w:szCs w:val="24"/>
          <w:highlight w:val="none"/>
        </w:rPr>
        <w:t>乙方应及时、如实报告生产安全事故，不得瞒报、迟报、漏报。</w:t>
      </w:r>
    </w:p>
    <w:p w14:paraId="32185F1E">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本协议自甲方通知的开工日期起生效，在乙方所承担的工程项目经甲方或有关部门最终验收合格，人员撤离现场时终止。</w:t>
      </w:r>
    </w:p>
    <w:p w14:paraId="380A2244">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四、协议份数</w:t>
      </w:r>
      <w:r>
        <w:rPr>
          <w:rFonts w:hint="eastAsia" w:ascii="仿宋_GB2312" w:hAnsi="仿宋_GB2312" w:eastAsia="仿宋_GB2312" w:cs="仿宋_GB2312"/>
          <w:b w:val="0"/>
          <w:bCs w:val="0"/>
          <w:color w:val="auto"/>
          <w:sz w:val="24"/>
          <w:szCs w:val="24"/>
          <w:highlight w:val="none"/>
        </w:rPr>
        <w:t>：本协议书一式二份，甲、乙双方各执壹份。</w:t>
      </w:r>
    </w:p>
    <w:p w14:paraId="78B543E7">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本协议书作为分包合同的附件，与分包合同具有同等法律效力。</w:t>
      </w:r>
    </w:p>
    <w:p w14:paraId="54C43942">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（以下无正文）</w:t>
      </w:r>
    </w:p>
    <w:p w14:paraId="04CB1198">
      <w:pPr>
        <w:pStyle w:val="16"/>
        <w:keepNext w:val="0"/>
        <w:keepLines w:val="0"/>
        <w:pageBreakBefore w:val="0"/>
        <w:widowControl w:val="0"/>
        <w:kinsoku/>
        <w:wordWrap/>
        <w:overflowPunct/>
        <w:topLinePunct w:val="0"/>
        <w:autoSpaceDE/>
        <w:autoSpaceDN/>
        <w:bidi w:val="0"/>
        <w:adjustRightInd w:val="0"/>
        <w:spacing w:after="0" w:line="380" w:lineRule="exact"/>
        <w:ind w:left="0" w:leftChars="0" w:right="0" w:rightChars="0" w:firstLine="0" w:firstLineChars="0"/>
        <w:jc w:val="both"/>
        <w:rPr>
          <w:rFonts w:hint="eastAsia" w:ascii="仿宋_GB2312" w:hAnsi="仿宋_GB2312" w:eastAsia="仿宋_GB2312" w:cs="仿宋_GB2312"/>
          <w:b w:val="0"/>
          <w:bCs w:val="0"/>
          <w:color w:val="auto"/>
          <w:sz w:val="24"/>
          <w:szCs w:val="24"/>
          <w:highlight w:val="none"/>
        </w:rPr>
      </w:pPr>
    </w:p>
    <w:p w14:paraId="5A260FB5">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甲方: 广东省源天工程有限公司         乙方：  </w:t>
      </w:r>
    </w:p>
    <w:p w14:paraId="5D3ADAFE">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（盖章）                            （盖章）</w:t>
      </w:r>
    </w:p>
    <w:p w14:paraId="140F4BB3">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地址：                              地址：</w:t>
      </w:r>
    </w:p>
    <w:p w14:paraId="24C98F3E">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法定代表人或授权代表：              法定代表人或授权代表：</w:t>
      </w:r>
    </w:p>
    <w:p w14:paraId="42E663E5">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经办人：　　　　　                  经办人：</w:t>
      </w:r>
    </w:p>
    <w:p w14:paraId="1289F483">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联系电话：                          联系电话：</w:t>
      </w:r>
    </w:p>
    <w:p w14:paraId="2AA16306">
      <w:pPr>
        <w:keepNext w:val="0"/>
        <w:keepLines w:val="0"/>
        <w:pageBreakBefore w:val="0"/>
        <w:widowControl w:val="0"/>
        <w:kinsoku/>
        <w:wordWrap/>
        <w:overflowPunct/>
        <w:topLinePunct w:val="0"/>
        <w:autoSpaceDE/>
        <w:autoSpaceDN/>
        <w:bidi w:val="0"/>
        <w:adjustRightInd w:val="0"/>
        <w:snapToGrid w:val="0"/>
        <w:spacing w:line="380" w:lineRule="exact"/>
        <w:ind w:right="0" w:rightChars="0" w:firstLine="960" w:firstLineChars="4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年   月    日                       年    月    日</w:t>
      </w:r>
    </w:p>
    <w:p w14:paraId="4E78383B">
      <w:pPr>
        <w:pageBreakBefore w:val="0"/>
        <w:widowControl/>
        <w:kinsoku/>
        <w:overflowPunct/>
        <w:topLinePunct w:val="0"/>
        <w:autoSpaceDE/>
        <w:autoSpaceDN/>
        <w:bidi w:val="0"/>
        <w:adjustRightInd w:val="0"/>
        <w:snapToGrid w:val="0"/>
        <w:spacing w:line="400" w:lineRule="exact"/>
        <w:ind w:firstLine="436" w:firstLineChars="200"/>
        <w:jc w:val="left"/>
        <w:rPr>
          <w:rFonts w:hint="eastAsia" w:ascii="仿宋_GB2312" w:hAnsi="仿宋_GB2312" w:eastAsia="仿宋_GB2312" w:cs="仿宋_GB2312"/>
          <w:b w:val="0"/>
          <w:bCs w:val="0"/>
          <w:color w:val="auto"/>
          <w:spacing w:val="4"/>
          <w:szCs w:val="32"/>
          <w:highlight w:val="none"/>
        </w:rPr>
      </w:pPr>
    </w:p>
    <w:p w14:paraId="0D9829AA">
      <w:pPr>
        <w:pageBreakBefore w:val="0"/>
        <w:widowControl/>
        <w:kinsoku/>
        <w:overflowPunct/>
        <w:topLinePunct w:val="0"/>
        <w:autoSpaceDE/>
        <w:autoSpaceDN/>
        <w:bidi w:val="0"/>
        <w:adjustRightInd w:val="0"/>
        <w:snapToGrid w:val="0"/>
        <w:spacing w:line="400" w:lineRule="exact"/>
        <w:ind w:firstLine="436" w:firstLineChars="200"/>
        <w:jc w:val="left"/>
        <w:rPr>
          <w:rFonts w:hint="eastAsia" w:ascii="仿宋_GB2312" w:hAnsi="仿宋_GB2312" w:eastAsia="仿宋_GB2312" w:cs="仿宋_GB2312"/>
          <w:b w:val="0"/>
          <w:bCs w:val="0"/>
          <w:color w:val="auto"/>
          <w:spacing w:val="4"/>
          <w:szCs w:val="32"/>
          <w:highlight w:val="none"/>
        </w:rPr>
      </w:pPr>
    </w:p>
    <w:p w14:paraId="50D1D888">
      <w:pPr>
        <w:rPr>
          <w:rFonts w:hint="eastAsia" w:ascii="仿宋_GB2312" w:hAnsi="仿宋_GB2312" w:eastAsia="仿宋_GB2312" w:cs="仿宋_GB2312"/>
          <w:b w:val="0"/>
          <w:bCs w:val="0"/>
          <w:color w:val="auto"/>
          <w:sz w:val="24"/>
          <w:szCs w:val="24"/>
          <w:highlight w:val="none"/>
        </w:rPr>
      </w:pPr>
      <w:bookmarkStart w:id="1867" w:name="_Toc19676"/>
    </w:p>
    <w:p w14:paraId="1D1FB88F">
      <w:pPr>
        <w:pStyle w:val="4"/>
        <w:pageBreakBefore w:val="0"/>
        <w:kinsoku/>
        <w:overflowPunct/>
        <w:topLinePunct w:val="0"/>
        <w:autoSpaceDE/>
        <w:autoSpaceDN/>
        <w:bidi w:val="0"/>
        <w:adjustRightInd w:val="0"/>
        <w:snapToGrid w:val="0"/>
        <w:spacing w:line="400" w:lineRule="exact"/>
        <w:rPr>
          <w:rFonts w:hint="eastAsia" w:ascii="仿宋_GB2312" w:hAnsi="仿宋_GB2312" w:eastAsia="仿宋_GB2312" w:cs="仿宋_GB2312"/>
          <w:b w:val="0"/>
          <w:bCs w:val="0"/>
          <w:color w:val="auto"/>
          <w:sz w:val="24"/>
          <w:szCs w:val="24"/>
          <w:highlight w:val="none"/>
        </w:rPr>
        <w:sectPr>
          <w:footerReference r:id="rId8" w:type="default"/>
          <w:pgSz w:w="11906" w:h="16838"/>
          <w:pgMar w:top="2098" w:right="1474" w:bottom="1984" w:left="1587" w:header="851" w:footer="1587" w:gutter="0"/>
          <w:pgNumType w:fmt="numberInDash"/>
          <w:cols w:space="720" w:num="1"/>
          <w:docGrid w:type="lines" w:linePitch="439" w:charSpace="0"/>
        </w:sectPr>
      </w:pPr>
    </w:p>
    <w:p w14:paraId="77B1DEE7">
      <w:pPr>
        <w:pStyle w:val="4"/>
        <w:pageBreakBefore w:val="0"/>
        <w:kinsoku/>
        <w:overflowPunct/>
        <w:topLinePunct w:val="0"/>
        <w:autoSpaceDE/>
        <w:autoSpaceDN/>
        <w:bidi w:val="0"/>
        <w:adjustRightInd w:val="0"/>
        <w:snapToGrid w:val="0"/>
        <w:spacing w:line="400" w:lineRule="exact"/>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32"/>
          <w:szCs w:val="32"/>
          <w:highlight w:val="none"/>
        </w:rPr>
        <w:t>附件6</w:t>
      </w:r>
      <w:r>
        <w:rPr>
          <w:rFonts w:hint="eastAsia" w:ascii="仿宋_GB2312" w:hAnsi="仿宋_GB2312" w:eastAsia="仿宋_GB2312" w:cs="仿宋_GB2312"/>
          <w:b w:val="0"/>
          <w:bCs w:val="0"/>
          <w:color w:val="auto"/>
          <w:sz w:val="24"/>
          <w:szCs w:val="24"/>
          <w:highlight w:val="none"/>
        </w:rPr>
        <w:fldChar w:fldCharType="begin"/>
      </w:r>
      <w:r>
        <w:rPr>
          <w:rFonts w:hint="eastAsia" w:ascii="仿宋_GB2312" w:hAnsi="仿宋_GB2312" w:eastAsia="仿宋_GB2312" w:cs="仿宋_GB2312"/>
          <w:b w:val="0"/>
          <w:bCs w:val="0"/>
          <w:color w:val="auto"/>
          <w:sz w:val="24"/>
          <w:szCs w:val="24"/>
          <w:highlight w:val="none"/>
        </w:rPr>
        <w:instrText xml:space="preserve"> INCLUDEPICTURE "http://www.gdceg.com/data/link/141227/141227051430ytpmsk.jpg" \* MERGEFORMATINET </w:instrText>
      </w:r>
      <w:r>
        <w:rPr>
          <w:rFonts w:hint="eastAsia" w:ascii="仿宋_GB2312" w:hAnsi="仿宋_GB2312" w:eastAsia="仿宋_GB2312" w:cs="仿宋_GB2312"/>
          <w:b w:val="0"/>
          <w:bCs w:val="0"/>
          <w:color w:val="auto"/>
          <w:sz w:val="24"/>
          <w:szCs w:val="24"/>
          <w:highlight w:val="none"/>
        </w:rPr>
        <w:fldChar w:fldCharType="separate"/>
      </w:r>
      <w:r>
        <w:rPr>
          <w:rFonts w:hint="eastAsia" w:ascii="仿宋_GB2312" w:hAnsi="仿宋_GB2312" w:eastAsia="仿宋_GB2312" w:cs="仿宋_GB2312"/>
          <w:b w:val="0"/>
          <w:bCs w:val="0"/>
          <w:color w:val="auto"/>
          <w:sz w:val="24"/>
          <w:szCs w:val="24"/>
          <w:highlight w:val="none"/>
        </w:rPr>
        <w:fldChar w:fldCharType="begin"/>
      </w:r>
      <w:r>
        <w:rPr>
          <w:rFonts w:hint="eastAsia" w:ascii="仿宋_GB2312" w:hAnsi="仿宋_GB2312" w:eastAsia="仿宋_GB2312" w:cs="仿宋_GB2312"/>
          <w:b w:val="0"/>
          <w:bCs w:val="0"/>
          <w:color w:val="auto"/>
          <w:sz w:val="24"/>
          <w:szCs w:val="24"/>
          <w:highlight w:val="none"/>
        </w:rPr>
        <w:instrText xml:space="preserve"> INCLUDEPICTURE  "http://www.gdceg.com/data/link/141227/141227051430ytpmsk.jpg" \* MERGEFORMATINET </w:instrText>
      </w:r>
      <w:r>
        <w:rPr>
          <w:rFonts w:hint="eastAsia" w:ascii="仿宋_GB2312" w:hAnsi="仿宋_GB2312" w:eastAsia="仿宋_GB2312" w:cs="仿宋_GB2312"/>
          <w:b w:val="0"/>
          <w:bCs w:val="0"/>
          <w:color w:val="auto"/>
          <w:sz w:val="24"/>
          <w:szCs w:val="24"/>
          <w:highlight w:val="none"/>
        </w:rPr>
        <w:fldChar w:fldCharType="separate"/>
      </w:r>
      <w:r>
        <w:rPr>
          <w:rFonts w:hint="eastAsia" w:ascii="仿宋_GB2312" w:hAnsi="仿宋_GB2312" w:eastAsia="仿宋_GB2312" w:cs="仿宋_GB2312"/>
          <w:b w:val="0"/>
          <w:bCs w:val="0"/>
          <w:color w:val="auto"/>
          <w:sz w:val="24"/>
          <w:szCs w:val="24"/>
          <w:highlight w:val="none"/>
        </w:rPr>
        <w:fldChar w:fldCharType="begin"/>
      </w:r>
      <w:r>
        <w:rPr>
          <w:rFonts w:hint="eastAsia" w:ascii="仿宋_GB2312" w:hAnsi="仿宋_GB2312" w:eastAsia="仿宋_GB2312" w:cs="仿宋_GB2312"/>
          <w:b w:val="0"/>
          <w:bCs w:val="0"/>
          <w:color w:val="auto"/>
          <w:sz w:val="24"/>
          <w:szCs w:val="24"/>
          <w:highlight w:val="none"/>
        </w:rPr>
        <w:instrText xml:space="preserve"> INCLUDEPICTURE  "http://www.gdceg.com/data/link/141227/141227051430ytpmsk.jpg" \* MERGEFORMATINET </w:instrText>
      </w:r>
      <w:r>
        <w:rPr>
          <w:rFonts w:hint="eastAsia" w:ascii="仿宋_GB2312" w:hAnsi="仿宋_GB2312" w:eastAsia="仿宋_GB2312" w:cs="仿宋_GB2312"/>
          <w:b w:val="0"/>
          <w:bCs w:val="0"/>
          <w:color w:val="auto"/>
          <w:sz w:val="24"/>
          <w:szCs w:val="24"/>
          <w:highlight w:val="none"/>
        </w:rPr>
        <w:fldChar w:fldCharType="separate"/>
      </w:r>
      <w:r>
        <w:rPr>
          <w:rFonts w:hint="eastAsia" w:ascii="仿宋_GB2312" w:hAnsi="仿宋_GB2312" w:eastAsia="仿宋_GB2312" w:cs="仿宋_GB2312"/>
          <w:b w:val="0"/>
          <w:bCs w:val="0"/>
          <w:color w:val="auto"/>
          <w:sz w:val="24"/>
          <w:szCs w:val="24"/>
          <w:highlight w:val="none"/>
        </w:rPr>
        <w:fldChar w:fldCharType="end"/>
      </w:r>
      <w:r>
        <w:rPr>
          <w:rFonts w:hint="eastAsia" w:ascii="仿宋_GB2312" w:hAnsi="仿宋_GB2312" w:eastAsia="仿宋_GB2312" w:cs="仿宋_GB2312"/>
          <w:b w:val="0"/>
          <w:bCs w:val="0"/>
          <w:color w:val="auto"/>
          <w:sz w:val="24"/>
          <w:szCs w:val="24"/>
          <w:highlight w:val="none"/>
        </w:rPr>
        <w:fldChar w:fldCharType="end"/>
      </w:r>
      <w:r>
        <w:rPr>
          <w:rFonts w:hint="eastAsia" w:ascii="仿宋_GB2312" w:hAnsi="仿宋_GB2312" w:eastAsia="仿宋_GB2312" w:cs="仿宋_GB2312"/>
          <w:b w:val="0"/>
          <w:bCs w:val="0"/>
          <w:color w:val="auto"/>
          <w:sz w:val="24"/>
          <w:szCs w:val="24"/>
          <w:highlight w:val="none"/>
        </w:rPr>
        <w:fldChar w:fldCharType="end"/>
      </w:r>
      <w:bookmarkEnd w:id="1867"/>
    </w:p>
    <w:p w14:paraId="1ABF2221">
      <w:pPr>
        <w:pageBreakBefore w:val="0"/>
        <w:widowControl/>
        <w:kinsoku/>
        <w:overflowPunct/>
        <w:topLinePunct w:val="0"/>
        <w:autoSpaceDE/>
        <w:autoSpaceDN/>
        <w:bidi w:val="0"/>
        <w:adjustRightInd w:val="0"/>
        <w:snapToGrid w:val="0"/>
        <w:spacing w:line="400" w:lineRule="exact"/>
        <w:ind w:firstLine="720" w:firstLineChars="200"/>
        <w:jc w:val="center"/>
        <w:outlineLvl w:val="9"/>
        <w:rPr>
          <w:rFonts w:hint="eastAsia" w:ascii="方正小标宋简体" w:hAnsi="方正小标宋简体" w:eastAsia="方正小标宋简体" w:cs="方正小标宋简体"/>
          <w:b w:val="0"/>
          <w:bCs w:val="0"/>
          <w:color w:val="auto"/>
          <w:sz w:val="36"/>
          <w:szCs w:val="36"/>
          <w:highlight w:val="none"/>
        </w:rPr>
      </w:pPr>
      <w:bookmarkStart w:id="1868" w:name="_Toc15889"/>
      <w:bookmarkStart w:id="1869" w:name="_Toc21185"/>
    </w:p>
    <w:p w14:paraId="744B27CD">
      <w:pPr>
        <w:pageBreakBefore w:val="0"/>
        <w:widowControl/>
        <w:kinsoku/>
        <w:overflowPunct/>
        <w:topLinePunct w:val="0"/>
        <w:autoSpaceDE/>
        <w:autoSpaceDN/>
        <w:bidi w:val="0"/>
        <w:adjustRightInd w:val="0"/>
        <w:snapToGrid w:val="0"/>
        <w:spacing w:line="400" w:lineRule="exact"/>
        <w:ind w:firstLine="720" w:firstLineChars="200"/>
        <w:jc w:val="center"/>
        <w:outlineLvl w:val="9"/>
        <w:rPr>
          <w:rFonts w:hint="eastAsia" w:ascii="方正小标宋简体" w:hAnsi="方正小标宋简体" w:eastAsia="方正小标宋简体" w:cs="方正小标宋简体"/>
          <w:b w:val="0"/>
          <w:bCs w:val="0"/>
          <w:color w:val="auto"/>
          <w:sz w:val="36"/>
          <w:szCs w:val="36"/>
          <w:highlight w:val="none"/>
        </w:rPr>
      </w:pPr>
    </w:p>
    <w:p w14:paraId="7A3E3983">
      <w:pPr>
        <w:pageBreakBefore w:val="0"/>
        <w:widowControl/>
        <w:kinsoku/>
        <w:overflowPunct/>
        <w:topLinePunct w:val="0"/>
        <w:autoSpaceDE/>
        <w:autoSpaceDN/>
        <w:bidi w:val="0"/>
        <w:adjustRightInd w:val="0"/>
        <w:snapToGrid w:val="0"/>
        <w:spacing w:line="400" w:lineRule="exact"/>
        <w:ind w:firstLine="720" w:firstLineChars="200"/>
        <w:jc w:val="center"/>
        <w:outlineLvl w:val="9"/>
        <w:rPr>
          <w:rFonts w:hint="eastAsia" w:ascii="方正小标宋简体" w:hAnsi="方正小标宋简体" w:eastAsia="方正小标宋简体" w:cs="方正小标宋简体"/>
          <w:b w:val="0"/>
          <w:bCs w:val="0"/>
          <w:color w:val="auto"/>
          <w:sz w:val="36"/>
          <w:szCs w:val="36"/>
          <w:highlight w:val="none"/>
        </w:rPr>
      </w:pPr>
    </w:p>
    <w:p w14:paraId="1635C831">
      <w:pPr>
        <w:pageBreakBefore w:val="0"/>
        <w:widowControl/>
        <w:kinsoku/>
        <w:overflowPunct/>
        <w:topLinePunct w:val="0"/>
        <w:autoSpaceDE/>
        <w:autoSpaceDN/>
        <w:bidi w:val="0"/>
        <w:adjustRightInd w:val="0"/>
        <w:snapToGrid w:val="0"/>
        <w:spacing w:line="400" w:lineRule="exact"/>
        <w:ind w:firstLine="720" w:firstLineChars="200"/>
        <w:jc w:val="center"/>
        <w:outlineLvl w:val="9"/>
        <w:rPr>
          <w:rFonts w:hint="eastAsia" w:ascii="方正小标宋简体" w:hAnsi="方正小标宋简体" w:eastAsia="方正小标宋简体" w:cs="方正小标宋简体"/>
          <w:b w:val="0"/>
          <w:bCs w:val="0"/>
          <w:color w:val="auto"/>
          <w:sz w:val="36"/>
          <w:szCs w:val="36"/>
          <w:highlight w:val="none"/>
        </w:rPr>
      </w:pPr>
    </w:p>
    <w:p w14:paraId="026695DA">
      <w:pPr>
        <w:keepNext w:val="0"/>
        <w:keepLines w:val="0"/>
        <w:pageBreakBefore w:val="0"/>
        <w:widowControl/>
        <w:kinsoku/>
        <w:wordWrap/>
        <w:overflowPunct/>
        <w:topLinePunct w:val="0"/>
        <w:autoSpaceDE/>
        <w:autoSpaceDN/>
        <w:bidi w:val="0"/>
        <w:adjustRightInd w:val="0"/>
        <w:snapToGrid w:val="0"/>
        <w:spacing w:line="500" w:lineRule="exact"/>
        <w:ind w:firstLine="800" w:firstLineChars="200"/>
        <w:jc w:val="center"/>
        <w:textAlignment w:val="auto"/>
        <w:outlineLvl w:val="0"/>
        <w:rPr>
          <w:rFonts w:hint="eastAsia" w:asciiTheme="majorEastAsia" w:hAnsiTheme="majorEastAsia" w:eastAsiaTheme="majorEastAsia" w:cstheme="majorEastAsia"/>
          <w:b w:val="0"/>
          <w:bCs w:val="0"/>
          <w:color w:val="auto"/>
          <w:sz w:val="40"/>
          <w:szCs w:val="40"/>
          <w:highlight w:val="none"/>
        </w:rPr>
      </w:pPr>
      <w:r>
        <w:rPr>
          <w:rFonts w:hint="eastAsia" w:asciiTheme="majorEastAsia" w:hAnsiTheme="majorEastAsia" w:eastAsiaTheme="majorEastAsia" w:cstheme="majorEastAsia"/>
          <w:b w:val="0"/>
          <w:bCs w:val="0"/>
          <w:color w:val="auto"/>
          <w:sz w:val="40"/>
          <w:szCs w:val="40"/>
          <w:highlight w:val="none"/>
        </w:rPr>
        <w:t>安全生产责任书</w:t>
      </w:r>
      <w:bookmarkEnd w:id="1868"/>
      <w:bookmarkEnd w:id="1869"/>
    </w:p>
    <w:p w14:paraId="1FCC17B4">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45C98110">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4E6A853E">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0D0C0AAD">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4D267505">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395C59CD">
      <w:pPr>
        <w:pageBreakBefore w:val="0"/>
        <w:kinsoku/>
        <w:overflowPunct/>
        <w:topLinePunct w:val="0"/>
        <w:autoSpaceDE/>
        <w:autoSpaceDN/>
        <w:bidi w:val="0"/>
        <w:adjustRightInd w:val="0"/>
        <w:snapToGrid w:val="0"/>
        <w:spacing w:line="400" w:lineRule="exact"/>
        <w:ind w:firstLine="420" w:firstLineChars="200"/>
        <w:rPr>
          <w:rFonts w:hint="eastAsia" w:ascii="仿宋_GB2312" w:hAnsi="仿宋_GB2312" w:eastAsia="仿宋_GB2312" w:cs="仿宋_GB2312"/>
          <w:b w:val="0"/>
          <w:bCs w:val="0"/>
          <w:color w:val="auto"/>
          <w:highlight w:val="none"/>
        </w:rPr>
      </w:pPr>
    </w:p>
    <w:p w14:paraId="65E9039A">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63EDE799">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1D55009C">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6424E889">
      <w:pPr>
        <w:pageBreakBefore w:val="0"/>
        <w:kinsoku/>
        <w:overflowPunct/>
        <w:topLinePunct w:val="0"/>
        <w:autoSpaceDE/>
        <w:autoSpaceDN/>
        <w:bidi w:val="0"/>
        <w:adjustRightInd w:val="0"/>
        <w:snapToGrid w:val="0"/>
        <w:spacing w:line="400" w:lineRule="exact"/>
        <w:ind w:firstLine="420" w:firstLineChars="200"/>
        <w:jc w:val="center"/>
        <w:rPr>
          <w:rFonts w:hint="eastAsia" w:ascii="仿宋_GB2312" w:hAnsi="仿宋_GB2312" w:eastAsia="仿宋_GB2312" w:cs="仿宋_GB2312"/>
          <w:b w:val="0"/>
          <w:bCs w:val="0"/>
          <w:color w:val="auto"/>
          <w:highlight w:val="none"/>
        </w:rPr>
      </w:pPr>
    </w:p>
    <w:p w14:paraId="713F137A">
      <w:pPr>
        <w:pageBreakBefore w:val="0"/>
        <w:kinsoku/>
        <w:overflowPunct/>
        <w:topLinePunct w:val="0"/>
        <w:autoSpaceDE/>
        <w:autoSpaceDN/>
        <w:bidi w:val="0"/>
        <w:adjustRightInd w:val="0"/>
        <w:snapToGrid w:val="0"/>
        <w:spacing w:line="400" w:lineRule="exact"/>
        <w:ind w:firstLine="560" w:firstLineChars="200"/>
        <w:jc w:val="center"/>
        <w:outlineLvl w:val="0"/>
        <w:rPr>
          <w:rFonts w:hint="eastAsia" w:ascii="仿宋_GB2312" w:hAnsi="仿宋_GB2312" w:eastAsia="仿宋_GB2312" w:cs="仿宋_GB2312"/>
          <w:b w:val="0"/>
          <w:bCs w:val="0"/>
          <w:color w:val="auto"/>
          <w:sz w:val="28"/>
          <w:szCs w:val="28"/>
          <w:highlight w:val="none"/>
        </w:rPr>
      </w:pPr>
      <w:bookmarkStart w:id="1870" w:name="_Toc25302"/>
      <w:bookmarkStart w:id="1871" w:name="_Toc23082"/>
      <w:r>
        <w:rPr>
          <w:rFonts w:hint="eastAsia" w:ascii="仿宋_GB2312" w:hAnsi="仿宋_GB2312" w:eastAsia="仿宋_GB2312" w:cs="仿宋_GB2312"/>
          <w:b w:val="0"/>
          <w:bCs w:val="0"/>
          <w:color w:val="auto"/>
          <w:sz w:val="28"/>
          <w:szCs w:val="28"/>
          <w:highlight w:val="none"/>
        </w:rPr>
        <w:t>广东省源天工程有限公司</w:t>
      </w:r>
      <w:bookmarkEnd w:id="1870"/>
      <w:bookmarkEnd w:id="1871"/>
    </w:p>
    <w:p w14:paraId="7F229CEF">
      <w:pPr>
        <w:pageBreakBefore w:val="0"/>
        <w:widowControl/>
        <w:kinsoku/>
        <w:overflowPunct/>
        <w:topLinePunct w:val="0"/>
        <w:autoSpaceDE/>
        <w:autoSpaceDN/>
        <w:bidi w:val="0"/>
        <w:adjustRightInd w:val="0"/>
        <w:snapToGrid w:val="0"/>
        <w:spacing w:line="400" w:lineRule="exact"/>
        <w:ind w:firstLine="560" w:firstLineChars="200"/>
        <w:jc w:val="left"/>
        <w:rPr>
          <w:rFonts w:hint="eastAsia" w:ascii="仿宋_GB2312" w:hAnsi="仿宋_GB2312" w:eastAsia="仿宋_GB2312" w:cs="仿宋_GB2312"/>
          <w:b w:val="0"/>
          <w:bCs w:val="0"/>
          <w:color w:val="auto"/>
          <w:sz w:val="28"/>
          <w:szCs w:val="28"/>
          <w:highlight w:val="none"/>
        </w:rPr>
        <w:sectPr>
          <w:pgSz w:w="11906" w:h="16838"/>
          <w:pgMar w:top="2098" w:right="1474" w:bottom="1984" w:left="1587" w:header="850" w:footer="1587" w:gutter="0"/>
          <w:pgNumType w:fmt="numberInDash"/>
          <w:cols w:space="0" w:num="1"/>
          <w:rtlGutter w:val="0"/>
          <w:docGrid w:type="lines" w:linePitch="440" w:charSpace="0"/>
        </w:sectPr>
      </w:pPr>
    </w:p>
    <w:p w14:paraId="06D222B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为贯彻落实安全生产主体责任，层层压实安全生产责任制，有效控制各类伤亡和其它重大事故的发生，保障工程项目顺利实施。根据</w:t>
      </w:r>
      <w:r>
        <w:rPr>
          <w:rFonts w:hint="eastAsia" w:ascii="仿宋_GB2312" w:hAnsi="仿宋_GB2312" w:eastAsia="仿宋_GB2312" w:cs="仿宋_GB2312"/>
          <w:b w:val="0"/>
          <w:bCs w:val="0"/>
          <w:color w:val="auto"/>
          <w:sz w:val="24"/>
          <w:szCs w:val="24"/>
          <w:highlight w:val="none"/>
          <w:lang w:val="en-US" w:eastAsia="zh-CN"/>
        </w:rPr>
        <w:t>广东省源天工程有限</w:t>
      </w:r>
      <w:r>
        <w:rPr>
          <w:rFonts w:hint="eastAsia" w:ascii="仿宋_GB2312" w:hAnsi="仿宋_GB2312" w:eastAsia="仿宋_GB2312" w:cs="仿宋_GB2312"/>
          <w:b w:val="0"/>
          <w:bCs w:val="0"/>
          <w:color w:val="auto"/>
          <w:sz w:val="24"/>
          <w:szCs w:val="24"/>
          <w:highlight w:val="none"/>
        </w:rPr>
        <w:t>公司</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下称“源天公司”</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《安全生产责任制》等相关制度，特签订本责任书。</w:t>
      </w:r>
    </w:p>
    <w:p w14:paraId="1344688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责任范围：分包合同内所包含的施工作业范围的全部安全生产、消防安全和文明施工。</w:t>
      </w:r>
    </w:p>
    <w:p w14:paraId="06269D30">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一、安全管理目标、指标</w:t>
      </w:r>
    </w:p>
    <w:p w14:paraId="736C5B5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杜绝发生一般及以上生产安全责任事故；避免发生重伤事故，减小轻伤事故，频率控制在≤6‰。不发生火灾事故。无中毒、坍塌和机械事故发生。避免发生负同等级及以上责任的交通事故。职工职业病发病率控制在≤0.2‰。</w:t>
      </w:r>
    </w:p>
    <w:p w14:paraId="2EA76FDB">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安全教育和安全技术交底率100%；安全防护措施到位率100%；“三项人员”（项目负责人、安管人员、特种作业人员）持证上岗率100%；劳动用品配备保护率100%；安全隐患整改及时率100%；“危大工程”专项方案审批率100%；100%建立重大危险源清单和安全费用有效使用台账。</w:t>
      </w:r>
    </w:p>
    <w:p w14:paraId="5A87310D">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确保施工全过程的文明卫生，严格按照</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公司或当地规定做好场地布置及文明施工管理。</w:t>
      </w:r>
    </w:p>
    <w:p w14:paraId="0D0A897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（四）</w:t>
      </w:r>
      <w:r>
        <w:rPr>
          <w:rFonts w:hint="eastAsia" w:ascii="仿宋_GB2312" w:hAnsi="仿宋_GB2312" w:eastAsia="仿宋_GB2312" w:cs="仿宋_GB2312"/>
          <w:b w:val="0"/>
          <w:bCs w:val="0"/>
          <w:color w:val="auto"/>
          <w:sz w:val="24"/>
          <w:szCs w:val="24"/>
          <w:highlight w:val="none"/>
        </w:rPr>
        <w:t>重点消防部位消防设施配备100%；消防设施完好率100%；义务消防队员教育普及率100%；消防应急演练每年≥1次。</w:t>
      </w:r>
    </w:p>
    <w:p w14:paraId="448DCB9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有效控制重要环境因素，杜绝重大环境污染事故；防污治污达到排放标准；加强管理，节能降耗，提高经济效益。</w:t>
      </w:r>
    </w:p>
    <w:p w14:paraId="13EF498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（六）</w:t>
      </w:r>
      <w:r>
        <w:rPr>
          <w:rFonts w:hint="eastAsia" w:ascii="仿宋_GB2312" w:hAnsi="仿宋_GB2312" w:eastAsia="仿宋_GB2312" w:cs="仿宋_GB2312"/>
          <w:b w:val="0"/>
          <w:bCs w:val="0"/>
          <w:color w:val="auto"/>
          <w:sz w:val="24"/>
          <w:szCs w:val="24"/>
          <w:highlight w:val="none"/>
        </w:rPr>
        <w:t xml:space="preserve">安全文明创优目标  </w:t>
      </w:r>
    </w:p>
    <w:p w14:paraId="23B59431">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广州市、广东省</w:t>
      </w:r>
      <w:r>
        <w:rPr>
          <w:rFonts w:hint="eastAsia" w:ascii="仿宋_GB2312" w:hAnsi="仿宋_GB2312" w:eastAsia="仿宋_GB2312" w:cs="仿宋_GB2312"/>
          <w:b w:val="0"/>
          <w:bCs w:val="0"/>
          <w:color w:val="auto"/>
          <w:sz w:val="24"/>
          <w:szCs w:val="24"/>
          <w:highlight w:val="none"/>
        </w:rPr>
        <w:t>安全文明示范工地。</w:t>
      </w:r>
    </w:p>
    <w:p w14:paraId="750D4482">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二、工作要求</w:t>
      </w:r>
    </w:p>
    <w:p w14:paraId="44CFDD2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认真贯彻执行国家安全法律法规，行业、上级颁发和项目经理部制订的规章制度、办法细则。</w:t>
      </w:r>
    </w:p>
    <w:p w14:paraId="5F692549">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运行</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公司的安全生产管理体系。</w:t>
      </w:r>
    </w:p>
    <w:p w14:paraId="7E6032F8">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组织员工安全培训教育。认真落实工前安排、工中检查、工后讲评，特种作业人员持证上岗制度。</w:t>
      </w:r>
    </w:p>
    <w:p w14:paraId="6DB11C94">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（四）</w:t>
      </w:r>
      <w:r>
        <w:rPr>
          <w:rFonts w:hint="eastAsia" w:ascii="仿宋_GB2312" w:hAnsi="仿宋_GB2312" w:eastAsia="仿宋_GB2312" w:cs="仿宋_GB2312"/>
          <w:b w:val="0"/>
          <w:bCs w:val="0"/>
          <w:color w:val="auto"/>
          <w:sz w:val="24"/>
          <w:szCs w:val="24"/>
          <w:highlight w:val="none"/>
        </w:rPr>
        <w:t>落实安全技术措施和安全投入的执行人员、完成时间、地点、数量和标准，确保实现安全生产。</w:t>
      </w:r>
    </w:p>
    <w:p w14:paraId="43318DA5">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（五）</w:t>
      </w:r>
      <w:r>
        <w:rPr>
          <w:rFonts w:hint="eastAsia" w:ascii="仿宋_GB2312" w:hAnsi="仿宋_GB2312" w:eastAsia="仿宋_GB2312" w:cs="仿宋_GB2312"/>
          <w:b w:val="0"/>
          <w:bCs w:val="0"/>
          <w:color w:val="auto"/>
          <w:sz w:val="24"/>
          <w:szCs w:val="24"/>
          <w:highlight w:val="none"/>
        </w:rPr>
        <w:t>落实施工组织设计中的安全技术措施及危险性较大工程专项方案。</w:t>
      </w:r>
    </w:p>
    <w:p w14:paraId="2123FE0E">
      <w:pPr>
        <w:keepNext w:val="0"/>
        <w:keepLines w:val="0"/>
        <w:pageBreakBefore w:val="0"/>
        <w:widowControl w:val="0"/>
        <w:kinsoku/>
        <w:wordWrap/>
        <w:overflowPunct/>
        <w:topLinePunct w:val="0"/>
        <w:autoSpaceDE/>
        <w:autoSpaceDN/>
        <w:bidi w:val="0"/>
        <w:adjustRightInd w:val="0"/>
        <w:snapToGrid w:val="0"/>
        <w:spacing w:line="390" w:lineRule="exact"/>
        <w:ind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（六）</w:t>
      </w:r>
      <w:r>
        <w:rPr>
          <w:rFonts w:hint="eastAsia" w:ascii="仿宋_GB2312" w:hAnsi="仿宋_GB2312" w:eastAsia="仿宋_GB2312" w:cs="仿宋_GB2312"/>
          <w:b w:val="0"/>
          <w:bCs w:val="0"/>
          <w:color w:val="auto"/>
          <w:sz w:val="24"/>
          <w:szCs w:val="24"/>
          <w:highlight w:val="none"/>
        </w:rPr>
        <w:t>负责本作业项目危险源控制，具体实施重大危险源控制、应急预案和保证安全的措施。并将作业场所和工作岗位存在的危险因素及措施和预案告知员工。</w:t>
      </w:r>
    </w:p>
    <w:p w14:paraId="52C1AAE6">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（七）</w:t>
      </w:r>
      <w:r>
        <w:rPr>
          <w:rFonts w:hint="eastAsia" w:ascii="仿宋_GB2312" w:hAnsi="仿宋_GB2312" w:eastAsia="仿宋_GB2312" w:cs="仿宋_GB2312"/>
          <w:b w:val="0"/>
          <w:bCs w:val="0"/>
          <w:color w:val="auto"/>
          <w:sz w:val="24"/>
          <w:szCs w:val="24"/>
          <w:highlight w:val="none"/>
        </w:rPr>
        <w:t>定期或不定期组织有关人员参加的安全检查和安全生产事故隐患排查治理，发现问题应及时解决，并形成书面材料。</w:t>
      </w:r>
    </w:p>
    <w:p w14:paraId="79C67FB6">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（八）</w:t>
      </w:r>
      <w:r>
        <w:rPr>
          <w:rFonts w:hint="eastAsia" w:ascii="仿宋_GB2312" w:hAnsi="仿宋_GB2312" w:eastAsia="仿宋_GB2312" w:cs="仿宋_GB2312"/>
          <w:b w:val="0"/>
          <w:bCs w:val="0"/>
          <w:color w:val="auto"/>
          <w:sz w:val="24"/>
          <w:szCs w:val="24"/>
          <w:highlight w:val="none"/>
        </w:rPr>
        <w:t>按规定为从事施工作业的人员办理安全生产责任保险。及时购置、发放施工防护和防寒用品。</w:t>
      </w:r>
    </w:p>
    <w:p w14:paraId="23B63854">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（九）</w:t>
      </w:r>
      <w:r>
        <w:rPr>
          <w:rFonts w:hint="eastAsia" w:ascii="仿宋_GB2312" w:hAnsi="仿宋_GB2312" w:eastAsia="仿宋_GB2312" w:cs="仿宋_GB2312"/>
          <w:b w:val="0"/>
          <w:bCs w:val="0"/>
          <w:color w:val="auto"/>
          <w:sz w:val="24"/>
          <w:szCs w:val="24"/>
          <w:highlight w:val="none"/>
        </w:rPr>
        <w:t>协助轻、重伤事故及重大未遂事故的调查、分析，实施防止事故重复发生的措施。</w:t>
      </w:r>
    </w:p>
    <w:p w14:paraId="54C0E049">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w:t>
      </w:r>
      <w:r>
        <w:rPr>
          <w:rFonts w:hint="eastAsia" w:ascii="仿宋_GB2312" w:hAnsi="仿宋_GB2312" w:eastAsia="仿宋_GB2312" w:cs="仿宋_GB2312"/>
          <w:b w:val="0"/>
          <w:bCs w:val="0"/>
          <w:color w:val="auto"/>
          <w:sz w:val="24"/>
          <w:szCs w:val="24"/>
          <w:highlight w:val="none"/>
        </w:rPr>
        <w:t>严格执行</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公司控制重大危险源管理制度。</w:t>
      </w:r>
    </w:p>
    <w:p w14:paraId="3F2AFAE9">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（十一）</w:t>
      </w:r>
      <w:r>
        <w:rPr>
          <w:rFonts w:hint="eastAsia" w:ascii="仿宋_GB2312" w:hAnsi="仿宋_GB2312" w:eastAsia="仿宋_GB2312" w:cs="仿宋_GB2312"/>
          <w:b w:val="0"/>
          <w:bCs w:val="0"/>
          <w:color w:val="auto"/>
          <w:sz w:val="24"/>
          <w:szCs w:val="24"/>
          <w:highlight w:val="none"/>
        </w:rPr>
        <w:t>落实本作业项目安全生产的奖惩。</w:t>
      </w:r>
    </w:p>
    <w:p w14:paraId="51A8DA8D">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三、考核与奖惩</w:t>
      </w:r>
    </w:p>
    <w:p w14:paraId="41651F5E">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（一）</w:t>
      </w:r>
      <w:r>
        <w:rPr>
          <w:rFonts w:hint="eastAsia" w:ascii="仿宋_GB2312" w:hAnsi="仿宋_GB2312" w:eastAsia="仿宋_GB2312" w:cs="仿宋_GB2312"/>
          <w:b w:val="0"/>
          <w:bCs w:val="0"/>
          <w:color w:val="auto"/>
          <w:sz w:val="24"/>
          <w:szCs w:val="24"/>
          <w:highlight w:val="none"/>
        </w:rPr>
        <w:t>责任期：</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年</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月</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日至</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年</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月</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日。</w:t>
      </w:r>
    </w:p>
    <w:p w14:paraId="051F4C52">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（二）</w:t>
      </w:r>
      <w:r>
        <w:rPr>
          <w:rFonts w:hint="eastAsia" w:ascii="仿宋_GB2312" w:hAnsi="仿宋_GB2312" w:eastAsia="仿宋_GB2312" w:cs="仿宋_GB2312"/>
          <w:b w:val="0"/>
          <w:bCs w:val="0"/>
          <w:color w:val="auto"/>
          <w:sz w:val="24"/>
          <w:szCs w:val="24"/>
          <w:highlight w:val="none"/>
        </w:rPr>
        <w:t>工程项目部根据本责任书及</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公司安全生产管理制度相关条款及项目部根据</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公司相关制度细化的实施细则，对分包单位进行安全生产和消防安全工作绩效考评与奖罚。</w:t>
      </w:r>
    </w:p>
    <w:p w14:paraId="3207490E">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楷体_GB2312" w:hAnsi="楷体_GB2312" w:eastAsia="楷体_GB2312" w:cs="楷体_GB2312"/>
          <w:b w:val="0"/>
          <w:bCs w:val="0"/>
          <w:color w:val="auto"/>
          <w:sz w:val="24"/>
          <w:szCs w:val="24"/>
          <w:highlight w:val="none"/>
        </w:rPr>
        <w:t>（三）</w:t>
      </w:r>
      <w:r>
        <w:rPr>
          <w:rFonts w:hint="eastAsia" w:ascii="仿宋_GB2312" w:hAnsi="仿宋_GB2312" w:eastAsia="仿宋_GB2312" w:cs="仿宋_GB2312"/>
          <w:b w:val="0"/>
          <w:bCs w:val="0"/>
          <w:color w:val="auto"/>
          <w:sz w:val="24"/>
          <w:szCs w:val="24"/>
          <w:highlight w:val="none"/>
        </w:rPr>
        <w:t>对责任期内安全管理状况不佳（包括但不限于发生生产安全责任事故等）或被有关监管部门通报处罚的情况，</w:t>
      </w:r>
      <w:r>
        <w:rPr>
          <w:rFonts w:hint="eastAsia" w:ascii="仿宋_GB2312" w:hAnsi="仿宋_GB2312" w:eastAsia="仿宋_GB2312" w:cs="仿宋_GB2312"/>
          <w:b w:val="0"/>
          <w:bCs w:val="0"/>
          <w:color w:val="auto"/>
          <w:sz w:val="24"/>
          <w:szCs w:val="24"/>
          <w:highlight w:val="none"/>
          <w:lang w:val="en-US" w:eastAsia="zh-CN"/>
        </w:rPr>
        <w:t>源天</w:t>
      </w:r>
      <w:r>
        <w:rPr>
          <w:rFonts w:hint="eastAsia" w:ascii="仿宋_GB2312" w:hAnsi="仿宋_GB2312" w:eastAsia="仿宋_GB2312" w:cs="仿宋_GB2312"/>
          <w:b w:val="0"/>
          <w:bCs w:val="0"/>
          <w:color w:val="auto"/>
          <w:sz w:val="24"/>
          <w:szCs w:val="24"/>
          <w:highlight w:val="none"/>
        </w:rPr>
        <w:t>公司将按规定予以约谈、经济处罚和清退。</w:t>
      </w:r>
    </w:p>
    <w:p w14:paraId="1E91FDAF">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 </w:t>
      </w:r>
    </w:p>
    <w:p w14:paraId="113BF973">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总包单位：广东省源天工程有限公司                      </w:t>
      </w:r>
    </w:p>
    <w:p w14:paraId="52D92A08">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负责人（或授权代表）：                                      </w:t>
      </w:r>
    </w:p>
    <w:p w14:paraId="5AFDA120">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年   月   日  </w:t>
      </w:r>
    </w:p>
    <w:p w14:paraId="448CCB96">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p>
    <w:p w14:paraId="2A00838A">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分包单位： </w:t>
      </w:r>
    </w:p>
    <w:p w14:paraId="547AAA32">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负责人（或授权代表）：                   </w:t>
      </w:r>
    </w:p>
    <w:p w14:paraId="26CD4BFC">
      <w:pPr>
        <w:pageBreakBefore w:val="0"/>
        <w:kinsoku/>
        <w:overflowPunct/>
        <w:topLinePunct w:val="0"/>
        <w:autoSpaceDE/>
        <w:autoSpaceDN/>
        <w:bidi w:val="0"/>
        <w:adjustRightInd w:val="0"/>
        <w:snapToGrid w:val="0"/>
        <w:spacing w:line="400" w:lineRule="exact"/>
        <w:ind w:firstLine="480" w:firstLineChars="200"/>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sz w:val="24"/>
          <w:szCs w:val="24"/>
          <w:highlight w:val="none"/>
        </w:rPr>
        <w:t xml:space="preserve">                    年   月   日</w:t>
      </w:r>
      <w:r>
        <w:rPr>
          <w:rFonts w:hint="eastAsia" w:ascii="仿宋_GB2312" w:hAnsi="仿宋_GB2312" w:eastAsia="仿宋_GB2312" w:cs="仿宋_GB2312"/>
          <w:b w:val="0"/>
          <w:bCs w:val="0"/>
          <w:color w:val="auto"/>
          <w:kern w:val="0"/>
          <w:sz w:val="24"/>
          <w:szCs w:val="24"/>
          <w:highlight w:val="none"/>
        </w:rPr>
        <w:t xml:space="preserve"> </w:t>
      </w:r>
    </w:p>
    <w:p w14:paraId="1AD6E5D6">
      <w:pPr>
        <w:rPr>
          <w:rFonts w:hint="eastAsia" w:ascii="仿宋_GB2312" w:hAnsi="仿宋_GB2312" w:eastAsia="仿宋_GB2312" w:cs="仿宋_GB2312"/>
          <w:b w:val="0"/>
          <w:bCs w:val="0"/>
          <w:color w:val="auto"/>
          <w:kern w:val="0"/>
          <w:sz w:val="24"/>
          <w:szCs w:val="24"/>
          <w:highlight w:val="none"/>
        </w:rPr>
      </w:pPr>
      <w:r>
        <w:rPr>
          <w:rFonts w:hint="eastAsia" w:ascii="仿宋_GB2312" w:hAnsi="仿宋_GB2312" w:eastAsia="仿宋_GB2312" w:cs="仿宋_GB2312"/>
          <w:b w:val="0"/>
          <w:bCs w:val="0"/>
          <w:color w:val="auto"/>
          <w:kern w:val="0"/>
          <w:sz w:val="24"/>
          <w:szCs w:val="24"/>
          <w:highlight w:val="none"/>
        </w:rPr>
        <w:br w:type="page"/>
      </w:r>
    </w:p>
    <w:p w14:paraId="1A6A8D5A">
      <w:pPr>
        <w:pStyle w:val="4"/>
        <w:pageBreakBefore w:val="0"/>
        <w:widowControl w:val="0"/>
        <w:kinsoku/>
        <w:overflowPunct/>
        <w:topLinePunct w:val="0"/>
        <w:autoSpaceDE/>
        <w:autoSpaceDN/>
        <w:bidi w:val="0"/>
        <w:adjustRightInd w:val="0"/>
        <w:snapToGrid w:val="0"/>
        <w:spacing w:before="120" w:beforeLines="50" w:after="120" w:afterLines="50" w:line="400" w:lineRule="exact"/>
        <w:rPr>
          <w:rFonts w:hint="eastAsia" w:ascii="仿宋_GB2312" w:hAnsi="仿宋_GB2312" w:eastAsia="仿宋_GB2312" w:cs="仿宋_GB2312"/>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7</w:t>
      </w:r>
      <w:r>
        <w:rPr>
          <w:rFonts w:hint="eastAsia" w:ascii="仿宋_GB2312" w:hAnsi="仿宋_GB2312" w:eastAsia="仿宋_GB2312" w:cs="仿宋_GB2312"/>
          <w:b w:val="0"/>
          <w:bCs w:val="0"/>
          <w:color w:val="auto"/>
          <w:kern w:val="0"/>
          <w:sz w:val="32"/>
          <w:szCs w:val="32"/>
          <w:highlight w:val="none"/>
        </w:rPr>
        <w:t xml:space="preserve"> </w:t>
      </w:r>
      <w:bookmarkStart w:id="1872" w:name="_Toc31720"/>
    </w:p>
    <w:bookmarkEnd w:id="1872"/>
    <w:p w14:paraId="2E915AAB">
      <w:pPr>
        <w:pStyle w:val="5"/>
        <w:keepNext/>
        <w:keepLines/>
        <w:pageBreakBefore w:val="0"/>
        <w:widowControl w:val="0"/>
        <w:kinsoku/>
        <w:wordWrap/>
        <w:overflowPunct/>
        <w:topLinePunct w:val="0"/>
        <w:autoSpaceDE/>
        <w:autoSpaceDN/>
        <w:bidi w:val="0"/>
        <w:adjustRightInd/>
        <w:snapToGrid/>
        <w:spacing w:before="0" w:after="0" w:line="500" w:lineRule="exact"/>
        <w:jc w:val="center"/>
        <w:textAlignment w:val="auto"/>
        <w:rPr>
          <w:rFonts w:ascii="方正小标宋简体" w:hAnsi="方正小标宋简体" w:eastAsia="方正小标宋简体" w:cs="方正小标宋简体"/>
          <w:b w:val="0"/>
          <w:bCs w:val="0"/>
          <w:color w:val="auto"/>
          <w:sz w:val="40"/>
          <w:szCs w:val="40"/>
          <w:highlight w:val="none"/>
        </w:rPr>
      </w:pPr>
      <w:r>
        <w:rPr>
          <w:rFonts w:hint="eastAsia" w:asciiTheme="majorEastAsia" w:hAnsiTheme="majorEastAsia" w:eastAsiaTheme="majorEastAsia" w:cstheme="majorEastAsia"/>
          <w:b w:val="0"/>
          <w:bCs w:val="0"/>
          <w:color w:val="auto"/>
          <w:sz w:val="40"/>
          <w:szCs w:val="40"/>
          <w:highlight w:val="none"/>
        </w:rPr>
        <w:t>廉政建设协议书</w:t>
      </w:r>
    </w:p>
    <w:p w14:paraId="3B2723A8">
      <w:pPr>
        <w:keepNext w:val="0"/>
        <w:keepLines w:val="0"/>
        <w:pageBreakBefore w:val="0"/>
        <w:widowControl w:val="0"/>
        <w:kinsoku/>
        <w:overflowPunct/>
        <w:topLinePunct w:val="0"/>
        <w:bidi w:val="0"/>
        <w:spacing w:line="440" w:lineRule="exact"/>
        <w:rPr>
          <w:rFonts w:hint="default"/>
          <w:color w:val="auto"/>
          <w:highlight w:val="none"/>
        </w:rPr>
      </w:pPr>
    </w:p>
    <w:p w14:paraId="0550B1EC">
      <w:pPr>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甲方</w:t>
      </w:r>
      <w:r>
        <w:rPr>
          <w:rFonts w:hint="eastAsia" w:ascii="仿宋_GB2312" w:hAnsi="仿宋_GB2312" w:eastAsia="仿宋_GB2312" w:cs="仿宋_GB2312"/>
          <w:b w:val="0"/>
          <w:bCs w:val="0"/>
          <w:color w:val="auto"/>
          <w:sz w:val="24"/>
          <w:szCs w:val="24"/>
          <w:highlight w:val="none"/>
        </w:rPr>
        <w:t xml:space="preserve">（全称）： </w:t>
      </w:r>
      <w:r>
        <w:rPr>
          <w:rFonts w:hint="eastAsia" w:ascii="仿宋_GB2312" w:hAnsi="仿宋_GB2312" w:eastAsia="仿宋_GB2312" w:cs="仿宋_GB2312"/>
          <w:b w:val="0"/>
          <w:bCs w:val="0"/>
          <w:color w:val="auto"/>
          <w:sz w:val="24"/>
          <w:szCs w:val="24"/>
          <w:highlight w:val="none"/>
          <w:u w:val="single"/>
        </w:rPr>
        <w:t>广东省源天工程有限公司</w:t>
      </w:r>
      <w:r>
        <w:rPr>
          <w:rFonts w:hint="eastAsia" w:ascii="仿宋_GB2312" w:hAnsi="仿宋_GB2312" w:eastAsia="仿宋_GB2312" w:cs="仿宋_GB2312"/>
          <w:b w:val="0"/>
          <w:bCs w:val="0"/>
          <w:color w:val="auto"/>
          <w:sz w:val="24"/>
          <w:szCs w:val="24"/>
          <w:highlight w:val="none"/>
        </w:rPr>
        <w:t xml:space="preserve">  </w:t>
      </w:r>
    </w:p>
    <w:p w14:paraId="1E57C2F7">
      <w:pPr>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乙方</w:t>
      </w:r>
      <w:r>
        <w:rPr>
          <w:rFonts w:hint="eastAsia" w:ascii="仿宋_GB2312" w:hAnsi="仿宋_GB2312" w:eastAsia="仿宋_GB2312" w:cs="仿宋_GB2312"/>
          <w:b w:val="0"/>
          <w:bCs w:val="0"/>
          <w:color w:val="auto"/>
          <w:sz w:val="24"/>
          <w:szCs w:val="24"/>
          <w:highlight w:val="none"/>
        </w:rPr>
        <w:t xml:space="preserve">（全称）： </w:t>
      </w:r>
      <w:r>
        <w:rPr>
          <w:rFonts w:hint="eastAsia" w:ascii="仿宋_GB2312" w:hAnsi="仿宋_GB2312" w:eastAsia="仿宋_GB2312" w:cs="仿宋_GB2312"/>
          <w:b w:val="0"/>
          <w:bCs w:val="0"/>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 xml:space="preserve">  </w:t>
      </w:r>
    </w:p>
    <w:p w14:paraId="44250177">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p>
    <w:p w14:paraId="52AEFC3C">
      <w:pPr>
        <w:pStyle w:val="6"/>
        <w:keepNext w:val="0"/>
        <w:keepLines w:val="0"/>
        <w:pageBreakBefore w:val="0"/>
        <w:widowControl w:val="0"/>
        <w:kinsoku/>
        <w:overflowPunct/>
        <w:topLinePunct w:val="0"/>
        <w:autoSpaceDE w:val="0"/>
        <w:autoSpaceDN w:val="0"/>
        <w:bidi w:val="0"/>
        <w:adjustRightInd w:val="0"/>
        <w:snapToGrid w:val="0"/>
        <w:spacing w:after="0" w:line="440" w:lineRule="exact"/>
        <w:ind w:left="0" w:leftChars="0" w:right="0" w:rightChars="0" w:firstLine="480" w:firstLineChars="200"/>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为了加强廉政建设，使</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双方遵纪守法，廉洁自律，防止在</w:t>
      </w:r>
      <w:r>
        <w:rPr>
          <w:rFonts w:hint="eastAsia" w:ascii="仿宋_GB2312" w:hAnsi="仿宋_GB2312" w:eastAsia="仿宋_GB2312" w:cs="仿宋_GB2312"/>
          <w:b w:val="0"/>
          <w:bCs w:val="0"/>
          <w:color w:val="auto"/>
          <w:sz w:val="24"/>
          <w:szCs w:val="24"/>
          <w:highlight w:val="none"/>
          <w:lang w:val="en-US" w:eastAsia="zh-CN"/>
        </w:rPr>
        <w:t>工作</w:t>
      </w:r>
      <w:r>
        <w:rPr>
          <w:rFonts w:hint="eastAsia" w:ascii="仿宋_GB2312" w:hAnsi="仿宋_GB2312" w:eastAsia="仿宋_GB2312" w:cs="仿宋_GB2312"/>
          <w:b w:val="0"/>
          <w:bCs w:val="0"/>
          <w:color w:val="auto"/>
          <w:sz w:val="24"/>
          <w:szCs w:val="24"/>
          <w:highlight w:val="none"/>
        </w:rPr>
        <w:t>中产生不正之风及腐败现象。共同营造一个公平、公正的工作环境，树立正气，抵制不正之风。</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双方执行以下权利及义务：</w:t>
      </w:r>
    </w:p>
    <w:p w14:paraId="1FB1FBA5">
      <w:pPr>
        <w:pStyle w:val="6"/>
        <w:keepNext w:val="0"/>
        <w:keepLines w:val="0"/>
        <w:pageBreakBefore w:val="0"/>
        <w:widowControl w:val="0"/>
        <w:kinsoku/>
        <w:overflowPunct/>
        <w:topLinePunct w:val="0"/>
        <w:autoSpaceDE w:val="0"/>
        <w:autoSpaceDN w:val="0"/>
        <w:bidi w:val="0"/>
        <w:adjustRightInd w:val="0"/>
        <w:snapToGrid w:val="0"/>
        <w:spacing w:after="0" w:line="440" w:lineRule="exact"/>
        <w:ind w:left="0" w:leftChars="0" w:right="0" w:rightChars="0" w:firstLine="480" w:firstLineChars="200"/>
        <w:jc w:val="left"/>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w:t>
      </w:r>
      <w:r>
        <w:rPr>
          <w:rFonts w:hint="eastAsia" w:ascii="黑体" w:hAnsi="黑体" w:eastAsia="黑体" w:cs="黑体"/>
          <w:b w:val="0"/>
          <w:bCs w:val="0"/>
          <w:color w:val="auto"/>
          <w:sz w:val="24"/>
          <w:szCs w:val="24"/>
          <w:highlight w:val="none"/>
          <w:lang w:val="en-US" w:eastAsia="zh-CN"/>
        </w:rPr>
        <w:t>甲方的</w:t>
      </w:r>
      <w:r>
        <w:rPr>
          <w:rFonts w:hint="eastAsia" w:ascii="黑体" w:hAnsi="黑体" w:eastAsia="黑体" w:cs="黑体"/>
          <w:b w:val="0"/>
          <w:bCs w:val="0"/>
          <w:color w:val="auto"/>
          <w:sz w:val="24"/>
          <w:szCs w:val="24"/>
          <w:highlight w:val="none"/>
        </w:rPr>
        <w:t>义务</w:t>
      </w:r>
    </w:p>
    <w:p w14:paraId="10604831">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教育和监督有关工作人员遵守国家法律、法规以及有关党风廉政建设的有关规定，廉洁自律。</w:t>
      </w:r>
    </w:p>
    <w:p w14:paraId="3F79D4F3">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严禁工作人员利用职务之便在</w:t>
      </w:r>
      <w:r>
        <w:rPr>
          <w:rFonts w:hint="eastAsia" w:ascii="仿宋_GB2312" w:hAnsi="仿宋_GB2312" w:eastAsia="仿宋_GB2312" w:cs="仿宋_GB2312"/>
          <w:b w:val="0"/>
          <w:bCs w:val="0"/>
          <w:color w:val="auto"/>
          <w:sz w:val="24"/>
          <w:szCs w:val="24"/>
          <w:highlight w:val="none"/>
          <w:lang w:val="en-US" w:eastAsia="zh-CN"/>
        </w:rPr>
        <w:t>工作</w:t>
      </w:r>
      <w:r>
        <w:rPr>
          <w:rFonts w:hint="eastAsia" w:ascii="仿宋_GB2312" w:hAnsi="仿宋_GB2312" w:eastAsia="仿宋_GB2312" w:cs="仿宋_GB2312"/>
          <w:b w:val="0"/>
          <w:bCs w:val="0"/>
          <w:color w:val="auto"/>
          <w:sz w:val="24"/>
          <w:szCs w:val="24"/>
          <w:highlight w:val="none"/>
        </w:rPr>
        <w:t>中向</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谋求不正当的个人利益，包括索取或接受回扣等好处。</w:t>
      </w:r>
    </w:p>
    <w:p w14:paraId="3C0B9B6D">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工作人员严禁在与</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业务交往中接受</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的礼金物品、有价证券等，不得要求</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为其报销或支付由个人支付的费用。</w:t>
      </w:r>
    </w:p>
    <w:p w14:paraId="27297658">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严禁</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工作人员参加</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组织的可能影响公正执行公务的各类宴请及娱乐活动。</w:t>
      </w:r>
    </w:p>
    <w:p w14:paraId="255EE7C1">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严禁</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工作人员要求和接受</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为其装修住房、提供兼职等便利。</w:t>
      </w:r>
    </w:p>
    <w:p w14:paraId="09A3BA0A">
      <w:pPr>
        <w:keepNext w:val="0"/>
        <w:keepLines w:val="0"/>
        <w:pageBreakBefore w:val="0"/>
        <w:widowControl w:val="0"/>
        <w:kinsoku/>
        <w:wordWrap w:val="0"/>
        <w:overflowPunct/>
        <w:topLinePunct w:val="0"/>
        <w:autoSpaceDE w:val="0"/>
        <w:autoSpaceDN w:val="0"/>
        <w:bidi w:val="0"/>
        <w:adjustRightInd w:val="0"/>
        <w:snapToGrid w:val="0"/>
        <w:spacing w:line="440" w:lineRule="exact"/>
        <w:ind w:left="0" w:leftChars="0" w:right="0" w:rightChars="0" w:firstLine="480" w:firstLineChars="200"/>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二、</w:t>
      </w:r>
      <w:r>
        <w:rPr>
          <w:rFonts w:hint="eastAsia" w:ascii="黑体" w:hAnsi="黑体" w:eastAsia="黑体" w:cs="黑体"/>
          <w:b w:val="0"/>
          <w:bCs w:val="0"/>
          <w:color w:val="auto"/>
          <w:sz w:val="24"/>
          <w:szCs w:val="24"/>
          <w:highlight w:val="none"/>
          <w:lang w:eastAsia="zh-CN"/>
        </w:rPr>
        <w:t>乙方</w:t>
      </w:r>
      <w:r>
        <w:rPr>
          <w:rFonts w:hint="eastAsia" w:ascii="黑体" w:hAnsi="黑体" w:eastAsia="黑体" w:cs="黑体"/>
          <w:b w:val="0"/>
          <w:bCs w:val="0"/>
          <w:color w:val="auto"/>
          <w:sz w:val="24"/>
          <w:szCs w:val="24"/>
          <w:highlight w:val="none"/>
        </w:rPr>
        <w:t>的义务</w:t>
      </w:r>
    </w:p>
    <w:p w14:paraId="72F65279">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工作人员不得向</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工作人员行贿、提供回扣或者其他好处等不正当手段承揽分包工程或谋求取得材料设备的采购权。</w:t>
      </w:r>
    </w:p>
    <w:p w14:paraId="6D3A6F8D">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不得为谋求私利擅自与</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工作人员就工程分包、</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结算或验收中，就材料质量、价格、数量等问题在进行私下商谈或达成某种默契及协议。</w:t>
      </w:r>
    </w:p>
    <w:p w14:paraId="2DF25251">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不得以洽谈业务、签订合同为借口，邀请</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工作人员外出旅游、宴请或进入娱乐场所。</w:t>
      </w:r>
    </w:p>
    <w:p w14:paraId="7EE6654D">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不得为</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工作人员购置或者无偿提供交通工具、通讯工具和其他物品。</w:t>
      </w:r>
    </w:p>
    <w:p w14:paraId="40C60D9F">
      <w:pPr>
        <w:keepNext w:val="0"/>
        <w:keepLines w:val="0"/>
        <w:pageBreakBefore w:val="0"/>
        <w:widowControl w:val="0"/>
        <w:kinsoku/>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有关人员向</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反映问题和了解情况时，</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应给予支持和配合。</w:t>
      </w:r>
    </w:p>
    <w:p w14:paraId="024F8C2E">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6.乙方不得实施伪造承包方公章，签字或其他违反诚实信用原则的行为。</w:t>
      </w:r>
    </w:p>
    <w:p w14:paraId="2E10FC8B">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rPr>
        <w:t>三、</w:t>
      </w:r>
      <w:r>
        <w:rPr>
          <w:rFonts w:hint="eastAsia" w:ascii="黑体" w:hAnsi="黑体" w:eastAsia="黑体" w:cs="黑体"/>
          <w:b w:val="0"/>
          <w:bCs w:val="0"/>
          <w:color w:val="auto"/>
          <w:sz w:val="24"/>
          <w:szCs w:val="24"/>
          <w:highlight w:val="none"/>
          <w:lang w:eastAsia="zh-CN"/>
        </w:rPr>
        <w:t>甲方</w:t>
      </w:r>
      <w:r>
        <w:rPr>
          <w:rFonts w:hint="eastAsia" w:ascii="黑体" w:hAnsi="黑体" w:eastAsia="黑体" w:cs="黑体"/>
          <w:b w:val="0"/>
          <w:bCs w:val="0"/>
          <w:color w:val="auto"/>
          <w:sz w:val="24"/>
          <w:szCs w:val="24"/>
          <w:highlight w:val="none"/>
          <w:lang w:val="en-US" w:eastAsia="zh-CN"/>
        </w:rPr>
        <w:t>的</w:t>
      </w:r>
      <w:r>
        <w:rPr>
          <w:rFonts w:hint="eastAsia" w:ascii="黑体" w:hAnsi="黑体" w:eastAsia="黑体" w:cs="黑体"/>
          <w:b w:val="0"/>
          <w:bCs w:val="0"/>
          <w:color w:val="auto"/>
          <w:sz w:val="24"/>
          <w:szCs w:val="24"/>
          <w:highlight w:val="none"/>
        </w:rPr>
        <w:t>权利</w:t>
      </w:r>
      <w:r>
        <w:rPr>
          <w:rFonts w:hint="eastAsia" w:ascii="仿宋_GB2312" w:hAnsi="仿宋_GB2312" w:eastAsia="仿宋_GB2312" w:cs="仿宋_GB2312"/>
          <w:b w:val="0"/>
          <w:bCs w:val="0"/>
          <w:color w:val="auto"/>
          <w:sz w:val="24"/>
          <w:szCs w:val="24"/>
          <w:highlight w:val="none"/>
        </w:rPr>
        <w:t xml:space="preserve"> </w:t>
      </w:r>
    </w:p>
    <w:p w14:paraId="7601544A">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发现采取不正当手段行贿</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工作人员的，</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有权对</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有关人员进行调查取证，</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应予配合。</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将根据</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的违纪情况追究</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的违纪责任，由此给</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造成的损失应由</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承担。</w:t>
      </w:r>
    </w:p>
    <w:p w14:paraId="25371502">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工作人员在工</w:t>
      </w:r>
      <w:r>
        <w:rPr>
          <w:rFonts w:hint="eastAsia" w:ascii="仿宋_GB2312" w:hAnsi="仿宋_GB2312" w:eastAsia="仿宋_GB2312" w:cs="仿宋_GB2312"/>
          <w:b w:val="0"/>
          <w:bCs w:val="0"/>
          <w:color w:val="auto"/>
          <w:sz w:val="24"/>
          <w:szCs w:val="24"/>
          <w:highlight w:val="none"/>
          <w:lang w:val="en-US" w:eastAsia="zh-CN"/>
        </w:rPr>
        <w:t>作</w:t>
      </w:r>
      <w:r>
        <w:rPr>
          <w:rFonts w:hint="eastAsia" w:ascii="仿宋_GB2312" w:hAnsi="仿宋_GB2312" w:eastAsia="仿宋_GB2312" w:cs="仿宋_GB2312"/>
          <w:b w:val="0"/>
          <w:bCs w:val="0"/>
          <w:color w:val="auto"/>
          <w:sz w:val="24"/>
          <w:szCs w:val="24"/>
          <w:highlight w:val="none"/>
        </w:rPr>
        <w:t>中使用不正当手段，致使</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工作人员被纪检监察、检察机关或</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有关部门查处的，</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有权终止合同，有权终止合格分包商</w:t>
      </w:r>
      <w:r>
        <w:rPr>
          <w:rFonts w:hint="eastAsia" w:ascii="仿宋_GB2312" w:hAnsi="仿宋_GB2312" w:eastAsia="仿宋_GB2312" w:cs="仿宋_GB2312"/>
          <w:b w:val="0"/>
          <w:bCs w:val="0"/>
          <w:color w:val="auto"/>
          <w:sz w:val="24"/>
          <w:szCs w:val="24"/>
          <w:highlight w:val="none"/>
          <w:lang w:val="en-US" w:eastAsia="zh-CN"/>
        </w:rPr>
        <w:t>或供应商</w:t>
      </w:r>
      <w:r>
        <w:rPr>
          <w:rFonts w:hint="eastAsia" w:ascii="仿宋_GB2312" w:hAnsi="仿宋_GB2312" w:eastAsia="仿宋_GB2312" w:cs="仿宋_GB2312"/>
          <w:b w:val="0"/>
          <w:bCs w:val="0"/>
          <w:color w:val="auto"/>
          <w:sz w:val="24"/>
          <w:szCs w:val="24"/>
          <w:highlight w:val="none"/>
        </w:rPr>
        <w:t>的资格。由此产生的一切责任和费用，均由</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承担。</w:t>
      </w:r>
    </w:p>
    <w:p w14:paraId="67FB91EB">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四、</w:t>
      </w:r>
      <w:r>
        <w:rPr>
          <w:rFonts w:hint="eastAsia" w:ascii="黑体" w:hAnsi="黑体" w:eastAsia="黑体" w:cs="黑体"/>
          <w:b w:val="0"/>
          <w:bCs w:val="0"/>
          <w:color w:val="auto"/>
          <w:sz w:val="24"/>
          <w:szCs w:val="24"/>
          <w:highlight w:val="none"/>
          <w:lang w:eastAsia="zh-CN"/>
        </w:rPr>
        <w:t>乙方</w:t>
      </w:r>
      <w:r>
        <w:rPr>
          <w:rFonts w:hint="eastAsia" w:ascii="黑体" w:hAnsi="黑体" w:eastAsia="黑体" w:cs="黑体"/>
          <w:b w:val="0"/>
          <w:bCs w:val="0"/>
          <w:color w:val="auto"/>
          <w:sz w:val="24"/>
          <w:szCs w:val="24"/>
          <w:highlight w:val="none"/>
        </w:rPr>
        <w:t>的权利</w:t>
      </w:r>
    </w:p>
    <w:p w14:paraId="2829B35C">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如发现</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工作人员违反廉政建设规定的，具有向</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领导以及</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上级单位或纪检、检察机关举报的权利，</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不得找任何借口向</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进行报复。</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举报属实和严格遵守廉政建设规定的，在同等条件下，给予后续</w:t>
      </w:r>
      <w:r>
        <w:rPr>
          <w:rFonts w:hint="eastAsia" w:ascii="仿宋_GB2312" w:hAnsi="仿宋_GB2312" w:eastAsia="仿宋_GB2312" w:cs="仿宋_GB2312"/>
          <w:b w:val="0"/>
          <w:bCs w:val="0"/>
          <w:color w:val="auto"/>
          <w:sz w:val="24"/>
          <w:szCs w:val="24"/>
          <w:highlight w:val="none"/>
          <w:lang w:val="en-US" w:eastAsia="zh-CN"/>
        </w:rPr>
        <w:t>合作</w:t>
      </w:r>
      <w:r>
        <w:rPr>
          <w:rFonts w:hint="eastAsia" w:ascii="仿宋_GB2312" w:hAnsi="仿宋_GB2312" w:eastAsia="仿宋_GB2312" w:cs="仿宋_GB2312"/>
          <w:b w:val="0"/>
          <w:bCs w:val="0"/>
          <w:color w:val="auto"/>
          <w:sz w:val="24"/>
          <w:szCs w:val="24"/>
          <w:highlight w:val="none"/>
        </w:rPr>
        <w:t>的优先权。</w:t>
      </w:r>
    </w:p>
    <w:p w14:paraId="56861E6F">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工作人员向</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索贿，经查证属实的，</w:t>
      </w: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将根据情况向</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进行一定的奖励。</w:t>
      </w:r>
    </w:p>
    <w:p w14:paraId="7F131E2D">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五、</w:t>
      </w:r>
      <w:r>
        <w:rPr>
          <w:rFonts w:hint="eastAsia" w:ascii="黑体" w:hAnsi="黑体" w:eastAsia="黑体" w:cs="黑体"/>
          <w:b w:val="0"/>
          <w:bCs w:val="0"/>
          <w:color w:val="auto"/>
          <w:sz w:val="24"/>
          <w:szCs w:val="24"/>
          <w:highlight w:val="none"/>
        </w:rPr>
        <w:t xml:space="preserve">违约责任 </w:t>
      </w:r>
    </w:p>
    <w:p w14:paraId="39ABE402">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甲方及其工作人员有违反本合同规定的行为，情节轻微的，给予诫勉</w:t>
      </w:r>
      <w:r>
        <w:rPr>
          <w:rFonts w:hint="eastAsia" w:ascii="仿宋_GB2312" w:hAnsi="仿宋_GB2312" w:eastAsia="仿宋_GB2312" w:cs="仿宋_GB2312"/>
          <w:b w:val="0"/>
          <w:bCs w:val="0"/>
          <w:color w:val="auto"/>
          <w:sz w:val="24"/>
          <w:szCs w:val="24"/>
          <w:highlight w:val="none"/>
          <w:lang w:val="en-US" w:eastAsia="zh-CN"/>
        </w:rPr>
        <w:t>谈话</w:t>
      </w:r>
      <w:r>
        <w:rPr>
          <w:rFonts w:hint="eastAsia" w:ascii="仿宋_GB2312" w:hAnsi="仿宋_GB2312" w:eastAsia="仿宋_GB2312" w:cs="仿宋_GB2312"/>
          <w:b w:val="0"/>
          <w:bCs w:val="0"/>
          <w:color w:val="auto"/>
          <w:sz w:val="24"/>
          <w:szCs w:val="24"/>
          <w:highlight w:val="none"/>
        </w:rPr>
        <w:t>；情节较重并给企业造成损失的，依据有关规定对责任人给予党纪政纪处分和经济处罚，并建议调离原岗位，不再从事相关工作；情节严重构成犯罪的，将责任人移交司法机关追究其刑事责任。</w:t>
      </w:r>
    </w:p>
    <w:p w14:paraId="3D5F1957">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乙方单位或个人</w:t>
      </w:r>
      <w:r>
        <w:rPr>
          <w:rFonts w:hint="eastAsia" w:ascii="仿宋_GB2312" w:hAnsi="仿宋_GB2312" w:eastAsia="仿宋_GB2312" w:cs="仿宋_GB2312"/>
          <w:b w:val="0"/>
          <w:bCs w:val="0"/>
          <w:color w:val="auto"/>
          <w:sz w:val="24"/>
          <w:szCs w:val="24"/>
          <w:highlight w:val="none"/>
          <w:lang w:val="en-US" w:eastAsia="zh-CN"/>
        </w:rPr>
        <w:t>如</w:t>
      </w:r>
      <w:r>
        <w:rPr>
          <w:rFonts w:hint="eastAsia" w:ascii="仿宋_GB2312" w:hAnsi="仿宋_GB2312" w:eastAsia="仿宋_GB2312" w:cs="仿宋_GB2312"/>
          <w:b w:val="0"/>
          <w:bCs w:val="0"/>
          <w:color w:val="auto"/>
          <w:sz w:val="24"/>
          <w:szCs w:val="24"/>
          <w:highlight w:val="none"/>
        </w:rPr>
        <w:t>有</w:t>
      </w:r>
      <w:r>
        <w:rPr>
          <w:rFonts w:hint="eastAsia" w:ascii="仿宋_GB2312" w:hAnsi="仿宋_GB2312" w:eastAsia="仿宋_GB2312" w:cs="仿宋_GB2312"/>
          <w:b w:val="0"/>
          <w:bCs w:val="0"/>
          <w:color w:val="auto"/>
          <w:sz w:val="24"/>
          <w:szCs w:val="24"/>
          <w:highlight w:val="none"/>
          <w:lang w:val="en-US" w:eastAsia="zh-CN"/>
        </w:rPr>
        <w:t>伪造承包方公章等违反本协议</w:t>
      </w:r>
      <w:r>
        <w:rPr>
          <w:rFonts w:hint="eastAsia" w:ascii="仿宋_GB2312" w:hAnsi="仿宋_GB2312" w:eastAsia="仿宋_GB2312" w:cs="仿宋_GB2312"/>
          <w:b w:val="0"/>
          <w:bCs w:val="0"/>
          <w:color w:val="auto"/>
          <w:sz w:val="24"/>
          <w:szCs w:val="24"/>
          <w:highlight w:val="none"/>
        </w:rPr>
        <w:t>的行为，</w:t>
      </w:r>
      <w:r>
        <w:rPr>
          <w:rFonts w:hint="eastAsia" w:ascii="仿宋_GB2312" w:hAnsi="仿宋_GB2312" w:eastAsia="仿宋_GB2312" w:cs="仿宋_GB2312"/>
          <w:b w:val="0"/>
          <w:bCs w:val="0"/>
          <w:color w:val="auto"/>
          <w:sz w:val="24"/>
          <w:szCs w:val="24"/>
          <w:highlight w:val="none"/>
          <w:lang w:val="en-US" w:eastAsia="zh-CN"/>
        </w:rPr>
        <w:t>甲方有权根据情节轻重，采取以下措施：终止合同并纳入禁止合作名单、要求乙方支付合同金额5%-20%的违约金且违约金金额不低于20万、要求乙方赔偿甲方的一切损失（包括直接损失、可得利益损失、律师费等）；涉嫌违法或者犯罪的，甲方将向公安机关或其他有权机关移交相关证据材料，乙方将承担相应的行政责任、刑事责任等责任</w:t>
      </w:r>
      <w:r>
        <w:rPr>
          <w:rFonts w:hint="eastAsia" w:ascii="仿宋_GB2312" w:hAnsi="仿宋_GB2312" w:eastAsia="仿宋_GB2312" w:cs="仿宋_GB2312"/>
          <w:b w:val="0"/>
          <w:bCs w:val="0"/>
          <w:color w:val="auto"/>
          <w:sz w:val="24"/>
          <w:szCs w:val="24"/>
          <w:highlight w:val="none"/>
        </w:rPr>
        <w:t>。</w:t>
      </w:r>
    </w:p>
    <w:p w14:paraId="3BEBC667">
      <w:pPr>
        <w:keepNext w:val="0"/>
        <w:keepLines w:val="0"/>
        <w:pageBreakBefore w:val="0"/>
        <w:widowControl w:val="0"/>
        <w:kinsoku/>
        <w:wordWrap w:val="0"/>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六</w:t>
      </w:r>
      <w:r>
        <w:rPr>
          <w:rFonts w:hint="eastAsia" w:ascii="黑体" w:hAnsi="黑体" w:eastAsia="黑体" w:cs="黑体"/>
          <w:b w:val="0"/>
          <w:bCs w:val="0"/>
          <w:color w:val="auto"/>
          <w:sz w:val="24"/>
          <w:szCs w:val="24"/>
          <w:highlight w:val="none"/>
        </w:rPr>
        <w:t>、其他</w:t>
      </w:r>
      <w:r>
        <w:rPr>
          <w:rFonts w:hint="eastAsia" w:ascii="黑体" w:hAnsi="黑体" w:eastAsia="黑体" w:cs="黑体"/>
          <w:b w:val="0"/>
          <w:bCs w:val="0"/>
          <w:color w:val="auto"/>
          <w:sz w:val="24"/>
          <w:szCs w:val="24"/>
          <w:highlight w:val="none"/>
          <w:lang w:val="en-US" w:eastAsia="zh-CN"/>
        </w:rPr>
        <w:t>约定</w:t>
      </w:r>
    </w:p>
    <w:p w14:paraId="3C339517">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 xml:space="preserve">按“谁用工，谁负责”原则，对各自相关人员廉政建设负责； </w:t>
      </w:r>
    </w:p>
    <w:p w14:paraId="01C0BF99">
      <w:pPr>
        <w:keepNext w:val="0"/>
        <w:keepLines w:val="0"/>
        <w:pageBreakBefore w:val="0"/>
        <w:widowControl w:val="0"/>
        <w:kinsoku/>
        <w:overflowPunct/>
        <w:topLinePunct w:val="0"/>
        <w:autoSpaceDE w:val="0"/>
        <w:autoSpaceDN w:val="0"/>
        <w:bidi w:val="0"/>
        <w:adjustRightInd w:val="0"/>
        <w:snapToGrid w:val="0"/>
        <w:spacing w:line="430" w:lineRule="exact"/>
        <w:ind w:left="0" w:leftChars="0" w:right="0" w:rightChars="0" w:firstLine="480" w:firstLineChars="200"/>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b w:val="0"/>
          <w:bCs w:val="0"/>
          <w:color w:val="auto"/>
          <w:sz w:val="24"/>
          <w:szCs w:val="24"/>
          <w:highlight w:val="none"/>
        </w:rPr>
        <w:t>对管辖范围内发生的违反上级规定、明令禁止的不正之风不制止、不按规定查处，或查处不力、不及时的，参照上级及公司有关规定给予相应的党纪、行政处分，涉嫌犯罪的，移交司法机关追究刑事责任。</w:t>
      </w:r>
    </w:p>
    <w:p w14:paraId="0990AA68">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right="0" w:rightChars="0" w:firstLine="480" w:firstLineChars="200"/>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3.本协议书作为工程施工合同的附件，与工程施工合同具有同等法律效力，经双方签署后立即生效。如双方未签订合同，本协议书独立有效。甲乙双方及其人员在合同履行完毕后，发现在合同执行期间有违反本协议或其他违法违规的行为，仍按本协议规定处理。</w:t>
      </w:r>
    </w:p>
    <w:p w14:paraId="5AA96622">
      <w:pPr>
        <w:pStyle w:val="16"/>
        <w:rPr>
          <w:rFonts w:hint="eastAsia" w:ascii="仿宋_GB2312" w:hAnsi="仿宋_GB2312" w:eastAsia="仿宋_GB2312" w:cs="仿宋_GB2312"/>
          <w:b w:val="0"/>
          <w:bCs w:val="0"/>
          <w:color w:val="auto"/>
          <w:sz w:val="24"/>
          <w:szCs w:val="24"/>
          <w:highlight w:val="none"/>
          <w:lang w:val="en-US" w:eastAsia="zh-CN"/>
        </w:rPr>
      </w:pPr>
    </w:p>
    <w:p w14:paraId="76510261">
      <w:pPr>
        <w:pStyle w:val="16"/>
        <w:rPr>
          <w:rFonts w:hint="eastAsia" w:ascii="仿宋_GB2312" w:hAnsi="仿宋_GB2312" w:eastAsia="仿宋_GB2312" w:cs="仿宋_GB2312"/>
          <w:b w:val="0"/>
          <w:bCs w:val="0"/>
          <w:color w:val="auto"/>
          <w:sz w:val="24"/>
          <w:szCs w:val="24"/>
          <w:highlight w:val="none"/>
          <w:lang w:val="en-US" w:eastAsia="zh-CN"/>
        </w:rPr>
      </w:pPr>
    </w:p>
    <w:p w14:paraId="73143EBD">
      <w:pPr>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jc w:val="both"/>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甲方</w:t>
      </w:r>
      <w:r>
        <w:rPr>
          <w:rFonts w:hint="eastAsia" w:ascii="仿宋_GB2312" w:hAnsi="仿宋_GB2312" w:eastAsia="仿宋_GB2312" w:cs="仿宋_GB2312"/>
          <w:b w:val="0"/>
          <w:bCs w:val="0"/>
          <w:color w:val="auto"/>
          <w:sz w:val="24"/>
          <w:szCs w:val="24"/>
          <w:highlight w:val="none"/>
        </w:rPr>
        <w:t xml:space="preserve">(公章)：广东省源天工程有限公司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乙方</w:t>
      </w:r>
      <w:r>
        <w:rPr>
          <w:rFonts w:hint="eastAsia" w:ascii="仿宋_GB2312" w:hAnsi="仿宋_GB2312" w:eastAsia="仿宋_GB2312" w:cs="仿宋_GB2312"/>
          <w:b w:val="0"/>
          <w:bCs w:val="0"/>
          <w:color w:val="auto"/>
          <w:sz w:val="24"/>
          <w:szCs w:val="24"/>
          <w:highlight w:val="none"/>
        </w:rPr>
        <w:t>(公章)：                 </w:t>
      </w:r>
    </w:p>
    <w:p w14:paraId="61545FAE">
      <w:pPr>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 xml:space="preserve">法定代表人或委托代理人(签字)：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法定代表人或委托代理人(签字)：   </w:t>
      </w:r>
    </w:p>
    <w:p w14:paraId="79EADF79">
      <w:pPr>
        <w:keepNext w:val="0"/>
        <w:keepLines w:val="0"/>
        <w:pageBreakBefore w:val="0"/>
        <w:widowControl w:val="0"/>
        <w:kinsoku/>
        <w:wordWrap w:val="0"/>
        <w:overflowPunct/>
        <w:topLinePunct w:val="0"/>
        <w:autoSpaceDE w:val="0"/>
        <w:autoSpaceDN w:val="0"/>
        <w:bidi w:val="0"/>
        <w:adjustRightInd w:val="0"/>
        <w:snapToGrid w:val="0"/>
        <w:spacing w:line="440" w:lineRule="exact"/>
        <w:ind w:right="0" w:rightChars="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委托代理人(签字)：</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委托代理人(签字)：            </w:t>
      </w:r>
    </w:p>
    <w:p w14:paraId="569B85C2">
      <w:pPr>
        <w:keepNext w:val="0"/>
        <w:keepLines w:val="0"/>
        <w:pageBreakBefore w:val="0"/>
        <w:widowControl w:val="0"/>
        <w:kinsoku/>
        <w:wordWrap w:val="0"/>
        <w:overflowPunct/>
        <w:topLinePunct w:val="0"/>
        <w:autoSpaceDE/>
        <w:autoSpaceDN/>
        <w:bidi w:val="0"/>
        <w:adjustRightInd w:val="0"/>
        <w:snapToGrid w:val="0"/>
        <w:spacing w:line="440" w:lineRule="exact"/>
        <w:jc w:val="left"/>
        <w:rPr>
          <w:color w:val="auto"/>
          <w:sz w:val="24"/>
          <w:szCs w:val="24"/>
          <w:highlight w:val="none"/>
        </w:rPr>
        <w:sectPr>
          <w:pgSz w:w="11906" w:h="16838"/>
          <w:pgMar w:top="2098" w:right="1474" w:bottom="1984" w:left="1587" w:header="850" w:footer="1587" w:gutter="0"/>
          <w:pgNumType w:fmt="numberInDash"/>
          <w:cols w:space="0" w:num="1"/>
          <w:rtlGutter w:val="0"/>
          <w:docGrid w:type="lines" w:linePitch="440" w:charSpace="0"/>
        </w:sectPr>
      </w:pPr>
      <w:r>
        <w:rPr>
          <w:rFonts w:hint="eastAsia" w:ascii="仿宋_GB2312" w:hAnsi="仿宋_GB2312" w:eastAsia="仿宋_GB2312" w:cs="仿宋_GB2312"/>
          <w:b w:val="0"/>
          <w:bCs w:val="0"/>
          <w:color w:val="auto"/>
          <w:sz w:val="24"/>
          <w:szCs w:val="24"/>
          <w:highlight w:val="none"/>
        </w:rPr>
        <w:t>日    期：</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 xml:space="preserve">  </w:t>
      </w: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rPr>
        <w:t>日    期：</w:t>
      </w:r>
      <w:r>
        <w:rPr>
          <w:rFonts w:hint="eastAsia" w:ascii="仿宋_GB2312" w:hAnsi="仿宋_GB2312" w:eastAsia="仿宋_GB2312" w:cs="仿宋_GB2312"/>
          <w:b w:val="0"/>
          <w:bCs w:val="0"/>
          <w:color w:val="auto"/>
          <w:kern w:val="0"/>
          <w:sz w:val="24"/>
          <w:szCs w:val="24"/>
          <w:highlight w:val="none"/>
          <w:lang w:val="en-US" w:eastAsia="zh-CN"/>
        </w:rPr>
        <w:t xml:space="preserve"> </w:t>
      </w:r>
      <w:r>
        <w:rPr>
          <w:rFonts w:hint="eastAsia" w:ascii="仿宋_GB2312" w:hAnsi="仿宋_GB2312" w:eastAsia="仿宋_GB2312" w:cs="仿宋_GB2312"/>
          <w:b w:val="0"/>
          <w:bCs w:val="0"/>
          <w:color w:val="auto"/>
          <w:kern w:val="0"/>
          <w:sz w:val="24"/>
          <w:szCs w:val="24"/>
          <w:highlight w:val="none"/>
        </w:rPr>
        <w:t xml:space="preserve">      </w:t>
      </w:r>
      <w:r>
        <w:rPr>
          <w:rFonts w:hint="eastAsia"/>
          <w:color w:val="auto"/>
          <w:kern w:val="0"/>
          <w:sz w:val="24"/>
          <w:szCs w:val="24"/>
          <w:highlight w:val="none"/>
        </w:rPr>
        <w:t xml:space="preserve">    </w:t>
      </w:r>
    </w:p>
    <w:p w14:paraId="0418E7ED">
      <w:pPr>
        <w:pStyle w:val="4"/>
        <w:pageBreakBefore w:val="0"/>
        <w:widowControl w:val="0"/>
        <w:kinsoku/>
        <w:wordWrap/>
        <w:overflowPunct/>
        <w:topLinePunct w:val="0"/>
        <w:autoSpaceDE/>
        <w:autoSpaceDN/>
        <w:bidi w:val="0"/>
        <w:adjustRightInd w:val="0"/>
        <w:snapToGrid w:val="0"/>
        <w:spacing w:before="156" w:beforeLines="50" w:after="156" w:afterLines="50" w:line="400" w:lineRule="exact"/>
        <w:textAlignment w:val="auto"/>
        <w:rPr>
          <w:rFonts w:hint="eastAsia" w:ascii="黑体" w:hAnsi="黑体" w:eastAsia="黑体" w:cs="黑体"/>
          <w:b w:val="0"/>
          <w:bCs w:val="0"/>
          <w:color w:val="auto"/>
          <w:sz w:val="32"/>
          <w:szCs w:val="32"/>
          <w:highlight w:val="none"/>
        </w:rPr>
      </w:pPr>
      <w:bookmarkStart w:id="1873" w:name="_Toc25953"/>
      <w:r>
        <w:rPr>
          <w:rFonts w:hint="eastAsia" w:ascii="黑体" w:hAnsi="黑体" w:eastAsia="黑体" w:cs="黑体"/>
          <w:b w:val="0"/>
          <w:bCs w:val="0"/>
          <w:color w:val="auto"/>
          <w:sz w:val="32"/>
          <w:szCs w:val="32"/>
          <w:highlight w:val="none"/>
        </w:rPr>
        <w:t>附</w:t>
      </w:r>
      <w:bookmarkStart w:id="1874" w:name="_Toc267261692"/>
      <w:bookmarkStart w:id="1875" w:name="_Toc296347224"/>
      <w:bookmarkStart w:id="1876" w:name="_Toc296503225"/>
      <w:bookmarkStart w:id="1877" w:name="_Toc296891053"/>
      <w:bookmarkStart w:id="1878" w:name="_Toc296944564"/>
      <w:bookmarkStart w:id="1879" w:name="_Toc296891265"/>
      <w:bookmarkStart w:id="1880" w:name="_Toc296346726"/>
      <w:r>
        <w:rPr>
          <w:rFonts w:hint="eastAsia" w:ascii="黑体" w:hAnsi="黑体" w:eastAsia="黑体" w:cs="黑体"/>
          <w:b w:val="0"/>
          <w:bCs w:val="0"/>
          <w:color w:val="auto"/>
          <w:sz w:val="32"/>
          <w:szCs w:val="32"/>
          <w:highlight w:val="none"/>
        </w:rPr>
        <w:t>件8</w:t>
      </w:r>
      <w:bookmarkEnd w:id="1873"/>
    </w:p>
    <w:bookmarkEnd w:id="1874"/>
    <w:bookmarkEnd w:id="1875"/>
    <w:bookmarkEnd w:id="1876"/>
    <w:bookmarkEnd w:id="1877"/>
    <w:bookmarkEnd w:id="1878"/>
    <w:bookmarkEnd w:id="1879"/>
    <w:bookmarkEnd w:id="1880"/>
    <w:p w14:paraId="41424C4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ajorEastAsia" w:hAnsiTheme="majorEastAsia" w:eastAsiaTheme="majorEastAsia" w:cstheme="majorEastAsia"/>
          <w:color w:val="auto"/>
          <w:sz w:val="40"/>
          <w:szCs w:val="40"/>
          <w:highlight w:val="none"/>
        </w:rPr>
      </w:pPr>
      <w:r>
        <w:rPr>
          <w:rFonts w:hint="eastAsia" w:asciiTheme="majorEastAsia" w:hAnsiTheme="majorEastAsia" w:eastAsiaTheme="majorEastAsia" w:cstheme="majorEastAsia"/>
          <w:b w:val="0"/>
          <w:bCs w:val="0"/>
          <w:color w:val="auto"/>
          <w:sz w:val="40"/>
          <w:szCs w:val="40"/>
          <w:highlight w:val="none"/>
        </w:rPr>
        <w:t>承包人供应材料、设备一览表</w:t>
      </w:r>
    </w:p>
    <w:tbl>
      <w:tblPr>
        <w:tblStyle w:val="18"/>
        <w:tblW w:w="918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25"/>
        <w:gridCol w:w="1105"/>
        <w:gridCol w:w="1204"/>
        <w:gridCol w:w="650"/>
        <w:gridCol w:w="819"/>
        <w:gridCol w:w="1213"/>
        <w:gridCol w:w="873"/>
        <w:gridCol w:w="777"/>
        <w:gridCol w:w="1318"/>
        <w:gridCol w:w="600"/>
      </w:tblGrid>
      <w:tr w14:paraId="3D695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jc w:val="center"/>
        </w:trPr>
        <w:tc>
          <w:tcPr>
            <w:tcW w:w="625" w:type="dxa"/>
            <w:vAlign w:val="center"/>
          </w:tcPr>
          <w:p w14:paraId="79BE20C8">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序号</w:t>
            </w:r>
          </w:p>
        </w:tc>
        <w:tc>
          <w:tcPr>
            <w:tcW w:w="1105" w:type="dxa"/>
            <w:vAlign w:val="center"/>
          </w:tcPr>
          <w:p w14:paraId="5E214815">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材料、设备品种</w:t>
            </w:r>
          </w:p>
        </w:tc>
        <w:tc>
          <w:tcPr>
            <w:tcW w:w="1204" w:type="dxa"/>
            <w:vAlign w:val="center"/>
          </w:tcPr>
          <w:p w14:paraId="4481CEA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规格型号</w:t>
            </w:r>
          </w:p>
        </w:tc>
        <w:tc>
          <w:tcPr>
            <w:tcW w:w="650" w:type="dxa"/>
            <w:vAlign w:val="center"/>
          </w:tcPr>
          <w:p w14:paraId="12DAD0E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单位</w:t>
            </w:r>
          </w:p>
        </w:tc>
        <w:tc>
          <w:tcPr>
            <w:tcW w:w="819" w:type="dxa"/>
            <w:vAlign w:val="center"/>
          </w:tcPr>
          <w:p w14:paraId="17D97A23">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数量</w:t>
            </w:r>
          </w:p>
        </w:tc>
        <w:tc>
          <w:tcPr>
            <w:tcW w:w="1213" w:type="dxa"/>
            <w:vAlign w:val="center"/>
          </w:tcPr>
          <w:p w14:paraId="5AD87D65">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单价（元）</w:t>
            </w:r>
          </w:p>
        </w:tc>
        <w:tc>
          <w:tcPr>
            <w:tcW w:w="873" w:type="dxa"/>
            <w:vAlign w:val="center"/>
          </w:tcPr>
          <w:p w14:paraId="1B96971E">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质量</w:t>
            </w:r>
          </w:p>
          <w:p w14:paraId="11CDA095">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等级</w:t>
            </w:r>
          </w:p>
        </w:tc>
        <w:tc>
          <w:tcPr>
            <w:tcW w:w="777" w:type="dxa"/>
            <w:vAlign w:val="center"/>
          </w:tcPr>
          <w:p w14:paraId="2F192285">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供应</w:t>
            </w:r>
          </w:p>
          <w:p w14:paraId="70F368B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时间</w:t>
            </w:r>
          </w:p>
        </w:tc>
        <w:tc>
          <w:tcPr>
            <w:tcW w:w="1318" w:type="dxa"/>
            <w:vAlign w:val="center"/>
          </w:tcPr>
          <w:p w14:paraId="663F6097">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送达地点</w:t>
            </w:r>
          </w:p>
        </w:tc>
        <w:tc>
          <w:tcPr>
            <w:tcW w:w="600" w:type="dxa"/>
            <w:vAlign w:val="center"/>
          </w:tcPr>
          <w:p w14:paraId="5908DE0C">
            <w:pPr>
              <w:jc w:val="center"/>
              <w:rPr>
                <w:rFonts w:hint="eastAsia" w:ascii="黑体" w:hAnsi="黑体" w:eastAsia="黑体" w:cs="黑体"/>
                <w:color w:val="auto"/>
                <w:szCs w:val="21"/>
                <w:highlight w:val="none"/>
              </w:rPr>
            </w:pPr>
            <w:r>
              <w:rPr>
                <w:rFonts w:hint="eastAsia" w:ascii="黑体" w:hAnsi="黑体" w:eastAsia="黑体" w:cs="黑体"/>
                <w:color w:val="auto"/>
                <w:szCs w:val="21"/>
                <w:highlight w:val="none"/>
              </w:rPr>
              <w:t>备注</w:t>
            </w:r>
          </w:p>
        </w:tc>
      </w:tr>
      <w:tr w14:paraId="7B8E7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4ACCC810">
            <w:pPr>
              <w:jc w:val="center"/>
              <w:rPr>
                <w:color w:val="auto"/>
                <w:szCs w:val="21"/>
                <w:highlight w:val="none"/>
              </w:rPr>
            </w:pPr>
          </w:p>
        </w:tc>
        <w:tc>
          <w:tcPr>
            <w:tcW w:w="1105" w:type="dxa"/>
            <w:vAlign w:val="center"/>
          </w:tcPr>
          <w:p w14:paraId="6856B8BE">
            <w:pPr>
              <w:jc w:val="center"/>
              <w:rPr>
                <w:color w:val="auto"/>
                <w:szCs w:val="21"/>
                <w:highlight w:val="none"/>
              </w:rPr>
            </w:pPr>
          </w:p>
        </w:tc>
        <w:tc>
          <w:tcPr>
            <w:tcW w:w="1204" w:type="dxa"/>
            <w:vAlign w:val="center"/>
          </w:tcPr>
          <w:p w14:paraId="2F9DCA00">
            <w:pPr>
              <w:jc w:val="center"/>
              <w:rPr>
                <w:color w:val="auto"/>
                <w:szCs w:val="21"/>
                <w:highlight w:val="none"/>
              </w:rPr>
            </w:pPr>
          </w:p>
        </w:tc>
        <w:tc>
          <w:tcPr>
            <w:tcW w:w="650" w:type="dxa"/>
            <w:vAlign w:val="center"/>
          </w:tcPr>
          <w:p w14:paraId="053CED0F">
            <w:pPr>
              <w:jc w:val="center"/>
              <w:rPr>
                <w:color w:val="auto"/>
                <w:szCs w:val="21"/>
                <w:highlight w:val="none"/>
              </w:rPr>
            </w:pPr>
          </w:p>
        </w:tc>
        <w:tc>
          <w:tcPr>
            <w:tcW w:w="819" w:type="dxa"/>
            <w:vAlign w:val="center"/>
          </w:tcPr>
          <w:p w14:paraId="382CC387">
            <w:pPr>
              <w:jc w:val="center"/>
              <w:rPr>
                <w:color w:val="auto"/>
                <w:szCs w:val="21"/>
                <w:highlight w:val="none"/>
              </w:rPr>
            </w:pPr>
          </w:p>
        </w:tc>
        <w:tc>
          <w:tcPr>
            <w:tcW w:w="1213" w:type="dxa"/>
            <w:vAlign w:val="center"/>
          </w:tcPr>
          <w:p w14:paraId="05513413">
            <w:pPr>
              <w:jc w:val="center"/>
              <w:rPr>
                <w:color w:val="auto"/>
                <w:szCs w:val="21"/>
                <w:highlight w:val="none"/>
              </w:rPr>
            </w:pPr>
          </w:p>
        </w:tc>
        <w:tc>
          <w:tcPr>
            <w:tcW w:w="873" w:type="dxa"/>
            <w:vAlign w:val="center"/>
          </w:tcPr>
          <w:p w14:paraId="2CA3A66D">
            <w:pPr>
              <w:jc w:val="center"/>
              <w:rPr>
                <w:color w:val="auto"/>
                <w:szCs w:val="21"/>
                <w:highlight w:val="none"/>
              </w:rPr>
            </w:pPr>
          </w:p>
        </w:tc>
        <w:tc>
          <w:tcPr>
            <w:tcW w:w="777" w:type="dxa"/>
            <w:vAlign w:val="center"/>
          </w:tcPr>
          <w:p w14:paraId="3CABDBF9">
            <w:pPr>
              <w:jc w:val="center"/>
              <w:rPr>
                <w:color w:val="auto"/>
                <w:szCs w:val="21"/>
                <w:highlight w:val="none"/>
              </w:rPr>
            </w:pPr>
          </w:p>
        </w:tc>
        <w:tc>
          <w:tcPr>
            <w:tcW w:w="1318" w:type="dxa"/>
            <w:vAlign w:val="center"/>
          </w:tcPr>
          <w:p w14:paraId="699F4707">
            <w:pPr>
              <w:jc w:val="center"/>
              <w:rPr>
                <w:color w:val="auto"/>
                <w:szCs w:val="21"/>
                <w:highlight w:val="none"/>
              </w:rPr>
            </w:pPr>
          </w:p>
        </w:tc>
        <w:tc>
          <w:tcPr>
            <w:tcW w:w="600" w:type="dxa"/>
            <w:vAlign w:val="center"/>
          </w:tcPr>
          <w:p w14:paraId="4FE16E4A">
            <w:pPr>
              <w:jc w:val="center"/>
              <w:rPr>
                <w:color w:val="auto"/>
                <w:szCs w:val="21"/>
                <w:highlight w:val="none"/>
              </w:rPr>
            </w:pPr>
          </w:p>
        </w:tc>
      </w:tr>
      <w:tr w14:paraId="5AC42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10C658A4">
            <w:pPr>
              <w:jc w:val="center"/>
              <w:rPr>
                <w:color w:val="auto"/>
                <w:szCs w:val="21"/>
                <w:highlight w:val="none"/>
              </w:rPr>
            </w:pPr>
          </w:p>
        </w:tc>
        <w:tc>
          <w:tcPr>
            <w:tcW w:w="1105" w:type="dxa"/>
            <w:vAlign w:val="center"/>
          </w:tcPr>
          <w:p w14:paraId="5BA3161B">
            <w:pPr>
              <w:jc w:val="center"/>
              <w:rPr>
                <w:color w:val="auto"/>
                <w:szCs w:val="21"/>
                <w:highlight w:val="none"/>
              </w:rPr>
            </w:pPr>
          </w:p>
        </w:tc>
        <w:tc>
          <w:tcPr>
            <w:tcW w:w="1204" w:type="dxa"/>
            <w:vAlign w:val="center"/>
          </w:tcPr>
          <w:p w14:paraId="18A861D3">
            <w:pPr>
              <w:jc w:val="center"/>
              <w:rPr>
                <w:color w:val="auto"/>
                <w:szCs w:val="21"/>
                <w:highlight w:val="none"/>
              </w:rPr>
            </w:pPr>
          </w:p>
        </w:tc>
        <w:tc>
          <w:tcPr>
            <w:tcW w:w="650" w:type="dxa"/>
            <w:vAlign w:val="center"/>
          </w:tcPr>
          <w:p w14:paraId="66B016A9">
            <w:pPr>
              <w:jc w:val="center"/>
              <w:rPr>
                <w:color w:val="auto"/>
                <w:szCs w:val="21"/>
                <w:highlight w:val="none"/>
              </w:rPr>
            </w:pPr>
          </w:p>
        </w:tc>
        <w:tc>
          <w:tcPr>
            <w:tcW w:w="819" w:type="dxa"/>
            <w:vAlign w:val="center"/>
          </w:tcPr>
          <w:p w14:paraId="5FA998E4">
            <w:pPr>
              <w:jc w:val="center"/>
              <w:rPr>
                <w:color w:val="auto"/>
                <w:szCs w:val="21"/>
                <w:highlight w:val="none"/>
              </w:rPr>
            </w:pPr>
          </w:p>
        </w:tc>
        <w:tc>
          <w:tcPr>
            <w:tcW w:w="1213" w:type="dxa"/>
            <w:vAlign w:val="center"/>
          </w:tcPr>
          <w:p w14:paraId="7F422FDA">
            <w:pPr>
              <w:jc w:val="center"/>
              <w:rPr>
                <w:color w:val="auto"/>
                <w:szCs w:val="21"/>
                <w:highlight w:val="none"/>
              </w:rPr>
            </w:pPr>
          </w:p>
        </w:tc>
        <w:tc>
          <w:tcPr>
            <w:tcW w:w="873" w:type="dxa"/>
            <w:vAlign w:val="center"/>
          </w:tcPr>
          <w:p w14:paraId="10A26B09">
            <w:pPr>
              <w:jc w:val="center"/>
              <w:rPr>
                <w:color w:val="auto"/>
                <w:szCs w:val="21"/>
                <w:highlight w:val="none"/>
              </w:rPr>
            </w:pPr>
          </w:p>
        </w:tc>
        <w:tc>
          <w:tcPr>
            <w:tcW w:w="777" w:type="dxa"/>
            <w:vAlign w:val="center"/>
          </w:tcPr>
          <w:p w14:paraId="62BE7142">
            <w:pPr>
              <w:jc w:val="center"/>
              <w:rPr>
                <w:color w:val="auto"/>
                <w:szCs w:val="21"/>
                <w:highlight w:val="none"/>
              </w:rPr>
            </w:pPr>
          </w:p>
        </w:tc>
        <w:tc>
          <w:tcPr>
            <w:tcW w:w="1318" w:type="dxa"/>
            <w:vAlign w:val="center"/>
          </w:tcPr>
          <w:p w14:paraId="7A7758DE">
            <w:pPr>
              <w:jc w:val="center"/>
              <w:rPr>
                <w:color w:val="auto"/>
                <w:szCs w:val="21"/>
                <w:highlight w:val="none"/>
              </w:rPr>
            </w:pPr>
          </w:p>
        </w:tc>
        <w:tc>
          <w:tcPr>
            <w:tcW w:w="600" w:type="dxa"/>
            <w:vAlign w:val="center"/>
          </w:tcPr>
          <w:p w14:paraId="6B718257">
            <w:pPr>
              <w:jc w:val="center"/>
              <w:rPr>
                <w:color w:val="auto"/>
                <w:szCs w:val="21"/>
                <w:highlight w:val="none"/>
              </w:rPr>
            </w:pPr>
          </w:p>
        </w:tc>
      </w:tr>
      <w:tr w14:paraId="388ACF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34264052">
            <w:pPr>
              <w:jc w:val="center"/>
              <w:rPr>
                <w:color w:val="auto"/>
                <w:szCs w:val="21"/>
                <w:highlight w:val="none"/>
              </w:rPr>
            </w:pPr>
          </w:p>
        </w:tc>
        <w:tc>
          <w:tcPr>
            <w:tcW w:w="1105" w:type="dxa"/>
            <w:vAlign w:val="center"/>
          </w:tcPr>
          <w:p w14:paraId="78FC8629">
            <w:pPr>
              <w:jc w:val="center"/>
              <w:rPr>
                <w:color w:val="auto"/>
                <w:szCs w:val="21"/>
                <w:highlight w:val="none"/>
              </w:rPr>
            </w:pPr>
          </w:p>
        </w:tc>
        <w:tc>
          <w:tcPr>
            <w:tcW w:w="1204" w:type="dxa"/>
            <w:vAlign w:val="center"/>
          </w:tcPr>
          <w:p w14:paraId="38A2172F">
            <w:pPr>
              <w:jc w:val="center"/>
              <w:rPr>
                <w:color w:val="auto"/>
                <w:szCs w:val="21"/>
                <w:highlight w:val="none"/>
              </w:rPr>
            </w:pPr>
          </w:p>
        </w:tc>
        <w:tc>
          <w:tcPr>
            <w:tcW w:w="650" w:type="dxa"/>
            <w:vAlign w:val="center"/>
          </w:tcPr>
          <w:p w14:paraId="6ED7E3FA">
            <w:pPr>
              <w:jc w:val="center"/>
              <w:rPr>
                <w:color w:val="auto"/>
                <w:szCs w:val="21"/>
                <w:highlight w:val="none"/>
              </w:rPr>
            </w:pPr>
          </w:p>
        </w:tc>
        <w:tc>
          <w:tcPr>
            <w:tcW w:w="819" w:type="dxa"/>
            <w:vAlign w:val="center"/>
          </w:tcPr>
          <w:p w14:paraId="3970346A">
            <w:pPr>
              <w:jc w:val="center"/>
              <w:rPr>
                <w:color w:val="auto"/>
                <w:szCs w:val="21"/>
                <w:highlight w:val="none"/>
              </w:rPr>
            </w:pPr>
          </w:p>
        </w:tc>
        <w:tc>
          <w:tcPr>
            <w:tcW w:w="1213" w:type="dxa"/>
            <w:vAlign w:val="center"/>
          </w:tcPr>
          <w:p w14:paraId="6D153C50">
            <w:pPr>
              <w:jc w:val="center"/>
              <w:rPr>
                <w:color w:val="auto"/>
                <w:szCs w:val="21"/>
                <w:highlight w:val="none"/>
              </w:rPr>
            </w:pPr>
          </w:p>
        </w:tc>
        <w:tc>
          <w:tcPr>
            <w:tcW w:w="873" w:type="dxa"/>
            <w:vAlign w:val="center"/>
          </w:tcPr>
          <w:p w14:paraId="3C4BAE99">
            <w:pPr>
              <w:jc w:val="center"/>
              <w:rPr>
                <w:color w:val="auto"/>
                <w:szCs w:val="21"/>
                <w:highlight w:val="none"/>
              </w:rPr>
            </w:pPr>
          </w:p>
        </w:tc>
        <w:tc>
          <w:tcPr>
            <w:tcW w:w="777" w:type="dxa"/>
            <w:vAlign w:val="center"/>
          </w:tcPr>
          <w:p w14:paraId="44B7AB89">
            <w:pPr>
              <w:jc w:val="center"/>
              <w:rPr>
                <w:color w:val="auto"/>
                <w:szCs w:val="21"/>
                <w:highlight w:val="none"/>
              </w:rPr>
            </w:pPr>
          </w:p>
        </w:tc>
        <w:tc>
          <w:tcPr>
            <w:tcW w:w="1318" w:type="dxa"/>
            <w:vAlign w:val="center"/>
          </w:tcPr>
          <w:p w14:paraId="4952D1E5">
            <w:pPr>
              <w:jc w:val="center"/>
              <w:rPr>
                <w:color w:val="auto"/>
                <w:szCs w:val="21"/>
                <w:highlight w:val="none"/>
              </w:rPr>
            </w:pPr>
          </w:p>
        </w:tc>
        <w:tc>
          <w:tcPr>
            <w:tcW w:w="600" w:type="dxa"/>
            <w:vAlign w:val="center"/>
          </w:tcPr>
          <w:p w14:paraId="05EAB1B3">
            <w:pPr>
              <w:jc w:val="center"/>
              <w:rPr>
                <w:color w:val="auto"/>
                <w:szCs w:val="21"/>
                <w:highlight w:val="none"/>
              </w:rPr>
            </w:pPr>
          </w:p>
        </w:tc>
      </w:tr>
      <w:tr w14:paraId="72E4C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4E1D237B">
            <w:pPr>
              <w:jc w:val="center"/>
              <w:rPr>
                <w:color w:val="auto"/>
                <w:szCs w:val="21"/>
                <w:highlight w:val="none"/>
              </w:rPr>
            </w:pPr>
          </w:p>
        </w:tc>
        <w:tc>
          <w:tcPr>
            <w:tcW w:w="1105" w:type="dxa"/>
            <w:vAlign w:val="center"/>
          </w:tcPr>
          <w:p w14:paraId="7088841D">
            <w:pPr>
              <w:jc w:val="center"/>
              <w:rPr>
                <w:color w:val="auto"/>
                <w:szCs w:val="21"/>
                <w:highlight w:val="none"/>
              </w:rPr>
            </w:pPr>
          </w:p>
        </w:tc>
        <w:tc>
          <w:tcPr>
            <w:tcW w:w="1204" w:type="dxa"/>
            <w:vAlign w:val="center"/>
          </w:tcPr>
          <w:p w14:paraId="24476573">
            <w:pPr>
              <w:jc w:val="center"/>
              <w:rPr>
                <w:color w:val="auto"/>
                <w:szCs w:val="21"/>
                <w:highlight w:val="none"/>
              </w:rPr>
            </w:pPr>
          </w:p>
        </w:tc>
        <w:tc>
          <w:tcPr>
            <w:tcW w:w="650" w:type="dxa"/>
            <w:vAlign w:val="center"/>
          </w:tcPr>
          <w:p w14:paraId="66882020">
            <w:pPr>
              <w:jc w:val="center"/>
              <w:rPr>
                <w:color w:val="auto"/>
                <w:szCs w:val="21"/>
                <w:highlight w:val="none"/>
              </w:rPr>
            </w:pPr>
          </w:p>
        </w:tc>
        <w:tc>
          <w:tcPr>
            <w:tcW w:w="819" w:type="dxa"/>
            <w:vAlign w:val="center"/>
          </w:tcPr>
          <w:p w14:paraId="6D9E3420">
            <w:pPr>
              <w:jc w:val="center"/>
              <w:rPr>
                <w:color w:val="auto"/>
                <w:szCs w:val="21"/>
                <w:highlight w:val="none"/>
              </w:rPr>
            </w:pPr>
          </w:p>
        </w:tc>
        <w:tc>
          <w:tcPr>
            <w:tcW w:w="1213" w:type="dxa"/>
            <w:vAlign w:val="center"/>
          </w:tcPr>
          <w:p w14:paraId="71AE350D">
            <w:pPr>
              <w:jc w:val="center"/>
              <w:rPr>
                <w:color w:val="auto"/>
                <w:szCs w:val="21"/>
                <w:highlight w:val="none"/>
              </w:rPr>
            </w:pPr>
          </w:p>
        </w:tc>
        <w:tc>
          <w:tcPr>
            <w:tcW w:w="873" w:type="dxa"/>
            <w:vAlign w:val="center"/>
          </w:tcPr>
          <w:p w14:paraId="264F9588">
            <w:pPr>
              <w:jc w:val="center"/>
              <w:rPr>
                <w:color w:val="auto"/>
                <w:szCs w:val="21"/>
                <w:highlight w:val="none"/>
              </w:rPr>
            </w:pPr>
          </w:p>
        </w:tc>
        <w:tc>
          <w:tcPr>
            <w:tcW w:w="777" w:type="dxa"/>
            <w:vAlign w:val="center"/>
          </w:tcPr>
          <w:p w14:paraId="34BDB743">
            <w:pPr>
              <w:jc w:val="center"/>
              <w:rPr>
                <w:color w:val="auto"/>
                <w:szCs w:val="21"/>
                <w:highlight w:val="none"/>
              </w:rPr>
            </w:pPr>
          </w:p>
        </w:tc>
        <w:tc>
          <w:tcPr>
            <w:tcW w:w="1318" w:type="dxa"/>
            <w:vAlign w:val="center"/>
          </w:tcPr>
          <w:p w14:paraId="3B8A255E">
            <w:pPr>
              <w:jc w:val="center"/>
              <w:rPr>
                <w:color w:val="auto"/>
                <w:szCs w:val="21"/>
                <w:highlight w:val="none"/>
              </w:rPr>
            </w:pPr>
          </w:p>
        </w:tc>
        <w:tc>
          <w:tcPr>
            <w:tcW w:w="600" w:type="dxa"/>
            <w:vAlign w:val="center"/>
          </w:tcPr>
          <w:p w14:paraId="52FCBD21">
            <w:pPr>
              <w:jc w:val="center"/>
              <w:rPr>
                <w:color w:val="auto"/>
                <w:szCs w:val="21"/>
                <w:highlight w:val="none"/>
              </w:rPr>
            </w:pPr>
          </w:p>
        </w:tc>
      </w:tr>
      <w:tr w14:paraId="6B063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0CFF2508">
            <w:pPr>
              <w:jc w:val="center"/>
              <w:rPr>
                <w:color w:val="auto"/>
                <w:szCs w:val="21"/>
                <w:highlight w:val="none"/>
              </w:rPr>
            </w:pPr>
          </w:p>
        </w:tc>
        <w:tc>
          <w:tcPr>
            <w:tcW w:w="1105" w:type="dxa"/>
            <w:vAlign w:val="center"/>
          </w:tcPr>
          <w:p w14:paraId="11347709">
            <w:pPr>
              <w:jc w:val="center"/>
              <w:rPr>
                <w:color w:val="auto"/>
                <w:szCs w:val="21"/>
                <w:highlight w:val="none"/>
              </w:rPr>
            </w:pPr>
          </w:p>
        </w:tc>
        <w:tc>
          <w:tcPr>
            <w:tcW w:w="1204" w:type="dxa"/>
            <w:vAlign w:val="center"/>
          </w:tcPr>
          <w:p w14:paraId="4327D5B8">
            <w:pPr>
              <w:jc w:val="center"/>
              <w:rPr>
                <w:color w:val="auto"/>
                <w:szCs w:val="21"/>
                <w:highlight w:val="none"/>
              </w:rPr>
            </w:pPr>
          </w:p>
        </w:tc>
        <w:tc>
          <w:tcPr>
            <w:tcW w:w="650" w:type="dxa"/>
            <w:vAlign w:val="center"/>
          </w:tcPr>
          <w:p w14:paraId="6D8404E5">
            <w:pPr>
              <w:jc w:val="center"/>
              <w:rPr>
                <w:color w:val="auto"/>
                <w:szCs w:val="21"/>
                <w:highlight w:val="none"/>
              </w:rPr>
            </w:pPr>
          </w:p>
        </w:tc>
        <w:tc>
          <w:tcPr>
            <w:tcW w:w="819" w:type="dxa"/>
            <w:vAlign w:val="center"/>
          </w:tcPr>
          <w:p w14:paraId="299E7F10">
            <w:pPr>
              <w:jc w:val="center"/>
              <w:rPr>
                <w:color w:val="auto"/>
                <w:szCs w:val="21"/>
                <w:highlight w:val="none"/>
              </w:rPr>
            </w:pPr>
          </w:p>
        </w:tc>
        <w:tc>
          <w:tcPr>
            <w:tcW w:w="1213" w:type="dxa"/>
            <w:vAlign w:val="center"/>
          </w:tcPr>
          <w:p w14:paraId="3F0039B9">
            <w:pPr>
              <w:jc w:val="center"/>
              <w:rPr>
                <w:color w:val="auto"/>
                <w:szCs w:val="21"/>
                <w:highlight w:val="none"/>
              </w:rPr>
            </w:pPr>
          </w:p>
        </w:tc>
        <w:tc>
          <w:tcPr>
            <w:tcW w:w="873" w:type="dxa"/>
            <w:vAlign w:val="center"/>
          </w:tcPr>
          <w:p w14:paraId="73A398A5">
            <w:pPr>
              <w:jc w:val="center"/>
              <w:rPr>
                <w:color w:val="auto"/>
                <w:szCs w:val="21"/>
                <w:highlight w:val="none"/>
              </w:rPr>
            </w:pPr>
          </w:p>
        </w:tc>
        <w:tc>
          <w:tcPr>
            <w:tcW w:w="777" w:type="dxa"/>
            <w:vAlign w:val="center"/>
          </w:tcPr>
          <w:p w14:paraId="3D00E2D7">
            <w:pPr>
              <w:jc w:val="center"/>
              <w:rPr>
                <w:color w:val="auto"/>
                <w:szCs w:val="21"/>
                <w:highlight w:val="none"/>
              </w:rPr>
            </w:pPr>
          </w:p>
        </w:tc>
        <w:tc>
          <w:tcPr>
            <w:tcW w:w="1318" w:type="dxa"/>
            <w:vAlign w:val="center"/>
          </w:tcPr>
          <w:p w14:paraId="01084DA4">
            <w:pPr>
              <w:jc w:val="center"/>
              <w:rPr>
                <w:color w:val="auto"/>
                <w:szCs w:val="21"/>
                <w:highlight w:val="none"/>
              </w:rPr>
            </w:pPr>
          </w:p>
        </w:tc>
        <w:tc>
          <w:tcPr>
            <w:tcW w:w="600" w:type="dxa"/>
            <w:vAlign w:val="center"/>
          </w:tcPr>
          <w:p w14:paraId="7711A301">
            <w:pPr>
              <w:jc w:val="center"/>
              <w:rPr>
                <w:color w:val="auto"/>
                <w:szCs w:val="21"/>
                <w:highlight w:val="none"/>
              </w:rPr>
            </w:pPr>
          </w:p>
        </w:tc>
      </w:tr>
      <w:tr w14:paraId="6A3A50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332D1C89">
            <w:pPr>
              <w:jc w:val="center"/>
              <w:rPr>
                <w:color w:val="auto"/>
                <w:szCs w:val="21"/>
                <w:highlight w:val="none"/>
              </w:rPr>
            </w:pPr>
          </w:p>
        </w:tc>
        <w:tc>
          <w:tcPr>
            <w:tcW w:w="1105" w:type="dxa"/>
            <w:vAlign w:val="center"/>
          </w:tcPr>
          <w:p w14:paraId="11AF0FAE">
            <w:pPr>
              <w:jc w:val="center"/>
              <w:rPr>
                <w:color w:val="auto"/>
                <w:szCs w:val="21"/>
                <w:highlight w:val="none"/>
              </w:rPr>
            </w:pPr>
          </w:p>
        </w:tc>
        <w:tc>
          <w:tcPr>
            <w:tcW w:w="1204" w:type="dxa"/>
            <w:vAlign w:val="center"/>
          </w:tcPr>
          <w:p w14:paraId="1404FB79">
            <w:pPr>
              <w:jc w:val="center"/>
              <w:rPr>
                <w:color w:val="auto"/>
                <w:szCs w:val="21"/>
                <w:highlight w:val="none"/>
              </w:rPr>
            </w:pPr>
          </w:p>
        </w:tc>
        <w:tc>
          <w:tcPr>
            <w:tcW w:w="650" w:type="dxa"/>
            <w:vAlign w:val="center"/>
          </w:tcPr>
          <w:p w14:paraId="589FC2AA">
            <w:pPr>
              <w:jc w:val="center"/>
              <w:rPr>
                <w:color w:val="auto"/>
                <w:szCs w:val="21"/>
                <w:highlight w:val="none"/>
              </w:rPr>
            </w:pPr>
          </w:p>
        </w:tc>
        <w:tc>
          <w:tcPr>
            <w:tcW w:w="819" w:type="dxa"/>
            <w:vAlign w:val="center"/>
          </w:tcPr>
          <w:p w14:paraId="040E648D">
            <w:pPr>
              <w:jc w:val="center"/>
              <w:rPr>
                <w:color w:val="auto"/>
                <w:szCs w:val="21"/>
                <w:highlight w:val="none"/>
              </w:rPr>
            </w:pPr>
          </w:p>
        </w:tc>
        <w:tc>
          <w:tcPr>
            <w:tcW w:w="1213" w:type="dxa"/>
            <w:vAlign w:val="center"/>
          </w:tcPr>
          <w:p w14:paraId="7F1AD77E">
            <w:pPr>
              <w:jc w:val="center"/>
              <w:rPr>
                <w:color w:val="auto"/>
                <w:szCs w:val="21"/>
                <w:highlight w:val="none"/>
              </w:rPr>
            </w:pPr>
          </w:p>
        </w:tc>
        <w:tc>
          <w:tcPr>
            <w:tcW w:w="873" w:type="dxa"/>
            <w:vAlign w:val="center"/>
          </w:tcPr>
          <w:p w14:paraId="0FBB1539">
            <w:pPr>
              <w:jc w:val="center"/>
              <w:rPr>
                <w:color w:val="auto"/>
                <w:szCs w:val="21"/>
                <w:highlight w:val="none"/>
              </w:rPr>
            </w:pPr>
          </w:p>
        </w:tc>
        <w:tc>
          <w:tcPr>
            <w:tcW w:w="777" w:type="dxa"/>
            <w:vAlign w:val="center"/>
          </w:tcPr>
          <w:p w14:paraId="47DE50F7">
            <w:pPr>
              <w:jc w:val="center"/>
              <w:rPr>
                <w:color w:val="auto"/>
                <w:szCs w:val="21"/>
                <w:highlight w:val="none"/>
              </w:rPr>
            </w:pPr>
          </w:p>
        </w:tc>
        <w:tc>
          <w:tcPr>
            <w:tcW w:w="1318" w:type="dxa"/>
            <w:vAlign w:val="center"/>
          </w:tcPr>
          <w:p w14:paraId="61DA6CDA">
            <w:pPr>
              <w:jc w:val="center"/>
              <w:rPr>
                <w:color w:val="auto"/>
                <w:szCs w:val="21"/>
                <w:highlight w:val="none"/>
              </w:rPr>
            </w:pPr>
          </w:p>
        </w:tc>
        <w:tc>
          <w:tcPr>
            <w:tcW w:w="600" w:type="dxa"/>
            <w:vAlign w:val="center"/>
          </w:tcPr>
          <w:p w14:paraId="0437DC7B">
            <w:pPr>
              <w:jc w:val="center"/>
              <w:rPr>
                <w:color w:val="auto"/>
                <w:szCs w:val="21"/>
                <w:highlight w:val="none"/>
              </w:rPr>
            </w:pPr>
          </w:p>
        </w:tc>
      </w:tr>
      <w:tr w14:paraId="42CAD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2286FED5">
            <w:pPr>
              <w:jc w:val="center"/>
              <w:rPr>
                <w:color w:val="auto"/>
                <w:szCs w:val="21"/>
                <w:highlight w:val="none"/>
              </w:rPr>
            </w:pPr>
          </w:p>
        </w:tc>
        <w:tc>
          <w:tcPr>
            <w:tcW w:w="1105" w:type="dxa"/>
            <w:vAlign w:val="center"/>
          </w:tcPr>
          <w:p w14:paraId="175741D9">
            <w:pPr>
              <w:jc w:val="center"/>
              <w:rPr>
                <w:color w:val="auto"/>
                <w:szCs w:val="21"/>
                <w:highlight w:val="none"/>
              </w:rPr>
            </w:pPr>
          </w:p>
        </w:tc>
        <w:tc>
          <w:tcPr>
            <w:tcW w:w="1204" w:type="dxa"/>
            <w:vAlign w:val="center"/>
          </w:tcPr>
          <w:p w14:paraId="0CFCBEE1">
            <w:pPr>
              <w:jc w:val="center"/>
              <w:rPr>
                <w:color w:val="auto"/>
                <w:szCs w:val="21"/>
                <w:highlight w:val="none"/>
              </w:rPr>
            </w:pPr>
          </w:p>
        </w:tc>
        <w:tc>
          <w:tcPr>
            <w:tcW w:w="650" w:type="dxa"/>
            <w:vAlign w:val="center"/>
          </w:tcPr>
          <w:p w14:paraId="2EE78A8A">
            <w:pPr>
              <w:jc w:val="center"/>
              <w:rPr>
                <w:color w:val="auto"/>
                <w:szCs w:val="21"/>
                <w:highlight w:val="none"/>
              </w:rPr>
            </w:pPr>
          </w:p>
        </w:tc>
        <w:tc>
          <w:tcPr>
            <w:tcW w:w="819" w:type="dxa"/>
            <w:vAlign w:val="center"/>
          </w:tcPr>
          <w:p w14:paraId="6003B3C4">
            <w:pPr>
              <w:jc w:val="center"/>
              <w:rPr>
                <w:color w:val="auto"/>
                <w:szCs w:val="21"/>
                <w:highlight w:val="none"/>
              </w:rPr>
            </w:pPr>
          </w:p>
        </w:tc>
        <w:tc>
          <w:tcPr>
            <w:tcW w:w="1213" w:type="dxa"/>
            <w:vAlign w:val="center"/>
          </w:tcPr>
          <w:p w14:paraId="5B3E41A9">
            <w:pPr>
              <w:jc w:val="center"/>
              <w:rPr>
                <w:color w:val="auto"/>
                <w:szCs w:val="21"/>
                <w:highlight w:val="none"/>
              </w:rPr>
            </w:pPr>
          </w:p>
        </w:tc>
        <w:tc>
          <w:tcPr>
            <w:tcW w:w="873" w:type="dxa"/>
            <w:vAlign w:val="center"/>
          </w:tcPr>
          <w:p w14:paraId="732413C6">
            <w:pPr>
              <w:jc w:val="center"/>
              <w:rPr>
                <w:color w:val="auto"/>
                <w:szCs w:val="21"/>
                <w:highlight w:val="none"/>
              </w:rPr>
            </w:pPr>
          </w:p>
        </w:tc>
        <w:tc>
          <w:tcPr>
            <w:tcW w:w="777" w:type="dxa"/>
            <w:vAlign w:val="center"/>
          </w:tcPr>
          <w:p w14:paraId="5BBCFA68">
            <w:pPr>
              <w:jc w:val="center"/>
              <w:rPr>
                <w:color w:val="auto"/>
                <w:szCs w:val="21"/>
                <w:highlight w:val="none"/>
              </w:rPr>
            </w:pPr>
          </w:p>
        </w:tc>
        <w:tc>
          <w:tcPr>
            <w:tcW w:w="1318" w:type="dxa"/>
            <w:vAlign w:val="center"/>
          </w:tcPr>
          <w:p w14:paraId="089364AB">
            <w:pPr>
              <w:jc w:val="center"/>
              <w:rPr>
                <w:color w:val="auto"/>
                <w:szCs w:val="21"/>
                <w:highlight w:val="none"/>
              </w:rPr>
            </w:pPr>
          </w:p>
        </w:tc>
        <w:tc>
          <w:tcPr>
            <w:tcW w:w="600" w:type="dxa"/>
            <w:vAlign w:val="center"/>
          </w:tcPr>
          <w:p w14:paraId="5A8B7817">
            <w:pPr>
              <w:jc w:val="center"/>
              <w:rPr>
                <w:color w:val="auto"/>
                <w:szCs w:val="21"/>
                <w:highlight w:val="none"/>
              </w:rPr>
            </w:pPr>
          </w:p>
        </w:tc>
      </w:tr>
      <w:tr w14:paraId="0C26D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7A78D894">
            <w:pPr>
              <w:jc w:val="center"/>
              <w:rPr>
                <w:color w:val="auto"/>
                <w:szCs w:val="21"/>
                <w:highlight w:val="none"/>
              </w:rPr>
            </w:pPr>
          </w:p>
        </w:tc>
        <w:tc>
          <w:tcPr>
            <w:tcW w:w="1105" w:type="dxa"/>
            <w:vAlign w:val="center"/>
          </w:tcPr>
          <w:p w14:paraId="41A7C561">
            <w:pPr>
              <w:jc w:val="center"/>
              <w:rPr>
                <w:color w:val="auto"/>
                <w:szCs w:val="21"/>
                <w:highlight w:val="none"/>
              </w:rPr>
            </w:pPr>
          </w:p>
        </w:tc>
        <w:tc>
          <w:tcPr>
            <w:tcW w:w="1204" w:type="dxa"/>
            <w:vAlign w:val="center"/>
          </w:tcPr>
          <w:p w14:paraId="0BF57FD4">
            <w:pPr>
              <w:jc w:val="center"/>
              <w:rPr>
                <w:color w:val="auto"/>
                <w:szCs w:val="21"/>
                <w:highlight w:val="none"/>
              </w:rPr>
            </w:pPr>
          </w:p>
        </w:tc>
        <w:tc>
          <w:tcPr>
            <w:tcW w:w="650" w:type="dxa"/>
            <w:vAlign w:val="center"/>
          </w:tcPr>
          <w:p w14:paraId="42CD647F">
            <w:pPr>
              <w:jc w:val="center"/>
              <w:rPr>
                <w:color w:val="auto"/>
                <w:szCs w:val="21"/>
                <w:highlight w:val="none"/>
              </w:rPr>
            </w:pPr>
          </w:p>
        </w:tc>
        <w:tc>
          <w:tcPr>
            <w:tcW w:w="819" w:type="dxa"/>
            <w:vAlign w:val="center"/>
          </w:tcPr>
          <w:p w14:paraId="3A8882C7">
            <w:pPr>
              <w:jc w:val="center"/>
              <w:rPr>
                <w:color w:val="auto"/>
                <w:szCs w:val="21"/>
                <w:highlight w:val="none"/>
              </w:rPr>
            </w:pPr>
          </w:p>
        </w:tc>
        <w:tc>
          <w:tcPr>
            <w:tcW w:w="1213" w:type="dxa"/>
            <w:vAlign w:val="center"/>
          </w:tcPr>
          <w:p w14:paraId="231A646B">
            <w:pPr>
              <w:jc w:val="center"/>
              <w:rPr>
                <w:color w:val="auto"/>
                <w:szCs w:val="21"/>
                <w:highlight w:val="none"/>
              </w:rPr>
            </w:pPr>
          </w:p>
        </w:tc>
        <w:tc>
          <w:tcPr>
            <w:tcW w:w="873" w:type="dxa"/>
            <w:vAlign w:val="center"/>
          </w:tcPr>
          <w:p w14:paraId="22469FBF">
            <w:pPr>
              <w:jc w:val="center"/>
              <w:rPr>
                <w:color w:val="auto"/>
                <w:szCs w:val="21"/>
                <w:highlight w:val="none"/>
              </w:rPr>
            </w:pPr>
          </w:p>
        </w:tc>
        <w:tc>
          <w:tcPr>
            <w:tcW w:w="777" w:type="dxa"/>
            <w:vAlign w:val="center"/>
          </w:tcPr>
          <w:p w14:paraId="6BD208C9">
            <w:pPr>
              <w:jc w:val="center"/>
              <w:rPr>
                <w:color w:val="auto"/>
                <w:szCs w:val="21"/>
                <w:highlight w:val="none"/>
              </w:rPr>
            </w:pPr>
          </w:p>
        </w:tc>
        <w:tc>
          <w:tcPr>
            <w:tcW w:w="1318" w:type="dxa"/>
            <w:vAlign w:val="center"/>
          </w:tcPr>
          <w:p w14:paraId="1C880361">
            <w:pPr>
              <w:jc w:val="center"/>
              <w:rPr>
                <w:color w:val="auto"/>
                <w:szCs w:val="21"/>
                <w:highlight w:val="none"/>
              </w:rPr>
            </w:pPr>
          </w:p>
        </w:tc>
        <w:tc>
          <w:tcPr>
            <w:tcW w:w="600" w:type="dxa"/>
            <w:vAlign w:val="center"/>
          </w:tcPr>
          <w:p w14:paraId="5669D746">
            <w:pPr>
              <w:jc w:val="center"/>
              <w:rPr>
                <w:color w:val="auto"/>
                <w:szCs w:val="21"/>
                <w:highlight w:val="none"/>
              </w:rPr>
            </w:pPr>
          </w:p>
        </w:tc>
      </w:tr>
      <w:tr w14:paraId="2594E9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4D48E886">
            <w:pPr>
              <w:jc w:val="center"/>
              <w:rPr>
                <w:color w:val="auto"/>
                <w:szCs w:val="21"/>
                <w:highlight w:val="none"/>
              </w:rPr>
            </w:pPr>
          </w:p>
        </w:tc>
        <w:tc>
          <w:tcPr>
            <w:tcW w:w="1105" w:type="dxa"/>
            <w:vAlign w:val="center"/>
          </w:tcPr>
          <w:p w14:paraId="426B96C9">
            <w:pPr>
              <w:jc w:val="center"/>
              <w:rPr>
                <w:color w:val="auto"/>
                <w:szCs w:val="21"/>
                <w:highlight w:val="none"/>
              </w:rPr>
            </w:pPr>
          </w:p>
        </w:tc>
        <w:tc>
          <w:tcPr>
            <w:tcW w:w="1204" w:type="dxa"/>
            <w:vAlign w:val="center"/>
          </w:tcPr>
          <w:p w14:paraId="434FECF2">
            <w:pPr>
              <w:jc w:val="center"/>
              <w:rPr>
                <w:color w:val="auto"/>
                <w:szCs w:val="21"/>
                <w:highlight w:val="none"/>
              </w:rPr>
            </w:pPr>
          </w:p>
        </w:tc>
        <w:tc>
          <w:tcPr>
            <w:tcW w:w="650" w:type="dxa"/>
            <w:vAlign w:val="center"/>
          </w:tcPr>
          <w:p w14:paraId="675A75D5">
            <w:pPr>
              <w:jc w:val="center"/>
              <w:rPr>
                <w:color w:val="auto"/>
                <w:szCs w:val="21"/>
                <w:highlight w:val="none"/>
              </w:rPr>
            </w:pPr>
          </w:p>
        </w:tc>
        <w:tc>
          <w:tcPr>
            <w:tcW w:w="819" w:type="dxa"/>
            <w:vAlign w:val="center"/>
          </w:tcPr>
          <w:p w14:paraId="7A8083BD">
            <w:pPr>
              <w:jc w:val="center"/>
              <w:rPr>
                <w:color w:val="auto"/>
                <w:szCs w:val="21"/>
                <w:highlight w:val="none"/>
              </w:rPr>
            </w:pPr>
          </w:p>
        </w:tc>
        <w:tc>
          <w:tcPr>
            <w:tcW w:w="1213" w:type="dxa"/>
            <w:vAlign w:val="center"/>
          </w:tcPr>
          <w:p w14:paraId="2F676419">
            <w:pPr>
              <w:jc w:val="center"/>
              <w:rPr>
                <w:color w:val="auto"/>
                <w:szCs w:val="21"/>
                <w:highlight w:val="none"/>
              </w:rPr>
            </w:pPr>
          </w:p>
        </w:tc>
        <w:tc>
          <w:tcPr>
            <w:tcW w:w="873" w:type="dxa"/>
            <w:vAlign w:val="center"/>
          </w:tcPr>
          <w:p w14:paraId="4EB444C2">
            <w:pPr>
              <w:jc w:val="center"/>
              <w:rPr>
                <w:color w:val="auto"/>
                <w:szCs w:val="21"/>
                <w:highlight w:val="none"/>
              </w:rPr>
            </w:pPr>
          </w:p>
        </w:tc>
        <w:tc>
          <w:tcPr>
            <w:tcW w:w="777" w:type="dxa"/>
            <w:vAlign w:val="center"/>
          </w:tcPr>
          <w:p w14:paraId="01FA7CF0">
            <w:pPr>
              <w:jc w:val="center"/>
              <w:rPr>
                <w:color w:val="auto"/>
                <w:szCs w:val="21"/>
                <w:highlight w:val="none"/>
              </w:rPr>
            </w:pPr>
          </w:p>
        </w:tc>
        <w:tc>
          <w:tcPr>
            <w:tcW w:w="1318" w:type="dxa"/>
            <w:vAlign w:val="center"/>
          </w:tcPr>
          <w:p w14:paraId="389A8857">
            <w:pPr>
              <w:jc w:val="center"/>
              <w:rPr>
                <w:color w:val="auto"/>
                <w:szCs w:val="21"/>
                <w:highlight w:val="none"/>
              </w:rPr>
            </w:pPr>
          </w:p>
        </w:tc>
        <w:tc>
          <w:tcPr>
            <w:tcW w:w="600" w:type="dxa"/>
            <w:vAlign w:val="center"/>
          </w:tcPr>
          <w:p w14:paraId="0D91E3F1">
            <w:pPr>
              <w:jc w:val="center"/>
              <w:rPr>
                <w:color w:val="auto"/>
                <w:szCs w:val="21"/>
                <w:highlight w:val="none"/>
              </w:rPr>
            </w:pPr>
          </w:p>
        </w:tc>
      </w:tr>
      <w:tr w14:paraId="275886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2BF5BC31">
            <w:pPr>
              <w:jc w:val="center"/>
              <w:rPr>
                <w:color w:val="auto"/>
                <w:szCs w:val="21"/>
                <w:highlight w:val="none"/>
              </w:rPr>
            </w:pPr>
          </w:p>
        </w:tc>
        <w:tc>
          <w:tcPr>
            <w:tcW w:w="1105" w:type="dxa"/>
            <w:vAlign w:val="center"/>
          </w:tcPr>
          <w:p w14:paraId="130F6E79">
            <w:pPr>
              <w:jc w:val="center"/>
              <w:rPr>
                <w:color w:val="auto"/>
                <w:szCs w:val="21"/>
                <w:highlight w:val="none"/>
              </w:rPr>
            </w:pPr>
          </w:p>
        </w:tc>
        <w:tc>
          <w:tcPr>
            <w:tcW w:w="1204" w:type="dxa"/>
            <w:vAlign w:val="center"/>
          </w:tcPr>
          <w:p w14:paraId="79A5EE06">
            <w:pPr>
              <w:jc w:val="center"/>
              <w:rPr>
                <w:color w:val="auto"/>
                <w:szCs w:val="21"/>
                <w:highlight w:val="none"/>
              </w:rPr>
            </w:pPr>
          </w:p>
        </w:tc>
        <w:tc>
          <w:tcPr>
            <w:tcW w:w="650" w:type="dxa"/>
            <w:vAlign w:val="center"/>
          </w:tcPr>
          <w:p w14:paraId="4073BD57">
            <w:pPr>
              <w:jc w:val="center"/>
              <w:rPr>
                <w:color w:val="auto"/>
                <w:szCs w:val="21"/>
                <w:highlight w:val="none"/>
              </w:rPr>
            </w:pPr>
          </w:p>
        </w:tc>
        <w:tc>
          <w:tcPr>
            <w:tcW w:w="819" w:type="dxa"/>
            <w:vAlign w:val="center"/>
          </w:tcPr>
          <w:p w14:paraId="6306FE9B">
            <w:pPr>
              <w:jc w:val="center"/>
              <w:rPr>
                <w:color w:val="auto"/>
                <w:szCs w:val="21"/>
                <w:highlight w:val="none"/>
              </w:rPr>
            </w:pPr>
          </w:p>
        </w:tc>
        <w:tc>
          <w:tcPr>
            <w:tcW w:w="1213" w:type="dxa"/>
            <w:vAlign w:val="center"/>
          </w:tcPr>
          <w:p w14:paraId="2341DB86">
            <w:pPr>
              <w:jc w:val="center"/>
              <w:rPr>
                <w:color w:val="auto"/>
                <w:szCs w:val="21"/>
                <w:highlight w:val="none"/>
              </w:rPr>
            </w:pPr>
          </w:p>
        </w:tc>
        <w:tc>
          <w:tcPr>
            <w:tcW w:w="873" w:type="dxa"/>
            <w:vAlign w:val="center"/>
          </w:tcPr>
          <w:p w14:paraId="72449B30">
            <w:pPr>
              <w:jc w:val="center"/>
              <w:rPr>
                <w:color w:val="auto"/>
                <w:szCs w:val="21"/>
                <w:highlight w:val="none"/>
              </w:rPr>
            </w:pPr>
          </w:p>
        </w:tc>
        <w:tc>
          <w:tcPr>
            <w:tcW w:w="777" w:type="dxa"/>
            <w:vAlign w:val="center"/>
          </w:tcPr>
          <w:p w14:paraId="5EAF0271">
            <w:pPr>
              <w:jc w:val="center"/>
              <w:rPr>
                <w:color w:val="auto"/>
                <w:szCs w:val="21"/>
                <w:highlight w:val="none"/>
              </w:rPr>
            </w:pPr>
          </w:p>
        </w:tc>
        <w:tc>
          <w:tcPr>
            <w:tcW w:w="1318" w:type="dxa"/>
            <w:vAlign w:val="center"/>
          </w:tcPr>
          <w:p w14:paraId="0901188F">
            <w:pPr>
              <w:jc w:val="center"/>
              <w:rPr>
                <w:color w:val="auto"/>
                <w:szCs w:val="21"/>
                <w:highlight w:val="none"/>
              </w:rPr>
            </w:pPr>
          </w:p>
        </w:tc>
        <w:tc>
          <w:tcPr>
            <w:tcW w:w="600" w:type="dxa"/>
            <w:vAlign w:val="center"/>
          </w:tcPr>
          <w:p w14:paraId="389C0C47">
            <w:pPr>
              <w:jc w:val="center"/>
              <w:rPr>
                <w:color w:val="auto"/>
                <w:szCs w:val="21"/>
                <w:highlight w:val="none"/>
              </w:rPr>
            </w:pPr>
          </w:p>
        </w:tc>
      </w:tr>
      <w:tr w14:paraId="5C0C88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154B37FF">
            <w:pPr>
              <w:jc w:val="center"/>
              <w:rPr>
                <w:color w:val="auto"/>
                <w:szCs w:val="21"/>
                <w:highlight w:val="none"/>
              </w:rPr>
            </w:pPr>
          </w:p>
        </w:tc>
        <w:tc>
          <w:tcPr>
            <w:tcW w:w="1105" w:type="dxa"/>
            <w:vAlign w:val="center"/>
          </w:tcPr>
          <w:p w14:paraId="5A9E824F">
            <w:pPr>
              <w:jc w:val="center"/>
              <w:rPr>
                <w:color w:val="auto"/>
                <w:szCs w:val="21"/>
                <w:highlight w:val="none"/>
              </w:rPr>
            </w:pPr>
          </w:p>
        </w:tc>
        <w:tc>
          <w:tcPr>
            <w:tcW w:w="1204" w:type="dxa"/>
            <w:vAlign w:val="center"/>
          </w:tcPr>
          <w:p w14:paraId="3F7B9CCE">
            <w:pPr>
              <w:jc w:val="center"/>
              <w:rPr>
                <w:color w:val="auto"/>
                <w:szCs w:val="21"/>
                <w:highlight w:val="none"/>
              </w:rPr>
            </w:pPr>
          </w:p>
        </w:tc>
        <w:tc>
          <w:tcPr>
            <w:tcW w:w="650" w:type="dxa"/>
            <w:vAlign w:val="center"/>
          </w:tcPr>
          <w:p w14:paraId="03190C48">
            <w:pPr>
              <w:jc w:val="center"/>
              <w:rPr>
                <w:color w:val="auto"/>
                <w:szCs w:val="21"/>
                <w:highlight w:val="none"/>
              </w:rPr>
            </w:pPr>
          </w:p>
        </w:tc>
        <w:tc>
          <w:tcPr>
            <w:tcW w:w="819" w:type="dxa"/>
            <w:vAlign w:val="center"/>
          </w:tcPr>
          <w:p w14:paraId="71419952">
            <w:pPr>
              <w:jc w:val="center"/>
              <w:rPr>
                <w:color w:val="auto"/>
                <w:szCs w:val="21"/>
                <w:highlight w:val="none"/>
              </w:rPr>
            </w:pPr>
          </w:p>
        </w:tc>
        <w:tc>
          <w:tcPr>
            <w:tcW w:w="1213" w:type="dxa"/>
            <w:vAlign w:val="center"/>
          </w:tcPr>
          <w:p w14:paraId="2B6A55BE">
            <w:pPr>
              <w:jc w:val="center"/>
              <w:rPr>
                <w:color w:val="auto"/>
                <w:szCs w:val="21"/>
                <w:highlight w:val="none"/>
              </w:rPr>
            </w:pPr>
          </w:p>
        </w:tc>
        <w:tc>
          <w:tcPr>
            <w:tcW w:w="873" w:type="dxa"/>
            <w:vAlign w:val="center"/>
          </w:tcPr>
          <w:p w14:paraId="7B47703E">
            <w:pPr>
              <w:jc w:val="center"/>
              <w:rPr>
                <w:color w:val="auto"/>
                <w:szCs w:val="21"/>
                <w:highlight w:val="none"/>
              </w:rPr>
            </w:pPr>
          </w:p>
        </w:tc>
        <w:tc>
          <w:tcPr>
            <w:tcW w:w="777" w:type="dxa"/>
            <w:vAlign w:val="center"/>
          </w:tcPr>
          <w:p w14:paraId="663C10E3">
            <w:pPr>
              <w:jc w:val="center"/>
              <w:rPr>
                <w:color w:val="auto"/>
                <w:szCs w:val="21"/>
                <w:highlight w:val="none"/>
              </w:rPr>
            </w:pPr>
          </w:p>
        </w:tc>
        <w:tc>
          <w:tcPr>
            <w:tcW w:w="1318" w:type="dxa"/>
            <w:vAlign w:val="center"/>
          </w:tcPr>
          <w:p w14:paraId="32AF7A0E">
            <w:pPr>
              <w:jc w:val="center"/>
              <w:rPr>
                <w:color w:val="auto"/>
                <w:szCs w:val="21"/>
                <w:highlight w:val="none"/>
              </w:rPr>
            </w:pPr>
          </w:p>
        </w:tc>
        <w:tc>
          <w:tcPr>
            <w:tcW w:w="600" w:type="dxa"/>
            <w:vAlign w:val="center"/>
          </w:tcPr>
          <w:p w14:paraId="4107151C">
            <w:pPr>
              <w:jc w:val="center"/>
              <w:rPr>
                <w:color w:val="auto"/>
                <w:szCs w:val="21"/>
                <w:highlight w:val="none"/>
              </w:rPr>
            </w:pPr>
          </w:p>
        </w:tc>
      </w:tr>
      <w:tr w14:paraId="79510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64E132CE">
            <w:pPr>
              <w:jc w:val="center"/>
              <w:rPr>
                <w:color w:val="auto"/>
                <w:szCs w:val="21"/>
                <w:highlight w:val="none"/>
              </w:rPr>
            </w:pPr>
          </w:p>
        </w:tc>
        <w:tc>
          <w:tcPr>
            <w:tcW w:w="1105" w:type="dxa"/>
            <w:vAlign w:val="center"/>
          </w:tcPr>
          <w:p w14:paraId="508776B8">
            <w:pPr>
              <w:jc w:val="center"/>
              <w:rPr>
                <w:color w:val="auto"/>
                <w:szCs w:val="21"/>
                <w:highlight w:val="none"/>
              </w:rPr>
            </w:pPr>
          </w:p>
        </w:tc>
        <w:tc>
          <w:tcPr>
            <w:tcW w:w="1204" w:type="dxa"/>
            <w:vAlign w:val="center"/>
          </w:tcPr>
          <w:p w14:paraId="53309D80">
            <w:pPr>
              <w:jc w:val="center"/>
              <w:rPr>
                <w:color w:val="auto"/>
                <w:szCs w:val="21"/>
                <w:highlight w:val="none"/>
              </w:rPr>
            </w:pPr>
          </w:p>
        </w:tc>
        <w:tc>
          <w:tcPr>
            <w:tcW w:w="650" w:type="dxa"/>
            <w:vAlign w:val="center"/>
          </w:tcPr>
          <w:p w14:paraId="23C7FBF9">
            <w:pPr>
              <w:jc w:val="center"/>
              <w:rPr>
                <w:color w:val="auto"/>
                <w:szCs w:val="21"/>
                <w:highlight w:val="none"/>
              </w:rPr>
            </w:pPr>
          </w:p>
        </w:tc>
        <w:tc>
          <w:tcPr>
            <w:tcW w:w="819" w:type="dxa"/>
            <w:vAlign w:val="center"/>
          </w:tcPr>
          <w:p w14:paraId="03CD3FFE">
            <w:pPr>
              <w:jc w:val="center"/>
              <w:rPr>
                <w:color w:val="auto"/>
                <w:szCs w:val="21"/>
                <w:highlight w:val="none"/>
              </w:rPr>
            </w:pPr>
          </w:p>
        </w:tc>
        <w:tc>
          <w:tcPr>
            <w:tcW w:w="1213" w:type="dxa"/>
            <w:vAlign w:val="center"/>
          </w:tcPr>
          <w:p w14:paraId="19FABBE3">
            <w:pPr>
              <w:jc w:val="center"/>
              <w:rPr>
                <w:color w:val="auto"/>
                <w:szCs w:val="21"/>
                <w:highlight w:val="none"/>
              </w:rPr>
            </w:pPr>
          </w:p>
        </w:tc>
        <w:tc>
          <w:tcPr>
            <w:tcW w:w="873" w:type="dxa"/>
            <w:vAlign w:val="center"/>
          </w:tcPr>
          <w:p w14:paraId="5743665A">
            <w:pPr>
              <w:jc w:val="center"/>
              <w:rPr>
                <w:color w:val="auto"/>
                <w:szCs w:val="21"/>
                <w:highlight w:val="none"/>
              </w:rPr>
            </w:pPr>
          </w:p>
        </w:tc>
        <w:tc>
          <w:tcPr>
            <w:tcW w:w="777" w:type="dxa"/>
            <w:vAlign w:val="center"/>
          </w:tcPr>
          <w:p w14:paraId="5B3AF49C">
            <w:pPr>
              <w:jc w:val="center"/>
              <w:rPr>
                <w:color w:val="auto"/>
                <w:szCs w:val="21"/>
                <w:highlight w:val="none"/>
              </w:rPr>
            </w:pPr>
          </w:p>
        </w:tc>
        <w:tc>
          <w:tcPr>
            <w:tcW w:w="1318" w:type="dxa"/>
            <w:vAlign w:val="center"/>
          </w:tcPr>
          <w:p w14:paraId="5D5EFA59">
            <w:pPr>
              <w:jc w:val="center"/>
              <w:rPr>
                <w:color w:val="auto"/>
                <w:szCs w:val="21"/>
                <w:highlight w:val="none"/>
              </w:rPr>
            </w:pPr>
          </w:p>
        </w:tc>
        <w:tc>
          <w:tcPr>
            <w:tcW w:w="600" w:type="dxa"/>
            <w:vAlign w:val="center"/>
          </w:tcPr>
          <w:p w14:paraId="0F90804E">
            <w:pPr>
              <w:jc w:val="center"/>
              <w:rPr>
                <w:color w:val="auto"/>
                <w:szCs w:val="21"/>
                <w:highlight w:val="none"/>
              </w:rPr>
            </w:pPr>
          </w:p>
        </w:tc>
      </w:tr>
      <w:tr w14:paraId="6E3FE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70E4013B">
            <w:pPr>
              <w:jc w:val="center"/>
              <w:rPr>
                <w:color w:val="auto"/>
                <w:szCs w:val="21"/>
                <w:highlight w:val="none"/>
              </w:rPr>
            </w:pPr>
          </w:p>
        </w:tc>
        <w:tc>
          <w:tcPr>
            <w:tcW w:w="1105" w:type="dxa"/>
            <w:vAlign w:val="center"/>
          </w:tcPr>
          <w:p w14:paraId="4E0A47C8">
            <w:pPr>
              <w:jc w:val="center"/>
              <w:rPr>
                <w:color w:val="auto"/>
                <w:szCs w:val="21"/>
                <w:highlight w:val="none"/>
              </w:rPr>
            </w:pPr>
          </w:p>
        </w:tc>
        <w:tc>
          <w:tcPr>
            <w:tcW w:w="1204" w:type="dxa"/>
            <w:vAlign w:val="center"/>
          </w:tcPr>
          <w:p w14:paraId="2DBD024A">
            <w:pPr>
              <w:jc w:val="center"/>
              <w:rPr>
                <w:color w:val="auto"/>
                <w:szCs w:val="21"/>
                <w:highlight w:val="none"/>
              </w:rPr>
            </w:pPr>
          </w:p>
        </w:tc>
        <w:tc>
          <w:tcPr>
            <w:tcW w:w="650" w:type="dxa"/>
            <w:vAlign w:val="center"/>
          </w:tcPr>
          <w:p w14:paraId="330E2D41">
            <w:pPr>
              <w:jc w:val="center"/>
              <w:rPr>
                <w:color w:val="auto"/>
                <w:szCs w:val="21"/>
                <w:highlight w:val="none"/>
              </w:rPr>
            </w:pPr>
          </w:p>
        </w:tc>
        <w:tc>
          <w:tcPr>
            <w:tcW w:w="819" w:type="dxa"/>
            <w:vAlign w:val="center"/>
          </w:tcPr>
          <w:p w14:paraId="77EBC57C">
            <w:pPr>
              <w:jc w:val="center"/>
              <w:rPr>
                <w:color w:val="auto"/>
                <w:szCs w:val="21"/>
                <w:highlight w:val="none"/>
              </w:rPr>
            </w:pPr>
          </w:p>
        </w:tc>
        <w:tc>
          <w:tcPr>
            <w:tcW w:w="1213" w:type="dxa"/>
            <w:vAlign w:val="center"/>
          </w:tcPr>
          <w:p w14:paraId="7219B42C">
            <w:pPr>
              <w:jc w:val="center"/>
              <w:rPr>
                <w:color w:val="auto"/>
                <w:szCs w:val="21"/>
                <w:highlight w:val="none"/>
              </w:rPr>
            </w:pPr>
          </w:p>
        </w:tc>
        <w:tc>
          <w:tcPr>
            <w:tcW w:w="873" w:type="dxa"/>
            <w:vAlign w:val="center"/>
          </w:tcPr>
          <w:p w14:paraId="1A43AFCD">
            <w:pPr>
              <w:jc w:val="center"/>
              <w:rPr>
                <w:color w:val="auto"/>
                <w:szCs w:val="21"/>
                <w:highlight w:val="none"/>
              </w:rPr>
            </w:pPr>
          </w:p>
        </w:tc>
        <w:tc>
          <w:tcPr>
            <w:tcW w:w="777" w:type="dxa"/>
            <w:vAlign w:val="center"/>
          </w:tcPr>
          <w:p w14:paraId="072360CB">
            <w:pPr>
              <w:jc w:val="center"/>
              <w:rPr>
                <w:color w:val="auto"/>
                <w:szCs w:val="21"/>
                <w:highlight w:val="none"/>
              </w:rPr>
            </w:pPr>
          </w:p>
        </w:tc>
        <w:tc>
          <w:tcPr>
            <w:tcW w:w="1318" w:type="dxa"/>
            <w:vAlign w:val="center"/>
          </w:tcPr>
          <w:p w14:paraId="3B0B560C">
            <w:pPr>
              <w:jc w:val="center"/>
              <w:rPr>
                <w:color w:val="auto"/>
                <w:szCs w:val="21"/>
                <w:highlight w:val="none"/>
              </w:rPr>
            </w:pPr>
          </w:p>
        </w:tc>
        <w:tc>
          <w:tcPr>
            <w:tcW w:w="600" w:type="dxa"/>
            <w:vAlign w:val="center"/>
          </w:tcPr>
          <w:p w14:paraId="3C7AFA2A">
            <w:pPr>
              <w:jc w:val="center"/>
              <w:rPr>
                <w:color w:val="auto"/>
                <w:szCs w:val="21"/>
                <w:highlight w:val="none"/>
              </w:rPr>
            </w:pPr>
          </w:p>
        </w:tc>
      </w:tr>
      <w:tr w14:paraId="1B9C48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656B7D53">
            <w:pPr>
              <w:jc w:val="center"/>
              <w:rPr>
                <w:color w:val="auto"/>
                <w:szCs w:val="21"/>
                <w:highlight w:val="none"/>
              </w:rPr>
            </w:pPr>
          </w:p>
        </w:tc>
        <w:tc>
          <w:tcPr>
            <w:tcW w:w="1105" w:type="dxa"/>
            <w:vAlign w:val="center"/>
          </w:tcPr>
          <w:p w14:paraId="600415CC">
            <w:pPr>
              <w:jc w:val="center"/>
              <w:rPr>
                <w:color w:val="auto"/>
                <w:szCs w:val="21"/>
                <w:highlight w:val="none"/>
              </w:rPr>
            </w:pPr>
          </w:p>
        </w:tc>
        <w:tc>
          <w:tcPr>
            <w:tcW w:w="1204" w:type="dxa"/>
            <w:vAlign w:val="center"/>
          </w:tcPr>
          <w:p w14:paraId="602B2C5E">
            <w:pPr>
              <w:jc w:val="center"/>
              <w:rPr>
                <w:color w:val="auto"/>
                <w:szCs w:val="21"/>
                <w:highlight w:val="none"/>
              </w:rPr>
            </w:pPr>
          </w:p>
        </w:tc>
        <w:tc>
          <w:tcPr>
            <w:tcW w:w="650" w:type="dxa"/>
            <w:vAlign w:val="center"/>
          </w:tcPr>
          <w:p w14:paraId="56860FA8">
            <w:pPr>
              <w:jc w:val="center"/>
              <w:rPr>
                <w:color w:val="auto"/>
                <w:szCs w:val="21"/>
                <w:highlight w:val="none"/>
              </w:rPr>
            </w:pPr>
          </w:p>
        </w:tc>
        <w:tc>
          <w:tcPr>
            <w:tcW w:w="819" w:type="dxa"/>
            <w:vAlign w:val="center"/>
          </w:tcPr>
          <w:p w14:paraId="1967E23A">
            <w:pPr>
              <w:jc w:val="center"/>
              <w:rPr>
                <w:color w:val="auto"/>
                <w:szCs w:val="21"/>
                <w:highlight w:val="none"/>
              </w:rPr>
            </w:pPr>
          </w:p>
        </w:tc>
        <w:tc>
          <w:tcPr>
            <w:tcW w:w="1213" w:type="dxa"/>
            <w:vAlign w:val="center"/>
          </w:tcPr>
          <w:p w14:paraId="316FCB6D">
            <w:pPr>
              <w:jc w:val="center"/>
              <w:rPr>
                <w:color w:val="auto"/>
                <w:szCs w:val="21"/>
                <w:highlight w:val="none"/>
              </w:rPr>
            </w:pPr>
          </w:p>
        </w:tc>
        <w:tc>
          <w:tcPr>
            <w:tcW w:w="873" w:type="dxa"/>
            <w:vAlign w:val="center"/>
          </w:tcPr>
          <w:p w14:paraId="5643FD20">
            <w:pPr>
              <w:jc w:val="center"/>
              <w:rPr>
                <w:color w:val="auto"/>
                <w:szCs w:val="21"/>
                <w:highlight w:val="none"/>
              </w:rPr>
            </w:pPr>
          </w:p>
        </w:tc>
        <w:tc>
          <w:tcPr>
            <w:tcW w:w="777" w:type="dxa"/>
            <w:vAlign w:val="center"/>
          </w:tcPr>
          <w:p w14:paraId="0EEDA4D2">
            <w:pPr>
              <w:jc w:val="center"/>
              <w:rPr>
                <w:color w:val="auto"/>
                <w:szCs w:val="21"/>
                <w:highlight w:val="none"/>
              </w:rPr>
            </w:pPr>
          </w:p>
        </w:tc>
        <w:tc>
          <w:tcPr>
            <w:tcW w:w="1318" w:type="dxa"/>
            <w:vAlign w:val="center"/>
          </w:tcPr>
          <w:p w14:paraId="29B0C846">
            <w:pPr>
              <w:jc w:val="center"/>
              <w:rPr>
                <w:color w:val="auto"/>
                <w:szCs w:val="21"/>
                <w:highlight w:val="none"/>
              </w:rPr>
            </w:pPr>
          </w:p>
        </w:tc>
        <w:tc>
          <w:tcPr>
            <w:tcW w:w="600" w:type="dxa"/>
            <w:vAlign w:val="center"/>
          </w:tcPr>
          <w:p w14:paraId="0532EAF4">
            <w:pPr>
              <w:jc w:val="center"/>
              <w:rPr>
                <w:color w:val="auto"/>
                <w:szCs w:val="21"/>
                <w:highlight w:val="none"/>
              </w:rPr>
            </w:pPr>
          </w:p>
        </w:tc>
      </w:tr>
      <w:tr w14:paraId="7DD97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1EE6FFFF">
            <w:pPr>
              <w:jc w:val="center"/>
              <w:rPr>
                <w:color w:val="auto"/>
                <w:szCs w:val="21"/>
                <w:highlight w:val="none"/>
              </w:rPr>
            </w:pPr>
          </w:p>
        </w:tc>
        <w:tc>
          <w:tcPr>
            <w:tcW w:w="1105" w:type="dxa"/>
            <w:vAlign w:val="center"/>
          </w:tcPr>
          <w:p w14:paraId="326782D1">
            <w:pPr>
              <w:jc w:val="center"/>
              <w:rPr>
                <w:color w:val="auto"/>
                <w:szCs w:val="21"/>
                <w:highlight w:val="none"/>
              </w:rPr>
            </w:pPr>
          </w:p>
        </w:tc>
        <w:tc>
          <w:tcPr>
            <w:tcW w:w="1204" w:type="dxa"/>
            <w:vAlign w:val="center"/>
          </w:tcPr>
          <w:p w14:paraId="23E082D8">
            <w:pPr>
              <w:jc w:val="center"/>
              <w:rPr>
                <w:color w:val="auto"/>
                <w:szCs w:val="21"/>
                <w:highlight w:val="none"/>
              </w:rPr>
            </w:pPr>
          </w:p>
        </w:tc>
        <w:tc>
          <w:tcPr>
            <w:tcW w:w="650" w:type="dxa"/>
            <w:vAlign w:val="center"/>
          </w:tcPr>
          <w:p w14:paraId="7B196921">
            <w:pPr>
              <w:jc w:val="center"/>
              <w:rPr>
                <w:color w:val="auto"/>
                <w:szCs w:val="21"/>
                <w:highlight w:val="none"/>
              </w:rPr>
            </w:pPr>
          </w:p>
        </w:tc>
        <w:tc>
          <w:tcPr>
            <w:tcW w:w="819" w:type="dxa"/>
            <w:vAlign w:val="center"/>
          </w:tcPr>
          <w:p w14:paraId="0B734E9B">
            <w:pPr>
              <w:jc w:val="center"/>
              <w:rPr>
                <w:color w:val="auto"/>
                <w:szCs w:val="21"/>
                <w:highlight w:val="none"/>
              </w:rPr>
            </w:pPr>
          </w:p>
        </w:tc>
        <w:tc>
          <w:tcPr>
            <w:tcW w:w="1213" w:type="dxa"/>
            <w:vAlign w:val="center"/>
          </w:tcPr>
          <w:p w14:paraId="212C0A6C">
            <w:pPr>
              <w:jc w:val="center"/>
              <w:rPr>
                <w:color w:val="auto"/>
                <w:szCs w:val="21"/>
                <w:highlight w:val="none"/>
              </w:rPr>
            </w:pPr>
          </w:p>
        </w:tc>
        <w:tc>
          <w:tcPr>
            <w:tcW w:w="873" w:type="dxa"/>
            <w:vAlign w:val="center"/>
          </w:tcPr>
          <w:p w14:paraId="3B465AFE">
            <w:pPr>
              <w:jc w:val="center"/>
              <w:rPr>
                <w:color w:val="auto"/>
                <w:szCs w:val="21"/>
                <w:highlight w:val="none"/>
              </w:rPr>
            </w:pPr>
          </w:p>
        </w:tc>
        <w:tc>
          <w:tcPr>
            <w:tcW w:w="777" w:type="dxa"/>
            <w:vAlign w:val="center"/>
          </w:tcPr>
          <w:p w14:paraId="6811C37A">
            <w:pPr>
              <w:jc w:val="center"/>
              <w:rPr>
                <w:color w:val="auto"/>
                <w:szCs w:val="21"/>
                <w:highlight w:val="none"/>
              </w:rPr>
            </w:pPr>
          </w:p>
        </w:tc>
        <w:tc>
          <w:tcPr>
            <w:tcW w:w="1318" w:type="dxa"/>
            <w:vAlign w:val="center"/>
          </w:tcPr>
          <w:p w14:paraId="0FE14359">
            <w:pPr>
              <w:jc w:val="center"/>
              <w:rPr>
                <w:color w:val="auto"/>
                <w:szCs w:val="21"/>
                <w:highlight w:val="none"/>
              </w:rPr>
            </w:pPr>
          </w:p>
        </w:tc>
        <w:tc>
          <w:tcPr>
            <w:tcW w:w="600" w:type="dxa"/>
            <w:vAlign w:val="center"/>
          </w:tcPr>
          <w:p w14:paraId="3D4A9D65">
            <w:pPr>
              <w:jc w:val="center"/>
              <w:rPr>
                <w:color w:val="auto"/>
                <w:szCs w:val="21"/>
                <w:highlight w:val="none"/>
              </w:rPr>
            </w:pPr>
          </w:p>
        </w:tc>
      </w:tr>
      <w:tr w14:paraId="6F363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67" w:hRule="atLeast"/>
          <w:jc w:val="center"/>
        </w:trPr>
        <w:tc>
          <w:tcPr>
            <w:tcW w:w="625" w:type="dxa"/>
            <w:vAlign w:val="center"/>
          </w:tcPr>
          <w:p w14:paraId="06C469D6">
            <w:pPr>
              <w:jc w:val="center"/>
              <w:rPr>
                <w:color w:val="auto"/>
                <w:szCs w:val="21"/>
                <w:highlight w:val="none"/>
              </w:rPr>
            </w:pPr>
          </w:p>
        </w:tc>
        <w:tc>
          <w:tcPr>
            <w:tcW w:w="1105" w:type="dxa"/>
            <w:vAlign w:val="center"/>
          </w:tcPr>
          <w:p w14:paraId="6E38650E">
            <w:pPr>
              <w:jc w:val="center"/>
              <w:rPr>
                <w:color w:val="auto"/>
                <w:szCs w:val="21"/>
                <w:highlight w:val="none"/>
              </w:rPr>
            </w:pPr>
          </w:p>
        </w:tc>
        <w:tc>
          <w:tcPr>
            <w:tcW w:w="1204" w:type="dxa"/>
            <w:vAlign w:val="center"/>
          </w:tcPr>
          <w:p w14:paraId="758BDAE3">
            <w:pPr>
              <w:jc w:val="center"/>
              <w:rPr>
                <w:color w:val="auto"/>
                <w:szCs w:val="21"/>
                <w:highlight w:val="none"/>
              </w:rPr>
            </w:pPr>
          </w:p>
        </w:tc>
        <w:tc>
          <w:tcPr>
            <w:tcW w:w="650" w:type="dxa"/>
            <w:vAlign w:val="center"/>
          </w:tcPr>
          <w:p w14:paraId="30F98C4F">
            <w:pPr>
              <w:jc w:val="center"/>
              <w:rPr>
                <w:color w:val="auto"/>
                <w:szCs w:val="21"/>
                <w:highlight w:val="none"/>
              </w:rPr>
            </w:pPr>
          </w:p>
        </w:tc>
        <w:tc>
          <w:tcPr>
            <w:tcW w:w="819" w:type="dxa"/>
            <w:vAlign w:val="center"/>
          </w:tcPr>
          <w:p w14:paraId="01EC68E9">
            <w:pPr>
              <w:jc w:val="center"/>
              <w:rPr>
                <w:color w:val="auto"/>
                <w:szCs w:val="21"/>
                <w:highlight w:val="none"/>
              </w:rPr>
            </w:pPr>
          </w:p>
        </w:tc>
        <w:tc>
          <w:tcPr>
            <w:tcW w:w="1213" w:type="dxa"/>
            <w:vAlign w:val="center"/>
          </w:tcPr>
          <w:p w14:paraId="6C57AB0A">
            <w:pPr>
              <w:jc w:val="center"/>
              <w:rPr>
                <w:color w:val="auto"/>
                <w:szCs w:val="21"/>
                <w:highlight w:val="none"/>
              </w:rPr>
            </w:pPr>
          </w:p>
        </w:tc>
        <w:tc>
          <w:tcPr>
            <w:tcW w:w="873" w:type="dxa"/>
            <w:vAlign w:val="center"/>
          </w:tcPr>
          <w:p w14:paraId="101E37FA">
            <w:pPr>
              <w:jc w:val="center"/>
              <w:rPr>
                <w:color w:val="auto"/>
                <w:szCs w:val="21"/>
                <w:highlight w:val="none"/>
              </w:rPr>
            </w:pPr>
          </w:p>
        </w:tc>
        <w:tc>
          <w:tcPr>
            <w:tcW w:w="777" w:type="dxa"/>
            <w:vAlign w:val="center"/>
          </w:tcPr>
          <w:p w14:paraId="1271199A">
            <w:pPr>
              <w:jc w:val="center"/>
              <w:rPr>
                <w:color w:val="auto"/>
                <w:szCs w:val="21"/>
                <w:highlight w:val="none"/>
              </w:rPr>
            </w:pPr>
          </w:p>
        </w:tc>
        <w:tc>
          <w:tcPr>
            <w:tcW w:w="1318" w:type="dxa"/>
            <w:vAlign w:val="center"/>
          </w:tcPr>
          <w:p w14:paraId="1C1E3F3E">
            <w:pPr>
              <w:jc w:val="center"/>
              <w:rPr>
                <w:color w:val="auto"/>
                <w:szCs w:val="21"/>
                <w:highlight w:val="none"/>
              </w:rPr>
            </w:pPr>
          </w:p>
        </w:tc>
        <w:tc>
          <w:tcPr>
            <w:tcW w:w="600" w:type="dxa"/>
            <w:vAlign w:val="center"/>
          </w:tcPr>
          <w:p w14:paraId="7A4BEA21">
            <w:pPr>
              <w:jc w:val="center"/>
              <w:rPr>
                <w:color w:val="auto"/>
                <w:szCs w:val="21"/>
                <w:highlight w:val="none"/>
              </w:rPr>
            </w:pPr>
          </w:p>
        </w:tc>
      </w:tr>
    </w:tbl>
    <w:p w14:paraId="7AAD72F0">
      <w:pPr>
        <w:rPr>
          <w:color w:val="auto"/>
          <w:highlight w:val="none"/>
        </w:rPr>
      </w:pPr>
    </w:p>
    <w:p w14:paraId="6237D3E0">
      <w:pPr>
        <w:rPr>
          <w:color w:val="auto"/>
          <w:highlight w:val="none"/>
        </w:rPr>
      </w:pPr>
    </w:p>
    <w:p w14:paraId="403089F7">
      <w:pPr>
        <w:pStyle w:val="16"/>
        <w:keepNext w:val="0"/>
        <w:keepLines w:val="0"/>
        <w:pageBreakBefore w:val="0"/>
        <w:widowControl w:val="0"/>
        <w:kinsoku/>
        <w:wordWrap/>
        <w:overflowPunct/>
        <w:topLinePunct w:val="0"/>
        <w:autoSpaceDE/>
        <w:autoSpaceDN/>
        <w:bidi w:val="0"/>
        <w:snapToGrid/>
        <w:spacing w:line="400" w:lineRule="exact"/>
        <w:jc w:val="both"/>
        <w:rPr>
          <w:rFonts w:hint="eastAsia" w:ascii="黑体" w:hAnsi="黑体" w:eastAsia="黑体" w:cs="黑体"/>
          <w:color w:val="auto"/>
          <w:sz w:val="32"/>
          <w:szCs w:val="32"/>
          <w:highlight w:val="none"/>
          <w:lang w:val="en-US" w:eastAsia="zh-CN"/>
        </w:rPr>
        <w:sectPr>
          <w:footerReference r:id="rId9" w:type="default"/>
          <w:pgSz w:w="11906" w:h="16838"/>
          <w:pgMar w:top="2098" w:right="1474" w:bottom="1984" w:left="1587" w:header="850" w:footer="1587" w:gutter="0"/>
          <w:pgNumType w:fmt="numberInDash"/>
          <w:cols w:space="0" w:num="1"/>
          <w:rtlGutter w:val="0"/>
          <w:docGrid w:type="lines" w:linePitch="440" w:charSpace="0"/>
        </w:sectPr>
      </w:pPr>
    </w:p>
    <w:p w14:paraId="47CD5D06">
      <w:pPr>
        <w:rPr>
          <w:rStyle w:val="24"/>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32"/>
          <w:szCs w:val="32"/>
          <w:highlight w:val="none"/>
          <w:lang w:val="en-US" w:eastAsia="zh-CN"/>
        </w:rPr>
        <w:t xml:space="preserve">附件9 </w:t>
      </w:r>
      <w:r>
        <w:rPr>
          <w:rStyle w:val="24"/>
          <w:rFonts w:hint="eastAsia" w:ascii="黑体" w:hAnsi="黑体" w:eastAsia="黑体" w:cs="黑体"/>
          <w:b w:val="0"/>
          <w:bCs w:val="0"/>
          <w:color w:val="auto"/>
          <w:sz w:val="24"/>
          <w:szCs w:val="24"/>
          <w:highlight w:val="none"/>
          <w:lang w:val="en-US" w:eastAsia="zh-CN"/>
        </w:rPr>
        <w:t xml:space="preserve">     </w:t>
      </w:r>
    </w:p>
    <w:p w14:paraId="0605815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Style w:val="24"/>
          <w:rFonts w:hint="eastAsia" w:ascii="方正小标宋简体" w:hAnsi="方正小标宋简体" w:eastAsia="方正小标宋简体" w:cs="方正小标宋简体"/>
          <w:b w:val="0"/>
          <w:bCs w:val="0"/>
          <w:color w:val="auto"/>
          <w:sz w:val="32"/>
          <w:szCs w:val="32"/>
          <w:highlight w:val="none"/>
        </w:rPr>
      </w:pPr>
      <w:r>
        <w:rPr>
          <w:rStyle w:val="24"/>
          <w:rFonts w:hint="eastAsia" w:asciiTheme="majorEastAsia" w:hAnsiTheme="majorEastAsia" w:eastAsiaTheme="majorEastAsia" w:cstheme="majorEastAsia"/>
          <w:b w:val="0"/>
          <w:bCs w:val="0"/>
          <w:color w:val="auto"/>
          <w:sz w:val="32"/>
          <w:szCs w:val="32"/>
          <w:highlight w:val="none"/>
        </w:rPr>
        <w:t>安全</w:t>
      </w:r>
      <w:r>
        <w:rPr>
          <w:rStyle w:val="24"/>
          <w:rFonts w:hint="eastAsia" w:asciiTheme="majorEastAsia" w:hAnsiTheme="majorEastAsia" w:eastAsiaTheme="majorEastAsia" w:cstheme="majorEastAsia"/>
          <w:b w:val="0"/>
          <w:bCs w:val="0"/>
          <w:color w:val="auto"/>
          <w:sz w:val="32"/>
          <w:szCs w:val="32"/>
          <w:highlight w:val="none"/>
          <w:lang w:eastAsia="zh-CN"/>
        </w:rPr>
        <w:t>生产</w:t>
      </w:r>
      <w:r>
        <w:rPr>
          <w:rStyle w:val="24"/>
          <w:rFonts w:hint="eastAsia" w:asciiTheme="majorEastAsia" w:hAnsiTheme="majorEastAsia" w:eastAsiaTheme="majorEastAsia" w:cstheme="majorEastAsia"/>
          <w:b w:val="0"/>
          <w:bCs w:val="0"/>
          <w:color w:val="auto"/>
          <w:sz w:val="32"/>
          <w:szCs w:val="32"/>
          <w:highlight w:val="none"/>
        </w:rPr>
        <w:t>文明施工违章</w:t>
      </w:r>
      <w:r>
        <w:rPr>
          <w:rStyle w:val="24"/>
          <w:rFonts w:hint="eastAsia" w:asciiTheme="majorEastAsia" w:hAnsiTheme="majorEastAsia" w:eastAsiaTheme="majorEastAsia" w:cstheme="majorEastAsia"/>
          <w:b w:val="0"/>
          <w:bCs w:val="0"/>
          <w:color w:val="auto"/>
          <w:sz w:val="32"/>
          <w:szCs w:val="32"/>
          <w:highlight w:val="none"/>
          <w:lang w:eastAsia="zh-CN"/>
        </w:rPr>
        <w:t>行为</w:t>
      </w:r>
      <w:r>
        <w:rPr>
          <w:rStyle w:val="24"/>
          <w:rFonts w:hint="eastAsia" w:asciiTheme="majorEastAsia" w:hAnsiTheme="majorEastAsia" w:eastAsiaTheme="majorEastAsia" w:cstheme="majorEastAsia"/>
          <w:b w:val="0"/>
          <w:bCs w:val="0"/>
          <w:color w:val="auto"/>
          <w:sz w:val="32"/>
          <w:szCs w:val="32"/>
          <w:highlight w:val="none"/>
        </w:rPr>
        <w:t>考核表</w:t>
      </w:r>
    </w:p>
    <w:tbl>
      <w:tblPr>
        <w:tblStyle w:val="18"/>
        <w:tblpPr w:leftFromText="180" w:rightFromText="180" w:vertAnchor="text" w:horzAnchor="page" w:tblpX="1783" w:tblpY="482"/>
        <w:tblOverlap w:val="never"/>
        <w:tblW w:w="8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788"/>
        <w:gridCol w:w="6481"/>
        <w:gridCol w:w="1693"/>
      </w:tblGrid>
      <w:tr w14:paraId="784D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blHeader/>
        </w:trPr>
        <w:tc>
          <w:tcPr>
            <w:tcW w:w="788" w:type="dxa"/>
            <w:shd w:val="clear" w:color="auto" w:fill="FFFFFF"/>
            <w:noWrap w:val="0"/>
            <w:vAlign w:val="center"/>
          </w:tcPr>
          <w:p w14:paraId="7F4AA53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6481" w:type="dxa"/>
            <w:shd w:val="clear" w:color="auto" w:fill="FFFFFF"/>
            <w:noWrap w:val="0"/>
            <w:vAlign w:val="center"/>
          </w:tcPr>
          <w:p w14:paraId="17AC314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rPr>
              <w:t>违章行为</w:t>
            </w:r>
            <w:r>
              <w:rPr>
                <w:rFonts w:hint="eastAsia" w:ascii="黑体" w:hAnsi="黑体" w:eastAsia="黑体" w:cs="黑体"/>
                <w:b w:val="0"/>
                <w:bCs w:val="0"/>
                <w:color w:val="auto"/>
                <w:sz w:val="24"/>
                <w:szCs w:val="24"/>
                <w:highlight w:val="none"/>
                <w:lang w:eastAsia="zh-CN"/>
              </w:rPr>
              <w:t>和违反劳动纪律行为</w:t>
            </w:r>
          </w:p>
        </w:tc>
        <w:tc>
          <w:tcPr>
            <w:tcW w:w="1693" w:type="dxa"/>
            <w:shd w:val="clear" w:color="auto" w:fill="FFFFFF"/>
            <w:noWrap w:val="0"/>
            <w:vAlign w:val="center"/>
          </w:tcPr>
          <w:p w14:paraId="2D20E3C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eastAsia="zh-CN"/>
              </w:rPr>
              <w:t>处罚</w:t>
            </w:r>
            <w:r>
              <w:rPr>
                <w:rFonts w:hint="eastAsia" w:ascii="黑体" w:hAnsi="黑体" w:eastAsia="黑体" w:cs="黑体"/>
                <w:b w:val="0"/>
                <w:bCs w:val="0"/>
                <w:color w:val="auto"/>
                <w:sz w:val="24"/>
                <w:szCs w:val="24"/>
                <w:highlight w:val="none"/>
              </w:rPr>
              <w:t>标准</w:t>
            </w:r>
          </w:p>
        </w:tc>
      </w:tr>
      <w:tr w14:paraId="412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54BC5E8">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一</w:t>
            </w:r>
          </w:p>
        </w:tc>
        <w:tc>
          <w:tcPr>
            <w:tcW w:w="6481" w:type="dxa"/>
            <w:shd w:val="clear" w:color="auto" w:fill="FFFFFF"/>
            <w:noWrap w:val="0"/>
            <w:vAlign w:val="center"/>
          </w:tcPr>
          <w:p w14:paraId="2F368B5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both"/>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安全施工</w:t>
            </w:r>
          </w:p>
        </w:tc>
        <w:tc>
          <w:tcPr>
            <w:tcW w:w="1693" w:type="dxa"/>
            <w:shd w:val="clear" w:color="auto" w:fill="FFFFFF"/>
            <w:noWrap w:val="0"/>
            <w:vAlign w:val="center"/>
          </w:tcPr>
          <w:p w14:paraId="3F48BC4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left"/>
              <w:rPr>
                <w:rFonts w:hint="eastAsia" w:ascii="黑体" w:hAnsi="黑体" w:eastAsia="黑体" w:cs="黑体"/>
                <w:b w:val="0"/>
                <w:bCs w:val="0"/>
                <w:color w:val="auto"/>
                <w:sz w:val="24"/>
                <w:szCs w:val="24"/>
                <w:highlight w:val="none"/>
              </w:rPr>
            </w:pPr>
          </w:p>
        </w:tc>
      </w:tr>
      <w:tr w14:paraId="319D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8DAC36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481" w:type="dxa"/>
            <w:shd w:val="clear" w:color="auto" w:fill="FFFFFF"/>
            <w:noWrap w:val="0"/>
            <w:vAlign w:val="center"/>
          </w:tcPr>
          <w:p w14:paraId="431088FF">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穿高跟鞋，露脚趾、带钉鞋、凉</w:t>
            </w:r>
            <w:r>
              <w:rPr>
                <w:rFonts w:hint="eastAsia" w:ascii="宋体" w:hAnsi="宋体" w:eastAsia="宋体" w:cs="宋体"/>
                <w:b w:val="0"/>
                <w:bCs w:val="0"/>
                <w:color w:val="auto"/>
                <w:sz w:val="24"/>
                <w:szCs w:val="24"/>
                <w:highlight w:val="none"/>
                <w:lang w:eastAsia="zh-CN"/>
              </w:rPr>
              <w:t>拖</w:t>
            </w:r>
            <w:r>
              <w:rPr>
                <w:rFonts w:hint="eastAsia" w:ascii="宋体" w:hAnsi="宋体" w:eastAsia="宋体" w:cs="宋体"/>
                <w:b w:val="0"/>
                <w:bCs w:val="0"/>
                <w:color w:val="auto"/>
                <w:sz w:val="24"/>
                <w:szCs w:val="24"/>
                <w:highlight w:val="none"/>
              </w:rPr>
              <w:t>鞋、裙子、短裤、背心或裸背进入施工现场。</w:t>
            </w:r>
          </w:p>
        </w:tc>
        <w:tc>
          <w:tcPr>
            <w:tcW w:w="1693" w:type="dxa"/>
            <w:shd w:val="clear" w:color="auto" w:fill="FFFFFF"/>
            <w:noWrap w:val="0"/>
            <w:vAlign w:val="center"/>
          </w:tcPr>
          <w:p w14:paraId="3D5B30D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 元/人次</w:t>
            </w:r>
          </w:p>
        </w:tc>
      </w:tr>
      <w:tr w14:paraId="2924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7AEFCAF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6481" w:type="dxa"/>
            <w:shd w:val="clear" w:color="auto" w:fill="FFFFFF"/>
            <w:noWrap w:val="0"/>
            <w:vAlign w:val="center"/>
          </w:tcPr>
          <w:p w14:paraId="6A85AEC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施工人员未在指定的吸烟点吸烟，乱扔烟头</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04023C0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 元/人次</w:t>
            </w:r>
          </w:p>
        </w:tc>
      </w:tr>
      <w:tr w14:paraId="4EF4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319010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6481" w:type="dxa"/>
            <w:shd w:val="clear" w:color="auto" w:fill="FFFFFF"/>
            <w:noWrap w:val="0"/>
            <w:vAlign w:val="center"/>
          </w:tcPr>
          <w:p w14:paraId="58D7DC3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高处作业、驾驶作业等违规接打电话。</w:t>
            </w:r>
          </w:p>
        </w:tc>
        <w:tc>
          <w:tcPr>
            <w:tcW w:w="1693" w:type="dxa"/>
            <w:shd w:val="clear" w:color="auto" w:fill="FFFFFF"/>
            <w:noWrap w:val="0"/>
            <w:vAlign w:val="center"/>
          </w:tcPr>
          <w:p w14:paraId="0C7640F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 元/人次</w:t>
            </w:r>
          </w:p>
        </w:tc>
      </w:tr>
      <w:tr w14:paraId="52D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EE173B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6481" w:type="dxa"/>
            <w:shd w:val="clear" w:color="auto" w:fill="FFFFFF"/>
            <w:noWrap w:val="0"/>
            <w:vAlign w:val="center"/>
          </w:tcPr>
          <w:p w14:paraId="02E897A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酒后进入施工现场作业。</w:t>
            </w:r>
          </w:p>
        </w:tc>
        <w:tc>
          <w:tcPr>
            <w:tcW w:w="1693" w:type="dxa"/>
            <w:shd w:val="clear" w:color="auto" w:fill="FFFFFF"/>
            <w:noWrap w:val="0"/>
            <w:vAlign w:val="center"/>
          </w:tcPr>
          <w:p w14:paraId="28A0E24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500 元/人次</w:t>
            </w:r>
          </w:p>
        </w:tc>
      </w:tr>
      <w:tr w14:paraId="637B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trPr>
        <w:tc>
          <w:tcPr>
            <w:tcW w:w="788" w:type="dxa"/>
            <w:shd w:val="clear" w:color="auto" w:fill="FFFFFF"/>
            <w:noWrap w:val="0"/>
            <w:vAlign w:val="center"/>
          </w:tcPr>
          <w:p w14:paraId="5725495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6481" w:type="dxa"/>
            <w:shd w:val="clear" w:color="auto" w:fill="FFFFFF"/>
            <w:noWrap w:val="0"/>
            <w:vAlign w:val="center"/>
          </w:tcPr>
          <w:p w14:paraId="65DC9E2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新入职员工</w:t>
            </w:r>
            <w:r>
              <w:rPr>
                <w:rFonts w:hint="eastAsia" w:ascii="宋体" w:hAnsi="宋体" w:eastAsia="宋体" w:cs="宋体"/>
                <w:b w:val="0"/>
                <w:bCs w:val="0"/>
                <w:color w:val="auto"/>
                <w:sz w:val="24"/>
                <w:szCs w:val="24"/>
                <w:highlight w:val="none"/>
              </w:rPr>
              <w:t>未进行</w:t>
            </w:r>
            <w:r>
              <w:rPr>
                <w:rFonts w:hint="eastAsia" w:ascii="宋体" w:hAnsi="宋体" w:eastAsia="宋体" w:cs="宋体"/>
                <w:b w:val="0"/>
                <w:bCs w:val="0"/>
                <w:color w:val="auto"/>
                <w:sz w:val="24"/>
                <w:szCs w:val="24"/>
                <w:highlight w:val="none"/>
                <w:lang w:eastAsia="zh-CN"/>
              </w:rPr>
              <w:t>三级</w:t>
            </w:r>
            <w:r>
              <w:rPr>
                <w:rFonts w:hint="eastAsia" w:ascii="宋体" w:hAnsi="宋体" w:eastAsia="宋体" w:cs="宋体"/>
                <w:b w:val="0"/>
                <w:bCs w:val="0"/>
                <w:color w:val="auto"/>
                <w:sz w:val="24"/>
                <w:szCs w:val="24"/>
                <w:highlight w:val="none"/>
              </w:rPr>
              <w:t>安全教育</w:t>
            </w:r>
            <w:r>
              <w:rPr>
                <w:rFonts w:hint="eastAsia" w:ascii="宋体" w:hAnsi="宋体" w:eastAsia="宋体" w:cs="宋体"/>
                <w:b w:val="0"/>
                <w:bCs w:val="0"/>
                <w:color w:val="auto"/>
                <w:sz w:val="24"/>
                <w:szCs w:val="24"/>
                <w:highlight w:val="none"/>
                <w:lang w:eastAsia="zh-CN"/>
              </w:rPr>
              <w:t>就进场</w:t>
            </w:r>
            <w:r>
              <w:rPr>
                <w:rFonts w:hint="eastAsia" w:ascii="宋体" w:hAnsi="宋体" w:eastAsia="宋体" w:cs="宋体"/>
                <w:b w:val="0"/>
                <w:bCs w:val="0"/>
                <w:color w:val="auto"/>
                <w:sz w:val="24"/>
                <w:szCs w:val="24"/>
                <w:highlight w:val="none"/>
              </w:rPr>
              <w:t>作业</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45CB632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200 元/人次</w:t>
            </w:r>
          </w:p>
        </w:tc>
      </w:tr>
      <w:tr w14:paraId="7D9F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38FB482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6481" w:type="dxa"/>
            <w:shd w:val="clear" w:color="auto" w:fill="FFFFFF"/>
            <w:noWrap w:val="0"/>
            <w:vAlign w:val="center"/>
          </w:tcPr>
          <w:p w14:paraId="4D47A9E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现场</w:t>
            </w:r>
            <w:r>
              <w:rPr>
                <w:rFonts w:hint="eastAsia" w:ascii="宋体" w:hAnsi="宋体" w:eastAsia="宋体" w:cs="宋体"/>
                <w:b w:val="0"/>
                <w:bCs w:val="0"/>
                <w:color w:val="auto"/>
                <w:sz w:val="24"/>
                <w:szCs w:val="24"/>
                <w:highlight w:val="none"/>
              </w:rPr>
              <w:t>作业人员未按规定佩戴劳动防护用品</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347DBE87">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元/人次</w:t>
            </w:r>
          </w:p>
        </w:tc>
      </w:tr>
      <w:tr w14:paraId="3B47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9489E7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6481" w:type="dxa"/>
            <w:shd w:val="clear" w:color="auto" w:fill="FFFFFF"/>
            <w:noWrap w:val="0"/>
            <w:vAlign w:val="center"/>
          </w:tcPr>
          <w:p w14:paraId="232523E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作业人员在无防护的支撑上行走</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1A4ABAF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元/人次</w:t>
            </w:r>
          </w:p>
        </w:tc>
      </w:tr>
      <w:tr w14:paraId="58BB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71CF5F07">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p>
        </w:tc>
        <w:tc>
          <w:tcPr>
            <w:tcW w:w="6481" w:type="dxa"/>
            <w:shd w:val="clear" w:color="auto" w:fill="FFFFFF"/>
            <w:noWrap w:val="0"/>
            <w:vAlign w:val="center"/>
          </w:tcPr>
          <w:p w14:paraId="687B901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不进行班前安全交底</w:t>
            </w:r>
            <w:r>
              <w:rPr>
                <w:rFonts w:hint="eastAsia" w:ascii="宋体" w:hAnsi="宋体" w:eastAsia="宋体" w:cs="宋体"/>
                <w:b w:val="0"/>
                <w:bCs w:val="0"/>
                <w:color w:val="auto"/>
                <w:sz w:val="24"/>
                <w:szCs w:val="24"/>
                <w:highlight w:val="none"/>
                <w:lang w:eastAsia="zh-CN"/>
              </w:rPr>
              <w:t>工作、</w:t>
            </w:r>
            <w:r>
              <w:rPr>
                <w:rFonts w:hint="eastAsia" w:ascii="宋体" w:hAnsi="宋体" w:eastAsia="宋体" w:cs="宋体"/>
                <w:b w:val="0"/>
                <w:bCs w:val="0"/>
                <w:color w:val="auto"/>
                <w:sz w:val="24"/>
                <w:szCs w:val="24"/>
                <w:highlight w:val="none"/>
              </w:rPr>
              <w:t>无</w:t>
            </w:r>
            <w:r>
              <w:rPr>
                <w:rFonts w:hint="eastAsia" w:ascii="宋体" w:hAnsi="宋体" w:eastAsia="宋体" w:cs="宋体"/>
                <w:b w:val="0"/>
                <w:bCs w:val="0"/>
                <w:color w:val="auto"/>
                <w:sz w:val="24"/>
                <w:szCs w:val="24"/>
                <w:highlight w:val="none"/>
                <w:lang w:eastAsia="zh-CN"/>
              </w:rPr>
              <w:t>安全</w:t>
            </w:r>
            <w:r>
              <w:rPr>
                <w:rFonts w:hint="eastAsia" w:ascii="宋体" w:hAnsi="宋体" w:eastAsia="宋体" w:cs="宋体"/>
                <w:b w:val="0"/>
                <w:bCs w:val="0"/>
                <w:color w:val="auto"/>
                <w:sz w:val="24"/>
                <w:szCs w:val="24"/>
                <w:highlight w:val="none"/>
              </w:rPr>
              <w:t>交底记录</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3B57BCB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/次</w:t>
            </w:r>
          </w:p>
        </w:tc>
      </w:tr>
      <w:tr w14:paraId="3097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80ED3A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p>
        </w:tc>
        <w:tc>
          <w:tcPr>
            <w:tcW w:w="6481" w:type="dxa"/>
            <w:shd w:val="clear" w:color="auto" w:fill="FFFFFF"/>
            <w:noWrap w:val="0"/>
            <w:vAlign w:val="center"/>
          </w:tcPr>
          <w:p w14:paraId="4FFBFB4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不正确使用攀爬工具、防护设施</w:t>
            </w:r>
            <w:r>
              <w:rPr>
                <w:rFonts w:hint="eastAsia" w:ascii="宋体" w:hAnsi="宋体" w:eastAsia="宋体" w:cs="宋体"/>
                <w:b w:val="0"/>
                <w:bCs w:val="0"/>
                <w:color w:val="auto"/>
                <w:sz w:val="24"/>
                <w:szCs w:val="24"/>
                <w:highlight w:val="none"/>
                <w:lang w:val="en-US" w:eastAsia="zh-CN"/>
              </w:rPr>
              <w:t>。</w:t>
            </w:r>
          </w:p>
        </w:tc>
        <w:tc>
          <w:tcPr>
            <w:tcW w:w="1693" w:type="dxa"/>
            <w:shd w:val="clear" w:color="auto" w:fill="FFFFFF"/>
            <w:noWrap w:val="0"/>
            <w:vAlign w:val="center"/>
          </w:tcPr>
          <w:p w14:paraId="3A4D14D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/次</w:t>
            </w:r>
          </w:p>
        </w:tc>
      </w:tr>
      <w:tr w14:paraId="5D98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13F3402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0</w:t>
            </w:r>
          </w:p>
        </w:tc>
        <w:tc>
          <w:tcPr>
            <w:tcW w:w="6481" w:type="dxa"/>
            <w:shd w:val="clear" w:color="auto" w:fill="FFFFFF"/>
            <w:noWrap w:val="0"/>
            <w:vAlign w:val="center"/>
          </w:tcPr>
          <w:p w14:paraId="65E77E3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不按照安全警示标志要求，违规进入、违规摆放、违规动作。</w:t>
            </w:r>
          </w:p>
        </w:tc>
        <w:tc>
          <w:tcPr>
            <w:tcW w:w="1693" w:type="dxa"/>
            <w:shd w:val="clear" w:color="auto" w:fill="FFFFFF"/>
            <w:noWrap w:val="0"/>
            <w:vAlign w:val="center"/>
          </w:tcPr>
          <w:p w14:paraId="27A3C64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/次</w:t>
            </w:r>
          </w:p>
        </w:tc>
      </w:tr>
      <w:tr w14:paraId="01AE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EBA4603">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1</w:t>
            </w:r>
          </w:p>
        </w:tc>
        <w:tc>
          <w:tcPr>
            <w:tcW w:w="6481" w:type="dxa"/>
            <w:shd w:val="clear" w:color="auto" w:fill="FFFFFF"/>
            <w:noWrap w:val="0"/>
            <w:vAlign w:val="center"/>
          </w:tcPr>
          <w:p w14:paraId="7C9100E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危险区域或夜间施工无安全警示标志</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18558F7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eastAsia="zh-CN"/>
              </w:rPr>
              <w:t>处</w:t>
            </w:r>
          </w:p>
        </w:tc>
      </w:tr>
      <w:tr w14:paraId="01573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9F7E0D1">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2</w:t>
            </w:r>
          </w:p>
        </w:tc>
        <w:tc>
          <w:tcPr>
            <w:tcW w:w="6481" w:type="dxa"/>
            <w:shd w:val="clear" w:color="auto" w:fill="FFFFFF"/>
            <w:noWrap w:val="0"/>
            <w:vAlign w:val="center"/>
          </w:tcPr>
          <w:p w14:paraId="4F0DDE1A">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“洞口、临边”无防护栏杆或安全网搭设不符合要求</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21B7D38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元/处</w:t>
            </w:r>
          </w:p>
        </w:tc>
      </w:tr>
      <w:tr w14:paraId="4C03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870615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3</w:t>
            </w:r>
          </w:p>
        </w:tc>
        <w:tc>
          <w:tcPr>
            <w:tcW w:w="6481" w:type="dxa"/>
            <w:shd w:val="clear" w:color="auto" w:fill="FFFFFF"/>
            <w:noWrap w:val="0"/>
            <w:vAlign w:val="center"/>
          </w:tcPr>
          <w:p w14:paraId="5F79E79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临时用电不符合</w:t>
            </w:r>
            <w:r>
              <w:rPr>
                <w:rFonts w:hint="eastAsia" w:ascii="宋体" w:hAnsi="宋体" w:eastAsia="宋体" w:cs="宋体"/>
                <w:b w:val="0"/>
                <w:bCs w:val="0"/>
                <w:color w:val="auto"/>
                <w:sz w:val="24"/>
                <w:szCs w:val="24"/>
                <w:highlight w:val="none"/>
                <w:lang w:eastAsia="zh-CN"/>
              </w:rPr>
              <w:t>规范</w:t>
            </w:r>
            <w:r>
              <w:rPr>
                <w:rFonts w:hint="eastAsia" w:ascii="宋体" w:hAnsi="宋体" w:eastAsia="宋体" w:cs="宋体"/>
                <w:b w:val="0"/>
                <w:bCs w:val="0"/>
                <w:color w:val="auto"/>
                <w:sz w:val="24"/>
                <w:szCs w:val="24"/>
                <w:highlight w:val="none"/>
              </w:rPr>
              <w:t>要求</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71575F8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元/处</w:t>
            </w:r>
          </w:p>
        </w:tc>
      </w:tr>
      <w:tr w14:paraId="3A8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E97B3CA">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4</w:t>
            </w:r>
          </w:p>
        </w:tc>
        <w:tc>
          <w:tcPr>
            <w:tcW w:w="6481" w:type="dxa"/>
            <w:shd w:val="clear" w:color="auto" w:fill="FFFFFF"/>
            <w:noWrap w:val="0"/>
            <w:vAlign w:val="center"/>
          </w:tcPr>
          <w:p w14:paraId="26E7F6C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易燃易爆物品未按规定存放和使用</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22C58F9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元/处</w:t>
            </w:r>
          </w:p>
        </w:tc>
      </w:tr>
      <w:tr w14:paraId="47D1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3AF127F8">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p>
        </w:tc>
        <w:tc>
          <w:tcPr>
            <w:tcW w:w="6481" w:type="dxa"/>
            <w:shd w:val="clear" w:color="auto" w:fill="FFFFFF"/>
            <w:noWrap w:val="0"/>
            <w:vAlign w:val="center"/>
          </w:tcPr>
          <w:p w14:paraId="7F10B11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现场</w:t>
            </w:r>
            <w:r>
              <w:rPr>
                <w:rFonts w:hint="eastAsia" w:ascii="宋体" w:hAnsi="宋体" w:eastAsia="宋体" w:cs="宋体"/>
                <w:b w:val="0"/>
                <w:bCs w:val="0"/>
                <w:color w:val="auto"/>
                <w:sz w:val="24"/>
                <w:szCs w:val="24"/>
                <w:highlight w:val="none"/>
                <w:lang w:eastAsia="zh-CN"/>
              </w:rPr>
              <w:t>未配置</w:t>
            </w:r>
            <w:r>
              <w:rPr>
                <w:rFonts w:hint="eastAsia" w:ascii="宋体" w:hAnsi="宋体" w:eastAsia="宋体" w:cs="宋体"/>
                <w:b w:val="0"/>
                <w:bCs w:val="0"/>
                <w:color w:val="auto"/>
                <w:sz w:val="24"/>
                <w:szCs w:val="24"/>
                <w:highlight w:val="none"/>
              </w:rPr>
              <w:t>消防器材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无明显防火标志</w:t>
            </w:r>
            <w:r>
              <w:rPr>
                <w:rFonts w:hint="eastAsia" w:ascii="宋体" w:hAnsi="宋体" w:eastAsia="宋体" w:cs="宋体"/>
                <w:b w:val="0"/>
                <w:bCs w:val="0"/>
                <w:color w:val="auto"/>
                <w:sz w:val="24"/>
                <w:szCs w:val="24"/>
                <w:highlight w:val="none"/>
                <w:lang w:eastAsia="zh-CN"/>
              </w:rPr>
              <w:t>、未标识</w:t>
            </w:r>
            <w:r>
              <w:rPr>
                <w:rFonts w:hint="eastAsia" w:ascii="宋体" w:hAnsi="宋体" w:eastAsia="宋体" w:cs="宋体"/>
                <w:b w:val="0"/>
                <w:bCs w:val="0"/>
                <w:color w:val="auto"/>
                <w:sz w:val="24"/>
                <w:szCs w:val="24"/>
                <w:highlight w:val="none"/>
              </w:rPr>
              <w:t>疏散通道</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31330D7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元/处</w:t>
            </w:r>
          </w:p>
        </w:tc>
      </w:tr>
      <w:tr w14:paraId="417B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75ACC9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6</w:t>
            </w:r>
          </w:p>
        </w:tc>
        <w:tc>
          <w:tcPr>
            <w:tcW w:w="6481" w:type="dxa"/>
            <w:shd w:val="clear" w:color="auto" w:fill="FFFFFF"/>
            <w:noWrap w:val="0"/>
            <w:vAlign w:val="center"/>
          </w:tcPr>
          <w:p w14:paraId="5AF1E64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施工机具</w:t>
            </w:r>
            <w:r>
              <w:rPr>
                <w:rFonts w:hint="eastAsia" w:ascii="宋体" w:hAnsi="宋体" w:eastAsia="宋体" w:cs="宋体"/>
                <w:b w:val="0"/>
                <w:bCs w:val="0"/>
                <w:color w:val="auto"/>
                <w:sz w:val="24"/>
                <w:szCs w:val="24"/>
                <w:highlight w:val="none"/>
                <w:lang w:eastAsia="zh-CN"/>
              </w:rPr>
              <w:t>或</w:t>
            </w:r>
            <w:r>
              <w:rPr>
                <w:rFonts w:hint="eastAsia" w:ascii="宋体" w:hAnsi="宋体" w:eastAsia="宋体" w:cs="宋体"/>
                <w:b w:val="0"/>
                <w:bCs w:val="0"/>
                <w:color w:val="auto"/>
                <w:sz w:val="24"/>
                <w:szCs w:val="24"/>
                <w:highlight w:val="none"/>
              </w:rPr>
              <w:t>材料</w:t>
            </w:r>
            <w:r>
              <w:rPr>
                <w:rFonts w:hint="eastAsia" w:ascii="宋体" w:hAnsi="宋体" w:eastAsia="宋体" w:cs="宋体"/>
                <w:b w:val="0"/>
                <w:bCs w:val="0"/>
                <w:color w:val="auto"/>
                <w:sz w:val="24"/>
                <w:szCs w:val="24"/>
                <w:highlight w:val="none"/>
                <w:lang w:eastAsia="zh-CN"/>
              </w:rPr>
              <w:t>未进场报验，就投入使用。</w:t>
            </w:r>
          </w:p>
        </w:tc>
        <w:tc>
          <w:tcPr>
            <w:tcW w:w="1693" w:type="dxa"/>
            <w:shd w:val="clear" w:color="auto" w:fill="FFFFFF"/>
            <w:noWrap w:val="0"/>
            <w:vAlign w:val="center"/>
          </w:tcPr>
          <w:p w14:paraId="630077E1">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 元/次</w:t>
            </w:r>
          </w:p>
        </w:tc>
      </w:tr>
      <w:tr w14:paraId="3ECD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3BF689E7">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7</w:t>
            </w:r>
          </w:p>
        </w:tc>
        <w:tc>
          <w:tcPr>
            <w:tcW w:w="6481" w:type="dxa"/>
            <w:shd w:val="clear" w:color="auto" w:fill="FFFFFF"/>
            <w:noWrap w:val="0"/>
            <w:vAlign w:val="center"/>
          </w:tcPr>
          <w:p w14:paraId="595A236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特种作业人员无证操作</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4E07812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 元/人次</w:t>
            </w:r>
          </w:p>
        </w:tc>
      </w:tr>
      <w:tr w14:paraId="10A6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5C8C6FA">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8</w:t>
            </w:r>
          </w:p>
        </w:tc>
        <w:tc>
          <w:tcPr>
            <w:tcW w:w="6481" w:type="dxa"/>
            <w:shd w:val="clear" w:color="auto" w:fill="FFFFFF"/>
            <w:noWrap w:val="0"/>
            <w:vAlign w:val="center"/>
          </w:tcPr>
          <w:p w14:paraId="181ADC1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危大工程未落实巡检制度和旁站监护制度。</w:t>
            </w:r>
          </w:p>
        </w:tc>
        <w:tc>
          <w:tcPr>
            <w:tcW w:w="1693" w:type="dxa"/>
            <w:shd w:val="clear" w:color="auto" w:fill="FFFFFF"/>
            <w:noWrap w:val="0"/>
            <w:vAlign w:val="center"/>
          </w:tcPr>
          <w:p w14:paraId="4D0DE85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 元/次</w:t>
            </w:r>
          </w:p>
        </w:tc>
      </w:tr>
      <w:tr w14:paraId="541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EBDFA93">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19</w:t>
            </w:r>
          </w:p>
        </w:tc>
        <w:tc>
          <w:tcPr>
            <w:tcW w:w="6481" w:type="dxa"/>
            <w:shd w:val="clear" w:color="auto" w:fill="FFFFFF"/>
            <w:noWrap w:val="0"/>
            <w:vAlign w:val="center"/>
          </w:tcPr>
          <w:p w14:paraId="5720988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动火、临水、临电、吊装、爆破、有限空间、高边坡、地下管线防损等危险作业，未经审批许可、未组织安全技术交底、未指派旁站监护。</w:t>
            </w:r>
          </w:p>
        </w:tc>
        <w:tc>
          <w:tcPr>
            <w:tcW w:w="1693" w:type="dxa"/>
            <w:shd w:val="clear" w:color="auto" w:fill="FFFFFF"/>
            <w:noWrap w:val="0"/>
            <w:vAlign w:val="center"/>
          </w:tcPr>
          <w:p w14:paraId="31BB289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00 元/次</w:t>
            </w:r>
          </w:p>
        </w:tc>
      </w:tr>
      <w:tr w14:paraId="7C96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D75164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20</w:t>
            </w:r>
          </w:p>
        </w:tc>
        <w:tc>
          <w:tcPr>
            <w:tcW w:w="6481" w:type="dxa"/>
            <w:shd w:val="clear" w:color="auto" w:fill="FFFFFF"/>
            <w:noWrap w:val="0"/>
            <w:vAlign w:val="center"/>
          </w:tcPr>
          <w:p w14:paraId="347278F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交叉危险作业，未指派负责人或安全员旁站监护。</w:t>
            </w:r>
          </w:p>
        </w:tc>
        <w:tc>
          <w:tcPr>
            <w:tcW w:w="1693" w:type="dxa"/>
            <w:shd w:val="clear" w:color="auto" w:fill="FFFFFF"/>
            <w:noWrap w:val="0"/>
            <w:vAlign w:val="center"/>
          </w:tcPr>
          <w:p w14:paraId="0E0C61B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00 元/次</w:t>
            </w:r>
          </w:p>
        </w:tc>
      </w:tr>
      <w:tr w14:paraId="5261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2963FB2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w:t>
            </w:r>
          </w:p>
        </w:tc>
        <w:tc>
          <w:tcPr>
            <w:tcW w:w="6481" w:type="dxa"/>
            <w:shd w:val="clear" w:color="auto" w:fill="FFFFFF"/>
            <w:noWrap w:val="0"/>
            <w:vAlign w:val="center"/>
          </w:tcPr>
          <w:p w14:paraId="7831F23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拆除安全防护设施未经许可、完工后未及时恢复。</w:t>
            </w:r>
          </w:p>
        </w:tc>
        <w:tc>
          <w:tcPr>
            <w:tcW w:w="1693" w:type="dxa"/>
            <w:shd w:val="clear" w:color="auto" w:fill="FFFFFF"/>
            <w:noWrap w:val="0"/>
            <w:vAlign w:val="center"/>
          </w:tcPr>
          <w:p w14:paraId="4E37AEB3">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00 元/次</w:t>
            </w:r>
          </w:p>
        </w:tc>
      </w:tr>
      <w:tr w14:paraId="6E3E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CCB6572">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w:t>
            </w:r>
          </w:p>
        </w:tc>
        <w:tc>
          <w:tcPr>
            <w:tcW w:w="6481" w:type="dxa"/>
            <w:shd w:val="clear" w:color="auto" w:fill="FFFFFF"/>
            <w:noWrap w:val="0"/>
            <w:vAlign w:val="center"/>
          </w:tcPr>
          <w:p w14:paraId="671D609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危大工程未按照</w:t>
            </w:r>
            <w:r>
              <w:rPr>
                <w:rFonts w:hint="eastAsia" w:ascii="宋体" w:hAnsi="宋体" w:eastAsia="宋体" w:cs="宋体"/>
                <w:b w:val="0"/>
                <w:bCs w:val="0"/>
                <w:color w:val="auto"/>
                <w:sz w:val="24"/>
                <w:szCs w:val="24"/>
                <w:highlight w:val="none"/>
                <w:lang w:eastAsia="zh-CN"/>
              </w:rPr>
              <w:t>审批</w:t>
            </w:r>
            <w:r>
              <w:rPr>
                <w:rFonts w:hint="eastAsia" w:ascii="宋体" w:hAnsi="宋体" w:eastAsia="宋体" w:cs="宋体"/>
                <w:b w:val="0"/>
                <w:bCs w:val="0"/>
                <w:color w:val="auto"/>
                <w:sz w:val="24"/>
                <w:szCs w:val="24"/>
                <w:highlight w:val="none"/>
              </w:rPr>
              <w:t>方案</w:t>
            </w:r>
            <w:r>
              <w:rPr>
                <w:rFonts w:hint="eastAsia" w:ascii="宋体" w:hAnsi="宋体" w:eastAsia="宋体" w:cs="宋体"/>
                <w:b w:val="0"/>
                <w:bCs w:val="0"/>
                <w:color w:val="auto"/>
                <w:sz w:val="24"/>
                <w:szCs w:val="24"/>
                <w:highlight w:val="none"/>
                <w:lang w:eastAsia="zh-CN"/>
              </w:rPr>
              <w:t>施工，或擅自改变方案施工。</w:t>
            </w:r>
          </w:p>
        </w:tc>
        <w:tc>
          <w:tcPr>
            <w:tcW w:w="1693" w:type="dxa"/>
            <w:shd w:val="clear" w:color="auto" w:fill="FFFFFF"/>
            <w:noWrap w:val="0"/>
            <w:vAlign w:val="center"/>
          </w:tcPr>
          <w:p w14:paraId="07805C1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1000 元/次</w:t>
            </w:r>
          </w:p>
        </w:tc>
      </w:tr>
      <w:tr w14:paraId="107D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243E1BD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w:t>
            </w:r>
          </w:p>
        </w:tc>
        <w:tc>
          <w:tcPr>
            <w:tcW w:w="6481" w:type="dxa"/>
            <w:shd w:val="clear" w:color="auto" w:fill="FFFFFF"/>
            <w:noWrap w:val="0"/>
            <w:vAlign w:val="center"/>
          </w:tcPr>
          <w:p w14:paraId="5F3F4DD7">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同类</w:t>
            </w:r>
            <w:r>
              <w:rPr>
                <w:rFonts w:hint="eastAsia" w:ascii="宋体" w:hAnsi="宋体" w:eastAsia="宋体" w:cs="宋体"/>
                <w:b w:val="0"/>
                <w:bCs w:val="0"/>
                <w:color w:val="auto"/>
                <w:sz w:val="24"/>
                <w:szCs w:val="24"/>
                <w:highlight w:val="none"/>
                <w:lang w:eastAsia="zh-CN"/>
              </w:rPr>
              <w:t>违章</w:t>
            </w:r>
            <w:r>
              <w:rPr>
                <w:rFonts w:hint="eastAsia" w:ascii="宋体" w:hAnsi="宋体" w:eastAsia="宋体" w:cs="宋体"/>
                <w:b w:val="0"/>
                <w:bCs w:val="0"/>
                <w:color w:val="auto"/>
                <w:sz w:val="24"/>
                <w:szCs w:val="24"/>
                <w:highlight w:val="none"/>
              </w:rPr>
              <w:t>行为反复出现</w:t>
            </w:r>
            <w:r>
              <w:rPr>
                <w:rFonts w:hint="eastAsia" w:ascii="宋体" w:hAnsi="宋体" w:eastAsia="宋体" w:cs="宋体"/>
                <w:b w:val="0"/>
                <w:bCs w:val="0"/>
                <w:color w:val="auto"/>
                <w:sz w:val="24"/>
                <w:szCs w:val="24"/>
                <w:highlight w:val="none"/>
                <w:lang w:eastAsia="zh-CN"/>
              </w:rPr>
              <w:t>、违章</w:t>
            </w:r>
            <w:r>
              <w:rPr>
                <w:rFonts w:hint="eastAsia" w:ascii="宋体" w:hAnsi="宋体" w:eastAsia="宋体" w:cs="宋体"/>
                <w:b w:val="0"/>
                <w:bCs w:val="0"/>
                <w:color w:val="auto"/>
                <w:sz w:val="24"/>
                <w:szCs w:val="24"/>
                <w:highlight w:val="none"/>
              </w:rPr>
              <w:t>性质恶劣</w:t>
            </w:r>
            <w:r>
              <w:rPr>
                <w:rFonts w:hint="eastAsia" w:ascii="宋体" w:hAnsi="宋体" w:eastAsia="宋体" w:cs="宋体"/>
                <w:b w:val="0"/>
                <w:bCs w:val="0"/>
                <w:color w:val="auto"/>
                <w:sz w:val="24"/>
                <w:szCs w:val="24"/>
                <w:highlight w:val="none"/>
                <w:lang w:eastAsia="zh-CN"/>
              </w:rPr>
              <w:t>、违章后果较为严重。</w:t>
            </w:r>
          </w:p>
        </w:tc>
        <w:tc>
          <w:tcPr>
            <w:tcW w:w="1693" w:type="dxa"/>
            <w:shd w:val="clear" w:color="auto" w:fill="FFFFFF"/>
            <w:noWrap w:val="0"/>
            <w:vAlign w:val="center"/>
          </w:tcPr>
          <w:p w14:paraId="2D078C8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1000元</w:t>
            </w:r>
          </w:p>
        </w:tc>
      </w:tr>
      <w:tr w14:paraId="7C91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1D166C2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rPr>
              <w:t>二</w:t>
            </w:r>
          </w:p>
        </w:tc>
        <w:tc>
          <w:tcPr>
            <w:tcW w:w="6481" w:type="dxa"/>
            <w:shd w:val="clear" w:color="auto" w:fill="FFFFFF"/>
            <w:noWrap w:val="0"/>
            <w:vAlign w:val="center"/>
          </w:tcPr>
          <w:p w14:paraId="5F9E39C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文明施工</w:t>
            </w:r>
          </w:p>
        </w:tc>
        <w:tc>
          <w:tcPr>
            <w:tcW w:w="1693" w:type="dxa"/>
            <w:shd w:val="clear" w:color="auto" w:fill="FFFFFF"/>
            <w:noWrap w:val="0"/>
            <w:vAlign w:val="center"/>
          </w:tcPr>
          <w:p w14:paraId="2F6AC8B8">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left"/>
              <w:rPr>
                <w:rFonts w:hint="eastAsia" w:ascii="黑体" w:hAnsi="黑体" w:eastAsia="黑体" w:cs="黑体"/>
                <w:b w:val="0"/>
                <w:bCs w:val="0"/>
                <w:color w:val="auto"/>
                <w:sz w:val="24"/>
                <w:szCs w:val="24"/>
                <w:highlight w:val="none"/>
              </w:rPr>
            </w:pPr>
          </w:p>
        </w:tc>
      </w:tr>
      <w:tr w14:paraId="571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98A082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6481" w:type="dxa"/>
            <w:shd w:val="clear" w:color="auto" w:fill="FFFFFF"/>
            <w:noWrap w:val="0"/>
            <w:vAlign w:val="center"/>
          </w:tcPr>
          <w:p w14:paraId="40A5A90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工作面未留出人行安全通道，或者安全通道被占用。</w:t>
            </w:r>
          </w:p>
        </w:tc>
        <w:tc>
          <w:tcPr>
            <w:tcW w:w="1693" w:type="dxa"/>
            <w:shd w:val="clear" w:color="auto" w:fill="FFFFFF"/>
            <w:noWrap w:val="0"/>
            <w:vAlign w:val="center"/>
          </w:tcPr>
          <w:p w14:paraId="5EB50FC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500 元</w:t>
            </w:r>
          </w:p>
        </w:tc>
      </w:tr>
      <w:tr w14:paraId="76EB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0EF9FE2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6481" w:type="dxa"/>
            <w:shd w:val="clear" w:color="auto" w:fill="FFFFFF"/>
            <w:noWrap w:val="0"/>
            <w:vAlign w:val="center"/>
          </w:tcPr>
          <w:p w14:paraId="13F700F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现场</w:t>
            </w:r>
            <w:r>
              <w:rPr>
                <w:rFonts w:hint="eastAsia" w:ascii="宋体" w:hAnsi="宋体" w:eastAsia="宋体" w:cs="宋体"/>
                <w:b w:val="0"/>
                <w:bCs w:val="0"/>
                <w:color w:val="auto"/>
                <w:sz w:val="24"/>
                <w:szCs w:val="24"/>
                <w:highlight w:val="none"/>
                <w:lang w:eastAsia="zh-CN"/>
              </w:rPr>
              <w:t>施工</w:t>
            </w:r>
            <w:r>
              <w:rPr>
                <w:rFonts w:hint="eastAsia" w:ascii="宋体" w:hAnsi="宋体" w:eastAsia="宋体" w:cs="宋体"/>
                <w:b w:val="0"/>
                <w:bCs w:val="0"/>
                <w:color w:val="auto"/>
                <w:sz w:val="24"/>
                <w:szCs w:val="24"/>
                <w:highlight w:val="none"/>
              </w:rPr>
              <w:t>材料未分类堆放、</w:t>
            </w:r>
            <w:r>
              <w:rPr>
                <w:rFonts w:hint="eastAsia" w:ascii="宋体" w:hAnsi="宋体" w:eastAsia="宋体" w:cs="宋体"/>
                <w:b w:val="0"/>
                <w:bCs w:val="0"/>
                <w:color w:val="auto"/>
                <w:sz w:val="24"/>
                <w:szCs w:val="24"/>
                <w:highlight w:val="none"/>
                <w:lang w:eastAsia="zh-CN"/>
              </w:rPr>
              <w:t>未摆放整齐、被水浸泡。</w:t>
            </w:r>
          </w:p>
        </w:tc>
        <w:tc>
          <w:tcPr>
            <w:tcW w:w="1693" w:type="dxa"/>
            <w:shd w:val="clear" w:color="auto" w:fill="FFFFFF"/>
            <w:noWrap w:val="0"/>
            <w:vAlign w:val="center"/>
          </w:tcPr>
          <w:p w14:paraId="12972ED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p>
        </w:tc>
      </w:tr>
      <w:tr w14:paraId="7086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3C7B004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6481" w:type="dxa"/>
            <w:shd w:val="clear" w:color="auto" w:fill="FFFFFF"/>
            <w:noWrap w:val="0"/>
            <w:vAlign w:val="center"/>
          </w:tcPr>
          <w:p w14:paraId="44F27F2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现场施工</w:t>
            </w:r>
            <w:r>
              <w:rPr>
                <w:rFonts w:hint="eastAsia" w:ascii="宋体" w:hAnsi="宋体" w:eastAsia="宋体" w:cs="宋体"/>
                <w:b w:val="0"/>
                <w:bCs w:val="0"/>
                <w:color w:val="auto"/>
                <w:sz w:val="24"/>
                <w:szCs w:val="24"/>
                <w:highlight w:val="none"/>
              </w:rPr>
              <w:t>机具</w:t>
            </w:r>
            <w:r>
              <w:rPr>
                <w:rFonts w:hint="eastAsia" w:ascii="宋体" w:hAnsi="宋体" w:eastAsia="宋体" w:cs="宋体"/>
                <w:b w:val="0"/>
                <w:bCs w:val="0"/>
                <w:color w:val="auto"/>
                <w:sz w:val="24"/>
                <w:szCs w:val="24"/>
                <w:highlight w:val="none"/>
                <w:lang w:eastAsia="zh-CN"/>
              </w:rPr>
              <w:t>摆放不牢固、不整齐、占用通道。</w:t>
            </w:r>
          </w:p>
        </w:tc>
        <w:tc>
          <w:tcPr>
            <w:tcW w:w="1693" w:type="dxa"/>
            <w:shd w:val="clear" w:color="auto" w:fill="FFFFFF"/>
            <w:noWrap w:val="0"/>
            <w:vAlign w:val="center"/>
          </w:tcPr>
          <w:p w14:paraId="3E91836E">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p>
        </w:tc>
      </w:tr>
      <w:tr w14:paraId="710F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7AFD52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6481" w:type="dxa"/>
            <w:shd w:val="clear" w:color="auto" w:fill="FFFFFF"/>
            <w:noWrap w:val="0"/>
            <w:vAlign w:val="center"/>
          </w:tcPr>
          <w:p w14:paraId="4BAA4AED">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现场临电线路拖地、泡水或者搭架在金属结构上。</w:t>
            </w:r>
          </w:p>
        </w:tc>
        <w:tc>
          <w:tcPr>
            <w:tcW w:w="1693" w:type="dxa"/>
            <w:shd w:val="clear" w:color="auto" w:fill="FFFFFF"/>
            <w:noWrap w:val="0"/>
            <w:vAlign w:val="center"/>
          </w:tcPr>
          <w:p w14:paraId="45E22F7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p>
        </w:tc>
      </w:tr>
      <w:tr w14:paraId="5392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3A8C956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5</w:t>
            </w:r>
          </w:p>
        </w:tc>
        <w:tc>
          <w:tcPr>
            <w:tcW w:w="6481" w:type="dxa"/>
            <w:shd w:val="clear" w:color="auto" w:fill="FFFFFF"/>
            <w:noWrap w:val="0"/>
            <w:vAlign w:val="center"/>
          </w:tcPr>
          <w:p w14:paraId="02F3FF8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现场水管、气管等杂乱布置影响交通、美观。</w:t>
            </w:r>
          </w:p>
        </w:tc>
        <w:tc>
          <w:tcPr>
            <w:tcW w:w="1693" w:type="dxa"/>
            <w:shd w:val="clear" w:color="auto" w:fill="FFFFFF"/>
            <w:noWrap w:val="0"/>
            <w:vAlign w:val="center"/>
          </w:tcPr>
          <w:p w14:paraId="0BA7D9F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p>
        </w:tc>
      </w:tr>
      <w:tr w14:paraId="2008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A6924A9">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6481" w:type="dxa"/>
            <w:shd w:val="clear" w:color="auto" w:fill="FFFFFF"/>
            <w:noWrap w:val="0"/>
            <w:vAlign w:val="center"/>
          </w:tcPr>
          <w:p w14:paraId="75DBF902">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现场剩余的物料、已停用的机具未及时回收。</w:t>
            </w:r>
          </w:p>
        </w:tc>
        <w:tc>
          <w:tcPr>
            <w:tcW w:w="1693" w:type="dxa"/>
            <w:shd w:val="clear" w:color="auto" w:fill="FFFFFF"/>
            <w:noWrap w:val="0"/>
            <w:vAlign w:val="center"/>
          </w:tcPr>
          <w:p w14:paraId="763B807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200 元</w:t>
            </w:r>
          </w:p>
        </w:tc>
      </w:tr>
      <w:tr w14:paraId="4D27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18EFD92">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6481" w:type="dxa"/>
            <w:shd w:val="clear" w:color="auto" w:fill="FFFFFF"/>
            <w:noWrap w:val="0"/>
            <w:vAlign w:val="center"/>
          </w:tcPr>
          <w:p w14:paraId="17DB1A14">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现场污水、杂物、垃圾未及时清理。</w:t>
            </w:r>
          </w:p>
        </w:tc>
        <w:tc>
          <w:tcPr>
            <w:tcW w:w="1693" w:type="dxa"/>
            <w:shd w:val="clear" w:color="auto" w:fill="FFFFFF"/>
            <w:noWrap w:val="0"/>
            <w:vAlign w:val="center"/>
          </w:tcPr>
          <w:p w14:paraId="11B01927">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p>
        </w:tc>
      </w:tr>
      <w:tr w14:paraId="1ED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1757894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6481" w:type="dxa"/>
            <w:shd w:val="clear" w:color="auto" w:fill="FFFFFF"/>
            <w:noWrap w:val="0"/>
            <w:vAlign w:val="center"/>
          </w:tcPr>
          <w:p w14:paraId="42B05DE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现场排水沟未及时疏通造成污水溢出路面。</w:t>
            </w:r>
          </w:p>
        </w:tc>
        <w:tc>
          <w:tcPr>
            <w:tcW w:w="1693" w:type="dxa"/>
            <w:shd w:val="clear" w:color="auto" w:fill="FFFFFF"/>
            <w:noWrap w:val="0"/>
            <w:vAlign w:val="center"/>
          </w:tcPr>
          <w:p w14:paraId="7D7AC46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/处</w:t>
            </w:r>
          </w:p>
        </w:tc>
      </w:tr>
      <w:tr w14:paraId="1233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75AE465">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p>
        </w:tc>
        <w:tc>
          <w:tcPr>
            <w:tcW w:w="6481" w:type="dxa"/>
            <w:shd w:val="clear" w:color="auto" w:fill="FFFFFF"/>
            <w:noWrap w:val="0"/>
            <w:vAlign w:val="center"/>
          </w:tcPr>
          <w:p w14:paraId="5B18BD5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个人</w:t>
            </w:r>
            <w:r>
              <w:rPr>
                <w:rFonts w:hint="eastAsia" w:ascii="宋体" w:hAnsi="宋体" w:eastAsia="宋体" w:cs="宋体"/>
                <w:b w:val="0"/>
                <w:bCs w:val="0"/>
                <w:color w:val="auto"/>
                <w:sz w:val="24"/>
                <w:szCs w:val="24"/>
                <w:highlight w:val="none"/>
              </w:rPr>
              <w:t>车辆在现场乱停乱放</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331FA293">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/处</w:t>
            </w:r>
          </w:p>
        </w:tc>
      </w:tr>
      <w:tr w14:paraId="204C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1825B2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6481" w:type="dxa"/>
            <w:shd w:val="clear" w:color="auto" w:fill="FFFFFF"/>
            <w:noWrap w:val="0"/>
            <w:vAlign w:val="center"/>
          </w:tcPr>
          <w:p w14:paraId="52B5E970">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工人宿舍乱拉乱接电线，使用大功率电器</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3162875A">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/处</w:t>
            </w:r>
          </w:p>
        </w:tc>
      </w:tr>
      <w:tr w14:paraId="36E0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55C016B">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6481" w:type="dxa"/>
            <w:shd w:val="clear" w:color="auto" w:fill="FFFFFF"/>
            <w:noWrap w:val="0"/>
            <w:vAlign w:val="center"/>
          </w:tcPr>
          <w:p w14:paraId="7EFF4A1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工人宿舍生活垃圾清理不及时</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602AC9A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/处</w:t>
            </w:r>
          </w:p>
        </w:tc>
      </w:tr>
      <w:tr w14:paraId="27EA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FC1775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6481" w:type="dxa"/>
            <w:shd w:val="clear" w:color="auto" w:fill="FFFFFF"/>
            <w:noWrap w:val="0"/>
            <w:vAlign w:val="center"/>
          </w:tcPr>
          <w:p w14:paraId="48C80C7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工人宿舍</w:t>
            </w:r>
            <w:r>
              <w:rPr>
                <w:rFonts w:hint="eastAsia" w:ascii="宋体" w:hAnsi="宋体" w:eastAsia="宋体" w:cs="宋体"/>
                <w:b w:val="0"/>
                <w:bCs w:val="0"/>
                <w:color w:val="auto"/>
                <w:sz w:val="24"/>
                <w:szCs w:val="24"/>
                <w:highlight w:val="none"/>
                <w:lang w:eastAsia="zh-CN"/>
              </w:rPr>
              <w:t>鞋子、衣物晾晒杂乱无序、影响美观。</w:t>
            </w:r>
          </w:p>
        </w:tc>
        <w:tc>
          <w:tcPr>
            <w:tcW w:w="1693" w:type="dxa"/>
            <w:shd w:val="clear" w:color="auto" w:fill="FFFFFF"/>
            <w:noWrap w:val="0"/>
            <w:vAlign w:val="center"/>
          </w:tcPr>
          <w:p w14:paraId="399513C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val="en-US" w:eastAsia="zh-CN"/>
              </w:rPr>
              <w:t>/处</w:t>
            </w:r>
          </w:p>
        </w:tc>
      </w:tr>
      <w:tr w14:paraId="744D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142AAE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w:t>
            </w:r>
          </w:p>
        </w:tc>
        <w:tc>
          <w:tcPr>
            <w:tcW w:w="6481" w:type="dxa"/>
            <w:shd w:val="clear" w:color="auto" w:fill="FFFFFF"/>
            <w:noWrap w:val="0"/>
            <w:vAlign w:val="center"/>
          </w:tcPr>
          <w:p w14:paraId="395F61D5">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生活区未设置垃圾分类池、垃圾随意丢弃。</w:t>
            </w:r>
          </w:p>
        </w:tc>
        <w:tc>
          <w:tcPr>
            <w:tcW w:w="1693" w:type="dxa"/>
            <w:shd w:val="clear" w:color="auto" w:fill="FFFFFF"/>
            <w:noWrap w:val="0"/>
            <w:vAlign w:val="center"/>
          </w:tcPr>
          <w:p w14:paraId="7A17908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200 元</w:t>
            </w:r>
          </w:p>
        </w:tc>
      </w:tr>
      <w:tr w14:paraId="209A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38542C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w:t>
            </w:r>
          </w:p>
        </w:tc>
        <w:tc>
          <w:tcPr>
            <w:tcW w:w="6481" w:type="dxa"/>
            <w:shd w:val="clear" w:color="auto" w:fill="FFFFFF"/>
            <w:noWrap w:val="0"/>
            <w:vAlign w:val="center"/>
          </w:tcPr>
          <w:p w14:paraId="5604F5D1">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其他不文明行为，视情节和后果，给予相应处罚。</w:t>
            </w:r>
          </w:p>
        </w:tc>
        <w:tc>
          <w:tcPr>
            <w:tcW w:w="1693" w:type="dxa"/>
            <w:shd w:val="clear" w:color="auto" w:fill="FFFFFF"/>
            <w:noWrap w:val="0"/>
            <w:vAlign w:val="center"/>
          </w:tcPr>
          <w:p w14:paraId="60DCA40C">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p>
        </w:tc>
      </w:tr>
      <w:tr w14:paraId="5FADF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9" w:hRule="atLeast"/>
        </w:trPr>
        <w:tc>
          <w:tcPr>
            <w:tcW w:w="788" w:type="dxa"/>
            <w:shd w:val="clear" w:color="auto" w:fill="FFFFFF"/>
            <w:noWrap w:val="0"/>
            <w:vAlign w:val="center"/>
          </w:tcPr>
          <w:p w14:paraId="0D6F6AC8">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rPr>
              <w:t>三</w:t>
            </w:r>
          </w:p>
        </w:tc>
        <w:tc>
          <w:tcPr>
            <w:tcW w:w="6481" w:type="dxa"/>
            <w:shd w:val="clear" w:color="auto" w:fill="FFFFFF"/>
            <w:noWrap w:val="0"/>
            <w:vAlign w:val="center"/>
          </w:tcPr>
          <w:p w14:paraId="5C34EC0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rPr>
              <w:t>安全</w:t>
            </w:r>
            <w:r>
              <w:rPr>
                <w:rFonts w:hint="eastAsia" w:ascii="黑体" w:hAnsi="黑体" w:eastAsia="黑体" w:cs="黑体"/>
                <w:b w:val="0"/>
                <w:bCs w:val="0"/>
                <w:color w:val="auto"/>
                <w:sz w:val="24"/>
                <w:szCs w:val="24"/>
                <w:highlight w:val="none"/>
                <w:lang w:eastAsia="zh-CN"/>
              </w:rPr>
              <w:t>生产</w:t>
            </w:r>
            <w:r>
              <w:rPr>
                <w:rFonts w:hint="eastAsia" w:ascii="黑体" w:hAnsi="黑体" w:eastAsia="黑体" w:cs="黑体"/>
                <w:b w:val="0"/>
                <w:bCs w:val="0"/>
                <w:color w:val="auto"/>
                <w:sz w:val="24"/>
                <w:szCs w:val="24"/>
                <w:highlight w:val="none"/>
              </w:rPr>
              <w:t>文明施工管理</w:t>
            </w:r>
          </w:p>
        </w:tc>
        <w:tc>
          <w:tcPr>
            <w:tcW w:w="1693" w:type="dxa"/>
            <w:shd w:val="clear" w:color="auto" w:fill="FFFFFF"/>
            <w:noWrap w:val="0"/>
            <w:vAlign w:val="center"/>
          </w:tcPr>
          <w:p w14:paraId="1507CA67">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仿宋_GB2312" w:hAnsi="仿宋_GB2312" w:eastAsia="仿宋_GB2312" w:cs="仿宋_GB2312"/>
                <w:b w:val="0"/>
                <w:bCs w:val="0"/>
                <w:color w:val="auto"/>
                <w:sz w:val="24"/>
                <w:szCs w:val="24"/>
                <w:highlight w:val="none"/>
              </w:rPr>
            </w:pPr>
          </w:p>
        </w:tc>
      </w:tr>
      <w:tr w14:paraId="78F9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1B1D8D86">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6481" w:type="dxa"/>
            <w:shd w:val="clear" w:color="auto" w:fill="FFFFFF"/>
            <w:noWrap w:val="0"/>
            <w:vAlign w:val="center"/>
          </w:tcPr>
          <w:p w14:paraId="53E49F6E">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6"/>
                <w:sz w:val="24"/>
                <w:szCs w:val="24"/>
                <w:highlight w:val="none"/>
                <w:lang w:eastAsia="zh-CN"/>
              </w:rPr>
              <w:t>对甲方人员提出的安全管理要求采取抵制、推诿、拖延等措施。</w:t>
            </w:r>
          </w:p>
        </w:tc>
        <w:tc>
          <w:tcPr>
            <w:tcW w:w="1693" w:type="dxa"/>
            <w:shd w:val="clear" w:color="auto" w:fill="FFFFFF"/>
            <w:noWrap w:val="0"/>
            <w:vAlign w:val="center"/>
          </w:tcPr>
          <w:p w14:paraId="4773FDA1">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1000元</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次</w:t>
            </w:r>
          </w:p>
        </w:tc>
      </w:tr>
      <w:tr w14:paraId="05FA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6808EC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p>
        </w:tc>
        <w:tc>
          <w:tcPr>
            <w:tcW w:w="6481" w:type="dxa"/>
            <w:shd w:val="clear" w:color="auto" w:fill="FFFFFF"/>
            <w:noWrap w:val="0"/>
            <w:vAlign w:val="center"/>
          </w:tcPr>
          <w:p w14:paraId="2C8B071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现场管理责任人未</w:t>
            </w:r>
            <w:r>
              <w:rPr>
                <w:rFonts w:hint="eastAsia" w:ascii="宋体" w:hAnsi="宋体" w:eastAsia="宋体" w:cs="宋体"/>
                <w:b w:val="0"/>
                <w:bCs w:val="0"/>
                <w:color w:val="auto"/>
                <w:sz w:val="24"/>
                <w:szCs w:val="24"/>
                <w:highlight w:val="none"/>
                <w:lang w:eastAsia="zh-CN"/>
              </w:rPr>
              <w:t>按要求</w:t>
            </w:r>
            <w:r>
              <w:rPr>
                <w:rFonts w:hint="eastAsia" w:ascii="宋体" w:hAnsi="宋体" w:eastAsia="宋体" w:cs="宋体"/>
                <w:b w:val="0"/>
                <w:bCs w:val="0"/>
                <w:color w:val="auto"/>
                <w:sz w:val="24"/>
                <w:szCs w:val="24"/>
                <w:highlight w:val="none"/>
              </w:rPr>
              <w:t>落实</w:t>
            </w:r>
            <w:r>
              <w:rPr>
                <w:rFonts w:hint="eastAsia" w:ascii="宋体" w:hAnsi="宋体" w:eastAsia="宋体" w:cs="宋体"/>
                <w:b w:val="0"/>
                <w:bCs w:val="0"/>
                <w:color w:val="auto"/>
                <w:sz w:val="24"/>
                <w:szCs w:val="24"/>
                <w:highlight w:val="none"/>
                <w:lang w:eastAsia="zh-CN"/>
              </w:rPr>
              <w:t>指挥、监管、监护</w:t>
            </w:r>
            <w:r>
              <w:rPr>
                <w:rFonts w:hint="eastAsia" w:ascii="宋体" w:hAnsi="宋体" w:eastAsia="宋体" w:cs="宋体"/>
                <w:b w:val="0"/>
                <w:bCs w:val="0"/>
                <w:color w:val="auto"/>
                <w:sz w:val="24"/>
                <w:szCs w:val="24"/>
                <w:highlight w:val="none"/>
              </w:rPr>
              <w:t>职责</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226594F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1000 元/</w:t>
            </w:r>
            <w:r>
              <w:rPr>
                <w:rFonts w:hint="eastAsia" w:ascii="宋体" w:hAnsi="宋体" w:eastAsia="宋体" w:cs="宋体"/>
                <w:b w:val="0"/>
                <w:bCs w:val="0"/>
                <w:color w:val="auto"/>
                <w:sz w:val="24"/>
                <w:szCs w:val="24"/>
                <w:highlight w:val="none"/>
                <w:lang w:eastAsia="zh-CN"/>
              </w:rPr>
              <w:t>次</w:t>
            </w:r>
          </w:p>
        </w:tc>
      </w:tr>
      <w:tr w14:paraId="641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6FEDC4DA">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3</w:t>
            </w:r>
          </w:p>
        </w:tc>
        <w:tc>
          <w:tcPr>
            <w:tcW w:w="6481" w:type="dxa"/>
            <w:shd w:val="clear" w:color="auto" w:fill="FFFFFF"/>
            <w:noWrap w:val="0"/>
            <w:vAlign w:val="center"/>
          </w:tcPr>
          <w:p w14:paraId="6507E9A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未按要求进行安全</w:t>
            </w:r>
            <w:r>
              <w:rPr>
                <w:rFonts w:hint="eastAsia" w:ascii="宋体" w:hAnsi="宋体" w:eastAsia="宋体" w:cs="宋体"/>
                <w:b w:val="0"/>
                <w:bCs w:val="0"/>
                <w:color w:val="auto"/>
                <w:sz w:val="24"/>
                <w:szCs w:val="24"/>
                <w:highlight w:val="none"/>
                <w:lang w:eastAsia="zh-CN"/>
              </w:rPr>
              <w:t>生产</w:t>
            </w:r>
            <w:r>
              <w:rPr>
                <w:rFonts w:hint="eastAsia" w:ascii="宋体" w:hAnsi="宋体" w:eastAsia="宋体" w:cs="宋体"/>
                <w:b w:val="0"/>
                <w:bCs w:val="0"/>
                <w:color w:val="auto"/>
                <w:sz w:val="24"/>
                <w:szCs w:val="24"/>
                <w:highlight w:val="none"/>
              </w:rPr>
              <w:t>文明</w:t>
            </w:r>
            <w:r>
              <w:rPr>
                <w:rFonts w:hint="eastAsia" w:ascii="宋体" w:hAnsi="宋体" w:eastAsia="宋体" w:cs="宋体"/>
                <w:b w:val="0"/>
                <w:bCs w:val="0"/>
                <w:color w:val="auto"/>
                <w:sz w:val="24"/>
                <w:szCs w:val="24"/>
                <w:highlight w:val="none"/>
                <w:lang w:eastAsia="zh-CN"/>
              </w:rPr>
              <w:t>施工每日巡查</w:t>
            </w:r>
            <w:r>
              <w:rPr>
                <w:rFonts w:hint="eastAsia" w:ascii="宋体" w:hAnsi="宋体" w:eastAsia="宋体" w:cs="宋体"/>
                <w:b w:val="0"/>
                <w:bCs w:val="0"/>
                <w:color w:val="auto"/>
                <w:sz w:val="24"/>
                <w:szCs w:val="24"/>
                <w:highlight w:val="none"/>
              </w:rPr>
              <w:t>（无记录）</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47D1A57F">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eastAsia="zh-CN"/>
              </w:rPr>
              <w:t>班</w:t>
            </w:r>
          </w:p>
        </w:tc>
      </w:tr>
      <w:tr w14:paraId="2AE5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457690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4</w:t>
            </w:r>
          </w:p>
        </w:tc>
        <w:tc>
          <w:tcPr>
            <w:tcW w:w="6481" w:type="dxa"/>
            <w:shd w:val="clear" w:color="auto" w:fill="FFFFFF"/>
            <w:noWrap w:val="0"/>
            <w:vAlign w:val="center"/>
          </w:tcPr>
          <w:p w14:paraId="1DEF2DB9">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未按相关整改通知要求完成整改或没有及时整改</w:t>
            </w:r>
            <w:r>
              <w:rPr>
                <w:rFonts w:hint="eastAsia" w:ascii="宋体" w:hAnsi="宋体" w:eastAsia="宋体" w:cs="宋体"/>
                <w:b w:val="0"/>
                <w:bCs w:val="0"/>
                <w:color w:val="auto"/>
                <w:sz w:val="24"/>
                <w:szCs w:val="24"/>
                <w:highlight w:val="none"/>
                <w:lang w:eastAsia="zh-CN"/>
              </w:rPr>
              <w:t>。</w:t>
            </w:r>
          </w:p>
        </w:tc>
        <w:tc>
          <w:tcPr>
            <w:tcW w:w="1693" w:type="dxa"/>
            <w:shd w:val="clear" w:color="auto" w:fill="FFFFFF"/>
            <w:noWrap w:val="0"/>
            <w:vAlign w:val="center"/>
          </w:tcPr>
          <w:p w14:paraId="11681DC2">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eastAsia="zh-CN"/>
              </w:rPr>
              <w:t>项</w:t>
            </w:r>
          </w:p>
        </w:tc>
      </w:tr>
      <w:tr w14:paraId="1918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5694DB9D">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5</w:t>
            </w:r>
          </w:p>
        </w:tc>
        <w:tc>
          <w:tcPr>
            <w:tcW w:w="6481" w:type="dxa"/>
            <w:shd w:val="clear" w:color="auto" w:fill="FFFFFF"/>
            <w:noWrap w:val="0"/>
            <w:vAlign w:val="center"/>
          </w:tcPr>
          <w:p w14:paraId="3E30D20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11"/>
                <w:sz w:val="24"/>
                <w:szCs w:val="24"/>
                <w:highlight w:val="none"/>
              </w:rPr>
              <w:t>未按要求召开安全</w:t>
            </w:r>
            <w:r>
              <w:rPr>
                <w:rFonts w:hint="eastAsia" w:ascii="宋体" w:hAnsi="宋体" w:eastAsia="宋体" w:cs="宋体"/>
                <w:b w:val="0"/>
                <w:bCs w:val="0"/>
                <w:color w:val="auto"/>
                <w:spacing w:val="-11"/>
                <w:sz w:val="24"/>
                <w:szCs w:val="24"/>
                <w:highlight w:val="none"/>
                <w:lang w:eastAsia="zh-CN"/>
              </w:rPr>
              <w:t>生产</w:t>
            </w:r>
            <w:r>
              <w:rPr>
                <w:rFonts w:hint="eastAsia" w:ascii="宋体" w:hAnsi="宋体" w:eastAsia="宋体" w:cs="宋体"/>
                <w:b w:val="0"/>
                <w:bCs w:val="0"/>
                <w:color w:val="auto"/>
                <w:spacing w:val="-11"/>
                <w:sz w:val="24"/>
                <w:szCs w:val="24"/>
                <w:highlight w:val="none"/>
              </w:rPr>
              <w:t>会议</w:t>
            </w:r>
            <w:r>
              <w:rPr>
                <w:rFonts w:hint="eastAsia" w:ascii="宋体" w:hAnsi="宋体" w:eastAsia="宋体" w:cs="宋体"/>
                <w:b w:val="0"/>
                <w:bCs w:val="0"/>
                <w:color w:val="auto"/>
                <w:spacing w:val="-11"/>
                <w:sz w:val="24"/>
                <w:szCs w:val="24"/>
                <w:highlight w:val="none"/>
                <w:lang w:eastAsia="zh-CN"/>
              </w:rPr>
              <w:t>的、安全培训、安全交底</w:t>
            </w:r>
            <w:r>
              <w:rPr>
                <w:rFonts w:hint="eastAsia" w:ascii="宋体" w:hAnsi="宋体" w:eastAsia="宋体" w:cs="宋体"/>
                <w:b w:val="0"/>
                <w:bCs w:val="0"/>
                <w:color w:val="auto"/>
                <w:spacing w:val="-11"/>
                <w:sz w:val="24"/>
                <w:szCs w:val="24"/>
                <w:highlight w:val="none"/>
              </w:rPr>
              <w:t>（无记录）</w:t>
            </w:r>
            <w:r>
              <w:rPr>
                <w:rFonts w:hint="eastAsia" w:ascii="宋体" w:hAnsi="宋体" w:eastAsia="宋体" w:cs="宋体"/>
                <w:b w:val="0"/>
                <w:bCs w:val="0"/>
                <w:color w:val="auto"/>
                <w:spacing w:val="-11"/>
                <w:sz w:val="24"/>
                <w:szCs w:val="24"/>
                <w:highlight w:val="none"/>
                <w:lang w:eastAsia="zh-CN"/>
              </w:rPr>
              <w:t>。</w:t>
            </w:r>
          </w:p>
        </w:tc>
        <w:tc>
          <w:tcPr>
            <w:tcW w:w="1693" w:type="dxa"/>
            <w:shd w:val="clear" w:color="auto" w:fill="FFFFFF"/>
            <w:noWrap w:val="0"/>
            <w:vAlign w:val="center"/>
          </w:tcPr>
          <w:p w14:paraId="3C27C7F2">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eastAsia="zh-CN"/>
              </w:rPr>
              <w:t>次</w:t>
            </w:r>
          </w:p>
        </w:tc>
      </w:tr>
      <w:tr w14:paraId="12F4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rPr>
        <w:tc>
          <w:tcPr>
            <w:tcW w:w="788" w:type="dxa"/>
            <w:shd w:val="clear" w:color="auto" w:fill="FFFFFF"/>
            <w:noWrap w:val="0"/>
            <w:vAlign w:val="center"/>
          </w:tcPr>
          <w:p w14:paraId="47B743B0">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6481" w:type="dxa"/>
            <w:shd w:val="clear" w:color="auto" w:fill="FFFFFF"/>
            <w:noWrap w:val="0"/>
            <w:vAlign w:val="center"/>
          </w:tcPr>
          <w:p w14:paraId="59EDB42B">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00" w:lineRule="exact"/>
              <w:ind w:left="0" w:leftChars="0"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对甲方要求报备的资料未及时报备。</w:t>
            </w:r>
          </w:p>
        </w:tc>
        <w:tc>
          <w:tcPr>
            <w:tcW w:w="1693" w:type="dxa"/>
            <w:shd w:val="clear" w:color="auto" w:fill="FFFFFF"/>
            <w:noWrap w:val="0"/>
            <w:vAlign w:val="center"/>
          </w:tcPr>
          <w:p w14:paraId="50C58164">
            <w:pPr>
              <w:pageBreakBefore w:val="0"/>
              <w:kinsoku/>
              <w:overflowPunct/>
              <w:topLinePunct w:val="0"/>
              <w:autoSpaceDE w:val="0"/>
              <w:autoSpaceDN w:val="0"/>
              <w:bidi w:val="0"/>
              <w:adjustRightInd w:val="0"/>
              <w:snapToGrid w:val="0"/>
              <w:spacing w:beforeAutospacing="0" w:afterAutospacing="0" w:line="400" w:lineRule="exact"/>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00 元/</w:t>
            </w:r>
            <w:r>
              <w:rPr>
                <w:rFonts w:hint="eastAsia" w:ascii="宋体" w:hAnsi="宋体" w:eastAsia="宋体" w:cs="宋体"/>
                <w:b w:val="0"/>
                <w:bCs w:val="0"/>
                <w:color w:val="auto"/>
                <w:sz w:val="24"/>
                <w:szCs w:val="24"/>
                <w:highlight w:val="none"/>
                <w:lang w:eastAsia="zh-CN"/>
              </w:rPr>
              <w:t>项</w:t>
            </w:r>
          </w:p>
        </w:tc>
      </w:tr>
    </w:tbl>
    <w:p w14:paraId="49FC9F18">
      <w:pPr>
        <w:pStyle w:val="16"/>
        <w:keepNext w:val="0"/>
        <w:keepLines w:val="0"/>
        <w:pageBreakBefore w:val="0"/>
        <w:widowControl w:val="0"/>
        <w:kinsoku/>
        <w:wordWrap/>
        <w:overflowPunct/>
        <w:topLinePunct w:val="0"/>
        <w:autoSpaceDE/>
        <w:autoSpaceDN/>
        <w:bidi w:val="0"/>
        <w:snapToGrid/>
        <w:spacing w:line="400" w:lineRule="exact"/>
        <w:jc w:val="both"/>
        <w:rPr>
          <w:rFonts w:hint="eastAsia" w:ascii="黑体" w:hAnsi="黑体" w:eastAsia="黑体" w:cs="黑体"/>
          <w:color w:val="auto"/>
          <w:sz w:val="32"/>
          <w:szCs w:val="32"/>
          <w:highlight w:val="none"/>
          <w:lang w:val="en-US" w:eastAsia="zh-CN"/>
        </w:rPr>
        <w:sectPr>
          <w:pgSz w:w="11906" w:h="16838"/>
          <w:pgMar w:top="2098" w:right="1474" w:bottom="1984" w:left="1587" w:header="850" w:footer="1587" w:gutter="0"/>
          <w:pgNumType w:fmt="numberInDash"/>
          <w:cols w:space="0" w:num="1"/>
          <w:rtlGutter w:val="0"/>
          <w:docGrid w:type="lines" w:linePitch="440" w:charSpace="0"/>
        </w:sectPr>
      </w:pPr>
    </w:p>
    <w:p w14:paraId="4BC37B4A">
      <w:pPr>
        <w:pStyle w:val="16"/>
        <w:keepNext w:val="0"/>
        <w:keepLines w:val="0"/>
        <w:pageBreakBefore w:val="0"/>
        <w:widowControl w:val="0"/>
        <w:kinsoku/>
        <w:wordWrap/>
        <w:overflowPunct/>
        <w:topLinePunct w:val="0"/>
        <w:autoSpaceDE/>
        <w:autoSpaceDN/>
        <w:bidi w:val="0"/>
        <w:snapToGrid/>
        <w:spacing w:line="400" w:lineRule="exact"/>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附件10</w:t>
      </w:r>
    </w:p>
    <w:p w14:paraId="0E125DCF">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val="0"/>
          <w:bCs w:val="0"/>
          <w:color w:val="auto"/>
          <w:sz w:val="44"/>
          <w:szCs w:val="44"/>
          <w:highlight w:val="none"/>
          <w:lang w:eastAsia="zh-CN"/>
        </w:rPr>
        <w:t>分包方违约清单</w:t>
      </w:r>
    </w:p>
    <w:tbl>
      <w:tblPr>
        <w:tblStyle w:val="19"/>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803"/>
        <w:gridCol w:w="3504"/>
        <w:gridCol w:w="3182"/>
        <w:gridCol w:w="825"/>
      </w:tblGrid>
      <w:tr w14:paraId="7F57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62" w:type="dxa"/>
            <w:noWrap w:val="0"/>
            <w:vAlign w:val="center"/>
          </w:tcPr>
          <w:p w14:paraId="5C08762C">
            <w:pPr>
              <w:pStyle w:val="16"/>
              <w:spacing w:line="240" w:lineRule="auto"/>
              <w:jc w:val="center"/>
              <w:rPr>
                <w:rFonts w:hint="eastAsia" w:ascii="黑体" w:hAnsi="黑体" w:eastAsia="黑体" w:cs="黑体"/>
                <w:color w:val="auto"/>
                <w:sz w:val="21"/>
                <w:szCs w:val="21"/>
                <w:highlight w:val="none"/>
                <w:vertAlign w:val="baseline"/>
                <w:lang w:eastAsia="zh-CN"/>
              </w:rPr>
            </w:pPr>
            <w:r>
              <w:rPr>
                <w:rFonts w:hint="eastAsia" w:ascii="黑体" w:hAnsi="黑体" w:eastAsia="黑体" w:cs="黑体"/>
                <w:color w:val="auto"/>
                <w:sz w:val="21"/>
                <w:szCs w:val="21"/>
                <w:highlight w:val="none"/>
                <w:vertAlign w:val="baseline"/>
                <w:lang w:val="en-US" w:eastAsia="zh-CN"/>
              </w:rPr>
              <w:t>序</w:t>
            </w:r>
            <w:r>
              <w:rPr>
                <w:rFonts w:hint="eastAsia" w:ascii="黑体" w:hAnsi="黑体" w:eastAsia="黑体" w:cs="黑体"/>
                <w:color w:val="auto"/>
                <w:sz w:val="21"/>
                <w:szCs w:val="21"/>
                <w:highlight w:val="none"/>
                <w:vertAlign w:val="baseline"/>
                <w:lang w:eastAsia="zh-CN"/>
              </w:rPr>
              <w:t>号</w:t>
            </w:r>
          </w:p>
        </w:tc>
        <w:tc>
          <w:tcPr>
            <w:tcW w:w="803" w:type="dxa"/>
            <w:noWrap w:val="0"/>
            <w:vAlign w:val="center"/>
          </w:tcPr>
          <w:p w14:paraId="504EA007">
            <w:pPr>
              <w:pStyle w:val="16"/>
              <w:spacing w:line="240" w:lineRule="auto"/>
              <w:jc w:val="center"/>
              <w:rPr>
                <w:rFonts w:hint="eastAsia" w:ascii="黑体" w:hAnsi="黑体" w:eastAsia="黑体" w:cs="黑体"/>
                <w:color w:val="auto"/>
                <w:sz w:val="21"/>
                <w:szCs w:val="21"/>
                <w:highlight w:val="none"/>
                <w:vertAlign w:val="baseline"/>
                <w:lang w:eastAsia="zh-CN"/>
              </w:rPr>
            </w:pPr>
            <w:r>
              <w:rPr>
                <w:rFonts w:hint="eastAsia" w:ascii="黑体" w:hAnsi="黑体" w:eastAsia="黑体" w:cs="黑体"/>
                <w:color w:val="auto"/>
                <w:sz w:val="21"/>
                <w:szCs w:val="21"/>
                <w:highlight w:val="none"/>
                <w:vertAlign w:val="baseline"/>
                <w:lang w:eastAsia="zh-CN"/>
              </w:rPr>
              <w:t>项目</w:t>
            </w:r>
          </w:p>
        </w:tc>
        <w:tc>
          <w:tcPr>
            <w:tcW w:w="3504" w:type="dxa"/>
            <w:noWrap w:val="0"/>
            <w:vAlign w:val="center"/>
          </w:tcPr>
          <w:p w14:paraId="181748C0">
            <w:pPr>
              <w:pStyle w:val="16"/>
              <w:spacing w:line="240" w:lineRule="auto"/>
              <w:jc w:val="center"/>
              <w:rPr>
                <w:rFonts w:hint="eastAsia" w:ascii="黑体" w:hAnsi="黑体" w:eastAsia="黑体" w:cs="黑体"/>
                <w:color w:val="auto"/>
                <w:sz w:val="21"/>
                <w:szCs w:val="21"/>
                <w:highlight w:val="none"/>
                <w:vertAlign w:val="baseline"/>
                <w:lang w:eastAsia="zh-CN"/>
              </w:rPr>
            </w:pPr>
            <w:r>
              <w:rPr>
                <w:rFonts w:hint="eastAsia" w:ascii="黑体" w:hAnsi="黑体" w:eastAsia="黑体" w:cs="黑体"/>
                <w:color w:val="auto"/>
                <w:sz w:val="21"/>
                <w:szCs w:val="21"/>
                <w:highlight w:val="none"/>
                <w:vertAlign w:val="baseline"/>
                <w:lang w:eastAsia="zh-CN"/>
              </w:rPr>
              <w:t>违约事项</w:t>
            </w:r>
          </w:p>
        </w:tc>
        <w:tc>
          <w:tcPr>
            <w:tcW w:w="3182" w:type="dxa"/>
            <w:noWrap w:val="0"/>
            <w:vAlign w:val="center"/>
          </w:tcPr>
          <w:p w14:paraId="47B0FBE5">
            <w:pPr>
              <w:pStyle w:val="16"/>
              <w:spacing w:line="240" w:lineRule="auto"/>
              <w:jc w:val="center"/>
              <w:rPr>
                <w:rFonts w:hint="eastAsia" w:ascii="黑体" w:hAnsi="黑体" w:eastAsia="黑体" w:cs="黑体"/>
                <w:color w:val="auto"/>
                <w:sz w:val="21"/>
                <w:szCs w:val="21"/>
                <w:highlight w:val="none"/>
                <w:vertAlign w:val="baseline"/>
                <w:lang w:eastAsia="zh-CN"/>
              </w:rPr>
            </w:pPr>
            <w:r>
              <w:rPr>
                <w:rFonts w:hint="eastAsia" w:ascii="黑体" w:hAnsi="黑体" w:eastAsia="黑体" w:cs="黑体"/>
                <w:color w:val="auto"/>
                <w:sz w:val="21"/>
                <w:szCs w:val="21"/>
                <w:highlight w:val="none"/>
                <w:vertAlign w:val="baseline"/>
                <w:lang w:eastAsia="zh-CN"/>
              </w:rPr>
              <w:t>违约处理</w:t>
            </w:r>
          </w:p>
        </w:tc>
        <w:tc>
          <w:tcPr>
            <w:tcW w:w="825" w:type="dxa"/>
            <w:noWrap w:val="0"/>
            <w:vAlign w:val="center"/>
          </w:tcPr>
          <w:p w14:paraId="1D9B0FE4">
            <w:pPr>
              <w:pStyle w:val="16"/>
              <w:spacing w:beforeLines="0" w:afterLines="0" w:line="240" w:lineRule="auto"/>
              <w:ind w:left="0" w:firstLine="0"/>
              <w:jc w:val="center"/>
              <w:rPr>
                <w:rFonts w:hint="eastAsia" w:ascii="黑体" w:hAnsi="黑体" w:eastAsia="黑体" w:cs="黑体"/>
                <w:color w:val="auto"/>
                <w:sz w:val="21"/>
                <w:szCs w:val="21"/>
                <w:highlight w:val="none"/>
                <w:vertAlign w:val="baseline"/>
                <w:lang w:eastAsia="zh-CN"/>
              </w:rPr>
            </w:pPr>
            <w:r>
              <w:rPr>
                <w:rFonts w:hint="eastAsia" w:ascii="黑体" w:hAnsi="黑体" w:eastAsia="黑体" w:cs="黑体"/>
                <w:color w:val="auto"/>
                <w:sz w:val="21"/>
                <w:szCs w:val="21"/>
                <w:highlight w:val="none"/>
                <w:vertAlign w:val="baseline"/>
                <w:lang w:eastAsia="zh-CN"/>
              </w:rPr>
              <w:t>备注</w:t>
            </w:r>
          </w:p>
        </w:tc>
      </w:tr>
      <w:tr w14:paraId="5C40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18FE74B">
            <w:pPr>
              <w:pStyle w:val="16"/>
              <w:spacing w:line="240" w:lineRule="auto"/>
              <w:ind w:left="360" w:leftChars="0" w:hanging="36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803" w:type="dxa"/>
            <w:vMerge w:val="restart"/>
            <w:noWrap w:val="0"/>
            <w:vAlign w:val="center"/>
          </w:tcPr>
          <w:p w14:paraId="1B2DF4D2">
            <w:pPr>
              <w:pStyle w:val="16"/>
              <w:spacing w:beforeLines="0" w:afterLines="0" w:line="240" w:lineRule="auto"/>
              <w:ind w:left="0" w:firstLine="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人员管理方面</w:t>
            </w:r>
          </w:p>
        </w:tc>
        <w:tc>
          <w:tcPr>
            <w:tcW w:w="3504" w:type="dxa"/>
            <w:noWrap w:val="0"/>
            <w:vAlign w:val="center"/>
          </w:tcPr>
          <w:p w14:paraId="655E3859">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因项目负责人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技术负责人</w:t>
            </w:r>
            <w:r>
              <w:rPr>
                <w:rFonts w:hint="eastAsia" w:ascii="宋体" w:hAnsi="宋体" w:eastAsia="宋体" w:cs="宋体"/>
                <w:b w:val="0"/>
                <w:bCs w:val="0"/>
                <w:color w:val="auto"/>
                <w:sz w:val="21"/>
                <w:szCs w:val="21"/>
                <w:highlight w:val="none"/>
                <w:lang w:eastAsia="zh-CN"/>
              </w:rPr>
              <w:t>或安全负责人</w:t>
            </w:r>
            <w:r>
              <w:rPr>
                <w:rFonts w:hint="eastAsia" w:ascii="宋体" w:hAnsi="宋体" w:eastAsia="宋体" w:cs="宋体"/>
                <w:b w:val="0"/>
                <w:bCs w:val="0"/>
                <w:color w:val="auto"/>
                <w:sz w:val="21"/>
                <w:szCs w:val="21"/>
                <w:highlight w:val="none"/>
              </w:rPr>
              <w:t>不满足管理要求或不能胜任工作，</w:t>
            </w:r>
            <w:r>
              <w:rPr>
                <w:rFonts w:hint="eastAsia" w:ascii="宋体" w:hAnsi="宋体" w:eastAsia="宋体" w:cs="宋体"/>
                <w:b w:val="0"/>
                <w:bCs w:val="0"/>
                <w:color w:val="auto"/>
                <w:sz w:val="21"/>
                <w:szCs w:val="21"/>
                <w:highlight w:val="none"/>
                <w:lang w:eastAsia="zh-CN"/>
              </w:rPr>
              <w:t>承包人有权</w:t>
            </w:r>
            <w:r>
              <w:rPr>
                <w:rFonts w:hint="eastAsia" w:ascii="宋体" w:hAnsi="宋体" w:eastAsia="宋体" w:cs="宋体"/>
                <w:b w:val="0"/>
                <w:bCs w:val="0"/>
                <w:color w:val="auto"/>
                <w:sz w:val="21"/>
                <w:szCs w:val="21"/>
                <w:highlight w:val="none"/>
              </w:rPr>
              <w:t>要求更换</w:t>
            </w:r>
            <w:r>
              <w:rPr>
                <w:rFonts w:hint="eastAsia" w:ascii="宋体" w:hAnsi="宋体" w:eastAsia="宋体" w:cs="宋体"/>
                <w:b w:val="0"/>
                <w:bCs w:val="0"/>
                <w:color w:val="auto"/>
                <w:sz w:val="21"/>
                <w:szCs w:val="21"/>
                <w:highlight w:val="none"/>
                <w:lang w:eastAsia="zh-CN"/>
              </w:rPr>
              <w:t>。</w:t>
            </w:r>
          </w:p>
        </w:tc>
        <w:tc>
          <w:tcPr>
            <w:tcW w:w="3182" w:type="dxa"/>
            <w:noWrap w:val="0"/>
            <w:vAlign w:val="center"/>
          </w:tcPr>
          <w:p w14:paraId="0BDAA93F">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vertAlign w:val="baseline"/>
                <w:lang w:eastAsia="zh-CN"/>
              </w:rPr>
            </w:pPr>
            <w:r>
              <w:rPr>
                <w:rFonts w:hint="eastAsia" w:ascii="宋体" w:hAnsi="宋体" w:eastAsia="宋体" w:cs="宋体"/>
                <w:b w:val="0"/>
                <w:bCs w:val="0"/>
                <w:color w:val="auto"/>
                <w:sz w:val="21"/>
                <w:szCs w:val="21"/>
                <w:highlight w:val="none"/>
              </w:rPr>
              <w:t>限期调整以保证满足合同需要，并</w:t>
            </w:r>
            <w:r>
              <w:rPr>
                <w:rFonts w:hint="eastAsia" w:ascii="宋体" w:hAnsi="宋体" w:eastAsia="宋体" w:cs="宋体"/>
                <w:b w:val="0"/>
                <w:bCs w:val="0"/>
                <w:color w:val="auto"/>
                <w:kern w:val="0"/>
                <w:sz w:val="21"/>
                <w:szCs w:val="21"/>
                <w:highlight w:val="none"/>
              </w:rPr>
              <w:t>应向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w:t>
            </w:r>
            <w:r>
              <w:rPr>
                <w:rFonts w:hint="eastAsia" w:ascii="宋体" w:hAnsi="宋体" w:eastAsia="宋体" w:cs="宋体"/>
                <w:b w:val="0"/>
                <w:bCs w:val="0"/>
                <w:color w:val="auto"/>
                <w:sz w:val="21"/>
                <w:szCs w:val="21"/>
                <w:highlight w:val="none"/>
                <w:lang w:eastAsia="zh-CN"/>
              </w:rPr>
              <w:t>支付</w:t>
            </w:r>
            <w:r>
              <w:rPr>
                <w:rFonts w:hint="eastAsia" w:ascii="宋体" w:hAnsi="宋体" w:eastAsia="宋体" w:cs="宋体"/>
                <w:b w:val="0"/>
                <w:bCs w:val="0"/>
                <w:color w:val="auto"/>
                <w:sz w:val="21"/>
                <w:szCs w:val="21"/>
                <w:highlight w:val="none"/>
              </w:rPr>
              <w:t>每人次</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万元</w:t>
            </w:r>
            <w:r>
              <w:rPr>
                <w:rFonts w:hint="eastAsia" w:ascii="宋体" w:hAnsi="宋体" w:eastAsia="宋体" w:cs="宋体"/>
                <w:b w:val="0"/>
                <w:bCs w:val="0"/>
                <w:color w:val="auto"/>
                <w:sz w:val="21"/>
                <w:szCs w:val="21"/>
                <w:highlight w:val="none"/>
                <w:lang w:eastAsia="zh-CN"/>
              </w:rPr>
              <w:t>的违约金。</w:t>
            </w:r>
          </w:p>
        </w:tc>
        <w:tc>
          <w:tcPr>
            <w:tcW w:w="825" w:type="dxa"/>
            <w:noWrap w:val="0"/>
            <w:vAlign w:val="center"/>
          </w:tcPr>
          <w:p w14:paraId="7AEE8663">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6E8F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039EFE2">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803" w:type="dxa"/>
            <w:vMerge w:val="continue"/>
            <w:noWrap w:val="0"/>
            <w:vAlign w:val="center"/>
          </w:tcPr>
          <w:p w14:paraId="25E69E8A">
            <w:pPr>
              <w:pStyle w:val="16"/>
              <w:spacing w:line="240" w:lineRule="auto"/>
              <w:rPr>
                <w:rFonts w:hint="eastAsia" w:ascii="宋体" w:hAnsi="宋体" w:eastAsia="宋体" w:cs="宋体"/>
                <w:b w:val="0"/>
                <w:bCs w:val="0"/>
                <w:color w:val="auto"/>
                <w:sz w:val="21"/>
                <w:szCs w:val="21"/>
                <w:highlight w:val="none"/>
              </w:rPr>
            </w:pPr>
          </w:p>
        </w:tc>
        <w:tc>
          <w:tcPr>
            <w:tcW w:w="3504" w:type="dxa"/>
            <w:noWrap w:val="0"/>
            <w:vAlign w:val="center"/>
          </w:tcPr>
          <w:p w14:paraId="7A64FB57">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施工技术人员的数量不满足要求或不按</w:t>
            </w:r>
            <w:r>
              <w:rPr>
                <w:rFonts w:hint="eastAsia" w:ascii="宋体" w:hAnsi="宋体" w:eastAsia="宋体" w:cs="宋体"/>
                <w:b w:val="0"/>
                <w:bCs w:val="0"/>
                <w:color w:val="auto"/>
                <w:sz w:val="21"/>
                <w:szCs w:val="21"/>
                <w:highlight w:val="none"/>
                <w:lang w:eastAsia="zh-CN"/>
              </w:rPr>
              <w:t>承</w:t>
            </w:r>
            <w:r>
              <w:rPr>
                <w:rFonts w:hint="eastAsia" w:ascii="宋体" w:hAnsi="宋体" w:eastAsia="宋体" w:cs="宋体"/>
                <w:b w:val="0"/>
                <w:bCs w:val="0"/>
                <w:color w:val="auto"/>
                <w:sz w:val="21"/>
                <w:szCs w:val="21"/>
                <w:highlight w:val="none"/>
              </w:rPr>
              <w:t>包人</w:t>
            </w:r>
            <w:r>
              <w:rPr>
                <w:rFonts w:hint="eastAsia" w:ascii="宋体" w:hAnsi="宋体" w:eastAsia="宋体" w:cs="宋体"/>
                <w:b w:val="0"/>
                <w:bCs w:val="0"/>
                <w:color w:val="auto"/>
                <w:sz w:val="21"/>
                <w:szCs w:val="21"/>
                <w:highlight w:val="none"/>
                <w:lang w:eastAsia="zh-CN"/>
              </w:rPr>
              <w:t>要求</w:t>
            </w:r>
            <w:r>
              <w:rPr>
                <w:rFonts w:hint="eastAsia" w:ascii="宋体" w:hAnsi="宋体" w:eastAsia="宋体" w:cs="宋体"/>
                <w:b w:val="0"/>
                <w:bCs w:val="0"/>
                <w:color w:val="auto"/>
                <w:sz w:val="21"/>
                <w:szCs w:val="21"/>
                <w:highlight w:val="none"/>
              </w:rPr>
              <w:t>的期限增加人员</w:t>
            </w:r>
            <w:r>
              <w:rPr>
                <w:rFonts w:hint="eastAsia" w:ascii="宋体" w:hAnsi="宋体" w:eastAsia="宋体" w:cs="宋体"/>
                <w:b w:val="0"/>
                <w:bCs w:val="0"/>
                <w:color w:val="auto"/>
                <w:sz w:val="21"/>
                <w:szCs w:val="21"/>
                <w:highlight w:val="none"/>
                <w:lang w:eastAsia="zh-CN"/>
              </w:rPr>
              <w:t>。</w:t>
            </w:r>
          </w:p>
        </w:tc>
        <w:tc>
          <w:tcPr>
            <w:tcW w:w="3182" w:type="dxa"/>
            <w:noWrap w:val="0"/>
            <w:vAlign w:val="center"/>
          </w:tcPr>
          <w:p w14:paraId="1DCF9075">
            <w:pPr>
              <w:pStyle w:val="16"/>
              <w:keepNext w:val="0"/>
              <w:keepLines w:val="0"/>
              <w:pageBreakBefore w:val="0"/>
              <w:kinsoku/>
              <w:wordWrap/>
              <w:overflowPunct/>
              <w:topLinePunct w:val="0"/>
              <w:autoSpaceDE/>
              <w:autoSpaceDN/>
              <w:bidi w:val="0"/>
              <w:spacing w:beforeLines="0" w:after="100" w:afterLines="0" w:afterAutospacing="1" w:line="400" w:lineRule="exact"/>
              <w:ind w:left="0" w:firstLine="0"/>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通报批评</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视情节</w:t>
            </w:r>
            <w:r>
              <w:rPr>
                <w:rFonts w:hint="eastAsia" w:ascii="宋体" w:hAnsi="宋体" w:eastAsia="宋体" w:cs="宋体"/>
                <w:b w:val="0"/>
                <w:bCs w:val="0"/>
                <w:color w:val="auto"/>
                <w:kern w:val="0"/>
                <w:sz w:val="21"/>
                <w:szCs w:val="21"/>
                <w:highlight w:val="none"/>
              </w:rPr>
              <w:t>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w:t>
            </w:r>
            <w:r>
              <w:rPr>
                <w:rFonts w:hint="eastAsia" w:ascii="宋体" w:hAnsi="宋体" w:eastAsia="宋体" w:cs="宋体"/>
                <w:b w:val="0"/>
                <w:bCs w:val="0"/>
                <w:color w:val="auto"/>
                <w:sz w:val="21"/>
                <w:szCs w:val="21"/>
                <w:highlight w:val="none"/>
                <w:lang w:eastAsia="zh-CN"/>
              </w:rPr>
              <w:t>支付</w:t>
            </w:r>
            <w:r>
              <w:rPr>
                <w:rFonts w:hint="eastAsia" w:ascii="宋体" w:hAnsi="宋体" w:eastAsia="宋体" w:cs="宋体"/>
                <w:b w:val="0"/>
                <w:bCs w:val="0"/>
                <w:color w:val="auto"/>
                <w:sz w:val="21"/>
                <w:szCs w:val="21"/>
                <w:highlight w:val="none"/>
              </w:rPr>
              <w:t>1000~5000元</w:t>
            </w:r>
            <w:r>
              <w:rPr>
                <w:rFonts w:hint="eastAsia" w:ascii="宋体" w:hAnsi="宋体" w:eastAsia="宋体" w:cs="宋体"/>
                <w:b w:val="0"/>
                <w:bCs w:val="0"/>
                <w:color w:val="auto"/>
                <w:sz w:val="21"/>
                <w:szCs w:val="21"/>
                <w:highlight w:val="none"/>
                <w:lang w:eastAsia="zh-CN"/>
              </w:rPr>
              <w:t>的违约金。</w:t>
            </w:r>
          </w:p>
        </w:tc>
        <w:tc>
          <w:tcPr>
            <w:tcW w:w="825" w:type="dxa"/>
            <w:noWrap w:val="0"/>
            <w:vAlign w:val="center"/>
          </w:tcPr>
          <w:p w14:paraId="451BD50F">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2DAE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42E4B2DE">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803" w:type="dxa"/>
            <w:vMerge w:val="continue"/>
            <w:noWrap w:val="0"/>
            <w:vAlign w:val="center"/>
          </w:tcPr>
          <w:p w14:paraId="69571D15">
            <w:pPr>
              <w:pStyle w:val="16"/>
              <w:spacing w:line="240" w:lineRule="auto"/>
              <w:rPr>
                <w:rFonts w:hint="eastAsia" w:ascii="宋体" w:hAnsi="宋体" w:eastAsia="宋体" w:cs="宋体"/>
                <w:b w:val="0"/>
                <w:bCs w:val="0"/>
                <w:color w:val="auto"/>
                <w:sz w:val="21"/>
                <w:szCs w:val="21"/>
                <w:highlight w:val="none"/>
              </w:rPr>
            </w:pPr>
          </w:p>
        </w:tc>
        <w:tc>
          <w:tcPr>
            <w:tcW w:w="3504" w:type="dxa"/>
            <w:noWrap w:val="0"/>
            <w:vAlign w:val="center"/>
          </w:tcPr>
          <w:p w14:paraId="5615BC07">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项目经理、技术负责人、安全</w:t>
            </w:r>
            <w:r>
              <w:rPr>
                <w:rFonts w:hint="eastAsia" w:ascii="宋体" w:hAnsi="宋体" w:eastAsia="宋体" w:cs="宋体"/>
                <w:b w:val="0"/>
                <w:bCs w:val="0"/>
                <w:color w:val="auto"/>
                <w:sz w:val="21"/>
                <w:szCs w:val="21"/>
                <w:highlight w:val="none"/>
                <w:lang w:eastAsia="zh-CN"/>
              </w:rPr>
              <w:t>负责人</w:t>
            </w:r>
            <w:r>
              <w:rPr>
                <w:rFonts w:hint="eastAsia" w:ascii="宋体" w:hAnsi="宋体" w:eastAsia="宋体" w:cs="宋体"/>
                <w:b w:val="0"/>
                <w:bCs w:val="0"/>
                <w:color w:val="auto"/>
                <w:sz w:val="21"/>
                <w:szCs w:val="21"/>
                <w:highlight w:val="none"/>
              </w:rPr>
              <w:t>必须常驻施工现场，每月不得少于22天。无论何种原因离开工地的必须书面向</w:t>
            </w:r>
            <w:r>
              <w:rPr>
                <w:rFonts w:hint="eastAsia" w:ascii="宋体" w:hAnsi="宋体" w:eastAsia="宋体" w:cs="宋体"/>
                <w:b w:val="0"/>
                <w:bCs w:val="0"/>
                <w:color w:val="auto"/>
                <w:sz w:val="21"/>
                <w:szCs w:val="21"/>
                <w:highlight w:val="none"/>
                <w:lang w:eastAsia="zh-CN"/>
              </w:rPr>
              <w:t>承</w:t>
            </w:r>
            <w:r>
              <w:rPr>
                <w:rFonts w:hint="eastAsia" w:ascii="宋体" w:hAnsi="宋体" w:eastAsia="宋体" w:cs="宋体"/>
                <w:b w:val="0"/>
                <w:bCs w:val="0"/>
                <w:color w:val="auto"/>
                <w:sz w:val="21"/>
                <w:szCs w:val="21"/>
                <w:highlight w:val="none"/>
              </w:rPr>
              <w:t>包人请假，且安排合格的委托代理人和交接工作。</w:t>
            </w:r>
          </w:p>
        </w:tc>
        <w:tc>
          <w:tcPr>
            <w:tcW w:w="3182" w:type="dxa"/>
            <w:noWrap w:val="0"/>
            <w:vAlign w:val="center"/>
          </w:tcPr>
          <w:p w14:paraId="76586343">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eastAsia="zh-CN"/>
              </w:rPr>
              <w:t>承包</w:t>
            </w:r>
            <w:r>
              <w:rPr>
                <w:rFonts w:hint="eastAsia" w:ascii="宋体" w:hAnsi="宋体" w:eastAsia="宋体" w:cs="宋体"/>
                <w:b w:val="0"/>
                <w:bCs w:val="0"/>
                <w:color w:val="auto"/>
                <w:sz w:val="21"/>
                <w:szCs w:val="21"/>
                <w:highlight w:val="none"/>
              </w:rPr>
              <w:t>人批准擅自离开，</w:t>
            </w:r>
            <w:r>
              <w:rPr>
                <w:rFonts w:hint="eastAsia" w:ascii="宋体" w:hAnsi="宋体" w:eastAsia="宋体" w:cs="宋体"/>
                <w:b w:val="0"/>
                <w:bCs w:val="0"/>
                <w:color w:val="auto"/>
                <w:sz w:val="21"/>
                <w:szCs w:val="21"/>
                <w:highlight w:val="none"/>
                <w:lang w:eastAsia="zh-CN"/>
              </w:rPr>
              <w:t>每发现一次，向承包人支付</w:t>
            </w:r>
            <w:r>
              <w:rPr>
                <w:rFonts w:hint="eastAsia" w:ascii="宋体" w:hAnsi="宋体" w:eastAsia="宋体" w:cs="宋体"/>
                <w:b w:val="0"/>
                <w:bCs w:val="0"/>
                <w:color w:val="auto"/>
                <w:sz w:val="21"/>
                <w:szCs w:val="21"/>
                <w:highlight w:val="none"/>
              </w:rPr>
              <w:t>2000元/人次/天</w:t>
            </w:r>
            <w:r>
              <w:rPr>
                <w:rFonts w:hint="eastAsia" w:ascii="宋体" w:hAnsi="宋体" w:eastAsia="宋体" w:cs="宋体"/>
                <w:b w:val="0"/>
                <w:bCs w:val="0"/>
                <w:color w:val="auto"/>
                <w:sz w:val="21"/>
                <w:szCs w:val="21"/>
                <w:highlight w:val="none"/>
                <w:lang w:eastAsia="zh-CN"/>
              </w:rPr>
              <w:t>的违约金</w:t>
            </w:r>
            <w:r>
              <w:rPr>
                <w:rFonts w:hint="eastAsia" w:ascii="宋体" w:hAnsi="宋体" w:eastAsia="宋体" w:cs="宋体"/>
                <w:b w:val="0"/>
                <w:bCs w:val="0"/>
                <w:color w:val="auto"/>
                <w:sz w:val="21"/>
                <w:szCs w:val="21"/>
                <w:highlight w:val="none"/>
              </w:rPr>
              <w:t>。</w:t>
            </w:r>
          </w:p>
        </w:tc>
        <w:tc>
          <w:tcPr>
            <w:tcW w:w="825" w:type="dxa"/>
            <w:noWrap w:val="0"/>
            <w:vAlign w:val="center"/>
          </w:tcPr>
          <w:p w14:paraId="5F3A3EC9">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7EE0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CD26B4C">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803" w:type="dxa"/>
            <w:vMerge w:val="continue"/>
            <w:noWrap w:val="0"/>
            <w:vAlign w:val="center"/>
          </w:tcPr>
          <w:p w14:paraId="5964FB98">
            <w:pPr>
              <w:pStyle w:val="16"/>
              <w:spacing w:line="240" w:lineRule="auto"/>
              <w:rPr>
                <w:rFonts w:hint="eastAsia" w:ascii="宋体" w:hAnsi="宋体" w:eastAsia="宋体" w:cs="宋体"/>
                <w:b w:val="0"/>
                <w:bCs w:val="0"/>
                <w:color w:val="auto"/>
                <w:sz w:val="21"/>
                <w:szCs w:val="21"/>
                <w:highlight w:val="none"/>
              </w:rPr>
            </w:pPr>
          </w:p>
        </w:tc>
        <w:tc>
          <w:tcPr>
            <w:tcW w:w="3504" w:type="dxa"/>
            <w:noWrap w:val="0"/>
            <w:vAlign w:val="center"/>
          </w:tcPr>
          <w:p w14:paraId="3D51AC8C">
            <w:pPr>
              <w:pStyle w:val="16"/>
              <w:keepNext w:val="0"/>
              <w:keepLines w:val="0"/>
              <w:pageBreakBefore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特殊工种的作业中，若有无证上岗的</w:t>
            </w:r>
            <w:r>
              <w:rPr>
                <w:rFonts w:hint="eastAsia" w:ascii="宋体" w:hAnsi="宋体" w:eastAsia="宋体" w:cs="宋体"/>
                <w:b w:val="0"/>
                <w:bCs w:val="0"/>
                <w:color w:val="auto"/>
                <w:sz w:val="21"/>
                <w:szCs w:val="21"/>
                <w:highlight w:val="none"/>
                <w:lang w:eastAsia="zh-CN"/>
              </w:rPr>
              <w:t>。</w:t>
            </w:r>
          </w:p>
        </w:tc>
        <w:tc>
          <w:tcPr>
            <w:tcW w:w="3182" w:type="dxa"/>
            <w:noWrap w:val="0"/>
            <w:vAlign w:val="center"/>
          </w:tcPr>
          <w:p w14:paraId="71A1B6FC">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每发现一次，</w:t>
            </w:r>
            <w:r>
              <w:rPr>
                <w:rFonts w:hint="eastAsia" w:ascii="宋体" w:hAnsi="宋体" w:eastAsia="宋体" w:cs="宋体"/>
                <w:b w:val="0"/>
                <w:bCs w:val="0"/>
                <w:color w:val="auto"/>
                <w:sz w:val="21"/>
                <w:szCs w:val="21"/>
                <w:highlight w:val="none"/>
                <w:lang w:eastAsia="zh-CN"/>
              </w:rPr>
              <w:t>向承包人支付</w:t>
            </w:r>
            <w:r>
              <w:rPr>
                <w:rFonts w:hint="eastAsia" w:ascii="宋体" w:hAnsi="宋体" w:eastAsia="宋体" w:cs="宋体"/>
                <w:b w:val="0"/>
                <w:bCs w:val="0"/>
                <w:color w:val="auto"/>
                <w:sz w:val="21"/>
                <w:szCs w:val="21"/>
                <w:highlight w:val="none"/>
              </w:rPr>
              <w:t>100元/人次</w:t>
            </w:r>
            <w:r>
              <w:rPr>
                <w:rFonts w:hint="eastAsia" w:ascii="宋体" w:hAnsi="宋体" w:eastAsia="宋体" w:cs="宋体"/>
                <w:b w:val="0"/>
                <w:bCs w:val="0"/>
                <w:color w:val="auto"/>
                <w:sz w:val="21"/>
                <w:szCs w:val="21"/>
                <w:highlight w:val="none"/>
                <w:lang w:eastAsia="zh-CN"/>
              </w:rPr>
              <w:t>的违约金</w:t>
            </w:r>
            <w:r>
              <w:rPr>
                <w:rFonts w:hint="eastAsia" w:ascii="宋体" w:hAnsi="宋体" w:eastAsia="宋体" w:cs="宋体"/>
                <w:b w:val="0"/>
                <w:bCs w:val="0"/>
                <w:color w:val="auto"/>
                <w:sz w:val="21"/>
                <w:szCs w:val="21"/>
                <w:highlight w:val="none"/>
              </w:rPr>
              <w:t>。</w:t>
            </w:r>
          </w:p>
        </w:tc>
        <w:tc>
          <w:tcPr>
            <w:tcW w:w="825" w:type="dxa"/>
            <w:noWrap w:val="0"/>
            <w:vAlign w:val="center"/>
          </w:tcPr>
          <w:p w14:paraId="38CFE86A">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0DD2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80273DD">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803" w:type="dxa"/>
            <w:vMerge w:val="restart"/>
            <w:noWrap w:val="0"/>
            <w:vAlign w:val="center"/>
          </w:tcPr>
          <w:p w14:paraId="7922DE72">
            <w:pPr>
              <w:pStyle w:val="16"/>
              <w:spacing w:beforeLines="0" w:afterLines="0" w:line="240" w:lineRule="auto"/>
              <w:ind w:left="0" w:firstLine="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进度管理方面</w:t>
            </w:r>
          </w:p>
        </w:tc>
        <w:tc>
          <w:tcPr>
            <w:tcW w:w="3504" w:type="dxa"/>
            <w:noWrap w:val="0"/>
            <w:vAlign w:val="center"/>
          </w:tcPr>
          <w:p w14:paraId="0B5CF7A1">
            <w:pPr>
              <w:pStyle w:val="16"/>
              <w:keepNext w:val="0"/>
              <w:keepLines w:val="0"/>
              <w:pageBreakBefore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包人原因造成关键节点工期延误的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6F87DE01">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每延误1天，应向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包人支付签约合同价款1‰的违约金。</w:t>
            </w:r>
          </w:p>
        </w:tc>
        <w:tc>
          <w:tcPr>
            <w:tcW w:w="825" w:type="dxa"/>
            <w:noWrap w:val="0"/>
            <w:vAlign w:val="center"/>
          </w:tcPr>
          <w:p w14:paraId="48F578B6">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5F8E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77C8D73E">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803" w:type="dxa"/>
            <w:vMerge w:val="continue"/>
            <w:noWrap w:val="0"/>
            <w:vAlign w:val="center"/>
          </w:tcPr>
          <w:p w14:paraId="2C557048">
            <w:pPr>
              <w:pStyle w:val="16"/>
              <w:spacing w:line="240" w:lineRule="auto"/>
              <w:rPr>
                <w:rFonts w:hint="eastAsia" w:ascii="宋体" w:hAnsi="宋体" w:eastAsia="宋体" w:cs="宋体"/>
                <w:b w:val="0"/>
                <w:bCs w:val="0"/>
                <w:color w:val="auto"/>
                <w:kern w:val="0"/>
                <w:sz w:val="21"/>
                <w:szCs w:val="21"/>
                <w:highlight w:val="none"/>
              </w:rPr>
            </w:pPr>
          </w:p>
        </w:tc>
        <w:tc>
          <w:tcPr>
            <w:tcW w:w="3504" w:type="dxa"/>
            <w:noWrap w:val="0"/>
            <w:vAlign w:val="center"/>
          </w:tcPr>
          <w:p w14:paraId="748634C2">
            <w:pPr>
              <w:pStyle w:val="16"/>
              <w:keepNext w:val="0"/>
              <w:keepLines w:val="0"/>
              <w:pageBreakBefore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由于</w:t>
            </w: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包人原因未按合同约定的日期完工的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04B5FB04">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w:t>
            </w:r>
            <w:r>
              <w:rPr>
                <w:rFonts w:hint="eastAsia" w:ascii="宋体" w:hAnsi="宋体" w:eastAsia="宋体" w:cs="宋体"/>
                <w:b w:val="0"/>
                <w:bCs w:val="0"/>
                <w:color w:val="auto"/>
                <w:kern w:val="0"/>
                <w:sz w:val="21"/>
                <w:szCs w:val="21"/>
                <w:highlight w:val="none"/>
                <w:lang w:eastAsia="zh-CN"/>
              </w:rPr>
              <w:t>延误</w:t>
            </w:r>
            <w:r>
              <w:rPr>
                <w:rFonts w:hint="eastAsia" w:ascii="宋体" w:hAnsi="宋体" w:eastAsia="宋体" w:cs="宋体"/>
                <w:b w:val="0"/>
                <w:bCs w:val="0"/>
                <w:color w:val="auto"/>
                <w:kern w:val="0"/>
                <w:sz w:val="21"/>
                <w:szCs w:val="21"/>
                <w:highlight w:val="none"/>
              </w:rPr>
              <w:t>1天，应向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包人支付签约合同价款</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‰的违约金。</w:t>
            </w:r>
          </w:p>
        </w:tc>
        <w:tc>
          <w:tcPr>
            <w:tcW w:w="825" w:type="dxa"/>
            <w:noWrap w:val="0"/>
            <w:vAlign w:val="center"/>
          </w:tcPr>
          <w:p w14:paraId="6E0A6146">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67E2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762" w:type="dxa"/>
            <w:noWrap w:val="0"/>
            <w:vAlign w:val="center"/>
          </w:tcPr>
          <w:p w14:paraId="725DA444">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803" w:type="dxa"/>
            <w:vMerge w:val="continue"/>
            <w:noWrap w:val="0"/>
            <w:vAlign w:val="center"/>
          </w:tcPr>
          <w:p w14:paraId="56EC8E4F">
            <w:pPr>
              <w:pStyle w:val="16"/>
              <w:spacing w:line="240" w:lineRule="auto"/>
              <w:rPr>
                <w:rFonts w:hint="eastAsia" w:ascii="宋体" w:hAnsi="宋体" w:eastAsia="宋体" w:cs="宋体"/>
                <w:b w:val="0"/>
                <w:bCs w:val="0"/>
                <w:color w:val="auto"/>
                <w:kern w:val="0"/>
                <w:sz w:val="21"/>
                <w:szCs w:val="21"/>
                <w:highlight w:val="none"/>
                <w:lang w:eastAsia="zh-CN"/>
              </w:rPr>
            </w:pPr>
          </w:p>
        </w:tc>
        <w:tc>
          <w:tcPr>
            <w:tcW w:w="3504" w:type="dxa"/>
            <w:noWrap w:val="0"/>
            <w:vAlign w:val="center"/>
          </w:tcPr>
          <w:p w14:paraId="1A8407FA">
            <w:pPr>
              <w:pStyle w:val="16"/>
              <w:keepNext w:val="0"/>
              <w:keepLines w:val="0"/>
              <w:pageBreakBefore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分包人擅自停工的</w:t>
            </w:r>
          </w:p>
          <w:p w14:paraId="7D266EC8">
            <w:pPr>
              <w:pStyle w:val="16"/>
              <w:keepNext w:val="0"/>
              <w:keepLines w:val="0"/>
              <w:pageBreakBefore w:val="0"/>
              <w:kinsoku/>
              <w:wordWrap/>
              <w:overflowPunct/>
              <w:topLinePunct w:val="0"/>
              <w:autoSpaceDE/>
              <w:autoSpaceDN/>
              <w:bidi w:val="0"/>
              <w:spacing w:line="400" w:lineRule="exact"/>
              <w:ind w:left="0" w:lef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（非承包人原因）。</w:t>
            </w:r>
          </w:p>
        </w:tc>
        <w:tc>
          <w:tcPr>
            <w:tcW w:w="3182" w:type="dxa"/>
            <w:noWrap w:val="0"/>
            <w:vAlign w:val="center"/>
          </w:tcPr>
          <w:p w14:paraId="7898D66D">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每停工1天，应给</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万元/天的违约金；停工超过10天的，</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包人通知</w:t>
            </w: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包人拒不开工的，</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包人有权解除合同，将本工程另行</w:t>
            </w: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包，并要求</w:t>
            </w: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包人承担签约合同总价20%的违约金。</w:t>
            </w:r>
          </w:p>
        </w:tc>
        <w:tc>
          <w:tcPr>
            <w:tcW w:w="825" w:type="dxa"/>
            <w:noWrap w:val="0"/>
            <w:vAlign w:val="center"/>
          </w:tcPr>
          <w:p w14:paraId="005A7958">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1639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62" w:type="dxa"/>
            <w:noWrap w:val="0"/>
            <w:vAlign w:val="center"/>
          </w:tcPr>
          <w:p w14:paraId="1F2B988B">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803" w:type="dxa"/>
            <w:vMerge w:val="restart"/>
            <w:noWrap w:val="0"/>
            <w:vAlign w:val="center"/>
          </w:tcPr>
          <w:p w14:paraId="603DEAF3">
            <w:pPr>
              <w:pStyle w:val="16"/>
              <w:spacing w:beforeLines="0" w:afterLines="0" w:line="240" w:lineRule="auto"/>
              <w:ind w:left="0" w:firstLine="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质量管理方面</w:t>
            </w:r>
          </w:p>
        </w:tc>
        <w:tc>
          <w:tcPr>
            <w:tcW w:w="3504" w:type="dxa"/>
            <w:noWrap w:val="0"/>
            <w:vAlign w:val="center"/>
          </w:tcPr>
          <w:p w14:paraId="36047652">
            <w:pPr>
              <w:keepNext w:val="0"/>
              <w:keepLines w:val="0"/>
              <w:pageBreakBefore w:val="0"/>
              <w:tabs>
                <w:tab w:val="left" w:pos="-1985"/>
                <w:tab w:val="left" w:pos="0"/>
              </w:tabs>
              <w:kinsoku/>
              <w:wordWrap/>
              <w:overflowPunct/>
              <w:topLinePunct w:val="0"/>
              <w:autoSpaceDE/>
              <w:autoSpaceDN/>
              <w:bidi w:val="0"/>
              <w:spacing w:line="400" w:lineRule="exact"/>
              <w:ind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上道工序未经验收或验收不合格，擅自进行下道工序的</w:t>
            </w:r>
            <w:r>
              <w:rPr>
                <w:rFonts w:hint="eastAsia" w:ascii="宋体" w:hAnsi="宋体" w:eastAsia="宋体" w:cs="宋体"/>
                <w:b w:val="0"/>
                <w:bCs w:val="0"/>
                <w:color w:val="auto"/>
                <w:kern w:val="0"/>
                <w:sz w:val="21"/>
                <w:szCs w:val="21"/>
                <w:highlight w:val="none"/>
                <w:lang w:eastAsia="zh-CN"/>
              </w:rPr>
              <w:t>。</w:t>
            </w:r>
          </w:p>
          <w:p w14:paraId="5100C847">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lang w:eastAsia="zh-CN"/>
              </w:rPr>
            </w:pPr>
          </w:p>
        </w:tc>
        <w:tc>
          <w:tcPr>
            <w:tcW w:w="3182" w:type="dxa"/>
            <w:noWrap w:val="0"/>
            <w:vAlign w:val="center"/>
          </w:tcPr>
          <w:p w14:paraId="50F45CE3">
            <w:pPr>
              <w:keepNext w:val="0"/>
              <w:keepLines w:val="0"/>
              <w:pageBreakBefore w:val="0"/>
              <w:tabs>
                <w:tab w:val="left" w:pos="-1985"/>
                <w:tab w:val="left" w:pos="0"/>
              </w:tabs>
              <w:kinsoku/>
              <w:wordWrap/>
              <w:overflowPunct/>
              <w:topLinePunct w:val="0"/>
              <w:autoSpaceDE/>
              <w:autoSpaceDN/>
              <w:bidi w:val="0"/>
              <w:spacing w:line="400" w:lineRule="exact"/>
              <w:ind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包人必须拆除重建，且每发生一次，</w:t>
            </w: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包人支付违约金5000元。</w:t>
            </w:r>
          </w:p>
        </w:tc>
        <w:tc>
          <w:tcPr>
            <w:tcW w:w="825" w:type="dxa"/>
            <w:noWrap w:val="0"/>
            <w:vAlign w:val="center"/>
          </w:tcPr>
          <w:p w14:paraId="4B11271D">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3184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762" w:type="dxa"/>
            <w:noWrap w:val="0"/>
            <w:vAlign w:val="center"/>
          </w:tcPr>
          <w:p w14:paraId="6186FE09">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803" w:type="dxa"/>
            <w:vMerge w:val="continue"/>
            <w:noWrap w:val="0"/>
            <w:vAlign w:val="center"/>
          </w:tcPr>
          <w:p w14:paraId="7EC6F370">
            <w:pPr>
              <w:pStyle w:val="16"/>
              <w:spacing w:beforeLines="0" w:afterLines="0" w:line="240" w:lineRule="auto"/>
              <w:ind w:left="0" w:firstLine="0"/>
              <w:rPr>
                <w:rFonts w:hint="eastAsia" w:ascii="宋体" w:hAnsi="宋体" w:eastAsia="宋体" w:cs="宋体"/>
                <w:b w:val="0"/>
                <w:bCs w:val="0"/>
                <w:color w:val="auto"/>
                <w:kern w:val="0"/>
                <w:sz w:val="21"/>
                <w:szCs w:val="21"/>
                <w:highlight w:val="none"/>
              </w:rPr>
            </w:pPr>
          </w:p>
        </w:tc>
        <w:tc>
          <w:tcPr>
            <w:tcW w:w="3504" w:type="dxa"/>
            <w:noWrap w:val="0"/>
            <w:vAlign w:val="center"/>
          </w:tcPr>
          <w:p w14:paraId="692DAB73">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接到监理人</w:t>
            </w:r>
            <w:r>
              <w:rPr>
                <w:rFonts w:hint="eastAsia" w:ascii="宋体" w:hAnsi="宋体" w:eastAsia="宋体" w:cs="宋体"/>
                <w:b w:val="0"/>
                <w:bCs w:val="0"/>
                <w:color w:val="auto"/>
                <w:kern w:val="0"/>
                <w:sz w:val="21"/>
                <w:szCs w:val="21"/>
                <w:highlight w:val="none"/>
                <w:lang w:eastAsia="zh-CN"/>
              </w:rPr>
              <w:t>或承（发）包人</w:t>
            </w:r>
            <w:r>
              <w:rPr>
                <w:rFonts w:hint="eastAsia" w:ascii="宋体" w:hAnsi="宋体" w:eastAsia="宋体" w:cs="宋体"/>
                <w:b w:val="0"/>
                <w:bCs w:val="0"/>
                <w:color w:val="auto"/>
                <w:kern w:val="0"/>
                <w:sz w:val="21"/>
                <w:szCs w:val="21"/>
                <w:highlight w:val="none"/>
              </w:rPr>
              <w:t>关于不合格品的处理指示后不予执行的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0F431743">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w:t>
            </w:r>
            <w:r>
              <w:rPr>
                <w:rFonts w:hint="eastAsia" w:ascii="宋体" w:hAnsi="宋体" w:eastAsia="宋体" w:cs="宋体"/>
                <w:b w:val="0"/>
                <w:bCs w:val="0"/>
                <w:color w:val="auto"/>
                <w:kern w:val="0"/>
                <w:sz w:val="21"/>
                <w:szCs w:val="21"/>
                <w:highlight w:val="none"/>
                <w:lang w:val="en-US" w:eastAsia="zh-CN"/>
              </w:rPr>
              <w:t>1万-10万</w:t>
            </w:r>
            <w:r>
              <w:rPr>
                <w:rFonts w:hint="eastAsia" w:ascii="宋体" w:hAnsi="宋体" w:eastAsia="宋体" w:cs="宋体"/>
                <w:b w:val="0"/>
                <w:bCs w:val="0"/>
                <w:color w:val="auto"/>
                <w:kern w:val="0"/>
                <w:sz w:val="21"/>
                <w:szCs w:val="21"/>
                <w:highlight w:val="none"/>
              </w:rPr>
              <w:t>元/次的违约金。</w:t>
            </w:r>
          </w:p>
        </w:tc>
        <w:tc>
          <w:tcPr>
            <w:tcW w:w="825" w:type="dxa"/>
            <w:noWrap w:val="0"/>
            <w:vAlign w:val="center"/>
          </w:tcPr>
          <w:p w14:paraId="0738E59C">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2D54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62" w:type="dxa"/>
            <w:noWrap w:val="0"/>
            <w:vAlign w:val="center"/>
          </w:tcPr>
          <w:p w14:paraId="2464E0DD">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803" w:type="dxa"/>
            <w:vMerge w:val="continue"/>
            <w:noWrap w:val="0"/>
            <w:vAlign w:val="center"/>
          </w:tcPr>
          <w:p w14:paraId="090BAF83">
            <w:pPr>
              <w:pStyle w:val="16"/>
              <w:spacing w:beforeLines="0" w:afterLines="0" w:line="240" w:lineRule="auto"/>
              <w:ind w:left="0" w:firstLine="0"/>
              <w:rPr>
                <w:rFonts w:hint="eastAsia" w:ascii="宋体" w:hAnsi="宋体" w:eastAsia="宋体" w:cs="宋体"/>
                <w:b w:val="0"/>
                <w:bCs w:val="0"/>
                <w:color w:val="auto"/>
                <w:kern w:val="0"/>
                <w:sz w:val="21"/>
                <w:szCs w:val="21"/>
                <w:highlight w:val="none"/>
              </w:rPr>
            </w:pPr>
          </w:p>
        </w:tc>
        <w:tc>
          <w:tcPr>
            <w:tcW w:w="3504" w:type="dxa"/>
            <w:noWrap w:val="0"/>
            <w:vAlign w:val="center"/>
          </w:tcPr>
          <w:p w14:paraId="0DA14EE0">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包人未及时发现质量隐患而导致质量事件（事故）发生</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031D9DA9">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kern w:val="0"/>
                <w:sz w:val="21"/>
                <w:szCs w:val="21"/>
                <w:highlight w:val="none"/>
              </w:rPr>
              <w:t>通报批评并视情节向承包人支付</w:t>
            </w:r>
            <w:r>
              <w:rPr>
                <w:rFonts w:hint="eastAsia" w:ascii="宋体" w:hAnsi="宋体" w:eastAsia="宋体" w:cs="宋体"/>
                <w:b w:val="0"/>
                <w:bCs w:val="0"/>
                <w:color w:val="auto"/>
                <w:spacing w:val="-6"/>
                <w:kern w:val="0"/>
                <w:sz w:val="21"/>
                <w:szCs w:val="21"/>
                <w:highlight w:val="none"/>
                <w:lang w:val="en-US" w:eastAsia="zh-CN"/>
              </w:rPr>
              <w:t>2万-20万</w:t>
            </w:r>
            <w:r>
              <w:rPr>
                <w:rFonts w:hint="eastAsia" w:ascii="宋体" w:hAnsi="宋体" w:eastAsia="宋体" w:cs="宋体"/>
                <w:b w:val="0"/>
                <w:bCs w:val="0"/>
                <w:color w:val="auto"/>
                <w:spacing w:val="-6"/>
                <w:kern w:val="0"/>
                <w:sz w:val="21"/>
                <w:szCs w:val="21"/>
                <w:highlight w:val="none"/>
              </w:rPr>
              <w:t>元/次的违约金</w:t>
            </w:r>
            <w:r>
              <w:rPr>
                <w:rFonts w:hint="eastAsia" w:ascii="宋体" w:hAnsi="宋体" w:eastAsia="宋体" w:cs="宋体"/>
                <w:b w:val="0"/>
                <w:bCs w:val="0"/>
                <w:color w:val="auto"/>
                <w:spacing w:val="-6"/>
                <w:kern w:val="0"/>
                <w:sz w:val="21"/>
                <w:szCs w:val="21"/>
                <w:highlight w:val="none"/>
                <w:lang w:eastAsia="zh-CN"/>
              </w:rPr>
              <w:t>，并承担由此造成的所有经济损失</w:t>
            </w:r>
            <w:r>
              <w:rPr>
                <w:rFonts w:hint="eastAsia" w:ascii="宋体" w:hAnsi="宋体" w:eastAsia="宋体" w:cs="宋体"/>
                <w:b w:val="0"/>
                <w:bCs w:val="0"/>
                <w:color w:val="auto"/>
                <w:spacing w:val="-6"/>
                <w:kern w:val="0"/>
                <w:sz w:val="21"/>
                <w:szCs w:val="21"/>
                <w:highlight w:val="none"/>
              </w:rPr>
              <w:t>。</w:t>
            </w:r>
          </w:p>
        </w:tc>
        <w:tc>
          <w:tcPr>
            <w:tcW w:w="825" w:type="dxa"/>
            <w:noWrap w:val="0"/>
            <w:vAlign w:val="center"/>
          </w:tcPr>
          <w:p w14:paraId="03AD3A66">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7565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62" w:type="dxa"/>
            <w:noWrap w:val="0"/>
            <w:vAlign w:val="center"/>
          </w:tcPr>
          <w:p w14:paraId="4223A011">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803" w:type="dxa"/>
            <w:vMerge w:val="continue"/>
            <w:noWrap w:val="0"/>
            <w:vAlign w:val="center"/>
          </w:tcPr>
          <w:p w14:paraId="6772C2AC">
            <w:pPr>
              <w:pStyle w:val="16"/>
              <w:spacing w:beforeLines="0" w:afterLines="0" w:line="240" w:lineRule="auto"/>
              <w:ind w:left="0" w:firstLine="0"/>
              <w:rPr>
                <w:rFonts w:hint="eastAsia" w:ascii="宋体" w:hAnsi="宋体" w:eastAsia="宋体" w:cs="宋体"/>
                <w:b w:val="0"/>
                <w:bCs w:val="0"/>
                <w:color w:val="auto"/>
                <w:kern w:val="0"/>
                <w:sz w:val="21"/>
                <w:szCs w:val="21"/>
                <w:highlight w:val="none"/>
              </w:rPr>
            </w:pPr>
          </w:p>
        </w:tc>
        <w:tc>
          <w:tcPr>
            <w:tcW w:w="3504" w:type="dxa"/>
            <w:noWrap w:val="0"/>
            <w:vAlign w:val="center"/>
          </w:tcPr>
          <w:p w14:paraId="3AA3EF83">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施工中存在质量安全问题或发现但未及时采取处理措施的、或被监理人、</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发</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包人或监督站发现并下达整改通知并勒令返工的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26047468">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w:t>
            </w:r>
            <w:r>
              <w:rPr>
                <w:rFonts w:hint="eastAsia" w:ascii="宋体" w:hAnsi="宋体" w:eastAsia="宋体" w:cs="宋体"/>
                <w:b w:val="0"/>
                <w:bCs w:val="0"/>
                <w:color w:val="auto"/>
                <w:kern w:val="0"/>
                <w:sz w:val="21"/>
                <w:szCs w:val="21"/>
                <w:highlight w:val="none"/>
                <w:lang w:val="en-US" w:eastAsia="zh-CN"/>
              </w:rPr>
              <w:t>1万-10万</w:t>
            </w:r>
            <w:r>
              <w:rPr>
                <w:rFonts w:hint="eastAsia" w:ascii="宋体" w:hAnsi="宋体" w:eastAsia="宋体" w:cs="宋体"/>
                <w:b w:val="0"/>
                <w:bCs w:val="0"/>
                <w:color w:val="auto"/>
                <w:kern w:val="0"/>
                <w:sz w:val="21"/>
                <w:szCs w:val="21"/>
                <w:highlight w:val="none"/>
              </w:rPr>
              <w:t>元/次的违约金。</w:t>
            </w:r>
          </w:p>
        </w:tc>
        <w:tc>
          <w:tcPr>
            <w:tcW w:w="825" w:type="dxa"/>
            <w:noWrap w:val="0"/>
            <w:vAlign w:val="center"/>
          </w:tcPr>
          <w:p w14:paraId="66C5A10D">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4B83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62" w:type="dxa"/>
            <w:noWrap w:val="0"/>
            <w:vAlign w:val="center"/>
          </w:tcPr>
          <w:p w14:paraId="7D74533E">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803" w:type="dxa"/>
            <w:vMerge w:val="restart"/>
            <w:noWrap w:val="0"/>
            <w:vAlign w:val="center"/>
          </w:tcPr>
          <w:p w14:paraId="4B836256">
            <w:pPr>
              <w:pStyle w:val="16"/>
              <w:spacing w:beforeLines="0" w:afterLines="0" w:line="240" w:lineRule="auto"/>
              <w:ind w:left="0" w:firstLine="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zh-CN"/>
              </w:rPr>
              <w:t>材料设备管理方面</w:t>
            </w:r>
          </w:p>
        </w:tc>
        <w:tc>
          <w:tcPr>
            <w:tcW w:w="3504" w:type="dxa"/>
            <w:noWrap w:val="0"/>
            <w:vAlign w:val="center"/>
          </w:tcPr>
          <w:p w14:paraId="1E363E44">
            <w:pPr>
              <w:keepNext w:val="0"/>
              <w:keepLines w:val="0"/>
              <w:pageBreakBefore w:val="0"/>
              <w:tabs>
                <w:tab w:val="left" w:pos="-1985"/>
                <w:tab w:val="left" w:pos="0"/>
              </w:tabs>
              <w:kinsoku/>
              <w:wordWrap/>
              <w:overflowPunct/>
              <w:topLinePunct w:val="0"/>
              <w:autoSpaceDE/>
              <w:autoSpaceDN/>
              <w:bidi w:val="0"/>
              <w:snapToGrid w:val="0"/>
              <w:spacing w:line="400" w:lineRule="exact"/>
              <w:ind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sz w:val="21"/>
                <w:szCs w:val="21"/>
                <w:highlight w:val="none"/>
                <w:lang w:eastAsia="zh-CN"/>
              </w:rPr>
              <w:t>分</w:t>
            </w:r>
            <w:r>
              <w:rPr>
                <w:rFonts w:hint="eastAsia" w:ascii="宋体" w:hAnsi="宋体" w:eastAsia="宋体" w:cs="宋体"/>
                <w:b w:val="0"/>
                <w:bCs w:val="0"/>
                <w:color w:val="auto"/>
                <w:spacing w:val="-6"/>
                <w:sz w:val="21"/>
                <w:szCs w:val="21"/>
                <w:highlight w:val="none"/>
              </w:rPr>
              <w:t>包人采购的材料设备不符合</w:t>
            </w:r>
            <w:r>
              <w:rPr>
                <w:rFonts w:hint="eastAsia" w:ascii="宋体" w:hAnsi="宋体" w:eastAsia="宋体" w:cs="宋体"/>
                <w:b w:val="0"/>
                <w:bCs w:val="0"/>
                <w:color w:val="auto"/>
                <w:spacing w:val="-6"/>
                <w:sz w:val="21"/>
                <w:szCs w:val="21"/>
                <w:highlight w:val="none"/>
                <w:lang w:eastAsia="zh-CN"/>
              </w:rPr>
              <w:t>要求</w:t>
            </w:r>
            <w:r>
              <w:rPr>
                <w:rFonts w:hint="eastAsia" w:ascii="宋体" w:hAnsi="宋体" w:eastAsia="宋体" w:cs="宋体"/>
                <w:b w:val="0"/>
                <w:bCs w:val="0"/>
                <w:color w:val="auto"/>
                <w:spacing w:val="-6"/>
                <w:sz w:val="21"/>
                <w:szCs w:val="21"/>
                <w:highlight w:val="none"/>
              </w:rPr>
              <w:t>的</w:t>
            </w:r>
            <w:r>
              <w:rPr>
                <w:rFonts w:hint="eastAsia" w:ascii="宋体" w:hAnsi="宋体" w:eastAsia="宋体" w:cs="宋体"/>
                <w:b w:val="0"/>
                <w:bCs w:val="0"/>
                <w:color w:val="auto"/>
                <w:spacing w:val="-6"/>
                <w:sz w:val="21"/>
                <w:szCs w:val="21"/>
                <w:highlight w:val="none"/>
                <w:lang w:eastAsia="zh-CN"/>
              </w:rPr>
              <w:t>。</w:t>
            </w:r>
          </w:p>
        </w:tc>
        <w:tc>
          <w:tcPr>
            <w:tcW w:w="3182" w:type="dxa"/>
            <w:noWrap w:val="0"/>
            <w:vAlign w:val="center"/>
          </w:tcPr>
          <w:p w14:paraId="159FDB75">
            <w:pPr>
              <w:keepNext w:val="0"/>
              <w:keepLines w:val="0"/>
              <w:pageBreakBefore w:val="0"/>
              <w:tabs>
                <w:tab w:val="left" w:pos="-1985"/>
                <w:tab w:val="left" w:pos="0"/>
              </w:tabs>
              <w:kinsoku/>
              <w:wordWrap/>
              <w:overflowPunct/>
              <w:topLinePunct w:val="0"/>
              <w:autoSpaceDE/>
              <w:autoSpaceDN/>
              <w:bidi w:val="0"/>
              <w:snapToGrid w:val="0"/>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包人除重新采购外，还应</w:t>
            </w:r>
            <w:r>
              <w:rPr>
                <w:rFonts w:hint="eastAsia" w:ascii="宋体" w:hAnsi="宋体" w:eastAsia="宋体" w:cs="宋体"/>
                <w:b w:val="0"/>
                <w:bCs w:val="0"/>
                <w:color w:val="auto"/>
                <w:sz w:val="21"/>
                <w:szCs w:val="21"/>
                <w:highlight w:val="none"/>
                <w:lang w:eastAsia="zh-CN"/>
              </w:rPr>
              <w:t>向承</w:t>
            </w:r>
            <w:r>
              <w:rPr>
                <w:rFonts w:hint="eastAsia" w:ascii="宋体" w:hAnsi="宋体" w:eastAsia="宋体" w:cs="宋体"/>
                <w:b w:val="0"/>
                <w:bCs w:val="0"/>
                <w:color w:val="auto"/>
                <w:sz w:val="21"/>
                <w:szCs w:val="21"/>
                <w:highlight w:val="none"/>
              </w:rPr>
              <w:t>包人支付该材料设备价款10%的违约金。</w:t>
            </w:r>
          </w:p>
        </w:tc>
        <w:tc>
          <w:tcPr>
            <w:tcW w:w="825" w:type="dxa"/>
            <w:noWrap w:val="0"/>
            <w:vAlign w:val="center"/>
          </w:tcPr>
          <w:p w14:paraId="54318CDC">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1E35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62" w:type="dxa"/>
            <w:noWrap w:val="0"/>
            <w:vAlign w:val="center"/>
          </w:tcPr>
          <w:p w14:paraId="4C253E26">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13</w:t>
            </w:r>
          </w:p>
        </w:tc>
        <w:tc>
          <w:tcPr>
            <w:tcW w:w="803" w:type="dxa"/>
            <w:vMerge w:val="continue"/>
            <w:noWrap w:val="0"/>
            <w:vAlign w:val="center"/>
          </w:tcPr>
          <w:p w14:paraId="2002BB07">
            <w:pPr>
              <w:pStyle w:val="16"/>
              <w:spacing w:beforeLines="0" w:afterLines="0" w:line="240" w:lineRule="auto"/>
              <w:ind w:left="0" w:firstLine="0"/>
              <w:rPr>
                <w:rFonts w:hint="eastAsia" w:ascii="宋体" w:hAnsi="宋体" w:eastAsia="宋体" w:cs="宋体"/>
                <w:b w:val="0"/>
                <w:bCs w:val="0"/>
                <w:color w:val="auto"/>
                <w:sz w:val="21"/>
                <w:szCs w:val="21"/>
                <w:highlight w:val="none"/>
                <w:lang w:val="zh-CN"/>
              </w:rPr>
            </w:pPr>
          </w:p>
        </w:tc>
        <w:tc>
          <w:tcPr>
            <w:tcW w:w="3504" w:type="dxa"/>
            <w:noWrap w:val="0"/>
            <w:vAlign w:val="center"/>
          </w:tcPr>
          <w:p w14:paraId="10FFFC74">
            <w:pPr>
              <w:keepNext w:val="0"/>
              <w:keepLines w:val="0"/>
              <w:pageBreakBefore w:val="0"/>
              <w:tabs>
                <w:tab w:val="left" w:pos="-1985"/>
                <w:tab w:val="left" w:pos="0"/>
              </w:tabs>
              <w:kinsoku/>
              <w:wordWrap/>
              <w:overflowPunct/>
              <w:topLinePunct w:val="0"/>
              <w:autoSpaceDE/>
              <w:autoSpaceDN/>
              <w:bidi w:val="0"/>
              <w:snapToGrid/>
              <w:spacing w:line="400" w:lineRule="exact"/>
              <w:ind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包人私自将已进入施工现场的材料设备非为本项目原因撤离施工现场的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37B87ED6">
            <w:pPr>
              <w:keepNext w:val="0"/>
              <w:keepLines w:val="0"/>
              <w:pageBreakBefore w:val="0"/>
              <w:tabs>
                <w:tab w:val="left" w:pos="-1985"/>
                <w:tab w:val="left" w:pos="0"/>
              </w:tabs>
              <w:kinsoku/>
              <w:wordWrap/>
              <w:overflowPunct/>
              <w:topLinePunct w:val="0"/>
              <w:autoSpaceDE/>
              <w:autoSpaceDN/>
              <w:bidi w:val="0"/>
              <w:spacing w:line="400" w:lineRule="exact"/>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除必须予以纠正外，还应向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包人支付撤离施工现场的材料设备价款</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0％的违约金。</w:t>
            </w:r>
          </w:p>
        </w:tc>
        <w:tc>
          <w:tcPr>
            <w:tcW w:w="825" w:type="dxa"/>
            <w:noWrap w:val="0"/>
            <w:vAlign w:val="center"/>
          </w:tcPr>
          <w:p w14:paraId="2CEC1DCA">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3B57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762" w:type="dxa"/>
            <w:noWrap w:val="0"/>
            <w:vAlign w:val="center"/>
          </w:tcPr>
          <w:p w14:paraId="5534465A">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14</w:t>
            </w:r>
          </w:p>
        </w:tc>
        <w:tc>
          <w:tcPr>
            <w:tcW w:w="803" w:type="dxa"/>
            <w:vMerge w:val="continue"/>
            <w:noWrap w:val="0"/>
            <w:vAlign w:val="center"/>
          </w:tcPr>
          <w:p w14:paraId="491F725C">
            <w:pPr>
              <w:pStyle w:val="16"/>
              <w:spacing w:beforeLines="0" w:afterLines="0" w:line="240" w:lineRule="auto"/>
              <w:ind w:left="0" w:firstLine="0"/>
              <w:rPr>
                <w:rFonts w:hint="eastAsia" w:ascii="宋体" w:hAnsi="宋体" w:eastAsia="宋体" w:cs="宋体"/>
                <w:b w:val="0"/>
                <w:bCs w:val="0"/>
                <w:color w:val="auto"/>
                <w:sz w:val="21"/>
                <w:szCs w:val="21"/>
                <w:highlight w:val="none"/>
                <w:lang w:val="zh-CN"/>
              </w:rPr>
            </w:pPr>
          </w:p>
        </w:tc>
        <w:tc>
          <w:tcPr>
            <w:tcW w:w="3504" w:type="dxa"/>
            <w:noWrap w:val="0"/>
            <w:vAlign w:val="center"/>
          </w:tcPr>
          <w:p w14:paraId="24D4B9F3">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主要机械设备、材料未按合同文件及</w:t>
            </w:r>
            <w:r>
              <w:rPr>
                <w:rFonts w:hint="eastAsia" w:ascii="宋体" w:hAnsi="宋体" w:eastAsia="宋体" w:cs="宋体"/>
                <w:b w:val="0"/>
                <w:bCs w:val="0"/>
                <w:color w:val="auto"/>
                <w:sz w:val="21"/>
                <w:szCs w:val="21"/>
                <w:highlight w:val="none"/>
                <w:lang w:eastAsia="zh-CN"/>
              </w:rPr>
              <w:t>承</w:t>
            </w:r>
            <w:r>
              <w:rPr>
                <w:rFonts w:hint="eastAsia" w:ascii="宋体" w:hAnsi="宋体" w:eastAsia="宋体" w:cs="宋体"/>
                <w:b w:val="0"/>
                <w:bCs w:val="0"/>
                <w:color w:val="auto"/>
                <w:sz w:val="21"/>
                <w:szCs w:val="21"/>
                <w:highlight w:val="none"/>
              </w:rPr>
              <w:t>包人要求及时到场或擅自更换、调整。</w:t>
            </w:r>
          </w:p>
        </w:tc>
        <w:tc>
          <w:tcPr>
            <w:tcW w:w="3182" w:type="dxa"/>
            <w:noWrap w:val="0"/>
            <w:vAlign w:val="center"/>
          </w:tcPr>
          <w:p w14:paraId="41E75076">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限期整改</w:t>
            </w:r>
            <w:r>
              <w:rPr>
                <w:rFonts w:hint="eastAsia" w:ascii="宋体" w:hAnsi="宋体" w:eastAsia="宋体" w:cs="宋体"/>
                <w:b w:val="0"/>
                <w:bCs w:val="0"/>
                <w:color w:val="auto"/>
                <w:sz w:val="21"/>
                <w:szCs w:val="21"/>
                <w:highlight w:val="none"/>
                <w:lang w:eastAsia="zh-CN"/>
              </w:rPr>
              <w:t>，并</w:t>
            </w:r>
            <w:r>
              <w:rPr>
                <w:rFonts w:hint="eastAsia" w:ascii="宋体" w:hAnsi="宋体" w:eastAsia="宋体" w:cs="宋体"/>
                <w:b w:val="0"/>
                <w:bCs w:val="0"/>
                <w:color w:val="auto"/>
                <w:kern w:val="0"/>
                <w:sz w:val="21"/>
                <w:szCs w:val="21"/>
                <w:highlight w:val="none"/>
              </w:rPr>
              <w:t>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w:t>
            </w:r>
            <w:r>
              <w:rPr>
                <w:rFonts w:hint="eastAsia" w:ascii="宋体" w:hAnsi="宋体" w:eastAsia="宋体" w:cs="宋体"/>
                <w:b w:val="0"/>
                <w:bCs w:val="0"/>
                <w:color w:val="auto"/>
                <w:sz w:val="21"/>
                <w:szCs w:val="21"/>
                <w:highlight w:val="none"/>
              </w:rPr>
              <w:t>每台</w:t>
            </w:r>
            <w:r>
              <w:rPr>
                <w:rFonts w:hint="eastAsia" w:ascii="宋体" w:hAnsi="宋体" w:eastAsia="宋体" w:cs="宋体"/>
                <w:b w:val="0"/>
                <w:bCs w:val="0"/>
                <w:color w:val="auto"/>
                <w:sz w:val="21"/>
                <w:szCs w:val="21"/>
                <w:highlight w:val="none"/>
                <w:lang w:eastAsia="zh-CN"/>
              </w:rPr>
              <w:t>（次）</w:t>
            </w:r>
            <w:r>
              <w:rPr>
                <w:rFonts w:hint="eastAsia" w:ascii="宋体" w:hAnsi="宋体" w:eastAsia="宋体" w:cs="宋体"/>
                <w:b w:val="0"/>
                <w:bCs w:val="0"/>
                <w:color w:val="auto"/>
                <w:sz w:val="21"/>
                <w:szCs w:val="21"/>
                <w:highlight w:val="none"/>
              </w:rPr>
              <w:t>每天5000元</w:t>
            </w:r>
            <w:r>
              <w:rPr>
                <w:rFonts w:hint="eastAsia" w:ascii="宋体" w:hAnsi="宋体" w:eastAsia="宋体" w:cs="宋体"/>
                <w:b w:val="0"/>
                <w:bCs w:val="0"/>
                <w:color w:val="auto"/>
                <w:sz w:val="21"/>
                <w:szCs w:val="21"/>
                <w:highlight w:val="none"/>
                <w:lang w:eastAsia="zh-CN"/>
              </w:rPr>
              <w:t>违约金。</w:t>
            </w:r>
          </w:p>
        </w:tc>
        <w:tc>
          <w:tcPr>
            <w:tcW w:w="825" w:type="dxa"/>
            <w:noWrap w:val="0"/>
            <w:vAlign w:val="center"/>
          </w:tcPr>
          <w:p w14:paraId="6D7D25D6">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3292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62" w:type="dxa"/>
            <w:noWrap w:val="0"/>
            <w:vAlign w:val="center"/>
          </w:tcPr>
          <w:p w14:paraId="11F9D058">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15</w:t>
            </w:r>
          </w:p>
        </w:tc>
        <w:tc>
          <w:tcPr>
            <w:tcW w:w="803" w:type="dxa"/>
            <w:vMerge w:val="restart"/>
            <w:noWrap w:val="0"/>
            <w:vAlign w:val="center"/>
          </w:tcPr>
          <w:p w14:paraId="6A3AC3FF">
            <w:pPr>
              <w:pStyle w:val="16"/>
              <w:spacing w:beforeLines="0" w:afterLines="0" w:line="240" w:lineRule="auto"/>
              <w:ind w:left="0" w:firstLine="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资料管理方面</w:t>
            </w:r>
          </w:p>
        </w:tc>
        <w:tc>
          <w:tcPr>
            <w:tcW w:w="3504" w:type="dxa"/>
            <w:noWrap w:val="0"/>
            <w:vAlign w:val="center"/>
          </w:tcPr>
          <w:p w14:paraId="4AD4921D">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分</w:t>
            </w:r>
            <w:r>
              <w:rPr>
                <w:rFonts w:hint="eastAsia" w:ascii="宋体" w:hAnsi="宋体" w:eastAsia="宋体" w:cs="宋体"/>
                <w:b w:val="0"/>
                <w:bCs w:val="0"/>
                <w:color w:val="auto"/>
                <w:kern w:val="0"/>
                <w:sz w:val="21"/>
                <w:szCs w:val="21"/>
                <w:highlight w:val="none"/>
                <w:lang w:eastAsia="zh-CN"/>
              </w:rPr>
              <w:t>包</w:t>
            </w:r>
            <w:r>
              <w:rPr>
                <w:rFonts w:hint="eastAsia" w:ascii="宋体" w:hAnsi="宋体" w:eastAsia="宋体" w:cs="宋体"/>
                <w:b w:val="0"/>
                <w:bCs w:val="0"/>
                <w:color w:val="auto"/>
                <w:kern w:val="0"/>
                <w:sz w:val="21"/>
                <w:szCs w:val="21"/>
                <w:highlight w:val="none"/>
              </w:rPr>
              <w:t>工程</w:t>
            </w:r>
            <w:r>
              <w:rPr>
                <w:rFonts w:hint="eastAsia" w:ascii="宋体" w:hAnsi="宋体" w:eastAsia="宋体" w:cs="宋体"/>
                <w:b w:val="0"/>
                <w:bCs w:val="0"/>
                <w:color w:val="auto"/>
                <w:kern w:val="0"/>
                <w:sz w:val="21"/>
                <w:szCs w:val="21"/>
                <w:highlight w:val="none"/>
                <w:lang w:eastAsia="zh-CN"/>
              </w:rPr>
              <w:t>完工</w:t>
            </w:r>
            <w:r>
              <w:rPr>
                <w:rFonts w:hint="eastAsia" w:ascii="宋体" w:hAnsi="宋体" w:eastAsia="宋体" w:cs="宋体"/>
                <w:b w:val="0"/>
                <w:bCs w:val="0"/>
                <w:color w:val="auto"/>
                <w:kern w:val="0"/>
                <w:sz w:val="21"/>
                <w:szCs w:val="21"/>
                <w:highlight w:val="none"/>
              </w:rPr>
              <w:t>验收后</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sz w:val="21"/>
                <w:szCs w:val="21"/>
                <w:highlight w:val="none"/>
                <w:lang w:eastAsia="zh-CN"/>
              </w:rPr>
              <w:t>验收资料</w:t>
            </w:r>
            <w:r>
              <w:rPr>
                <w:rFonts w:hint="eastAsia" w:ascii="宋体" w:hAnsi="宋体" w:eastAsia="宋体" w:cs="宋体"/>
                <w:b w:val="0"/>
                <w:bCs w:val="0"/>
                <w:color w:val="auto"/>
                <w:sz w:val="21"/>
                <w:szCs w:val="21"/>
                <w:highlight w:val="none"/>
              </w:rPr>
              <w:t>未按要求</w:t>
            </w:r>
            <w:r>
              <w:rPr>
                <w:rFonts w:hint="eastAsia" w:ascii="宋体" w:hAnsi="宋体" w:eastAsia="宋体" w:cs="宋体"/>
                <w:b w:val="0"/>
                <w:bCs w:val="0"/>
                <w:color w:val="auto"/>
                <w:kern w:val="0"/>
                <w:sz w:val="21"/>
                <w:szCs w:val="21"/>
                <w:highlight w:val="none"/>
              </w:rPr>
              <w:t>在</w:t>
            </w:r>
            <w:r>
              <w:rPr>
                <w:rFonts w:hint="eastAsia" w:ascii="宋体" w:hAnsi="宋体" w:eastAsia="宋体" w:cs="宋体"/>
                <w:b w:val="0"/>
                <w:bCs w:val="0"/>
                <w:color w:val="auto"/>
                <w:kern w:val="0"/>
                <w:sz w:val="21"/>
                <w:szCs w:val="21"/>
                <w:highlight w:val="none"/>
                <w:lang w:val="en-US" w:eastAsia="zh-CN"/>
              </w:rPr>
              <w:t>1个月</w:t>
            </w:r>
            <w:r>
              <w:rPr>
                <w:rFonts w:hint="eastAsia" w:ascii="宋体" w:hAnsi="宋体" w:eastAsia="宋体" w:cs="宋体"/>
                <w:b w:val="0"/>
                <w:bCs w:val="0"/>
                <w:color w:val="auto"/>
                <w:kern w:val="0"/>
                <w:sz w:val="21"/>
                <w:szCs w:val="21"/>
                <w:highlight w:val="none"/>
              </w:rPr>
              <w:t>内</w:t>
            </w:r>
            <w:r>
              <w:rPr>
                <w:rFonts w:hint="eastAsia" w:ascii="宋体" w:hAnsi="宋体" w:eastAsia="宋体" w:cs="宋体"/>
                <w:b w:val="0"/>
                <w:bCs w:val="0"/>
                <w:color w:val="auto"/>
                <w:sz w:val="21"/>
                <w:szCs w:val="21"/>
                <w:highlight w:val="none"/>
                <w:lang w:eastAsia="zh-CN"/>
              </w:rPr>
              <w:t>整理</w:t>
            </w:r>
            <w:r>
              <w:rPr>
                <w:rFonts w:hint="eastAsia" w:ascii="宋体" w:hAnsi="宋体" w:eastAsia="宋体" w:cs="宋体"/>
                <w:b w:val="0"/>
                <w:bCs w:val="0"/>
                <w:color w:val="auto"/>
                <w:sz w:val="21"/>
                <w:szCs w:val="21"/>
                <w:highlight w:val="none"/>
              </w:rPr>
              <w:t>归档</w:t>
            </w:r>
            <w:r>
              <w:rPr>
                <w:rFonts w:hint="eastAsia" w:ascii="宋体" w:hAnsi="宋体" w:eastAsia="宋体" w:cs="宋体"/>
                <w:b w:val="0"/>
                <w:bCs w:val="0"/>
                <w:color w:val="auto"/>
                <w:sz w:val="21"/>
                <w:szCs w:val="21"/>
                <w:highlight w:val="none"/>
                <w:lang w:eastAsia="zh-CN"/>
              </w:rPr>
              <w:t>的。</w:t>
            </w:r>
          </w:p>
        </w:tc>
        <w:tc>
          <w:tcPr>
            <w:tcW w:w="3182" w:type="dxa"/>
            <w:noWrap w:val="0"/>
            <w:vAlign w:val="center"/>
          </w:tcPr>
          <w:p w14:paraId="0A23046B">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限期整改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延误一</w:t>
            </w:r>
            <w:r>
              <w:rPr>
                <w:rFonts w:hint="eastAsia" w:ascii="宋体" w:hAnsi="宋体" w:eastAsia="宋体" w:cs="宋体"/>
                <w:b w:val="0"/>
                <w:bCs w:val="0"/>
                <w:color w:val="auto"/>
                <w:sz w:val="21"/>
                <w:szCs w:val="21"/>
                <w:highlight w:val="none"/>
              </w:rPr>
              <w:t>天</w:t>
            </w:r>
            <w:r>
              <w:rPr>
                <w:rFonts w:hint="eastAsia" w:ascii="宋体" w:hAnsi="宋体" w:eastAsia="宋体" w:cs="宋体"/>
                <w:b w:val="0"/>
                <w:bCs w:val="0"/>
                <w:color w:val="auto"/>
                <w:kern w:val="0"/>
                <w:sz w:val="21"/>
                <w:szCs w:val="21"/>
                <w:highlight w:val="none"/>
              </w:rPr>
              <w:t>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w:t>
            </w:r>
            <w:r>
              <w:rPr>
                <w:rFonts w:hint="eastAsia" w:ascii="宋体" w:hAnsi="宋体" w:eastAsia="宋体" w:cs="宋体"/>
                <w:b w:val="0"/>
                <w:bCs w:val="0"/>
                <w:color w:val="auto"/>
                <w:sz w:val="21"/>
                <w:szCs w:val="21"/>
                <w:highlight w:val="none"/>
              </w:rPr>
              <w:t>每</w:t>
            </w:r>
            <w:r>
              <w:rPr>
                <w:rFonts w:hint="eastAsia" w:ascii="宋体" w:hAnsi="宋体" w:eastAsia="宋体" w:cs="宋体"/>
                <w:b w:val="0"/>
                <w:bCs w:val="0"/>
                <w:color w:val="auto"/>
                <w:sz w:val="21"/>
                <w:szCs w:val="21"/>
                <w:highlight w:val="none"/>
                <w:lang w:eastAsia="zh-CN"/>
              </w:rPr>
              <w:t>次每天</w:t>
            </w:r>
            <w:r>
              <w:rPr>
                <w:rFonts w:hint="eastAsia" w:ascii="宋体" w:hAnsi="宋体" w:eastAsia="宋体" w:cs="宋体"/>
                <w:b w:val="0"/>
                <w:bCs w:val="0"/>
                <w:color w:val="auto"/>
                <w:sz w:val="21"/>
                <w:szCs w:val="21"/>
                <w:highlight w:val="none"/>
              </w:rPr>
              <w:t>5000元</w:t>
            </w:r>
            <w:r>
              <w:rPr>
                <w:rFonts w:hint="eastAsia" w:ascii="宋体" w:hAnsi="宋体" w:eastAsia="宋体" w:cs="宋体"/>
                <w:b w:val="0"/>
                <w:bCs w:val="0"/>
                <w:color w:val="auto"/>
                <w:sz w:val="21"/>
                <w:szCs w:val="21"/>
                <w:highlight w:val="none"/>
                <w:lang w:eastAsia="zh-CN"/>
              </w:rPr>
              <w:t>违约金。</w:t>
            </w:r>
          </w:p>
        </w:tc>
        <w:tc>
          <w:tcPr>
            <w:tcW w:w="825" w:type="dxa"/>
            <w:noWrap w:val="0"/>
            <w:vAlign w:val="center"/>
          </w:tcPr>
          <w:p w14:paraId="02E1DD44">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4702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62" w:type="dxa"/>
            <w:noWrap w:val="0"/>
            <w:vAlign w:val="center"/>
          </w:tcPr>
          <w:p w14:paraId="65611E4C">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16</w:t>
            </w:r>
          </w:p>
        </w:tc>
        <w:tc>
          <w:tcPr>
            <w:tcW w:w="803" w:type="dxa"/>
            <w:vMerge w:val="continue"/>
            <w:noWrap w:val="0"/>
            <w:vAlign w:val="center"/>
          </w:tcPr>
          <w:p w14:paraId="7DD5C62C">
            <w:pPr>
              <w:pStyle w:val="16"/>
              <w:spacing w:beforeLines="0" w:afterLines="0" w:line="240" w:lineRule="auto"/>
              <w:ind w:left="0" w:firstLine="0"/>
              <w:rPr>
                <w:rFonts w:hint="eastAsia" w:ascii="宋体" w:hAnsi="宋体" w:eastAsia="宋体" w:cs="宋体"/>
                <w:b w:val="0"/>
                <w:bCs w:val="0"/>
                <w:color w:val="auto"/>
                <w:sz w:val="21"/>
                <w:szCs w:val="21"/>
                <w:highlight w:val="none"/>
              </w:rPr>
            </w:pPr>
          </w:p>
        </w:tc>
        <w:tc>
          <w:tcPr>
            <w:tcW w:w="3504" w:type="dxa"/>
            <w:noWrap w:val="0"/>
            <w:vAlign w:val="center"/>
          </w:tcPr>
          <w:p w14:paraId="1D4DBFAC">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kern w:val="0"/>
                <w:sz w:val="21"/>
                <w:szCs w:val="21"/>
                <w:highlight w:val="none"/>
                <w:lang w:eastAsia="zh-CN"/>
              </w:rPr>
              <w:t>分包人应就分包工程积极</w:t>
            </w:r>
            <w:r>
              <w:rPr>
                <w:rFonts w:hint="eastAsia" w:ascii="宋体" w:hAnsi="宋体" w:eastAsia="宋体" w:cs="宋体"/>
                <w:b w:val="0"/>
                <w:bCs w:val="0"/>
                <w:color w:val="auto"/>
                <w:spacing w:val="-6"/>
                <w:kern w:val="0"/>
                <w:sz w:val="21"/>
                <w:szCs w:val="21"/>
                <w:highlight w:val="none"/>
              </w:rPr>
              <w:t>配合</w:t>
            </w:r>
            <w:r>
              <w:rPr>
                <w:rFonts w:hint="eastAsia" w:ascii="宋体" w:hAnsi="宋体" w:eastAsia="宋体" w:cs="宋体"/>
                <w:b w:val="0"/>
                <w:bCs w:val="0"/>
                <w:color w:val="auto"/>
                <w:spacing w:val="-6"/>
                <w:kern w:val="0"/>
                <w:sz w:val="21"/>
                <w:szCs w:val="21"/>
                <w:highlight w:val="none"/>
                <w:lang w:eastAsia="zh-CN"/>
              </w:rPr>
              <w:t>承包人</w:t>
            </w:r>
            <w:r>
              <w:rPr>
                <w:rFonts w:hint="eastAsia" w:ascii="宋体" w:hAnsi="宋体" w:eastAsia="宋体" w:cs="宋体"/>
                <w:b w:val="0"/>
                <w:bCs w:val="0"/>
                <w:color w:val="auto"/>
                <w:spacing w:val="-6"/>
                <w:kern w:val="0"/>
                <w:sz w:val="21"/>
                <w:szCs w:val="21"/>
                <w:highlight w:val="none"/>
              </w:rPr>
              <w:t>与业主完成结算</w:t>
            </w:r>
            <w:r>
              <w:rPr>
                <w:rFonts w:hint="eastAsia" w:ascii="宋体" w:hAnsi="宋体" w:eastAsia="宋体" w:cs="宋体"/>
                <w:b w:val="0"/>
                <w:bCs w:val="0"/>
                <w:color w:val="auto"/>
                <w:spacing w:val="-6"/>
                <w:kern w:val="0"/>
                <w:sz w:val="21"/>
                <w:szCs w:val="21"/>
                <w:highlight w:val="none"/>
                <w:lang w:eastAsia="zh-CN"/>
              </w:rPr>
              <w:t>，</w:t>
            </w:r>
            <w:r>
              <w:rPr>
                <w:rFonts w:hint="eastAsia" w:ascii="宋体" w:hAnsi="宋体" w:eastAsia="宋体" w:cs="宋体"/>
                <w:b w:val="0"/>
                <w:bCs w:val="0"/>
                <w:color w:val="auto"/>
                <w:spacing w:val="-6"/>
                <w:kern w:val="0"/>
                <w:sz w:val="21"/>
                <w:szCs w:val="21"/>
                <w:highlight w:val="none"/>
              </w:rPr>
              <w:t>若因</w:t>
            </w:r>
            <w:r>
              <w:rPr>
                <w:rFonts w:hint="eastAsia" w:ascii="宋体" w:hAnsi="宋体" w:eastAsia="宋体" w:cs="宋体"/>
                <w:b w:val="0"/>
                <w:bCs w:val="0"/>
                <w:color w:val="auto"/>
                <w:spacing w:val="-6"/>
                <w:kern w:val="0"/>
                <w:sz w:val="21"/>
                <w:szCs w:val="21"/>
                <w:highlight w:val="none"/>
                <w:lang w:eastAsia="zh-CN"/>
              </w:rPr>
              <w:t>分包人</w:t>
            </w:r>
            <w:r>
              <w:rPr>
                <w:rFonts w:hint="eastAsia" w:ascii="宋体" w:hAnsi="宋体" w:eastAsia="宋体" w:cs="宋体"/>
                <w:b w:val="0"/>
                <w:bCs w:val="0"/>
                <w:color w:val="auto"/>
                <w:spacing w:val="-6"/>
                <w:kern w:val="0"/>
                <w:sz w:val="21"/>
                <w:szCs w:val="21"/>
                <w:highlight w:val="none"/>
              </w:rPr>
              <w:t>原因导致</w:t>
            </w:r>
            <w:r>
              <w:rPr>
                <w:rFonts w:hint="eastAsia" w:ascii="宋体" w:hAnsi="宋体" w:eastAsia="宋体" w:cs="宋体"/>
                <w:b w:val="0"/>
                <w:bCs w:val="0"/>
                <w:color w:val="auto"/>
                <w:spacing w:val="-6"/>
                <w:kern w:val="0"/>
                <w:sz w:val="21"/>
                <w:szCs w:val="21"/>
                <w:highlight w:val="none"/>
                <w:lang w:eastAsia="zh-CN"/>
              </w:rPr>
              <w:t>承包人</w:t>
            </w:r>
            <w:r>
              <w:rPr>
                <w:rFonts w:hint="eastAsia" w:ascii="宋体" w:hAnsi="宋体" w:eastAsia="宋体" w:cs="宋体"/>
                <w:b w:val="0"/>
                <w:bCs w:val="0"/>
                <w:color w:val="auto"/>
                <w:spacing w:val="-6"/>
                <w:kern w:val="0"/>
                <w:sz w:val="21"/>
                <w:szCs w:val="21"/>
                <w:highlight w:val="none"/>
              </w:rPr>
              <w:t>与业主无法进行结算的</w:t>
            </w:r>
            <w:r>
              <w:rPr>
                <w:rFonts w:hint="eastAsia" w:ascii="宋体" w:hAnsi="宋体" w:eastAsia="宋体" w:cs="宋体"/>
                <w:b w:val="0"/>
                <w:bCs w:val="0"/>
                <w:color w:val="auto"/>
                <w:spacing w:val="-6"/>
                <w:kern w:val="0"/>
                <w:sz w:val="21"/>
                <w:szCs w:val="21"/>
                <w:highlight w:val="none"/>
                <w:lang w:eastAsia="zh-CN"/>
              </w:rPr>
              <w:t>。</w:t>
            </w:r>
          </w:p>
        </w:tc>
        <w:tc>
          <w:tcPr>
            <w:tcW w:w="3182" w:type="dxa"/>
            <w:noWrap w:val="0"/>
            <w:vAlign w:val="center"/>
          </w:tcPr>
          <w:p w14:paraId="712BD58B">
            <w:pPr>
              <w:pStyle w:val="16"/>
              <w:keepNext w:val="0"/>
              <w:keepLines w:val="0"/>
              <w:pageBreakBefore w:val="0"/>
              <w:kinsoku/>
              <w:wordWrap/>
              <w:overflowPunct/>
              <w:topLinePunct w:val="0"/>
              <w:autoSpaceDE/>
              <w:autoSpaceDN/>
              <w:bidi w:val="0"/>
              <w:spacing w:beforeLines="0" w:afterLines="0" w:line="400" w:lineRule="exact"/>
              <w:ind w:left="0" w:leftChars="0" w:firstLine="0" w:firstLineChars="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分包人</w:t>
            </w:r>
            <w:r>
              <w:rPr>
                <w:rFonts w:hint="eastAsia" w:ascii="宋体" w:hAnsi="宋体" w:eastAsia="宋体" w:cs="宋体"/>
                <w:b w:val="0"/>
                <w:bCs w:val="0"/>
                <w:color w:val="auto"/>
                <w:sz w:val="21"/>
                <w:szCs w:val="21"/>
                <w:highlight w:val="none"/>
              </w:rPr>
              <w:t>应</w:t>
            </w:r>
            <w:r>
              <w:rPr>
                <w:rFonts w:hint="eastAsia" w:ascii="宋体" w:hAnsi="宋体" w:eastAsia="宋体" w:cs="宋体"/>
                <w:b w:val="0"/>
                <w:bCs w:val="0"/>
                <w:color w:val="auto"/>
                <w:sz w:val="21"/>
                <w:szCs w:val="21"/>
                <w:highlight w:val="none"/>
                <w:lang w:eastAsia="zh-CN"/>
              </w:rPr>
              <w:t>向承包人支付分包合同金额</w:t>
            </w:r>
            <w:r>
              <w:rPr>
                <w:rFonts w:hint="eastAsia" w:ascii="宋体" w:hAnsi="宋体" w:eastAsia="宋体" w:cs="宋体"/>
                <w:b w:val="0"/>
                <w:bCs w:val="0"/>
                <w:color w:val="auto"/>
                <w:sz w:val="21"/>
                <w:szCs w:val="21"/>
                <w:highlight w:val="none"/>
                <w:lang w:val="en-US" w:eastAsia="zh-CN"/>
              </w:rPr>
              <w:t>1%的违约金。</w:t>
            </w:r>
          </w:p>
        </w:tc>
        <w:tc>
          <w:tcPr>
            <w:tcW w:w="825" w:type="dxa"/>
            <w:noWrap w:val="0"/>
            <w:vAlign w:val="center"/>
          </w:tcPr>
          <w:p w14:paraId="4FDCC58E">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0737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DC761A7">
            <w:pPr>
              <w:pStyle w:val="16"/>
              <w:spacing w:line="240" w:lineRule="auto"/>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17</w:t>
            </w:r>
          </w:p>
        </w:tc>
        <w:tc>
          <w:tcPr>
            <w:tcW w:w="803" w:type="dxa"/>
            <w:vMerge w:val="restart"/>
            <w:noWrap w:val="0"/>
            <w:vAlign w:val="center"/>
          </w:tcPr>
          <w:p w14:paraId="3D463CF9">
            <w:pPr>
              <w:pStyle w:val="16"/>
              <w:spacing w:beforeLines="0" w:afterLines="0" w:line="240" w:lineRule="auto"/>
              <w:ind w:left="0" w:firstLine="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施工组织管理方面</w:t>
            </w:r>
          </w:p>
        </w:tc>
        <w:tc>
          <w:tcPr>
            <w:tcW w:w="3504" w:type="dxa"/>
            <w:noWrap w:val="0"/>
            <w:vAlign w:val="center"/>
          </w:tcPr>
          <w:p w14:paraId="214093E4">
            <w:pPr>
              <w:keepNext w:val="0"/>
              <w:keepLines w:val="0"/>
              <w:pageBreakBefore w:val="0"/>
              <w:tabs>
                <w:tab w:val="left" w:pos="-1985"/>
                <w:tab w:val="left" w:pos="0"/>
              </w:tabs>
              <w:kinsoku/>
              <w:wordWrap/>
              <w:overflowPunct/>
              <w:topLinePunct w:val="0"/>
              <w:autoSpaceDE/>
              <w:autoSpaceDN/>
              <w:bidi w:val="0"/>
              <w:snapToGrid w:val="0"/>
              <w:spacing w:line="400" w:lineRule="exact"/>
              <w:ind w:firstLine="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分包人在施工过程中因其自身原因造成周围环境卫生状况较差或噪音超标被其他单位或个人投诉或被有关部门要求整改、处罚的。</w:t>
            </w:r>
          </w:p>
          <w:p w14:paraId="2CCD4905">
            <w:pPr>
              <w:pStyle w:val="16"/>
              <w:keepNext w:val="0"/>
              <w:keepLines w:val="0"/>
              <w:pageBreakBefore w:val="0"/>
              <w:kinsoku/>
              <w:wordWrap/>
              <w:overflowPunct/>
              <w:topLinePunct w:val="0"/>
              <w:autoSpaceDE/>
              <w:autoSpaceDN/>
              <w:bidi w:val="0"/>
              <w:spacing w:line="400" w:lineRule="exact"/>
              <w:jc w:val="left"/>
              <w:rPr>
                <w:rFonts w:hint="eastAsia" w:ascii="宋体" w:hAnsi="宋体" w:eastAsia="宋体" w:cs="宋体"/>
                <w:b w:val="0"/>
                <w:bCs w:val="0"/>
                <w:color w:val="auto"/>
                <w:kern w:val="0"/>
                <w:sz w:val="21"/>
                <w:szCs w:val="21"/>
                <w:highlight w:val="none"/>
                <w:lang w:eastAsia="zh-CN"/>
              </w:rPr>
            </w:pPr>
          </w:p>
        </w:tc>
        <w:tc>
          <w:tcPr>
            <w:tcW w:w="3182" w:type="dxa"/>
            <w:noWrap w:val="0"/>
            <w:vAlign w:val="center"/>
          </w:tcPr>
          <w:p w14:paraId="12E99692">
            <w:pPr>
              <w:pStyle w:val="16"/>
              <w:keepNext w:val="0"/>
              <w:keepLines w:val="0"/>
              <w:pageBreakBefore w:val="0"/>
              <w:kinsoku/>
              <w:wordWrap/>
              <w:overflowPunct/>
              <w:topLinePunct w:val="0"/>
              <w:autoSpaceDE/>
              <w:autoSpaceDN/>
              <w:bidi w:val="0"/>
              <w:spacing w:beforeLines="0" w:afterLines="0" w:line="400" w:lineRule="exact"/>
              <w:ind w:left="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sz w:val="21"/>
                <w:szCs w:val="21"/>
                <w:highlight w:val="none"/>
                <w:lang w:val="zh-CN"/>
              </w:rPr>
              <w:t>分包人必须在当天内完成有效整改。若故意拖延整改或同类问题累计被投诉超过三次的，分包人应向承包人支付违约金</w:t>
            </w:r>
            <w:r>
              <w:rPr>
                <w:rFonts w:hint="eastAsia" w:ascii="宋体" w:hAnsi="宋体" w:eastAsia="宋体" w:cs="宋体"/>
                <w:b w:val="0"/>
                <w:bCs w:val="0"/>
                <w:color w:val="auto"/>
                <w:spacing w:val="-6"/>
                <w:sz w:val="21"/>
                <w:szCs w:val="21"/>
                <w:highlight w:val="none"/>
              </w:rPr>
              <w:t>5000</w:t>
            </w:r>
            <w:r>
              <w:rPr>
                <w:rFonts w:hint="eastAsia" w:ascii="宋体" w:hAnsi="宋体" w:eastAsia="宋体" w:cs="宋体"/>
                <w:b w:val="0"/>
                <w:bCs w:val="0"/>
                <w:color w:val="auto"/>
                <w:spacing w:val="-6"/>
                <w:sz w:val="21"/>
                <w:szCs w:val="21"/>
                <w:highlight w:val="none"/>
                <w:lang w:val="zh-CN"/>
              </w:rPr>
              <w:t>元。</w:t>
            </w:r>
          </w:p>
        </w:tc>
        <w:tc>
          <w:tcPr>
            <w:tcW w:w="825" w:type="dxa"/>
            <w:noWrap w:val="0"/>
            <w:vAlign w:val="center"/>
          </w:tcPr>
          <w:p w14:paraId="40ACA0D3">
            <w:pPr>
              <w:pStyle w:val="16"/>
              <w:spacing w:line="240" w:lineRule="auto"/>
              <w:rPr>
                <w:rFonts w:hint="eastAsia" w:ascii="仿宋_GB2312" w:hAnsi="仿宋_GB2312" w:eastAsia="仿宋_GB2312" w:cs="仿宋_GB2312"/>
                <w:b w:val="0"/>
                <w:bCs w:val="0"/>
                <w:color w:val="auto"/>
                <w:sz w:val="21"/>
                <w:szCs w:val="21"/>
                <w:highlight w:val="none"/>
                <w:vertAlign w:val="baseline"/>
              </w:rPr>
            </w:pPr>
          </w:p>
        </w:tc>
      </w:tr>
      <w:tr w14:paraId="4A9B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FE2B531">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18</w:t>
            </w:r>
          </w:p>
        </w:tc>
        <w:tc>
          <w:tcPr>
            <w:tcW w:w="803" w:type="dxa"/>
            <w:vMerge w:val="continue"/>
            <w:noWrap w:val="0"/>
            <w:vAlign w:val="center"/>
          </w:tcPr>
          <w:p w14:paraId="4B4E08D2">
            <w:pPr>
              <w:pStyle w:val="16"/>
              <w:keepNext w:val="0"/>
              <w:keepLines w:val="0"/>
              <w:pageBreakBefore w:val="0"/>
              <w:kinsoku/>
              <w:wordWrap/>
              <w:overflowPunct/>
              <w:topLinePunct w:val="0"/>
              <w:autoSpaceDE/>
              <w:autoSpaceDN/>
              <w:bidi w:val="0"/>
              <w:spacing w:after="0" w:line="360" w:lineRule="exact"/>
              <w:ind w:left="0" w:leftChars="0" w:right="0" w:rightChars="0" w:firstLine="0"/>
              <w:rPr>
                <w:rFonts w:hint="eastAsia" w:ascii="宋体" w:hAnsi="宋体" w:eastAsia="宋体" w:cs="宋体"/>
                <w:b w:val="0"/>
                <w:bCs w:val="0"/>
                <w:color w:val="auto"/>
                <w:kern w:val="0"/>
                <w:sz w:val="21"/>
                <w:szCs w:val="21"/>
                <w:highlight w:val="none"/>
              </w:rPr>
            </w:pPr>
          </w:p>
        </w:tc>
        <w:tc>
          <w:tcPr>
            <w:tcW w:w="3504" w:type="dxa"/>
            <w:noWrap w:val="0"/>
            <w:vAlign w:val="center"/>
          </w:tcPr>
          <w:p w14:paraId="2DDFBA09">
            <w:pPr>
              <w:keepNext w:val="0"/>
              <w:keepLines w:val="0"/>
              <w:pageBreakBefore w:val="0"/>
              <w:tabs>
                <w:tab w:val="left" w:pos="-1985"/>
                <w:tab w:val="left" w:pos="0"/>
              </w:tabs>
              <w:kinsoku/>
              <w:wordWrap/>
              <w:overflowPunct/>
              <w:topLinePunct w:val="0"/>
              <w:autoSpaceDE/>
              <w:autoSpaceDN/>
              <w:bidi w:val="0"/>
              <w:snapToGrid w:val="0"/>
              <w:spacing w:line="360" w:lineRule="exact"/>
              <w:ind w:left="0" w:leftChars="0" w:right="0" w:rightChars="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sz w:val="21"/>
                <w:szCs w:val="21"/>
                <w:highlight w:val="none"/>
              </w:rPr>
              <w:t>未经</w:t>
            </w:r>
            <w:r>
              <w:rPr>
                <w:rFonts w:hint="eastAsia" w:ascii="宋体" w:hAnsi="宋体" w:eastAsia="宋体" w:cs="宋体"/>
                <w:b w:val="0"/>
                <w:bCs w:val="0"/>
                <w:color w:val="auto"/>
                <w:sz w:val="21"/>
                <w:szCs w:val="21"/>
                <w:highlight w:val="none"/>
                <w:lang w:eastAsia="zh-CN"/>
              </w:rPr>
              <w:t>承</w:t>
            </w:r>
            <w:r>
              <w:rPr>
                <w:rFonts w:hint="eastAsia" w:ascii="宋体" w:hAnsi="宋体" w:eastAsia="宋体" w:cs="宋体"/>
                <w:b w:val="0"/>
                <w:bCs w:val="0"/>
                <w:color w:val="auto"/>
                <w:sz w:val="21"/>
                <w:szCs w:val="21"/>
                <w:highlight w:val="none"/>
              </w:rPr>
              <w:t>包人允许，</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包人自行或允许其他人在本工程工地上悬挂任何广告的</w:t>
            </w:r>
            <w:r>
              <w:rPr>
                <w:rFonts w:hint="eastAsia" w:ascii="宋体" w:hAnsi="宋体" w:eastAsia="宋体" w:cs="宋体"/>
                <w:b w:val="0"/>
                <w:bCs w:val="0"/>
                <w:color w:val="auto"/>
                <w:sz w:val="21"/>
                <w:szCs w:val="21"/>
                <w:highlight w:val="none"/>
                <w:lang w:eastAsia="zh-CN"/>
              </w:rPr>
              <w:t>。</w:t>
            </w:r>
          </w:p>
        </w:tc>
        <w:tc>
          <w:tcPr>
            <w:tcW w:w="3182" w:type="dxa"/>
            <w:noWrap w:val="0"/>
            <w:vAlign w:val="center"/>
          </w:tcPr>
          <w:p w14:paraId="48E85C63">
            <w:pPr>
              <w:keepNext w:val="0"/>
              <w:keepLines w:val="0"/>
              <w:pageBreakBefore w:val="0"/>
              <w:tabs>
                <w:tab w:val="left" w:pos="-1985"/>
                <w:tab w:val="left" w:pos="0"/>
              </w:tabs>
              <w:kinsoku/>
              <w:wordWrap/>
              <w:overflowPunct/>
              <w:topLinePunct w:val="0"/>
              <w:autoSpaceDE/>
              <w:autoSpaceDN/>
              <w:bidi w:val="0"/>
              <w:snapToGrid w:val="0"/>
              <w:spacing w:line="360" w:lineRule="exact"/>
              <w:ind w:left="0" w:leftChars="0" w:right="0" w:rightChars="0" w:firstLine="0"/>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eastAsia="zh-CN"/>
              </w:rPr>
              <w:t>承</w:t>
            </w:r>
            <w:r>
              <w:rPr>
                <w:rFonts w:hint="eastAsia" w:ascii="宋体" w:hAnsi="宋体" w:eastAsia="宋体" w:cs="宋体"/>
                <w:b w:val="0"/>
                <w:bCs w:val="0"/>
                <w:color w:val="auto"/>
                <w:sz w:val="21"/>
                <w:szCs w:val="21"/>
                <w:highlight w:val="none"/>
              </w:rPr>
              <w:t>包人有权自行拆除并可要求</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包人按拆除费用的1.5倍向发包人支付违约金。</w:t>
            </w:r>
          </w:p>
        </w:tc>
        <w:tc>
          <w:tcPr>
            <w:tcW w:w="825" w:type="dxa"/>
            <w:noWrap w:val="0"/>
            <w:vAlign w:val="center"/>
          </w:tcPr>
          <w:p w14:paraId="16E14FE5">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7421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267A3EE">
            <w:pPr>
              <w:pStyle w:val="16"/>
              <w:keepNext w:val="0"/>
              <w:keepLines w:val="0"/>
              <w:pageBreakBefore w:val="0"/>
              <w:kinsoku/>
              <w:wordWrap/>
              <w:overflowPunct/>
              <w:topLinePunct w:val="0"/>
              <w:autoSpaceDE/>
              <w:autoSpaceDN/>
              <w:bidi w:val="0"/>
              <w:spacing w:after="0" w:line="360" w:lineRule="exact"/>
              <w:ind w:left="0" w:leftChars="0" w:right="0" w:rightChars="0" w:hanging="36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19</w:t>
            </w:r>
          </w:p>
        </w:tc>
        <w:tc>
          <w:tcPr>
            <w:tcW w:w="803" w:type="dxa"/>
            <w:vMerge w:val="continue"/>
            <w:noWrap w:val="0"/>
            <w:vAlign w:val="center"/>
          </w:tcPr>
          <w:p w14:paraId="7F0BC6AE">
            <w:pPr>
              <w:pStyle w:val="16"/>
              <w:keepNext w:val="0"/>
              <w:keepLines w:val="0"/>
              <w:pageBreakBefore w:val="0"/>
              <w:kinsoku/>
              <w:wordWrap/>
              <w:overflowPunct/>
              <w:topLinePunct w:val="0"/>
              <w:autoSpaceDE/>
              <w:autoSpaceDN/>
              <w:bidi w:val="0"/>
              <w:spacing w:after="0" w:line="360" w:lineRule="exact"/>
              <w:ind w:left="0" w:leftChars="0" w:right="0" w:rightChars="0" w:hanging="360" w:firstLineChars="0"/>
              <w:rPr>
                <w:rFonts w:hint="eastAsia" w:ascii="宋体" w:hAnsi="宋体" w:eastAsia="宋体" w:cs="宋体"/>
                <w:b w:val="0"/>
                <w:bCs w:val="0"/>
                <w:color w:val="auto"/>
                <w:kern w:val="0"/>
                <w:sz w:val="21"/>
                <w:szCs w:val="21"/>
                <w:highlight w:val="none"/>
                <w:lang w:eastAsia="zh-CN"/>
              </w:rPr>
            </w:pPr>
          </w:p>
        </w:tc>
        <w:tc>
          <w:tcPr>
            <w:tcW w:w="3504" w:type="dxa"/>
            <w:noWrap w:val="0"/>
            <w:vAlign w:val="center"/>
          </w:tcPr>
          <w:p w14:paraId="456D45AF">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包人违反合同约定进行转包或违法分包的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749644C8">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应向</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包人支付签约合同价20％的违约金，同时必须按照</w:t>
            </w:r>
            <w:r>
              <w:rPr>
                <w:rFonts w:hint="eastAsia" w:ascii="宋体" w:hAnsi="宋体" w:eastAsia="宋体" w:cs="宋体"/>
                <w:b w:val="0"/>
                <w:bCs w:val="0"/>
                <w:color w:val="auto"/>
                <w:kern w:val="0"/>
                <w:sz w:val="21"/>
                <w:szCs w:val="21"/>
                <w:highlight w:val="none"/>
                <w:lang w:eastAsia="zh-CN"/>
              </w:rPr>
              <w:t>承</w:t>
            </w:r>
            <w:r>
              <w:rPr>
                <w:rFonts w:hint="eastAsia" w:ascii="宋体" w:hAnsi="宋体" w:eastAsia="宋体" w:cs="宋体"/>
                <w:b w:val="0"/>
                <w:bCs w:val="0"/>
                <w:color w:val="auto"/>
                <w:kern w:val="0"/>
                <w:sz w:val="21"/>
                <w:szCs w:val="21"/>
                <w:highlight w:val="none"/>
              </w:rPr>
              <w:t>包人的要求予以纠正。</w:t>
            </w:r>
          </w:p>
        </w:tc>
        <w:tc>
          <w:tcPr>
            <w:tcW w:w="825" w:type="dxa"/>
            <w:noWrap w:val="0"/>
            <w:vAlign w:val="center"/>
          </w:tcPr>
          <w:p w14:paraId="5369D177">
            <w:pPr>
              <w:pStyle w:val="16"/>
              <w:keepNext w:val="0"/>
              <w:keepLines w:val="0"/>
              <w:pageBreakBefore w:val="0"/>
              <w:kinsoku/>
              <w:wordWrap/>
              <w:overflowPunct/>
              <w:topLinePunct w:val="0"/>
              <w:autoSpaceDE/>
              <w:autoSpaceDN/>
              <w:bidi w:val="0"/>
              <w:spacing w:after="0" w:line="360" w:lineRule="exact"/>
              <w:ind w:left="0" w:leftChars="0" w:right="0" w:rightChars="0" w:hanging="360" w:firstLineChars="0"/>
              <w:rPr>
                <w:rFonts w:hint="eastAsia" w:ascii="仿宋_GB2312" w:hAnsi="仿宋_GB2312" w:eastAsia="仿宋_GB2312" w:cs="仿宋_GB2312"/>
                <w:b w:val="0"/>
                <w:bCs w:val="0"/>
                <w:color w:val="auto"/>
                <w:sz w:val="21"/>
                <w:szCs w:val="21"/>
                <w:highlight w:val="none"/>
                <w:vertAlign w:val="baseline"/>
              </w:rPr>
            </w:pPr>
          </w:p>
        </w:tc>
      </w:tr>
      <w:tr w14:paraId="5356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762" w:type="dxa"/>
            <w:noWrap w:val="0"/>
            <w:vAlign w:val="center"/>
          </w:tcPr>
          <w:p w14:paraId="2D69A8D5">
            <w:pPr>
              <w:pStyle w:val="16"/>
              <w:keepNext w:val="0"/>
              <w:keepLines w:val="0"/>
              <w:pageBreakBefore w:val="0"/>
              <w:kinsoku/>
              <w:wordWrap/>
              <w:overflowPunct/>
              <w:topLinePunct w:val="0"/>
              <w:autoSpaceDE/>
              <w:autoSpaceDN/>
              <w:bidi w:val="0"/>
              <w:spacing w:after="0" w:line="360" w:lineRule="exact"/>
              <w:ind w:left="0" w:leftChars="0" w:right="0" w:rightChars="0" w:hanging="36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20</w:t>
            </w:r>
          </w:p>
        </w:tc>
        <w:tc>
          <w:tcPr>
            <w:tcW w:w="803" w:type="dxa"/>
            <w:vMerge w:val="restart"/>
            <w:noWrap w:val="0"/>
            <w:vAlign w:val="center"/>
          </w:tcPr>
          <w:p w14:paraId="622E1C65">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安全管理方面</w:t>
            </w:r>
          </w:p>
        </w:tc>
        <w:tc>
          <w:tcPr>
            <w:tcW w:w="3504" w:type="dxa"/>
            <w:noWrap w:val="0"/>
            <w:vAlign w:val="center"/>
          </w:tcPr>
          <w:p w14:paraId="46D74E9C">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因安全工作的不足被政府监督部门、发包人</w:t>
            </w:r>
            <w:r>
              <w:rPr>
                <w:rFonts w:hint="eastAsia" w:ascii="宋体" w:hAnsi="宋体" w:eastAsia="宋体" w:cs="宋体"/>
                <w:b w:val="0"/>
                <w:bCs w:val="0"/>
                <w:color w:val="auto"/>
                <w:kern w:val="0"/>
                <w:sz w:val="21"/>
                <w:szCs w:val="21"/>
                <w:highlight w:val="none"/>
                <w:lang w:eastAsia="zh-CN"/>
              </w:rPr>
              <w:t>等</w:t>
            </w:r>
            <w:r>
              <w:rPr>
                <w:rFonts w:hint="eastAsia" w:ascii="宋体" w:hAnsi="宋体" w:eastAsia="宋体" w:cs="宋体"/>
                <w:b w:val="0"/>
                <w:bCs w:val="0"/>
                <w:color w:val="auto"/>
                <w:kern w:val="0"/>
                <w:sz w:val="21"/>
                <w:szCs w:val="21"/>
                <w:highlight w:val="none"/>
              </w:rPr>
              <w:t>发现并下达整改通知</w:t>
            </w:r>
            <w:r>
              <w:rPr>
                <w:rFonts w:hint="eastAsia" w:ascii="宋体" w:hAnsi="宋体" w:eastAsia="宋体" w:cs="宋体"/>
                <w:b w:val="0"/>
                <w:bCs w:val="0"/>
                <w:color w:val="auto"/>
                <w:kern w:val="0"/>
                <w:sz w:val="21"/>
                <w:szCs w:val="21"/>
                <w:highlight w:val="none"/>
                <w:lang w:eastAsia="zh-CN"/>
              </w:rPr>
              <w:t>或</w:t>
            </w:r>
            <w:r>
              <w:rPr>
                <w:rFonts w:hint="eastAsia" w:ascii="宋体" w:hAnsi="宋体" w:eastAsia="宋体" w:cs="宋体"/>
                <w:b w:val="0"/>
                <w:bCs w:val="0"/>
                <w:color w:val="auto"/>
                <w:kern w:val="0"/>
                <w:sz w:val="21"/>
                <w:szCs w:val="21"/>
                <w:highlight w:val="none"/>
              </w:rPr>
              <w:t>勒令停工的</w:t>
            </w:r>
            <w:r>
              <w:rPr>
                <w:rFonts w:hint="eastAsia" w:ascii="宋体" w:hAnsi="宋体" w:eastAsia="宋体" w:cs="宋体"/>
                <w:b w:val="0"/>
                <w:bCs w:val="0"/>
                <w:color w:val="auto"/>
                <w:kern w:val="0"/>
                <w:sz w:val="21"/>
                <w:szCs w:val="21"/>
                <w:highlight w:val="none"/>
                <w:lang w:val="en-US" w:eastAsia="zh-CN"/>
              </w:rPr>
              <w:t>。</w:t>
            </w:r>
          </w:p>
        </w:tc>
        <w:tc>
          <w:tcPr>
            <w:tcW w:w="3182" w:type="dxa"/>
            <w:noWrap w:val="0"/>
            <w:vAlign w:val="center"/>
          </w:tcPr>
          <w:p w14:paraId="135B18D8">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通报批评并视情节向承包人支付1万-</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万元/次的违约金</w:t>
            </w:r>
            <w:r>
              <w:rPr>
                <w:rFonts w:hint="eastAsia" w:ascii="宋体" w:hAnsi="宋体" w:eastAsia="宋体" w:cs="宋体"/>
                <w:b w:val="0"/>
                <w:bCs w:val="0"/>
                <w:color w:val="auto"/>
                <w:kern w:val="0"/>
                <w:sz w:val="21"/>
                <w:szCs w:val="21"/>
                <w:highlight w:val="none"/>
                <w:lang w:eastAsia="zh-CN"/>
              </w:rPr>
              <w:t>，并承担由此造成的所有经济损失</w:t>
            </w:r>
            <w:r>
              <w:rPr>
                <w:rFonts w:hint="eastAsia" w:ascii="宋体" w:hAnsi="宋体" w:eastAsia="宋体" w:cs="宋体"/>
                <w:b w:val="0"/>
                <w:bCs w:val="0"/>
                <w:color w:val="auto"/>
                <w:kern w:val="0"/>
                <w:sz w:val="21"/>
                <w:szCs w:val="21"/>
                <w:highlight w:val="none"/>
              </w:rPr>
              <w:t>。</w:t>
            </w:r>
          </w:p>
        </w:tc>
        <w:tc>
          <w:tcPr>
            <w:tcW w:w="825" w:type="dxa"/>
            <w:noWrap w:val="0"/>
            <w:vAlign w:val="center"/>
          </w:tcPr>
          <w:p w14:paraId="0CC7F3D7">
            <w:pPr>
              <w:pStyle w:val="16"/>
              <w:keepNext w:val="0"/>
              <w:keepLines w:val="0"/>
              <w:pageBreakBefore w:val="0"/>
              <w:kinsoku/>
              <w:wordWrap/>
              <w:overflowPunct/>
              <w:topLinePunct w:val="0"/>
              <w:autoSpaceDE/>
              <w:autoSpaceDN/>
              <w:bidi w:val="0"/>
              <w:spacing w:after="0" w:line="360" w:lineRule="exact"/>
              <w:ind w:left="0" w:leftChars="0" w:right="0" w:rightChars="0" w:hanging="360" w:firstLineChars="0"/>
              <w:rPr>
                <w:rFonts w:hint="eastAsia" w:ascii="仿宋_GB2312" w:hAnsi="仿宋_GB2312" w:eastAsia="仿宋_GB2312" w:cs="仿宋_GB2312"/>
                <w:b w:val="0"/>
                <w:bCs w:val="0"/>
                <w:color w:val="auto"/>
                <w:sz w:val="21"/>
                <w:szCs w:val="21"/>
                <w:highlight w:val="none"/>
                <w:vertAlign w:val="baseline"/>
              </w:rPr>
            </w:pPr>
          </w:p>
        </w:tc>
      </w:tr>
      <w:tr w14:paraId="1191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1BC4AD74">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21</w:t>
            </w:r>
          </w:p>
        </w:tc>
        <w:tc>
          <w:tcPr>
            <w:tcW w:w="803" w:type="dxa"/>
            <w:vMerge w:val="continue"/>
            <w:noWrap w:val="0"/>
            <w:vAlign w:val="center"/>
          </w:tcPr>
          <w:p w14:paraId="6BD48CC2">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eastAsia="zh-CN"/>
              </w:rPr>
            </w:pPr>
          </w:p>
        </w:tc>
        <w:tc>
          <w:tcPr>
            <w:tcW w:w="3504" w:type="dxa"/>
            <w:noWrap w:val="0"/>
            <w:vAlign w:val="center"/>
          </w:tcPr>
          <w:p w14:paraId="4C8112EA">
            <w:pPr>
              <w:pStyle w:val="16"/>
              <w:keepNext w:val="0"/>
              <w:keepLines w:val="0"/>
              <w:pageBreakBefore w:val="0"/>
              <w:kinsoku/>
              <w:wordWrap/>
              <w:overflowPunct/>
              <w:topLinePunct w:val="0"/>
              <w:autoSpaceDE/>
              <w:autoSpaceDN/>
              <w:bidi w:val="0"/>
              <w:spacing w:after="0" w:line="360" w:lineRule="exact"/>
              <w:ind w:left="0" w:leftChars="0" w:right="0" w:rightChars="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对查出的安全隐患拒不整改的（含安全监督部门、发包人、监理人及承包人的检查）。</w:t>
            </w:r>
          </w:p>
        </w:tc>
        <w:tc>
          <w:tcPr>
            <w:tcW w:w="3182" w:type="dxa"/>
            <w:noWrap w:val="0"/>
            <w:vAlign w:val="center"/>
          </w:tcPr>
          <w:p w14:paraId="395C04C3">
            <w:pPr>
              <w:pStyle w:val="16"/>
              <w:keepNext w:val="0"/>
              <w:keepLines w:val="0"/>
              <w:pageBreakBefore w:val="0"/>
              <w:kinsoku/>
              <w:wordWrap/>
              <w:overflowPunct/>
              <w:topLinePunct w:val="0"/>
              <w:autoSpaceDE/>
              <w:autoSpaceDN/>
              <w:bidi w:val="0"/>
              <w:spacing w:after="0" w:line="360" w:lineRule="exact"/>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通报批评并视情节向承包人支付1万-</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万元/次的违约金。</w:t>
            </w:r>
          </w:p>
        </w:tc>
        <w:tc>
          <w:tcPr>
            <w:tcW w:w="825" w:type="dxa"/>
            <w:noWrap w:val="0"/>
            <w:vAlign w:val="center"/>
          </w:tcPr>
          <w:p w14:paraId="7A705F84">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2BE1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0E6B48B7">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22</w:t>
            </w:r>
          </w:p>
        </w:tc>
        <w:tc>
          <w:tcPr>
            <w:tcW w:w="803" w:type="dxa"/>
            <w:vMerge w:val="continue"/>
            <w:noWrap w:val="0"/>
            <w:vAlign w:val="center"/>
          </w:tcPr>
          <w:p w14:paraId="57B259C9">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eastAsia="zh-CN"/>
              </w:rPr>
            </w:pPr>
          </w:p>
        </w:tc>
        <w:tc>
          <w:tcPr>
            <w:tcW w:w="3504" w:type="dxa"/>
            <w:noWrap w:val="0"/>
            <w:vAlign w:val="center"/>
          </w:tcPr>
          <w:p w14:paraId="0FE32BE6">
            <w:pPr>
              <w:pStyle w:val="16"/>
              <w:keepNext w:val="0"/>
              <w:keepLines w:val="0"/>
              <w:pageBreakBefore w:val="0"/>
              <w:kinsoku/>
              <w:wordWrap/>
              <w:overflowPunct/>
              <w:topLinePunct w:val="0"/>
              <w:autoSpaceDE/>
              <w:autoSpaceDN/>
              <w:bidi w:val="0"/>
              <w:spacing w:after="0" w:line="360" w:lineRule="exact"/>
              <w:ind w:left="0" w:leftChars="0" w:right="0" w:rightChars="0" w:firstLine="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对查出的安全隐患未按规定整改落实的</w:t>
            </w:r>
            <w:r>
              <w:rPr>
                <w:rFonts w:hint="eastAsia" w:ascii="宋体" w:hAnsi="宋体" w:eastAsia="宋体" w:cs="宋体"/>
                <w:b w:val="0"/>
                <w:bCs w:val="0"/>
                <w:color w:val="auto"/>
                <w:kern w:val="0"/>
                <w:sz w:val="21"/>
                <w:szCs w:val="21"/>
                <w:highlight w:val="none"/>
                <w:lang w:eastAsia="zh-CN"/>
              </w:rPr>
              <w:t>（含安全监督部门、发包人、监理人及承包人的检查）。</w:t>
            </w:r>
          </w:p>
        </w:tc>
        <w:tc>
          <w:tcPr>
            <w:tcW w:w="3182" w:type="dxa"/>
            <w:noWrap w:val="0"/>
            <w:vAlign w:val="center"/>
          </w:tcPr>
          <w:p w14:paraId="63307E7E">
            <w:pPr>
              <w:pStyle w:val="16"/>
              <w:keepNext w:val="0"/>
              <w:keepLines w:val="0"/>
              <w:pageBreakBefore w:val="0"/>
              <w:kinsoku/>
              <w:wordWrap/>
              <w:overflowPunct/>
              <w:topLinePunct w:val="0"/>
              <w:autoSpaceDE/>
              <w:autoSpaceDN/>
              <w:bidi w:val="0"/>
              <w:spacing w:after="0" w:line="360" w:lineRule="exact"/>
              <w:ind w:left="0" w:leftChars="0" w:right="0" w:rightChars="0" w:firstLine="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通报批评并视情节向承包人支付1万-</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万元/次的违约金。</w:t>
            </w:r>
          </w:p>
        </w:tc>
        <w:tc>
          <w:tcPr>
            <w:tcW w:w="825" w:type="dxa"/>
            <w:noWrap w:val="0"/>
            <w:vAlign w:val="center"/>
          </w:tcPr>
          <w:p w14:paraId="325559CE">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1399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51ABBC8B">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23</w:t>
            </w:r>
          </w:p>
        </w:tc>
        <w:tc>
          <w:tcPr>
            <w:tcW w:w="803" w:type="dxa"/>
            <w:vMerge w:val="continue"/>
            <w:noWrap w:val="0"/>
            <w:vAlign w:val="center"/>
          </w:tcPr>
          <w:p w14:paraId="613EEC25">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eastAsia="zh-CN"/>
              </w:rPr>
            </w:pPr>
          </w:p>
        </w:tc>
        <w:tc>
          <w:tcPr>
            <w:tcW w:w="3504" w:type="dxa"/>
            <w:noWrap w:val="0"/>
            <w:vAlign w:val="center"/>
          </w:tcPr>
          <w:p w14:paraId="6AC207EC">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分</w:t>
            </w:r>
            <w:r>
              <w:rPr>
                <w:rFonts w:hint="eastAsia" w:ascii="宋体" w:hAnsi="宋体" w:eastAsia="宋体" w:cs="宋体"/>
                <w:b w:val="0"/>
                <w:bCs w:val="0"/>
                <w:color w:val="auto"/>
                <w:kern w:val="0"/>
                <w:sz w:val="21"/>
                <w:szCs w:val="21"/>
                <w:highlight w:val="none"/>
              </w:rPr>
              <w:t>包人未及时发现</w:t>
            </w:r>
            <w:r>
              <w:rPr>
                <w:rFonts w:hint="eastAsia" w:ascii="宋体" w:hAnsi="宋体" w:eastAsia="宋体" w:cs="宋体"/>
                <w:b w:val="0"/>
                <w:bCs w:val="0"/>
                <w:color w:val="auto"/>
                <w:kern w:val="0"/>
                <w:sz w:val="21"/>
                <w:szCs w:val="21"/>
                <w:highlight w:val="none"/>
                <w:lang w:eastAsia="zh-CN"/>
              </w:rPr>
              <w:t>安全</w:t>
            </w:r>
            <w:r>
              <w:rPr>
                <w:rFonts w:hint="eastAsia" w:ascii="宋体" w:hAnsi="宋体" w:eastAsia="宋体" w:cs="宋体"/>
                <w:b w:val="0"/>
                <w:bCs w:val="0"/>
                <w:color w:val="auto"/>
                <w:kern w:val="0"/>
                <w:sz w:val="21"/>
                <w:szCs w:val="21"/>
                <w:highlight w:val="none"/>
              </w:rPr>
              <w:t>隐患而导致</w:t>
            </w:r>
            <w:r>
              <w:rPr>
                <w:rFonts w:hint="eastAsia" w:ascii="宋体" w:hAnsi="宋体" w:eastAsia="宋体" w:cs="宋体"/>
                <w:b w:val="0"/>
                <w:bCs w:val="0"/>
                <w:color w:val="auto"/>
                <w:kern w:val="0"/>
                <w:sz w:val="21"/>
                <w:szCs w:val="21"/>
                <w:highlight w:val="none"/>
                <w:lang w:eastAsia="zh-CN"/>
              </w:rPr>
              <w:t>安全</w:t>
            </w:r>
            <w:r>
              <w:rPr>
                <w:rFonts w:hint="eastAsia" w:ascii="宋体" w:hAnsi="宋体" w:eastAsia="宋体" w:cs="宋体"/>
                <w:b w:val="0"/>
                <w:bCs w:val="0"/>
                <w:color w:val="auto"/>
                <w:kern w:val="0"/>
                <w:sz w:val="21"/>
                <w:szCs w:val="21"/>
                <w:highlight w:val="none"/>
              </w:rPr>
              <w:t>事件（事故）发生</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0C9B838B">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通报批评并视情节向承包人支付</w:t>
            </w:r>
            <w:r>
              <w:rPr>
                <w:rFonts w:hint="eastAsia" w:ascii="宋体" w:hAnsi="宋体" w:eastAsia="宋体" w:cs="宋体"/>
                <w:b w:val="0"/>
                <w:bCs w:val="0"/>
                <w:color w:val="auto"/>
                <w:kern w:val="0"/>
                <w:sz w:val="21"/>
                <w:szCs w:val="21"/>
                <w:highlight w:val="none"/>
                <w:lang w:val="en-US" w:eastAsia="zh-CN"/>
              </w:rPr>
              <w:t>2万-20万</w:t>
            </w:r>
            <w:r>
              <w:rPr>
                <w:rFonts w:hint="eastAsia" w:ascii="宋体" w:hAnsi="宋体" w:eastAsia="宋体" w:cs="宋体"/>
                <w:b w:val="0"/>
                <w:bCs w:val="0"/>
                <w:color w:val="auto"/>
                <w:kern w:val="0"/>
                <w:sz w:val="21"/>
                <w:szCs w:val="21"/>
                <w:highlight w:val="none"/>
              </w:rPr>
              <w:t>元/次的违约金</w:t>
            </w:r>
            <w:r>
              <w:rPr>
                <w:rFonts w:hint="eastAsia" w:ascii="宋体" w:hAnsi="宋体" w:eastAsia="宋体" w:cs="宋体"/>
                <w:b w:val="0"/>
                <w:bCs w:val="0"/>
                <w:color w:val="auto"/>
                <w:kern w:val="0"/>
                <w:sz w:val="21"/>
                <w:szCs w:val="21"/>
                <w:highlight w:val="none"/>
                <w:lang w:eastAsia="zh-CN"/>
              </w:rPr>
              <w:t>，并承担</w:t>
            </w:r>
            <w:r>
              <w:rPr>
                <w:rFonts w:hint="eastAsia" w:ascii="宋体" w:hAnsi="宋体" w:eastAsia="宋体" w:cs="宋体"/>
                <w:b w:val="0"/>
                <w:bCs w:val="0"/>
                <w:color w:val="auto"/>
                <w:kern w:val="0"/>
                <w:sz w:val="21"/>
                <w:szCs w:val="21"/>
                <w:highlight w:val="none"/>
              </w:rPr>
              <w:t>给甲方造成的一切损失</w:t>
            </w:r>
            <w:r>
              <w:rPr>
                <w:rFonts w:hint="eastAsia" w:ascii="宋体" w:hAnsi="宋体" w:eastAsia="宋体" w:cs="宋体"/>
                <w:b w:val="0"/>
                <w:bCs w:val="0"/>
                <w:color w:val="auto"/>
                <w:kern w:val="0"/>
                <w:sz w:val="21"/>
                <w:szCs w:val="21"/>
                <w:highlight w:val="none"/>
                <w:lang w:eastAsia="zh-CN"/>
              </w:rPr>
              <w:t>。</w:t>
            </w:r>
          </w:p>
        </w:tc>
        <w:tc>
          <w:tcPr>
            <w:tcW w:w="825" w:type="dxa"/>
            <w:noWrap w:val="0"/>
            <w:vAlign w:val="center"/>
          </w:tcPr>
          <w:p w14:paraId="2276CAA4">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5F92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3A80E7B0">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24</w:t>
            </w:r>
          </w:p>
        </w:tc>
        <w:tc>
          <w:tcPr>
            <w:tcW w:w="803" w:type="dxa"/>
            <w:vMerge w:val="restart"/>
            <w:noWrap w:val="0"/>
            <w:vAlign w:val="center"/>
          </w:tcPr>
          <w:p w14:paraId="7C029797">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其他</w:t>
            </w:r>
          </w:p>
        </w:tc>
        <w:tc>
          <w:tcPr>
            <w:tcW w:w="3504" w:type="dxa"/>
            <w:noWrap w:val="0"/>
            <w:vAlign w:val="center"/>
          </w:tcPr>
          <w:p w14:paraId="560DB447">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分包人</w:t>
            </w:r>
            <w:r>
              <w:rPr>
                <w:rFonts w:hint="eastAsia" w:ascii="宋体" w:hAnsi="宋体" w:eastAsia="宋体" w:cs="宋体"/>
                <w:b w:val="0"/>
                <w:bCs w:val="0"/>
                <w:color w:val="auto"/>
                <w:kern w:val="0"/>
                <w:sz w:val="21"/>
                <w:szCs w:val="21"/>
                <w:highlight w:val="none"/>
              </w:rPr>
              <w:t>未能按</w:t>
            </w:r>
            <w:r>
              <w:rPr>
                <w:rFonts w:hint="eastAsia" w:ascii="宋体" w:hAnsi="宋体" w:eastAsia="宋体" w:cs="宋体"/>
                <w:b w:val="0"/>
                <w:bCs w:val="0"/>
                <w:color w:val="auto"/>
                <w:kern w:val="0"/>
                <w:sz w:val="21"/>
                <w:szCs w:val="21"/>
                <w:highlight w:val="none"/>
                <w:lang w:eastAsia="zh-CN"/>
              </w:rPr>
              <w:t>承包人</w:t>
            </w:r>
            <w:r>
              <w:rPr>
                <w:rFonts w:hint="eastAsia" w:ascii="宋体" w:hAnsi="宋体" w:eastAsia="宋体" w:cs="宋体"/>
                <w:b w:val="0"/>
                <w:bCs w:val="0"/>
                <w:color w:val="auto"/>
                <w:kern w:val="0"/>
                <w:sz w:val="21"/>
                <w:szCs w:val="21"/>
                <w:highlight w:val="none"/>
              </w:rPr>
              <w:t>要求按时提供合法有效发票的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29000BAC">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pacing w:val="-6"/>
                <w:kern w:val="0"/>
                <w:sz w:val="21"/>
                <w:szCs w:val="21"/>
                <w:highlight w:val="none"/>
                <w:lang w:eastAsia="zh-CN"/>
              </w:rPr>
              <w:t>应向承包人支付该发票金额</w:t>
            </w:r>
            <w:r>
              <w:rPr>
                <w:rFonts w:hint="eastAsia" w:ascii="宋体" w:hAnsi="宋体" w:eastAsia="宋体" w:cs="宋体"/>
                <w:b w:val="0"/>
                <w:bCs w:val="0"/>
                <w:color w:val="auto"/>
                <w:spacing w:val="-6"/>
                <w:kern w:val="0"/>
                <w:sz w:val="21"/>
                <w:szCs w:val="21"/>
                <w:highlight w:val="none"/>
              </w:rPr>
              <w:t>20%的违约金外，给</w:t>
            </w:r>
            <w:r>
              <w:rPr>
                <w:rFonts w:hint="eastAsia" w:ascii="宋体" w:hAnsi="宋体" w:eastAsia="宋体" w:cs="宋体"/>
                <w:b w:val="0"/>
                <w:bCs w:val="0"/>
                <w:color w:val="auto"/>
                <w:spacing w:val="-6"/>
                <w:kern w:val="0"/>
                <w:sz w:val="21"/>
                <w:szCs w:val="21"/>
                <w:highlight w:val="none"/>
                <w:lang w:eastAsia="zh-CN"/>
              </w:rPr>
              <w:t>承包人</w:t>
            </w:r>
            <w:r>
              <w:rPr>
                <w:rFonts w:hint="eastAsia" w:ascii="宋体" w:hAnsi="宋体" w:eastAsia="宋体" w:cs="宋体"/>
                <w:b w:val="0"/>
                <w:bCs w:val="0"/>
                <w:color w:val="auto"/>
                <w:spacing w:val="-6"/>
                <w:kern w:val="0"/>
                <w:sz w:val="21"/>
                <w:szCs w:val="21"/>
                <w:highlight w:val="none"/>
              </w:rPr>
              <w:t>造成的一切损失均由</w:t>
            </w:r>
            <w:r>
              <w:rPr>
                <w:rFonts w:hint="eastAsia" w:ascii="宋体" w:hAnsi="宋体" w:eastAsia="宋体" w:cs="宋体"/>
                <w:b w:val="0"/>
                <w:bCs w:val="0"/>
                <w:color w:val="auto"/>
                <w:spacing w:val="-6"/>
                <w:kern w:val="0"/>
                <w:sz w:val="21"/>
                <w:szCs w:val="21"/>
                <w:highlight w:val="none"/>
                <w:lang w:eastAsia="zh-CN"/>
              </w:rPr>
              <w:t>分包人</w:t>
            </w:r>
            <w:r>
              <w:rPr>
                <w:rFonts w:hint="eastAsia" w:ascii="宋体" w:hAnsi="宋体" w:eastAsia="宋体" w:cs="宋体"/>
                <w:b w:val="0"/>
                <w:bCs w:val="0"/>
                <w:color w:val="auto"/>
                <w:spacing w:val="-6"/>
                <w:kern w:val="0"/>
                <w:sz w:val="21"/>
                <w:szCs w:val="21"/>
                <w:highlight w:val="none"/>
              </w:rPr>
              <w:t>承担，同时不免除其开具合法有效发票的义务。</w:t>
            </w:r>
          </w:p>
        </w:tc>
        <w:tc>
          <w:tcPr>
            <w:tcW w:w="825" w:type="dxa"/>
            <w:noWrap w:val="0"/>
            <w:vAlign w:val="center"/>
          </w:tcPr>
          <w:p w14:paraId="48494298">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6818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762" w:type="dxa"/>
            <w:noWrap w:val="0"/>
            <w:vAlign w:val="center"/>
          </w:tcPr>
          <w:p w14:paraId="2338D00D">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25</w:t>
            </w:r>
          </w:p>
        </w:tc>
        <w:tc>
          <w:tcPr>
            <w:tcW w:w="803" w:type="dxa"/>
            <w:vMerge w:val="continue"/>
            <w:noWrap w:val="0"/>
            <w:vAlign w:val="center"/>
          </w:tcPr>
          <w:p w14:paraId="32DB5B5D">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p>
        </w:tc>
        <w:tc>
          <w:tcPr>
            <w:tcW w:w="3504" w:type="dxa"/>
            <w:noWrap w:val="0"/>
            <w:vAlign w:val="center"/>
          </w:tcPr>
          <w:p w14:paraId="036E044D">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恶意拖欠工人工资或设备、材料款，导致本工程出现的上访、闹事</w:t>
            </w:r>
            <w:r>
              <w:rPr>
                <w:rFonts w:hint="eastAsia" w:ascii="宋体" w:hAnsi="宋体" w:eastAsia="宋体" w:cs="宋体"/>
                <w:b w:val="0"/>
                <w:bCs w:val="0"/>
                <w:color w:val="auto"/>
                <w:kern w:val="0"/>
                <w:sz w:val="21"/>
                <w:szCs w:val="21"/>
                <w:highlight w:val="none"/>
                <w:lang w:eastAsia="zh-CN"/>
              </w:rPr>
              <w:t>的。</w:t>
            </w:r>
          </w:p>
        </w:tc>
        <w:tc>
          <w:tcPr>
            <w:tcW w:w="3182" w:type="dxa"/>
            <w:noWrap w:val="0"/>
            <w:vAlign w:val="center"/>
          </w:tcPr>
          <w:p w14:paraId="6E098D2D">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向承包人支付</w:t>
            </w:r>
            <w:r>
              <w:rPr>
                <w:rFonts w:hint="eastAsia" w:ascii="宋体" w:hAnsi="宋体" w:eastAsia="宋体" w:cs="宋体"/>
                <w:b w:val="0"/>
                <w:bCs w:val="0"/>
                <w:color w:val="auto"/>
                <w:kern w:val="0"/>
                <w:sz w:val="21"/>
                <w:szCs w:val="21"/>
                <w:highlight w:val="none"/>
                <w:lang w:val="en-US" w:eastAsia="zh-CN"/>
              </w:rPr>
              <w:t>10万-20万</w:t>
            </w:r>
            <w:r>
              <w:rPr>
                <w:rFonts w:hint="eastAsia" w:ascii="宋体" w:hAnsi="宋体" w:eastAsia="宋体" w:cs="宋体"/>
                <w:b w:val="0"/>
                <w:bCs w:val="0"/>
                <w:color w:val="auto"/>
                <w:kern w:val="0"/>
                <w:sz w:val="21"/>
                <w:szCs w:val="21"/>
                <w:highlight w:val="none"/>
              </w:rPr>
              <w:t>元/次的违约金</w:t>
            </w:r>
            <w:r>
              <w:rPr>
                <w:rFonts w:hint="eastAsia" w:ascii="宋体" w:hAnsi="宋体" w:eastAsia="宋体" w:cs="宋体"/>
                <w:b w:val="0"/>
                <w:bCs w:val="0"/>
                <w:color w:val="auto"/>
                <w:kern w:val="0"/>
                <w:sz w:val="21"/>
                <w:szCs w:val="21"/>
                <w:highlight w:val="none"/>
                <w:lang w:eastAsia="zh-CN"/>
              </w:rPr>
              <w:t>，并承担</w:t>
            </w:r>
            <w:r>
              <w:rPr>
                <w:rFonts w:hint="eastAsia" w:ascii="宋体" w:hAnsi="宋体" w:eastAsia="宋体" w:cs="宋体"/>
                <w:b w:val="0"/>
                <w:bCs w:val="0"/>
                <w:color w:val="auto"/>
                <w:kern w:val="0"/>
                <w:sz w:val="21"/>
                <w:szCs w:val="21"/>
                <w:highlight w:val="none"/>
              </w:rPr>
              <w:t>给</w:t>
            </w:r>
            <w:r>
              <w:rPr>
                <w:rFonts w:hint="eastAsia" w:ascii="宋体" w:hAnsi="宋体" w:eastAsia="宋体" w:cs="宋体"/>
                <w:b w:val="0"/>
                <w:bCs w:val="0"/>
                <w:color w:val="auto"/>
                <w:kern w:val="0"/>
                <w:sz w:val="21"/>
                <w:szCs w:val="21"/>
                <w:highlight w:val="none"/>
                <w:lang w:eastAsia="zh-CN"/>
              </w:rPr>
              <w:t>承包人</w:t>
            </w:r>
            <w:r>
              <w:rPr>
                <w:rFonts w:hint="eastAsia" w:ascii="宋体" w:hAnsi="宋体" w:eastAsia="宋体" w:cs="宋体"/>
                <w:b w:val="0"/>
                <w:bCs w:val="0"/>
                <w:color w:val="auto"/>
                <w:kern w:val="0"/>
                <w:sz w:val="21"/>
                <w:szCs w:val="21"/>
                <w:highlight w:val="none"/>
              </w:rPr>
              <w:t>造成的一切损失</w:t>
            </w:r>
            <w:r>
              <w:rPr>
                <w:rFonts w:hint="eastAsia" w:ascii="宋体" w:hAnsi="宋体" w:eastAsia="宋体" w:cs="宋体"/>
                <w:b w:val="0"/>
                <w:bCs w:val="0"/>
                <w:color w:val="auto"/>
                <w:kern w:val="0"/>
                <w:sz w:val="21"/>
                <w:szCs w:val="21"/>
                <w:highlight w:val="none"/>
                <w:lang w:eastAsia="zh-CN"/>
              </w:rPr>
              <w:t>。</w:t>
            </w:r>
          </w:p>
        </w:tc>
        <w:tc>
          <w:tcPr>
            <w:tcW w:w="825" w:type="dxa"/>
            <w:noWrap w:val="0"/>
            <w:vAlign w:val="center"/>
          </w:tcPr>
          <w:p w14:paraId="466A13E0">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0DEB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762" w:type="dxa"/>
            <w:noWrap w:val="0"/>
            <w:vAlign w:val="center"/>
          </w:tcPr>
          <w:p w14:paraId="3F11581F">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26</w:t>
            </w:r>
          </w:p>
        </w:tc>
        <w:tc>
          <w:tcPr>
            <w:tcW w:w="803" w:type="dxa"/>
            <w:vMerge w:val="continue"/>
            <w:noWrap w:val="0"/>
            <w:vAlign w:val="center"/>
          </w:tcPr>
          <w:p w14:paraId="1A53DE12">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p>
        </w:tc>
        <w:tc>
          <w:tcPr>
            <w:tcW w:w="3504" w:type="dxa"/>
            <w:noWrap w:val="0"/>
            <w:vAlign w:val="center"/>
          </w:tcPr>
          <w:p w14:paraId="3B47FC01">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360" w:lineRule="exact"/>
              <w:ind w:left="0" w:leftChars="0" w:right="0" w:rightChars="0"/>
              <w:jc w:val="left"/>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shd w:val="clear" w:color="auto" w:fill="auto"/>
              </w:rPr>
              <w:t>分包</w:t>
            </w:r>
            <w:r>
              <w:rPr>
                <w:rFonts w:hint="eastAsia" w:ascii="宋体" w:hAnsi="宋体" w:eastAsia="宋体" w:cs="宋体"/>
                <w:b w:val="0"/>
                <w:bCs w:val="0"/>
                <w:color w:val="auto"/>
                <w:spacing w:val="0"/>
                <w:sz w:val="21"/>
                <w:szCs w:val="21"/>
                <w:highlight w:val="none"/>
                <w:shd w:val="clear" w:color="auto" w:fill="auto"/>
                <w:lang w:val="en-US" w:eastAsia="zh-CN"/>
              </w:rPr>
              <w:t>人</w:t>
            </w:r>
            <w:r>
              <w:rPr>
                <w:rFonts w:hint="eastAsia" w:ascii="宋体" w:hAnsi="宋体" w:eastAsia="宋体" w:cs="宋体"/>
                <w:b w:val="0"/>
                <w:bCs w:val="0"/>
                <w:color w:val="auto"/>
                <w:spacing w:val="0"/>
                <w:sz w:val="21"/>
                <w:szCs w:val="21"/>
                <w:highlight w:val="none"/>
                <w:shd w:val="clear" w:color="auto" w:fill="auto"/>
              </w:rPr>
              <w:t>未按月考核农民工工作量、编制工资支付表并经农民工本人签字确认</w:t>
            </w:r>
            <w:r>
              <w:rPr>
                <w:rFonts w:hint="eastAsia" w:ascii="宋体" w:hAnsi="宋体" w:eastAsia="宋体" w:cs="宋体"/>
                <w:b w:val="0"/>
                <w:bCs w:val="0"/>
                <w:color w:val="auto"/>
                <w:spacing w:val="0"/>
                <w:sz w:val="21"/>
                <w:szCs w:val="21"/>
                <w:highlight w:val="none"/>
                <w:shd w:val="clear" w:color="auto" w:fill="auto"/>
                <w:lang w:eastAsia="zh-CN"/>
              </w:rPr>
              <w:t>。</w:t>
            </w:r>
          </w:p>
          <w:p w14:paraId="37218C8A">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p>
        </w:tc>
        <w:tc>
          <w:tcPr>
            <w:tcW w:w="3182" w:type="dxa"/>
            <w:noWrap w:val="0"/>
            <w:vAlign w:val="center"/>
          </w:tcPr>
          <w:p w14:paraId="30FDB1E1">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pacing w:val="-6"/>
                <w:kern w:val="0"/>
                <w:sz w:val="21"/>
                <w:szCs w:val="21"/>
                <w:highlight w:val="none"/>
                <w:lang w:val="en-US" w:eastAsia="zh-CN"/>
              </w:rPr>
              <w:t>责令限期整改，逾期不改正的，处</w:t>
            </w:r>
            <w:r>
              <w:rPr>
                <w:rFonts w:hint="eastAsia" w:ascii="宋体" w:hAnsi="宋体" w:eastAsia="宋体" w:cs="宋体"/>
                <w:b w:val="0"/>
                <w:bCs w:val="0"/>
                <w:color w:val="auto"/>
                <w:spacing w:val="-6"/>
                <w:kern w:val="0"/>
                <w:sz w:val="21"/>
                <w:szCs w:val="21"/>
                <w:highlight w:val="none"/>
                <w:shd w:val="clear" w:color="auto" w:fill="auto"/>
              </w:rPr>
              <w:t>5万元以上10万元以下的罚款</w:t>
            </w:r>
            <w:r>
              <w:rPr>
                <w:rFonts w:hint="eastAsia" w:ascii="宋体" w:hAnsi="宋体" w:eastAsia="宋体" w:cs="宋体"/>
                <w:b w:val="0"/>
                <w:bCs w:val="0"/>
                <w:color w:val="auto"/>
                <w:spacing w:val="-6"/>
                <w:kern w:val="0"/>
                <w:sz w:val="21"/>
                <w:szCs w:val="21"/>
                <w:highlight w:val="none"/>
                <w:shd w:val="clear" w:color="auto" w:fill="auto"/>
                <w:lang w:eastAsia="zh-CN"/>
              </w:rPr>
              <w:t>。</w:t>
            </w:r>
          </w:p>
        </w:tc>
        <w:tc>
          <w:tcPr>
            <w:tcW w:w="825" w:type="dxa"/>
            <w:noWrap w:val="0"/>
            <w:vAlign w:val="center"/>
          </w:tcPr>
          <w:p w14:paraId="62D2C64F">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7A46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62" w:type="dxa"/>
            <w:noWrap w:val="0"/>
            <w:vAlign w:val="center"/>
          </w:tcPr>
          <w:p w14:paraId="63AB0499">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27</w:t>
            </w:r>
          </w:p>
        </w:tc>
        <w:tc>
          <w:tcPr>
            <w:tcW w:w="803" w:type="dxa"/>
            <w:vMerge w:val="continue"/>
            <w:noWrap w:val="0"/>
            <w:vAlign w:val="center"/>
          </w:tcPr>
          <w:p w14:paraId="46F0FED8">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p>
        </w:tc>
        <w:tc>
          <w:tcPr>
            <w:tcW w:w="3504" w:type="dxa"/>
            <w:noWrap w:val="0"/>
            <w:vAlign w:val="center"/>
          </w:tcPr>
          <w:p w14:paraId="749F3650">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因分包人原因导致承包方被业主单位或政府部门约谈、行政处罚、通报批评的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231417E2">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向承包人支付5～10万元/次违约金。</w:t>
            </w:r>
          </w:p>
        </w:tc>
        <w:tc>
          <w:tcPr>
            <w:tcW w:w="825" w:type="dxa"/>
            <w:noWrap w:val="0"/>
            <w:vAlign w:val="center"/>
          </w:tcPr>
          <w:p w14:paraId="2FCE5351">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7439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762" w:type="dxa"/>
            <w:noWrap w:val="0"/>
            <w:vAlign w:val="center"/>
          </w:tcPr>
          <w:p w14:paraId="76F53B28">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28</w:t>
            </w:r>
          </w:p>
        </w:tc>
        <w:tc>
          <w:tcPr>
            <w:tcW w:w="803" w:type="dxa"/>
            <w:vMerge w:val="continue"/>
            <w:noWrap w:val="0"/>
            <w:vAlign w:val="center"/>
          </w:tcPr>
          <w:p w14:paraId="4B2449EF">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p>
        </w:tc>
        <w:tc>
          <w:tcPr>
            <w:tcW w:w="3504" w:type="dxa"/>
            <w:noWrap w:val="0"/>
            <w:vAlign w:val="center"/>
          </w:tcPr>
          <w:p w14:paraId="6B770CB1">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因违反合同及相关法律法规规定造成不良事件发生，导致政府监管单位行政处罚文书挂网的1次</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1F250D0A">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按承包方《分包方信用评价管理办法》扣2分，向承包人支付1万-5万元/次的违约金；</w:t>
            </w:r>
          </w:p>
        </w:tc>
        <w:tc>
          <w:tcPr>
            <w:tcW w:w="825" w:type="dxa"/>
            <w:noWrap w:val="0"/>
            <w:vAlign w:val="center"/>
          </w:tcPr>
          <w:p w14:paraId="4975978A">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75B1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762" w:type="dxa"/>
            <w:noWrap w:val="0"/>
            <w:vAlign w:val="center"/>
          </w:tcPr>
          <w:p w14:paraId="7F2CF86F">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29</w:t>
            </w:r>
          </w:p>
        </w:tc>
        <w:tc>
          <w:tcPr>
            <w:tcW w:w="803" w:type="dxa"/>
            <w:vMerge w:val="continue"/>
            <w:noWrap w:val="0"/>
            <w:vAlign w:val="center"/>
          </w:tcPr>
          <w:p w14:paraId="2FF6615D">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宋体" w:hAnsi="宋体" w:eastAsia="宋体" w:cs="宋体"/>
                <w:b w:val="0"/>
                <w:bCs w:val="0"/>
                <w:color w:val="auto"/>
                <w:kern w:val="0"/>
                <w:sz w:val="21"/>
                <w:szCs w:val="21"/>
                <w:highlight w:val="none"/>
                <w:lang w:val="en-US" w:eastAsia="zh-CN"/>
              </w:rPr>
            </w:pPr>
          </w:p>
        </w:tc>
        <w:tc>
          <w:tcPr>
            <w:tcW w:w="3504" w:type="dxa"/>
            <w:noWrap w:val="0"/>
            <w:vAlign w:val="center"/>
          </w:tcPr>
          <w:p w14:paraId="6E5F30C4">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因分包人原因</w:t>
            </w:r>
            <w:r>
              <w:rPr>
                <w:rFonts w:hint="eastAsia" w:ascii="宋体" w:hAnsi="宋体" w:eastAsia="宋体" w:cs="宋体"/>
                <w:b w:val="0"/>
                <w:bCs w:val="0"/>
                <w:color w:val="auto"/>
                <w:kern w:val="0"/>
                <w:sz w:val="21"/>
                <w:szCs w:val="21"/>
                <w:highlight w:val="none"/>
              </w:rPr>
              <w:t>造成扣减</w:t>
            </w:r>
            <w:r>
              <w:rPr>
                <w:rFonts w:hint="eastAsia" w:ascii="宋体" w:hAnsi="宋体" w:eastAsia="宋体" w:cs="宋体"/>
                <w:b w:val="0"/>
                <w:bCs w:val="0"/>
                <w:color w:val="auto"/>
                <w:kern w:val="0"/>
                <w:sz w:val="21"/>
                <w:szCs w:val="21"/>
                <w:highlight w:val="none"/>
                <w:lang w:val="en-US" w:eastAsia="zh-CN"/>
              </w:rPr>
              <w:t>甲方</w:t>
            </w:r>
            <w:r>
              <w:rPr>
                <w:rFonts w:hint="eastAsia" w:ascii="宋体" w:hAnsi="宋体" w:eastAsia="宋体" w:cs="宋体"/>
                <w:b w:val="0"/>
                <w:bCs w:val="0"/>
                <w:color w:val="auto"/>
                <w:kern w:val="0"/>
                <w:sz w:val="21"/>
                <w:szCs w:val="21"/>
                <w:highlight w:val="none"/>
              </w:rPr>
              <w:t>企业诚信分的</w:t>
            </w:r>
            <w:r>
              <w:rPr>
                <w:rFonts w:hint="eastAsia" w:ascii="宋体" w:hAnsi="宋体" w:eastAsia="宋体" w:cs="宋体"/>
                <w:b w:val="0"/>
                <w:bCs w:val="0"/>
                <w:color w:val="auto"/>
                <w:kern w:val="0"/>
                <w:sz w:val="21"/>
                <w:szCs w:val="21"/>
                <w:highlight w:val="none"/>
                <w:lang w:eastAsia="zh-CN"/>
              </w:rPr>
              <w:t>。</w:t>
            </w:r>
          </w:p>
        </w:tc>
        <w:tc>
          <w:tcPr>
            <w:tcW w:w="3182" w:type="dxa"/>
            <w:noWrap w:val="0"/>
            <w:vAlign w:val="center"/>
          </w:tcPr>
          <w:p w14:paraId="26A7746B">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10分以内的，</w:t>
            </w:r>
            <w:r>
              <w:rPr>
                <w:rFonts w:hint="eastAsia" w:ascii="宋体" w:hAnsi="宋体" w:eastAsia="宋体" w:cs="宋体"/>
                <w:b w:val="0"/>
                <w:bCs w:val="0"/>
                <w:color w:val="auto"/>
                <w:kern w:val="0"/>
                <w:sz w:val="21"/>
                <w:szCs w:val="21"/>
                <w:highlight w:val="none"/>
              </w:rPr>
              <w:t>对</w:t>
            </w:r>
            <w:r>
              <w:rPr>
                <w:rFonts w:hint="eastAsia" w:ascii="宋体" w:hAnsi="宋体" w:eastAsia="宋体" w:cs="宋体"/>
                <w:b w:val="0"/>
                <w:bCs w:val="0"/>
                <w:color w:val="auto"/>
                <w:kern w:val="0"/>
                <w:sz w:val="21"/>
                <w:szCs w:val="21"/>
                <w:highlight w:val="none"/>
                <w:lang w:val="en-US" w:eastAsia="zh-CN"/>
              </w:rPr>
              <w:t>分包方</w:t>
            </w:r>
            <w:r>
              <w:rPr>
                <w:rFonts w:hint="eastAsia" w:ascii="宋体" w:hAnsi="宋体" w:eastAsia="宋体" w:cs="宋体"/>
                <w:b w:val="0"/>
                <w:bCs w:val="0"/>
                <w:color w:val="auto"/>
                <w:kern w:val="0"/>
                <w:sz w:val="21"/>
                <w:szCs w:val="21"/>
                <w:highlight w:val="none"/>
              </w:rPr>
              <w:t>进行双倍（按承包方《分包方信用评价管理办法》扣罚企业诚信分）扣分处罚</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向承包人支付1万-5万元/次的违约金</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10分以上的</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一票否决，</w:t>
            </w:r>
            <w:r>
              <w:rPr>
                <w:rFonts w:hint="eastAsia" w:ascii="宋体" w:hAnsi="宋体" w:eastAsia="宋体" w:cs="宋体"/>
                <w:b w:val="0"/>
                <w:bCs w:val="0"/>
                <w:color w:val="auto"/>
                <w:kern w:val="0"/>
                <w:sz w:val="21"/>
                <w:szCs w:val="21"/>
                <w:highlight w:val="none"/>
                <w:lang w:val="en-US" w:eastAsia="zh-CN"/>
              </w:rPr>
              <w:t>并</w:t>
            </w:r>
            <w:r>
              <w:rPr>
                <w:rFonts w:hint="eastAsia" w:ascii="宋体" w:hAnsi="宋体" w:eastAsia="宋体" w:cs="宋体"/>
                <w:b w:val="0"/>
                <w:bCs w:val="0"/>
                <w:color w:val="auto"/>
                <w:kern w:val="0"/>
                <w:sz w:val="21"/>
                <w:szCs w:val="21"/>
                <w:highlight w:val="none"/>
              </w:rPr>
              <w:t>向承包人支付5万-10万元/次的违约金。</w:t>
            </w:r>
          </w:p>
        </w:tc>
        <w:tc>
          <w:tcPr>
            <w:tcW w:w="825" w:type="dxa"/>
            <w:noWrap w:val="0"/>
            <w:vAlign w:val="center"/>
          </w:tcPr>
          <w:p w14:paraId="0E477F5F">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r w14:paraId="4A18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noWrap w:val="0"/>
            <w:vAlign w:val="center"/>
          </w:tcPr>
          <w:p w14:paraId="7719CBCF">
            <w:pPr>
              <w:pStyle w:val="16"/>
              <w:keepNext w:val="0"/>
              <w:keepLines w:val="0"/>
              <w:pageBreakBefore w:val="0"/>
              <w:kinsoku/>
              <w:wordWrap/>
              <w:overflowPunct/>
              <w:topLinePunct w:val="0"/>
              <w:autoSpaceDE/>
              <w:autoSpaceDN/>
              <w:bidi w:val="0"/>
              <w:spacing w:after="0" w:line="360" w:lineRule="exact"/>
              <w:ind w:left="0" w:leftChars="0" w:right="0" w:right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 xml:space="preserve">  30</w:t>
            </w:r>
          </w:p>
        </w:tc>
        <w:tc>
          <w:tcPr>
            <w:tcW w:w="803" w:type="dxa"/>
            <w:noWrap w:val="0"/>
            <w:vAlign w:val="center"/>
          </w:tcPr>
          <w:p w14:paraId="38D7249D">
            <w:pPr>
              <w:pStyle w:val="16"/>
              <w:keepNext w:val="0"/>
              <w:keepLines w:val="0"/>
              <w:pageBreakBefore w:val="0"/>
              <w:kinsoku/>
              <w:wordWrap/>
              <w:overflowPunct/>
              <w:topLinePunct w:val="0"/>
              <w:autoSpaceDE/>
              <w:autoSpaceDN/>
              <w:bidi w:val="0"/>
              <w:spacing w:after="0" w:line="360" w:lineRule="exact"/>
              <w:ind w:left="0" w:leftChars="0" w:right="0" w:rightChars="0" w:firstLine="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rPr>
              <w:t>合同解除的情形</w:t>
            </w:r>
          </w:p>
        </w:tc>
        <w:tc>
          <w:tcPr>
            <w:tcW w:w="3504" w:type="dxa"/>
            <w:noWrap w:val="0"/>
            <w:vAlign w:val="center"/>
          </w:tcPr>
          <w:p w14:paraId="11D032C0">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未按</w:t>
            </w:r>
            <w:r>
              <w:rPr>
                <w:rFonts w:hint="eastAsia" w:ascii="宋体" w:hAnsi="宋体" w:eastAsia="宋体" w:cs="宋体"/>
                <w:b w:val="0"/>
                <w:bCs w:val="0"/>
                <w:color w:val="auto"/>
                <w:kern w:val="0"/>
                <w:sz w:val="21"/>
                <w:szCs w:val="21"/>
                <w:highlight w:val="none"/>
                <w:lang w:eastAsia="zh-CN"/>
              </w:rPr>
              <w:t>承包人</w:t>
            </w:r>
            <w:r>
              <w:rPr>
                <w:rFonts w:hint="eastAsia" w:ascii="宋体" w:hAnsi="宋体" w:eastAsia="宋体" w:cs="宋体"/>
                <w:b w:val="0"/>
                <w:bCs w:val="0"/>
                <w:color w:val="auto"/>
                <w:kern w:val="0"/>
                <w:sz w:val="21"/>
                <w:szCs w:val="21"/>
                <w:highlight w:val="none"/>
              </w:rPr>
              <w:t>要求投入足够的设备、机具、物资、安全设施及人员投入，导致合同约定的期限内没有完工，且在发包人催告的合理期限内仍未完工的，业主要求更换施工队伍。</w:t>
            </w:r>
          </w:p>
          <w:p w14:paraId="34D30B47">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恶意拖欠工人工资或设备、材料款，导致本工程出现的上访、闹事及承包方被告或给承包方造成重大经济损失和信誉损失。</w:t>
            </w:r>
          </w:p>
          <w:p w14:paraId="67114098">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明确表示或者以行为表明不履行合同主要义务。</w:t>
            </w:r>
          </w:p>
          <w:p w14:paraId="5756C858">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已经完成的工程质量不合格，并拒绝修复的。</w:t>
            </w:r>
          </w:p>
          <w:p w14:paraId="34BC9691">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实施的工程存在重大安全隐患，且拒不整改。</w:t>
            </w:r>
          </w:p>
          <w:p w14:paraId="2F3C1219">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偷工减料导致工程质量存在重大隐患且拒不整改。</w:t>
            </w:r>
          </w:p>
          <w:p w14:paraId="24C01068">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w:t>
            </w:r>
            <w:r>
              <w:rPr>
                <w:rFonts w:hint="eastAsia" w:ascii="宋体" w:hAnsi="宋体" w:eastAsia="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擅自以承包方公司和项目部的名义与供应商和分包单位签订相关合同和协议。</w:t>
            </w:r>
          </w:p>
        </w:tc>
        <w:tc>
          <w:tcPr>
            <w:tcW w:w="3182" w:type="dxa"/>
            <w:noWrap w:val="0"/>
            <w:vAlign w:val="center"/>
          </w:tcPr>
          <w:p w14:paraId="009D4699">
            <w:pPr>
              <w:pStyle w:val="16"/>
              <w:keepNext w:val="0"/>
              <w:keepLines w:val="0"/>
              <w:pageBreakBefore w:val="0"/>
              <w:kinsoku/>
              <w:wordWrap/>
              <w:overflowPunct/>
              <w:topLinePunct w:val="0"/>
              <w:autoSpaceDE/>
              <w:autoSpaceDN/>
              <w:bidi w:val="0"/>
              <w:spacing w:after="0" w:line="360" w:lineRule="exact"/>
              <w:ind w:left="0" w:leftChars="0" w:right="0" w:rightChars="0" w:firstLine="0" w:firstLineChars="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解除分包合同，并向承包人支付合同金额20%的违约金，且需承担给承包人造成的一切损失。</w:t>
            </w:r>
          </w:p>
        </w:tc>
        <w:tc>
          <w:tcPr>
            <w:tcW w:w="825" w:type="dxa"/>
            <w:noWrap w:val="0"/>
            <w:vAlign w:val="center"/>
          </w:tcPr>
          <w:p w14:paraId="4124940B">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sz w:val="21"/>
                <w:szCs w:val="21"/>
                <w:highlight w:val="none"/>
                <w:vertAlign w:val="baseline"/>
              </w:rPr>
            </w:pPr>
          </w:p>
        </w:tc>
      </w:tr>
    </w:tbl>
    <w:p w14:paraId="2A248893">
      <w:pPr>
        <w:pStyle w:val="16"/>
        <w:keepNext w:val="0"/>
        <w:keepLines w:val="0"/>
        <w:pageBreakBefore w:val="0"/>
        <w:kinsoku/>
        <w:wordWrap/>
        <w:overflowPunct/>
        <w:topLinePunct w:val="0"/>
        <w:autoSpaceDE/>
        <w:autoSpaceDN/>
        <w:bidi w:val="0"/>
        <w:spacing w:after="0" w:line="360" w:lineRule="exact"/>
        <w:ind w:left="0" w:leftChars="0" w:right="0" w:rightChars="0"/>
        <w:rPr>
          <w:rFonts w:hint="eastAsia" w:ascii="仿宋_GB2312" w:hAnsi="仿宋_GB2312" w:eastAsia="仿宋_GB2312" w:cs="仿宋_GB2312"/>
          <w:b w:val="0"/>
          <w:bCs w:val="0"/>
          <w:color w:val="auto"/>
          <w:highlight w:val="none"/>
          <w:lang w:eastAsia="zh-CN"/>
        </w:rPr>
      </w:pPr>
    </w:p>
    <w:p w14:paraId="6158B66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left"/>
        <w:textAlignment w:val="auto"/>
        <w:rPr>
          <w:rFonts w:hint="eastAsia" w:ascii="黑体" w:hAnsi="黑体" w:eastAsia="黑体" w:cs="黑体"/>
          <w:color w:val="auto"/>
          <w:sz w:val="24"/>
          <w:szCs w:val="24"/>
          <w:highlight w:val="none"/>
          <w:lang w:eastAsia="zh-CN"/>
        </w:rPr>
      </w:pPr>
      <w:r>
        <w:rPr>
          <w:rFonts w:hint="eastAsia" w:ascii="仿宋_GB2312" w:hAnsi="仿宋_GB2312" w:eastAsia="仿宋_GB2312" w:cs="仿宋_GB2312"/>
          <w:b w:val="0"/>
          <w:bCs w:val="0"/>
          <w:color w:val="auto"/>
          <w:szCs w:val="21"/>
          <w:highlight w:val="none"/>
          <w:lang w:val="en-US" w:eastAsia="zh-CN"/>
        </w:rPr>
        <w:t>附注：如《</w:t>
      </w:r>
      <w:r>
        <w:rPr>
          <w:rFonts w:hint="eastAsia" w:ascii="仿宋_GB2312" w:hAnsi="仿宋_GB2312" w:eastAsia="仿宋_GB2312" w:cs="仿宋_GB2312"/>
          <w:b w:val="0"/>
          <w:bCs w:val="0"/>
          <w:color w:val="auto"/>
          <w:sz w:val="21"/>
          <w:szCs w:val="21"/>
          <w:highlight w:val="none"/>
          <w:lang w:eastAsia="zh-CN"/>
        </w:rPr>
        <w:t>分包方违约清单》</w:t>
      </w:r>
      <w:r>
        <w:rPr>
          <w:rFonts w:hint="eastAsia" w:ascii="仿宋_GB2312" w:hAnsi="仿宋_GB2312" w:eastAsia="仿宋_GB2312" w:cs="仿宋_GB2312"/>
          <w:b w:val="0"/>
          <w:bCs w:val="0"/>
          <w:color w:val="auto"/>
          <w:sz w:val="21"/>
          <w:szCs w:val="21"/>
          <w:highlight w:val="none"/>
          <w:lang w:val="en-US" w:eastAsia="zh-CN"/>
        </w:rPr>
        <w:t>中违约事项及违约处理情况与合同条款、其他附件或其他相关文件相冲突，可对</w:t>
      </w:r>
      <w:r>
        <w:rPr>
          <w:rFonts w:hint="eastAsia" w:ascii="仿宋_GB2312" w:hAnsi="仿宋_GB2312" w:eastAsia="仿宋_GB2312" w:cs="仿宋_GB2312"/>
          <w:b w:val="0"/>
          <w:bCs w:val="0"/>
          <w:color w:val="auto"/>
          <w:szCs w:val="21"/>
          <w:highlight w:val="none"/>
          <w:lang w:val="en-US" w:eastAsia="zh-CN"/>
        </w:rPr>
        <w:t>《</w:t>
      </w:r>
      <w:r>
        <w:rPr>
          <w:rFonts w:hint="eastAsia" w:ascii="仿宋_GB2312" w:hAnsi="仿宋_GB2312" w:eastAsia="仿宋_GB2312" w:cs="仿宋_GB2312"/>
          <w:b w:val="0"/>
          <w:bCs w:val="0"/>
          <w:color w:val="auto"/>
          <w:sz w:val="21"/>
          <w:szCs w:val="21"/>
          <w:highlight w:val="none"/>
          <w:lang w:eastAsia="zh-CN"/>
        </w:rPr>
        <w:t>分包方违约清单》</w:t>
      </w:r>
      <w:r>
        <w:rPr>
          <w:rFonts w:hint="eastAsia" w:ascii="仿宋_GB2312" w:hAnsi="仿宋_GB2312" w:eastAsia="仿宋_GB2312" w:cs="仿宋_GB2312"/>
          <w:b w:val="0"/>
          <w:bCs w:val="0"/>
          <w:color w:val="auto"/>
          <w:sz w:val="21"/>
          <w:szCs w:val="21"/>
          <w:highlight w:val="none"/>
          <w:lang w:val="en-US" w:eastAsia="zh-CN"/>
        </w:rPr>
        <w:t>中违约处理进行调整。</w:t>
      </w:r>
      <w:bookmarkStart w:id="1881" w:name="_Toc28216_WPSOffice_Level1"/>
    </w:p>
    <w:p w14:paraId="34FC9E04">
      <w:pPr>
        <w:pStyle w:val="16"/>
        <w:spacing w:line="240" w:lineRule="auto"/>
        <w:ind w:left="0" w:firstLine="0"/>
        <w:jc w:val="both"/>
        <w:outlineLvl w:val="0"/>
        <w:rPr>
          <w:rFonts w:hint="eastAsia" w:ascii="仿宋" w:hAnsi="仿宋" w:eastAsia="仿宋" w:cs="仿宋"/>
          <w:color w:val="auto"/>
          <w:sz w:val="24"/>
          <w:szCs w:val="24"/>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11</w:t>
      </w:r>
      <w:r>
        <w:rPr>
          <w:rFonts w:hint="eastAsia" w:ascii="楷体_GB2312" w:hAnsi="楷体_GB2312" w:eastAsia="楷体_GB2312" w:cs="楷体_GB2312"/>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 xml:space="preserve">             </w:t>
      </w:r>
    </w:p>
    <w:p w14:paraId="5BC3A022">
      <w:pPr>
        <w:pStyle w:val="16"/>
        <w:spacing w:line="240" w:lineRule="auto"/>
        <w:ind w:left="0" w:firstLine="0"/>
        <w:jc w:val="center"/>
        <w:outlineLvl w:val="0"/>
        <w:rPr>
          <w:rFonts w:hint="eastAsia" w:asciiTheme="majorEastAsia" w:hAnsiTheme="majorEastAsia" w:eastAsiaTheme="majorEastAsia" w:cstheme="majorEastAsia"/>
          <w:b/>
          <w:bCs/>
          <w:color w:val="auto"/>
          <w:sz w:val="44"/>
          <w:szCs w:val="44"/>
          <w:highlight w:val="none"/>
          <w:lang w:val="en-US" w:eastAsia="zh-CN"/>
        </w:rPr>
      </w:pPr>
      <w:r>
        <w:rPr>
          <w:rFonts w:hint="eastAsia" w:asciiTheme="majorEastAsia" w:hAnsiTheme="majorEastAsia" w:eastAsiaTheme="majorEastAsia" w:cstheme="majorEastAsia"/>
          <w:b w:val="0"/>
          <w:bCs w:val="0"/>
          <w:color w:val="auto"/>
          <w:sz w:val="44"/>
          <w:szCs w:val="44"/>
          <w:highlight w:val="none"/>
          <w:lang w:val="en-US" w:eastAsia="zh-CN"/>
        </w:rPr>
        <w:t>分包方投入本合同工程主要人员情况表</w:t>
      </w:r>
      <w:bookmarkEnd w:id="188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721"/>
        <w:gridCol w:w="1588"/>
        <w:gridCol w:w="732"/>
        <w:gridCol w:w="747"/>
        <w:gridCol w:w="947"/>
        <w:gridCol w:w="947"/>
        <w:gridCol w:w="1377"/>
        <w:gridCol w:w="910"/>
      </w:tblGrid>
      <w:tr w14:paraId="7759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center"/>
          </w:tcPr>
          <w:p w14:paraId="75312FCD">
            <w:pPr>
              <w:spacing w:line="360" w:lineRule="auto"/>
              <w:jc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color w:val="auto"/>
                <w:sz w:val="24"/>
                <w:szCs w:val="24"/>
                <w:highlight w:val="none"/>
                <w:vertAlign w:val="baseline"/>
                <w:lang w:eastAsia="zh-CN"/>
              </w:rPr>
              <w:t>序号</w:t>
            </w:r>
          </w:p>
        </w:tc>
        <w:tc>
          <w:tcPr>
            <w:tcW w:w="721" w:type="dxa"/>
            <w:noWrap w:val="0"/>
            <w:vAlign w:val="center"/>
          </w:tcPr>
          <w:p w14:paraId="432D24F5">
            <w:pPr>
              <w:spacing w:line="360" w:lineRule="auto"/>
              <w:jc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color w:val="auto"/>
                <w:sz w:val="24"/>
                <w:szCs w:val="24"/>
                <w:highlight w:val="none"/>
                <w:vertAlign w:val="baseline"/>
                <w:lang w:eastAsia="zh-CN"/>
              </w:rPr>
              <w:t>姓名</w:t>
            </w:r>
          </w:p>
        </w:tc>
        <w:tc>
          <w:tcPr>
            <w:tcW w:w="1588" w:type="dxa"/>
            <w:noWrap w:val="0"/>
            <w:vAlign w:val="center"/>
          </w:tcPr>
          <w:p w14:paraId="70960142">
            <w:pPr>
              <w:spacing w:line="360" w:lineRule="auto"/>
              <w:jc w:val="center"/>
              <w:rPr>
                <w:rFonts w:hint="eastAsia" w:ascii="黑体" w:hAnsi="黑体" w:eastAsia="黑体" w:cs="黑体"/>
                <w:color w:val="auto"/>
                <w:sz w:val="24"/>
                <w:szCs w:val="24"/>
                <w:highlight w:val="none"/>
                <w:vertAlign w:val="baseline"/>
                <w:lang w:eastAsia="zh-CN"/>
              </w:rPr>
            </w:pPr>
            <w:r>
              <w:rPr>
                <w:rFonts w:hint="eastAsia" w:ascii="黑体" w:hAnsi="黑体" w:eastAsia="黑体" w:cs="黑体"/>
                <w:color w:val="auto"/>
                <w:sz w:val="24"/>
                <w:szCs w:val="24"/>
                <w:highlight w:val="none"/>
                <w:vertAlign w:val="baseline"/>
                <w:lang w:eastAsia="zh-CN"/>
              </w:rPr>
              <w:t>担任职务或岗位</w:t>
            </w:r>
          </w:p>
        </w:tc>
        <w:tc>
          <w:tcPr>
            <w:tcW w:w="732" w:type="dxa"/>
            <w:noWrap w:val="0"/>
            <w:vAlign w:val="center"/>
          </w:tcPr>
          <w:p w14:paraId="0F25C37E">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学历</w:t>
            </w:r>
          </w:p>
        </w:tc>
        <w:tc>
          <w:tcPr>
            <w:tcW w:w="747" w:type="dxa"/>
            <w:noWrap w:val="0"/>
            <w:vAlign w:val="center"/>
          </w:tcPr>
          <w:p w14:paraId="24B2C537">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专业</w:t>
            </w:r>
          </w:p>
        </w:tc>
        <w:tc>
          <w:tcPr>
            <w:tcW w:w="947" w:type="dxa"/>
            <w:noWrap w:val="0"/>
            <w:vAlign w:val="center"/>
          </w:tcPr>
          <w:p w14:paraId="0C1BB677">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职称或工种</w:t>
            </w:r>
          </w:p>
        </w:tc>
        <w:tc>
          <w:tcPr>
            <w:tcW w:w="947" w:type="dxa"/>
            <w:noWrap w:val="0"/>
            <w:vAlign w:val="center"/>
          </w:tcPr>
          <w:p w14:paraId="798AB58F">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身份证号码</w:t>
            </w:r>
          </w:p>
        </w:tc>
        <w:tc>
          <w:tcPr>
            <w:tcW w:w="1377" w:type="dxa"/>
            <w:noWrap w:val="0"/>
            <w:vAlign w:val="center"/>
          </w:tcPr>
          <w:p w14:paraId="7E6AE55B">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从事类似工作时间</w:t>
            </w:r>
          </w:p>
        </w:tc>
        <w:tc>
          <w:tcPr>
            <w:tcW w:w="910" w:type="dxa"/>
            <w:noWrap w:val="0"/>
            <w:vAlign w:val="center"/>
          </w:tcPr>
          <w:p w14:paraId="46A6B504">
            <w:pPr>
              <w:spacing w:line="360" w:lineRule="auto"/>
              <w:jc w:val="center"/>
              <w:rPr>
                <w:rFonts w:hint="eastAsia" w:ascii="黑体" w:hAnsi="黑体" w:eastAsia="黑体" w:cs="黑体"/>
                <w:color w:val="auto"/>
                <w:sz w:val="24"/>
                <w:szCs w:val="24"/>
                <w:highlight w:val="none"/>
                <w:vertAlign w:val="baseline"/>
              </w:rPr>
            </w:pPr>
            <w:r>
              <w:rPr>
                <w:rFonts w:hint="eastAsia" w:ascii="黑体" w:hAnsi="黑体" w:eastAsia="黑体" w:cs="黑体"/>
                <w:color w:val="auto"/>
                <w:sz w:val="24"/>
                <w:szCs w:val="24"/>
                <w:highlight w:val="none"/>
                <w:vertAlign w:val="baseline"/>
                <w:lang w:eastAsia="zh-CN"/>
              </w:rPr>
              <w:t>备注</w:t>
            </w:r>
          </w:p>
        </w:tc>
      </w:tr>
      <w:tr w14:paraId="4017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14:paraId="23C516CB">
            <w:pPr>
              <w:spacing w:line="360" w:lineRule="auto"/>
              <w:jc w:val="left"/>
              <w:rPr>
                <w:rFonts w:hint="eastAsia" w:ascii="楷体_GB2312" w:hAnsi="楷体_GB2312" w:eastAsia="楷体_GB2312" w:cs="楷体_GB2312"/>
                <w:color w:val="auto"/>
                <w:sz w:val="24"/>
                <w:szCs w:val="24"/>
                <w:highlight w:val="none"/>
                <w:vertAlign w:val="baseline"/>
              </w:rPr>
            </w:pPr>
          </w:p>
        </w:tc>
        <w:tc>
          <w:tcPr>
            <w:tcW w:w="721" w:type="dxa"/>
            <w:noWrap w:val="0"/>
            <w:vAlign w:val="top"/>
          </w:tcPr>
          <w:p w14:paraId="74FAA7DC">
            <w:pPr>
              <w:spacing w:line="360" w:lineRule="auto"/>
              <w:jc w:val="left"/>
              <w:rPr>
                <w:rFonts w:hint="eastAsia" w:ascii="楷体_GB2312" w:hAnsi="楷体_GB2312" w:eastAsia="楷体_GB2312" w:cs="楷体_GB2312"/>
                <w:color w:val="auto"/>
                <w:sz w:val="24"/>
                <w:szCs w:val="24"/>
                <w:highlight w:val="none"/>
                <w:vertAlign w:val="baseline"/>
              </w:rPr>
            </w:pPr>
          </w:p>
        </w:tc>
        <w:tc>
          <w:tcPr>
            <w:tcW w:w="1588" w:type="dxa"/>
            <w:noWrap w:val="0"/>
            <w:vAlign w:val="top"/>
          </w:tcPr>
          <w:p w14:paraId="45BAAAE2">
            <w:pPr>
              <w:spacing w:line="360" w:lineRule="auto"/>
              <w:jc w:val="left"/>
              <w:rPr>
                <w:rFonts w:hint="eastAsia" w:ascii="楷体_GB2312" w:hAnsi="楷体_GB2312" w:eastAsia="楷体_GB2312" w:cs="楷体_GB2312"/>
                <w:color w:val="auto"/>
                <w:sz w:val="24"/>
                <w:szCs w:val="24"/>
                <w:highlight w:val="none"/>
                <w:vertAlign w:val="baseline"/>
              </w:rPr>
            </w:pPr>
          </w:p>
        </w:tc>
        <w:tc>
          <w:tcPr>
            <w:tcW w:w="732" w:type="dxa"/>
            <w:noWrap w:val="0"/>
            <w:vAlign w:val="top"/>
          </w:tcPr>
          <w:p w14:paraId="00D633FE">
            <w:pPr>
              <w:spacing w:line="360" w:lineRule="auto"/>
              <w:jc w:val="left"/>
              <w:rPr>
                <w:rFonts w:hint="eastAsia" w:ascii="楷体_GB2312" w:hAnsi="楷体_GB2312" w:eastAsia="楷体_GB2312" w:cs="楷体_GB2312"/>
                <w:color w:val="auto"/>
                <w:sz w:val="24"/>
                <w:szCs w:val="24"/>
                <w:highlight w:val="none"/>
                <w:vertAlign w:val="baseline"/>
              </w:rPr>
            </w:pPr>
          </w:p>
        </w:tc>
        <w:tc>
          <w:tcPr>
            <w:tcW w:w="747" w:type="dxa"/>
            <w:noWrap w:val="0"/>
            <w:vAlign w:val="top"/>
          </w:tcPr>
          <w:p w14:paraId="3AE8CFC1">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7BE0D43B">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622F444D">
            <w:pPr>
              <w:spacing w:line="360" w:lineRule="auto"/>
              <w:jc w:val="left"/>
              <w:rPr>
                <w:rFonts w:hint="eastAsia" w:ascii="楷体_GB2312" w:hAnsi="楷体_GB2312" w:eastAsia="楷体_GB2312" w:cs="楷体_GB2312"/>
                <w:color w:val="auto"/>
                <w:sz w:val="24"/>
                <w:szCs w:val="24"/>
                <w:highlight w:val="none"/>
                <w:vertAlign w:val="baseline"/>
              </w:rPr>
            </w:pPr>
          </w:p>
        </w:tc>
        <w:tc>
          <w:tcPr>
            <w:tcW w:w="1377" w:type="dxa"/>
            <w:noWrap w:val="0"/>
            <w:vAlign w:val="top"/>
          </w:tcPr>
          <w:p w14:paraId="75BBC23A">
            <w:pPr>
              <w:spacing w:line="360" w:lineRule="auto"/>
              <w:jc w:val="left"/>
              <w:rPr>
                <w:rFonts w:hint="eastAsia" w:ascii="楷体_GB2312" w:hAnsi="楷体_GB2312" w:eastAsia="楷体_GB2312" w:cs="楷体_GB2312"/>
                <w:color w:val="auto"/>
                <w:sz w:val="24"/>
                <w:szCs w:val="24"/>
                <w:highlight w:val="none"/>
                <w:vertAlign w:val="baseline"/>
              </w:rPr>
            </w:pPr>
          </w:p>
        </w:tc>
        <w:tc>
          <w:tcPr>
            <w:tcW w:w="910" w:type="dxa"/>
            <w:noWrap w:val="0"/>
            <w:vAlign w:val="top"/>
          </w:tcPr>
          <w:p w14:paraId="07E11061">
            <w:pPr>
              <w:spacing w:line="360" w:lineRule="auto"/>
              <w:jc w:val="left"/>
              <w:rPr>
                <w:rFonts w:hint="eastAsia" w:ascii="楷体_GB2312" w:hAnsi="楷体_GB2312" w:eastAsia="楷体_GB2312" w:cs="楷体_GB2312"/>
                <w:color w:val="auto"/>
                <w:sz w:val="24"/>
                <w:szCs w:val="24"/>
                <w:highlight w:val="none"/>
                <w:vertAlign w:val="baseline"/>
              </w:rPr>
            </w:pPr>
          </w:p>
        </w:tc>
      </w:tr>
      <w:tr w14:paraId="753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14:paraId="4CF9A9AA">
            <w:pPr>
              <w:spacing w:line="360" w:lineRule="auto"/>
              <w:jc w:val="left"/>
              <w:rPr>
                <w:rFonts w:hint="eastAsia" w:ascii="楷体_GB2312" w:hAnsi="楷体_GB2312" w:eastAsia="楷体_GB2312" w:cs="楷体_GB2312"/>
                <w:color w:val="auto"/>
                <w:sz w:val="24"/>
                <w:szCs w:val="24"/>
                <w:highlight w:val="none"/>
                <w:vertAlign w:val="baseline"/>
              </w:rPr>
            </w:pPr>
          </w:p>
        </w:tc>
        <w:tc>
          <w:tcPr>
            <w:tcW w:w="721" w:type="dxa"/>
            <w:noWrap w:val="0"/>
            <w:vAlign w:val="top"/>
          </w:tcPr>
          <w:p w14:paraId="5720A907">
            <w:pPr>
              <w:spacing w:line="360" w:lineRule="auto"/>
              <w:jc w:val="left"/>
              <w:rPr>
                <w:rFonts w:hint="eastAsia" w:ascii="楷体_GB2312" w:hAnsi="楷体_GB2312" w:eastAsia="楷体_GB2312" w:cs="楷体_GB2312"/>
                <w:color w:val="auto"/>
                <w:sz w:val="24"/>
                <w:szCs w:val="24"/>
                <w:highlight w:val="none"/>
                <w:vertAlign w:val="baseline"/>
              </w:rPr>
            </w:pPr>
          </w:p>
        </w:tc>
        <w:tc>
          <w:tcPr>
            <w:tcW w:w="1588" w:type="dxa"/>
            <w:noWrap w:val="0"/>
            <w:vAlign w:val="top"/>
          </w:tcPr>
          <w:p w14:paraId="3EADAC52">
            <w:pPr>
              <w:spacing w:line="360" w:lineRule="auto"/>
              <w:jc w:val="left"/>
              <w:rPr>
                <w:rFonts w:hint="eastAsia" w:ascii="楷体_GB2312" w:hAnsi="楷体_GB2312" w:eastAsia="楷体_GB2312" w:cs="楷体_GB2312"/>
                <w:color w:val="auto"/>
                <w:sz w:val="24"/>
                <w:szCs w:val="24"/>
                <w:highlight w:val="none"/>
                <w:vertAlign w:val="baseline"/>
              </w:rPr>
            </w:pPr>
          </w:p>
        </w:tc>
        <w:tc>
          <w:tcPr>
            <w:tcW w:w="732" w:type="dxa"/>
            <w:noWrap w:val="0"/>
            <w:vAlign w:val="top"/>
          </w:tcPr>
          <w:p w14:paraId="474A146E">
            <w:pPr>
              <w:spacing w:line="360" w:lineRule="auto"/>
              <w:jc w:val="left"/>
              <w:rPr>
                <w:rFonts w:hint="eastAsia" w:ascii="楷体_GB2312" w:hAnsi="楷体_GB2312" w:eastAsia="楷体_GB2312" w:cs="楷体_GB2312"/>
                <w:color w:val="auto"/>
                <w:sz w:val="24"/>
                <w:szCs w:val="24"/>
                <w:highlight w:val="none"/>
                <w:vertAlign w:val="baseline"/>
              </w:rPr>
            </w:pPr>
          </w:p>
        </w:tc>
        <w:tc>
          <w:tcPr>
            <w:tcW w:w="747" w:type="dxa"/>
            <w:noWrap w:val="0"/>
            <w:vAlign w:val="top"/>
          </w:tcPr>
          <w:p w14:paraId="365CF164">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7272CAC8">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41645EFF">
            <w:pPr>
              <w:spacing w:line="360" w:lineRule="auto"/>
              <w:jc w:val="left"/>
              <w:rPr>
                <w:rFonts w:hint="eastAsia" w:ascii="楷体_GB2312" w:hAnsi="楷体_GB2312" w:eastAsia="楷体_GB2312" w:cs="楷体_GB2312"/>
                <w:color w:val="auto"/>
                <w:sz w:val="24"/>
                <w:szCs w:val="24"/>
                <w:highlight w:val="none"/>
                <w:vertAlign w:val="baseline"/>
              </w:rPr>
            </w:pPr>
          </w:p>
        </w:tc>
        <w:tc>
          <w:tcPr>
            <w:tcW w:w="1377" w:type="dxa"/>
            <w:noWrap w:val="0"/>
            <w:vAlign w:val="top"/>
          </w:tcPr>
          <w:p w14:paraId="1D53D574">
            <w:pPr>
              <w:spacing w:line="360" w:lineRule="auto"/>
              <w:jc w:val="left"/>
              <w:rPr>
                <w:rFonts w:hint="eastAsia" w:ascii="楷体_GB2312" w:hAnsi="楷体_GB2312" w:eastAsia="楷体_GB2312" w:cs="楷体_GB2312"/>
                <w:color w:val="auto"/>
                <w:sz w:val="24"/>
                <w:szCs w:val="24"/>
                <w:highlight w:val="none"/>
                <w:vertAlign w:val="baseline"/>
              </w:rPr>
            </w:pPr>
          </w:p>
        </w:tc>
        <w:tc>
          <w:tcPr>
            <w:tcW w:w="910" w:type="dxa"/>
            <w:noWrap w:val="0"/>
            <w:vAlign w:val="top"/>
          </w:tcPr>
          <w:p w14:paraId="7D303345">
            <w:pPr>
              <w:spacing w:line="360" w:lineRule="auto"/>
              <w:jc w:val="left"/>
              <w:rPr>
                <w:rFonts w:hint="eastAsia" w:ascii="楷体_GB2312" w:hAnsi="楷体_GB2312" w:eastAsia="楷体_GB2312" w:cs="楷体_GB2312"/>
                <w:color w:val="auto"/>
                <w:sz w:val="24"/>
                <w:szCs w:val="24"/>
                <w:highlight w:val="none"/>
                <w:vertAlign w:val="baseline"/>
              </w:rPr>
            </w:pPr>
          </w:p>
        </w:tc>
      </w:tr>
      <w:tr w14:paraId="5312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14:paraId="0E4D5D9C">
            <w:pPr>
              <w:spacing w:line="360" w:lineRule="auto"/>
              <w:jc w:val="left"/>
              <w:rPr>
                <w:rFonts w:hint="eastAsia" w:ascii="楷体_GB2312" w:hAnsi="楷体_GB2312" w:eastAsia="楷体_GB2312" w:cs="楷体_GB2312"/>
                <w:color w:val="auto"/>
                <w:sz w:val="24"/>
                <w:szCs w:val="24"/>
                <w:highlight w:val="none"/>
                <w:vertAlign w:val="baseline"/>
              </w:rPr>
            </w:pPr>
          </w:p>
        </w:tc>
        <w:tc>
          <w:tcPr>
            <w:tcW w:w="721" w:type="dxa"/>
            <w:noWrap w:val="0"/>
            <w:vAlign w:val="top"/>
          </w:tcPr>
          <w:p w14:paraId="27E84A0A">
            <w:pPr>
              <w:spacing w:line="360" w:lineRule="auto"/>
              <w:jc w:val="left"/>
              <w:rPr>
                <w:rFonts w:hint="eastAsia" w:ascii="楷体_GB2312" w:hAnsi="楷体_GB2312" w:eastAsia="楷体_GB2312" w:cs="楷体_GB2312"/>
                <w:color w:val="auto"/>
                <w:sz w:val="24"/>
                <w:szCs w:val="24"/>
                <w:highlight w:val="none"/>
                <w:vertAlign w:val="baseline"/>
              </w:rPr>
            </w:pPr>
          </w:p>
        </w:tc>
        <w:tc>
          <w:tcPr>
            <w:tcW w:w="1588" w:type="dxa"/>
            <w:noWrap w:val="0"/>
            <w:vAlign w:val="top"/>
          </w:tcPr>
          <w:p w14:paraId="3E3ECF26">
            <w:pPr>
              <w:spacing w:line="360" w:lineRule="auto"/>
              <w:jc w:val="left"/>
              <w:rPr>
                <w:rFonts w:hint="eastAsia" w:ascii="楷体_GB2312" w:hAnsi="楷体_GB2312" w:eastAsia="楷体_GB2312" w:cs="楷体_GB2312"/>
                <w:color w:val="auto"/>
                <w:sz w:val="24"/>
                <w:szCs w:val="24"/>
                <w:highlight w:val="none"/>
                <w:vertAlign w:val="baseline"/>
              </w:rPr>
            </w:pPr>
          </w:p>
        </w:tc>
        <w:tc>
          <w:tcPr>
            <w:tcW w:w="732" w:type="dxa"/>
            <w:noWrap w:val="0"/>
            <w:vAlign w:val="top"/>
          </w:tcPr>
          <w:p w14:paraId="4D95D444">
            <w:pPr>
              <w:spacing w:line="360" w:lineRule="auto"/>
              <w:jc w:val="left"/>
              <w:rPr>
                <w:rFonts w:hint="eastAsia" w:ascii="楷体_GB2312" w:hAnsi="楷体_GB2312" w:eastAsia="楷体_GB2312" w:cs="楷体_GB2312"/>
                <w:color w:val="auto"/>
                <w:sz w:val="24"/>
                <w:szCs w:val="24"/>
                <w:highlight w:val="none"/>
                <w:vertAlign w:val="baseline"/>
              </w:rPr>
            </w:pPr>
          </w:p>
        </w:tc>
        <w:tc>
          <w:tcPr>
            <w:tcW w:w="747" w:type="dxa"/>
            <w:noWrap w:val="0"/>
            <w:vAlign w:val="top"/>
          </w:tcPr>
          <w:p w14:paraId="11F2FEB5">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2D92263C">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2D176934">
            <w:pPr>
              <w:spacing w:line="360" w:lineRule="auto"/>
              <w:jc w:val="left"/>
              <w:rPr>
                <w:rFonts w:hint="eastAsia" w:ascii="楷体_GB2312" w:hAnsi="楷体_GB2312" w:eastAsia="楷体_GB2312" w:cs="楷体_GB2312"/>
                <w:color w:val="auto"/>
                <w:sz w:val="24"/>
                <w:szCs w:val="24"/>
                <w:highlight w:val="none"/>
                <w:vertAlign w:val="baseline"/>
              </w:rPr>
            </w:pPr>
          </w:p>
        </w:tc>
        <w:tc>
          <w:tcPr>
            <w:tcW w:w="1377" w:type="dxa"/>
            <w:noWrap w:val="0"/>
            <w:vAlign w:val="top"/>
          </w:tcPr>
          <w:p w14:paraId="7C2FAFB8">
            <w:pPr>
              <w:spacing w:line="360" w:lineRule="auto"/>
              <w:jc w:val="left"/>
              <w:rPr>
                <w:rFonts w:hint="eastAsia" w:ascii="楷体_GB2312" w:hAnsi="楷体_GB2312" w:eastAsia="楷体_GB2312" w:cs="楷体_GB2312"/>
                <w:color w:val="auto"/>
                <w:sz w:val="24"/>
                <w:szCs w:val="24"/>
                <w:highlight w:val="none"/>
                <w:vertAlign w:val="baseline"/>
              </w:rPr>
            </w:pPr>
          </w:p>
        </w:tc>
        <w:tc>
          <w:tcPr>
            <w:tcW w:w="910" w:type="dxa"/>
            <w:noWrap w:val="0"/>
            <w:vAlign w:val="top"/>
          </w:tcPr>
          <w:p w14:paraId="2CF8A171">
            <w:pPr>
              <w:spacing w:line="360" w:lineRule="auto"/>
              <w:jc w:val="left"/>
              <w:rPr>
                <w:rFonts w:hint="eastAsia" w:ascii="楷体_GB2312" w:hAnsi="楷体_GB2312" w:eastAsia="楷体_GB2312" w:cs="楷体_GB2312"/>
                <w:color w:val="auto"/>
                <w:sz w:val="24"/>
                <w:szCs w:val="24"/>
                <w:highlight w:val="none"/>
                <w:vertAlign w:val="baseline"/>
              </w:rPr>
            </w:pPr>
          </w:p>
        </w:tc>
      </w:tr>
      <w:tr w14:paraId="290B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14:paraId="4F023C70">
            <w:pPr>
              <w:spacing w:line="360" w:lineRule="auto"/>
              <w:jc w:val="left"/>
              <w:rPr>
                <w:rFonts w:hint="eastAsia" w:ascii="楷体_GB2312" w:hAnsi="楷体_GB2312" w:eastAsia="楷体_GB2312" w:cs="楷体_GB2312"/>
                <w:color w:val="auto"/>
                <w:sz w:val="24"/>
                <w:szCs w:val="24"/>
                <w:highlight w:val="none"/>
                <w:vertAlign w:val="baseline"/>
              </w:rPr>
            </w:pPr>
          </w:p>
        </w:tc>
        <w:tc>
          <w:tcPr>
            <w:tcW w:w="721" w:type="dxa"/>
            <w:noWrap w:val="0"/>
            <w:vAlign w:val="top"/>
          </w:tcPr>
          <w:p w14:paraId="3A5E82B4">
            <w:pPr>
              <w:spacing w:line="360" w:lineRule="auto"/>
              <w:jc w:val="left"/>
              <w:rPr>
                <w:rFonts w:hint="eastAsia" w:ascii="楷体_GB2312" w:hAnsi="楷体_GB2312" w:eastAsia="楷体_GB2312" w:cs="楷体_GB2312"/>
                <w:color w:val="auto"/>
                <w:sz w:val="24"/>
                <w:szCs w:val="24"/>
                <w:highlight w:val="none"/>
                <w:vertAlign w:val="baseline"/>
              </w:rPr>
            </w:pPr>
          </w:p>
        </w:tc>
        <w:tc>
          <w:tcPr>
            <w:tcW w:w="1588" w:type="dxa"/>
            <w:noWrap w:val="0"/>
            <w:vAlign w:val="top"/>
          </w:tcPr>
          <w:p w14:paraId="5A0BAF17">
            <w:pPr>
              <w:spacing w:line="360" w:lineRule="auto"/>
              <w:jc w:val="left"/>
              <w:rPr>
                <w:rFonts w:hint="eastAsia" w:ascii="楷体_GB2312" w:hAnsi="楷体_GB2312" w:eastAsia="楷体_GB2312" w:cs="楷体_GB2312"/>
                <w:color w:val="auto"/>
                <w:sz w:val="24"/>
                <w:szCs w:val="24"/>
                <w:highlight w:val="none"/>
                <w:vertAlign w:val="baseline"/>
              </w:rPr>
            </w:pPr>
          </w:p>
        </w:tc>
        <w:tc>
          <w:tcPr>
            <w:tcW w:w="732" w:type="dxa"/>
            <w:noWrap w:val="0"/>
            <w:vAlign w:val="top"/>
          </w:tcPr>
          <w:p w14:paraId="42A3509F">
            <w:pPr>
              <w:spacing w:line="360" w:lineRule="auto"/>
              <w:jc w:val="left"/>
              <w:rPr>
                <w:rFonts w:hint="eastAsia" w:ascii="楷体_GB2312" w:hAnsi="楷体_GB2312" w:eastAsia="楷体_GB2312" w:cs="楷体_GB2312"/>
                <w:color w:val="auto"/>
                <w:sz w:val="24"/>
                <w:szCs w:val="24"/>
                <w:highlight w:val="none"/>
                <w:vertAlign w:val="baseline"/>
              </w:rPr>
            </w:pPr>
          </w:p>
        </w:tc>
        <w:tc>
          <w:tcPr>
            <w:tcW w:w="747" w:type="dxa"/>
            <w:noWrap w:val="0"/>
            <w:vAlign w:val="top"/>
          </w:tcPr>
          <w:p w14:paraId="289B23BB">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0B04B9CD">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11A19C93">
            <w:pPr>
              <w:spacing w:line="360" w:lineRule="auto"/>
              <w:jc w:val="left"/>
              <w:rPr>
                <w:rFonts w:hint="eastAsia" w:ascii="楷体_GB2312" w:hAnsi="楷体_GB2312" w:eastAsia="楷体_GB2312" w:cs="楷体_GB2312"/>
                <w:color w:val="auto"/>
                <w:sz w:val="24"/>
                <w:szCs w:val="24"/>
                <w:highlight w:val="none"/>
                <w:vertAlign w:val="baseline"/>
              </w:rPr>
            </w:pPr>
          </w:p>
        </w:tc>
        <w:tc>
          <w:tcPr>
            <w:tcW w:w="1377" w:type="dxa"/>
            <w:noWrap w:val="0"/>
            <w:vAlign w:val="top"/>
          </w:tcPr>
          <w:p w14:paraId="52730B9F">
            <w:pPr>
              <w:spacing w:line="360" w:lineRule="auto"/>
              <w:jc w:val="left"/>
              <w:rPr>
                <w:rFonts w:hint="eastAsia" w:ascii="楷体_GB2312" w:hAnsi="楷体_GB2312" w:eastAsia="楷体_GB2312" w:cs="楷体_GB2312"/>
                <w:color w:val="auto"/>
                <w:sz w:val="24"/>
                <w:szCs w:val="24"/>
                <w:highlight w:val="none"/>
                <w:vertAlign w:val="baseline"/>
              </w:rPr>
            </w:pPr>
          </w:p>
        </w:tc>
        <w:tc>
          <w:tcPr>
            <w:tcW w:w="910" w:type="dxa"/>
            <w:noWrap w:val="0"/>
            <w:vAlign w:val="top"/>
          </w:tcPr>
          <w:p w14:paraId="50EDAE51">
            <w:pPr>
              <w:spacing w:line="360" w:lineRule="auto"/>
              <w:jc w:val="left"/>
              <w:rPr>
                <w:rFonts w:hint="eastAsia" w:ascii="楷体_GB2312" w:hAnsi="楷体_GB2312" w:eastAsia="楷体_GB2312" w:cs="楷体_GB2312"/>
                <w:color w:val="auto"/>
                <w:sz w:val="24"/>
                <w:szCs w:val="24"/>
                <w:highlight w:val="none"/>
                <w:vertAlign w:val="baseline"/>
              </w:rPr>
            </w:pPr>
          </w:p>
        </w:tc>
      </w:tr>
      <w:tr w14:paraId="2586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14:paraId="6D8A3046">
            <w:pPr>
              <w:spacing w:line="360" w:lineRule="auto"/>
              <w:jc w:val="left"/>
              <w:rPr>
                <w:rFonts w:hint="eastAsia" w:ascii="楷体_GB2312" w:hAnsi="楷体_GB2312" w:eastAsia="楷体_GB2312" w:cs="楷体_GB2312"/>
                <w:color w:val="auto"/>
                <w:sz w:val="24"/>
                <w:szCs w:val="24"/>
                <w:highlight w:val="none"/>
                <w:vertAlign w:val="baseline"/>
              </w:rPr>
            </w:pPr>
          </w:p>
        </w:tc>
        <w:tc>
          <w:tcPr>
            <w:tcW w:w="721" w:type="dxa"/>
            <w:noWrap w:val="0"/>
            <w:vAlign w:val="top"/>
          </w:tcPr>
          <w:p w14:paraId="125276E3">
            <w:pPr>
              <w:spacing w:line="360" w:lineRule="auto"/>
              <w:jc w:val="left"/>
              <w:rPr>
                <w:rFonts w:hint="eastAsia" w:ascii="楷体_GB2312" w:hAnsi="楷体_GB2312" w:eastAsia="楷体_GB2312" w:cs="楷体_GB2312"/>
                <w:color w:val="auto"/>
                <w:sz w:val="24"/>
                <w:szCs w:val="24"/>
                <w:highlight w:val="none"/>
                <w:vertAlign w:val="baseline"/>
              </w:rPr>
            </w:pPr>
          </w:p>
        </w:tc>
        <w:tc>
          <w:tcPr>
            <w:tcW w:w="1588" w:type="dxa"/>
            <w:noWrap w:val="0"/>
            <w:vAlign w:val="top"/>
          </w:tcPr>
          <w:p w14:paraId="1E98FD1C">
            <w:pPr>
              <w:spacing w:line="360" w:lineRule="auto"/>
              <w:jc w:val="left"/>
              <w:rPr>
                <w:rFonts w:hint="eastAsia" w:ascii="楷体_GB2312" w:hAnsi="楷体_GB2312" w:eastAsia="楷体_GB2312" w:cs="楷体_GB2312"/>
                <w:color w:val="auto"/>
                <w:sz w:val="24"/>
                <w:szCs w:val="24"/>
                <w:highlight w:val="none"/>
                <w:vertAlign w:val="baseline"/>
              </w:rPr>
            </w:pPr>
          </w:p>
        </w:tc>
        <w:tc>
          <w:tcPr>
            <w:tcW w:w="732" w:type="dxa"/>
            <w:noWrap w:val="0"/>
            <w:vAlign w:val="top"/>
          </w:tcPr>
          <w:p w14:paraId="05271599">
            <w:pPr>
              <w:spacing w:line="360" w:lineRule="auto"/>
              <w:jc w:val="left"/>
              <w:rPr>
                <w:rFonts w:hint="eastAsia" w:ascii="楷体_GB2312" w:hAnsi="楷体_GB2312" w:eastAsia="楷体_GB2312" w:cs="楷体_GB2312"/>
                <w:color w:val="auto"/>
                <w:sz w:val="24"/>
                <w:szCs w:val="24"/>
                <w:highlight w:val="none"/>
                <w:vertAlign w:val="baseline"/>
              </w:rPr>
            </w:pPr>
          </w:p>
        </w:tc>
        <w:tc>
          <w:tcPr>
            <w:tcW w:w="747" w:type="dxa"/>
            <w:noWrap w:val="0"/>
            <w:vAlign w:val="top"/>
          </w:tcPr>
          <w:p w14:paraId="50915DBC">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53E8E72C">
            <w:pPr>
              <w:spacing w:line="360" w:lineRule="auto"/>
              <w:jc w:val="left"/>
              <w:rPr>
                <w:rFonts w:hint="eastAsia" w:ascii="楷体_GB2312" w:hAnsi="楷体_GB2312" w:eastAsia="楷体_GB2312" w:cs="楷体_GB2312"/>
                <w:color w:val="auto"/>
                <w:sz w:val="24"/>
                <w:szCs w:val="24"/>
                <w:highlight w:val="none"/>
                <w:vertAlign w:val="baseline"/>
              </w:rPr>
            </w:pPr>
          </w:p>
        </w:tc>
        <w:tc>
          <w:tcPr>
            <w:tcW w:w="947" w:type="dxa"/>
            <w:noWrap w:val="0"/>
            <w:vAlign w:val="top"/>
          </w:tcPr>
          <w:p w14:paraId="684918B5">
            <w:pPr>
              <w:spacing w:line="360" w:lineRule="auto"/>
              <w:jc w:val="left"/>
              <w:rPr>
                <w:rFonts w:hint="eastAsia" w:ascii="楷体_GB2312" w:hAnsi="楷体_GB2312" w:eastAsia="楷体_GB2312" w:cs="楷体_GB2312"/>
                <w:color w:val="auto"/>
                <w:sz w:val="24"/>
                <w:szCs w:val="24"/>
                <w:highlight w:val="none"/>
                <w:vertAlign w:val="baseline"/>
              </w:rPr>
            </w:pPr>
          </w:p>
        </w:tc>
        <w:tc>
          <w:tcPr>
            <w:tcW w:w="1377" w:type="dxa"/>
            <w:noWrap w:val="0"/>
            <w:vAlign w:val="top"/>
          </w:tcPr>
          <w:p w14:paraId="7500F9D9">
            <w:pPr>
              <w:spacing w:line="360" w:lineRule="auto"/>
              <w:jc w:val="left"/>
              <w:rPr>
                <w:rFonts w:hint="eastAsia" w:ascii="楷体_GB2312" w:hAnsi="楷体_GB2312" w:eastAsia="楷体_GB2312" w:cs="楷体_GB2312"/>
                <w:color w:val="auto"/>
                <w:sz w:val="24"/>
                <w:szCs w:val="24"/>
                <w:highlight w:val="none"/>
                <w:vertAlign w:val="baseline"/>
              </w:rPr>
            </w:pPr>
          </w:p>
        </w:tc>
        <w:tc>
          <w:tcPr>
            <w:tcW w:w="910" w:type="dxa"/>
            <w:noWrap w:val="0"/>
            <w:vAlign w:val="top"/>
          </w:tcPr>
          <w:p w14:paraId="28BBA709">
            <w:pPr>
              <w:spacing w:line="360" w:lineRule="auto"/>
              <w:jc w:val="left"/>
              <w:rPr>
                <w:rFonts w:hint="eastAsia" w:ascii="楷体_GB2312" w:hAnsi="楷体_GB2312" w:eastAsia="楷体_GB2312" w:cs="楷体_GB2312"/>
                <w:color w:val="auto"/>
                <w:sz w:val="24"/>
                <w:szCs w:val="24"/>
                <w:highlight w:val="none"/>
                <w:vertAlign w:val="baseline"/>
              </w:rPr>
            </w:pPr>
          </w:p>
        </w:tc>
      </w:tr>
    </w:tbl>
    <w:p w14:paraId="5DD3C630">
      <w:pPr>
        <w:pStyle w:val="3"/>
        <w:rPr>
          <w:color w:val="auto"/>
          <w:highlight w:val="none"/>
        </w:rPr>
        <w:sectPr>
          <w:pgSz w:w="11906" w:h="16838"/>
          <w:pgMar w:top="2098" w:right="1474" w:bottom="1984" w:left="1587" w:header="850" w:footer="1587" w:gutter="0"/>
          <w:pgNumType w:fmt="numberInDash"/>
          <w:cols w:space="0" w:num="1"/>
          <w:rtlGutter w:val="0"/>
          <w:docGrid w:type="lines" w:linePitch="440" w:charSpace="0"/>
        </w:sectPr>
      </w:pPr>
    </w:p>
    <w:p w14:paraId="378A0425">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eastAsia="仿宋_GB2312"/>
          <w:b/>
          <w:color w:val="auto"/>
          <w:sz w:val="32"/>
          <w:szCs w:val="32"/>
          <w:highlight w:val="none"/>
          <w:lang w:val="en-US" w:eastAsia="zh-CN"/>
        </w:rPr>
      </w:pPr>
      <w:r>
        <w:rPr>
          <w:rFonts w:hint="eastAsia" w:ascii="黑体" w:hAnsi="黑体" w:eastAsia="黑体" w:cs="黑体"/>
          <w:b w:val="0"/>
          <w:color w:val="auto"/>
          <w:kern w:val="0"/>
          <w:sz w:val="32"/>
          <w:szCs w:val="32"/>
          <w:highlight w:val="none"/>
          <w:lang w:val="en-US" w:eastAsia="zh-CN"/>
        </w:rPr>
        <w:t>附件12：</w:t>
      </w:r>
    </w:p>
    <w:p w14:paraId="651A20F8">
      <w:pPr>
        <w:keepNext w:val="0"/>
        <w:keepLines w:val="0"/>
        <w:pageBreakBefore w:val="0"/>
        <w:kinsoku/>
        <w:wordWrap/>
        <w:overflowPunct/>
        <w:topLinePunct w:val="0"/>
        <w:autoSpaceDE/>
        <w:autoSpaceDN/>
        <w:bidi w:val="0"/>
        <w:adjustRightInd/>
        <w:spacing w:line="560" w:lineRule="exact"/>
        <w:jc w:val="center"/>
        <w:textAlignment w:val="auto"/>
        <w:rPr>
          <w:rFonts w:hint="eastAsia" w:ascii="仿宋_GB2312" w:hAnsi="Calibri" w:eastAsia="仿宋_GB2312" w:cs="Times New Roman"/>
          <w:b/>
          <w:color w:val="auto"/>
          <w:sz w:val="44"/>
          <w:szCs w:val="44"/>
          <w:highlight w:val="none"/>
        </w:rPr>
      </w:pPr>
    </w:p>
    <w:p w14:paraId="251932AA">
      <w:pPr>
        <w:keepNext w:val="0"/>
        <w:keepLines w:val="0"/>
        <w:pageBreakBefore w:val="0"/>
        <w:kinsoku/>
        <w:wordWrap/>
        <w:overflowPunct/>
        <w:topLinePunct w:val="0"/>
        <w:autoSpaceDE/>
        <w:autoSpaceDN/>
        <w:bidi w:val="0"/>
        <w:adjustRightInd/>
        <w:spacing w:line="560" w:lineRule="exact"/>
        <w:jc w:val="center"/>
        <w:textAlignment w:val="auto"/>
        <w:rPr>
          <w:rFonts w:hint="eastAsia" w:asciiTheme="majorEastAsia" w:hAnsiTheme="majorEastAsia" w:eastAsiaTheme="majorEastAsia" w:cstheme="majorEastAsia"/>
          <w:b w:val="0"/>
          <w:bCs/>
          <w:color w:val="auto"/>
          <w:sz w:val="44"/>
          <w:szCs w:val="44"/>
          <w:highlight w:val="none"/>
        </w:rPr>
      </w:pPr>
      <w:r>
        <w:rPr>
          <w:rFonts w:hint="eastAsia" w:asciiTheme="majorEastAsia" w:hAnsiTheme="majorEastAsia" w:eastAsiaTheme="majorEastAsia" w:cstheme="majorEastAsia"/>
          <w:b w:val="0"/>
          <w:bCs/>
          <w:color w:val="auto"/>
          <w:sz w:val="44"/>
          <w:szCs w:val="44"/>
          <w:highlight w:val="none"/>
        </w:rPr>
        <w:t>工人工资专用账户总包代发协议</w:t>
      </w:r>
    </w:p>
    <w:p w14:paraId="55D39CB2">
      <w:pPr>
        <w:keepNext w:val="0"/>
        <w:keepLines w:val="0"/>
        <w:pageBreakBefore w:val="0"/>
        <w:widowControl w:val="0"/>
        <w:tabs>
          <w:tab w:val="left" w:pos="66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1FBF6485">
      <w:pPr>
        <w:keepNext w:val="0"/>
        <w:keepLines w:val="0"/>
        <w:pageBreakBefore w:val="0"/>
        <w:widowControl w:val="0"/>
        <w:tabs>
          <w:tab w:val="left" w:pos="666"/>
        </w:tabs>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甲方（施工总承包单位）</w:t>
      </w:r>
      <w:r>
        <w:rPr>
          <w:rFonts w:hint="eastAsia" w:ascii="仿宋_GB2312" w:hAnsi="仿宋_GB2312" w:eastAsia="仿宋_GB2312" w:cs="仿宋_GB2312"/>
          <w:color w:val="auto"/>
          <w:sz w:val="32"/>
          <w:szCs w:val="32"/>
          <w:highlight w:val="none"/>
          <w:u w:val="single"/>
          <w:lang w:val="en-US" w:eastAsia="zh-CN"/>
        </w:rPr>
        <w:t>：广东省源天工程有限公司</w:t>
      </w:r>
      <w:r>
        <w:rPr>
          <w:rFonts w:hint="eastAsia" w:ascii="仿宋_GB2312" w:hAnsi="仿宋_GB2312" w:eastAsia="仿宋_GB2312" w:cs="仿宋_GB2312"/>
          <w:color w:val="auto"/>
          <w:sz w:val="32"/>
          <w:szCs w:val="32"/>
          <w:highlight w:val="none"/>
          <w:lang w:val="en-US" w:eastAsia="zh-CN"/>
        </w:rPr>
        <w:t xml:space="preserve">  </w:t>
      </w:r>
    </w:p>
    <w:p w14:paraId="7EAE2690">
      <w:pPr>
        <w:keepNext w:val="0"/>
        <w:keepLines w:val="0"/>
        <w:pageBreakBefore w:val="0"/>
        <w:widowControl w:val="0"/>
        <w:tabs>
          <w:tab w:val="left" w:pos="66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乙方（劳务分包单位）</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p>
    <w:p w14:paraId="0B1B7A6F">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ascii="宋体" w:hAnsi="宋体" w:cs="宋体"/>
          <w:color w:val="auto"/>
          <w:sz w:val="28"/>
          <w:szCs w:val="36"/>
          <w:highlight w:val="none"/>
        </w:rPr>
      </w:pPr>
      <w:r>
        <w:rPr>
          <w:rFonts w:hint="eastAsia" w:ascii="仿宋_GB2312" w:hAnsi="仿宋_GB2312" w:eastAsia="仿宋_GB2312" w:cs="仿宋_GB2312"/>
          <w:color w:val="auto"/>
          <w:sz w:val="32"/>
          <w:szCs w:val="32"/>
          <w:highlight w:val="none"/>
          <w:lang w:val="en-US" w:eastAsia="zh-CN"/>
        </w:rPr>
        <w:t>甲乙双方于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日签订了关于增城区开发区下沉式污水处理厂及配套管网工程设计采购施工总承包标段二《增城区开发区下沉式污水处理厂新装22500kVA配电工程专业分包合同》（以下简称“原合同”，</w:t>
      </w:r>
      <w:bookmarkStart w:id="1882" w:name="_Hlk7207672"/>
      <w:r>
        <w:rPr>
          <w:rFonts w:hint="eastAsia" w:ascii="仿宋_GB2312" w:hAnsi="仿宋_GB2312" w:eastAsia="仿宋_GB2312" w:cs="仿宋_GB2312"/>
          <w:color w:val="auto"/>
          <w:sz w:val="32"/>
          <w:szCs w:val="32"/>
          <w:highlight w:val="none"/>
          <w:lang w:val="en-US" w:eastAsia="zh-CN"/>
        </w:rPr>
        <w:t>合同编号：</w:t>
      </w:r>
      <w:bookmarkEnd w:id="1882"/>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根据国务院《保障农民工工资支付条例》（国令第724号）第三十一条“工程建设领域推行分包单位农民工工资委托施工总承包单位代发制度”等规定，所有在建项目一律按规定实施农民工工资总包代发制度，现经甲乙双方协商一致，由乙方委托甲方代发农民工工资：</w:t>
      </w:r>
    </w:p>
    <w:p w14:paraId="54405B02">
      <w:pPr>
        <w:keepNext w:val="0"/>
        <w:keepLines w:val="0"/>
        <w:pageBreakBefore w:val="0"/>
        <w:numPr>
          <w:ilvl w:val="0"/>
          <w:numId w:val="0"/>
        </w:numPr>
        <w:tabs>
          <w:tab w:val="left" w:pos="666"/>
        </w:tabs>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一、甲方责任</w:t>
      </w:r>
    </w:p>
    <w:p w14:paraId="3ACE5E98">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1.按照本协议约定及经乙方签字盖章确认（含农民工本人和班组长签字确认）的月度工资支付表代发放农民工工资。</w:t>
      </w:r>
    </w:p>
    <w:p w14:paraId="0BFB366C">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2.对于原合同中所约定的工程款及日后变更工程款（若有）中的农民工工资，乙方委托甲方每月通过工资专户直接存入农民工工资卡（不足一个月的临时零星用工除外）。</w:t>
      </w:r>
    </w:p>
    <w:p w14:paraId="00EA3A7F">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3.保留工人工资发放记录并向分包单位提供代发工资凭证。</w:t>
      </w:r>
    </w:p>
    <w:p w14:paraId="5EA9D29A">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4.甲方代发工人工资款项视为甲方向乙方支付原合同的工程款，甲方从前述应付给乙方的工程（结算）款中直接予以扣除。</w:t>
      </w:r>
    </w:p>
    <w:p w14:paraId="5624297F">
      <w:pPr>
        <w:keepNext w:val="0"/>
        <w:keepLines w:val="0"/>
        <w:pageBreakBefore w:val="0"/>
        <w:numPr>
          <w:ilvl w:val="0"/>
          <w:numId w:val="0"/>
        </w:numPr>
        <w:tabs>
          <w:tab w:val="left" w:pos="666"/>
        </w:tabs>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二、乙方责任</w:t>
      </w:r>
    </w:p>
    <w:p w14:paraId="38A69C9C">
      <w:pPr>
        <w:keepNext w:val="0"/>
        <w:keepLines w:val="0"/>
        <w:pageBreakBefore w:val="0"/>
        <w:numPr>
          <w:ilvl w:val="0"/>
          <w:numId w:val="0"/>
        </w:numPr>
        <w:tabs>
          <w:tab w:val="left" w:pos="666"/>
        </w:tabs>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负责申请工程进度款时，按当期人工费（合同约定比例）将工程进度款中的工人工资单列并编制月度工资支付表，经乙方签字盖章确认（含农民工本人和班组长签字确认）后报甲方审核备案。甲方根据本合同约定及经乙方签字盖章确认（含农民工本人和班组长签字确认）的月度工资支付表，经审核后通过甲方的工人工资专户直接支付至农民工本人工资卡（不足一个月的临时零星用工除外）。如因乙方提供错误、虚假的工人工资金额、资料等信息情况而导致工人工资无法按约定或政府文件要求支付的，由乙方承担由此引起的一切法律责任。</w:t>
      </w:r>
    </w:p>
    <w:p w14:paraId="30830BA0">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甲方代发工人工资前，乙方除了每月提供月度工资支付表，还需将劳务工人的花名册、劳动合同、考勤表、身份证复印件、工人手持劳动合同的照片整理好交给甲方备案，若劳务工人属乙方外聘劳务公司的，需将乙方与劳务公司签订的劳务合同（复印件）交予甲方。</w:t>
      </w:r>
    </w:p>
    <w:p w14:paraId="6739B564">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3.乙方负责其所聘请的农民工考勤、确认每月的工作量及编制月度工资支付表，每月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日前乙方将签字盖章确认（含农民工本人和班组长签字确认）的工资支付表报送甲方，并于每月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日前自行将聘请的农民工信息录入</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市建设领域管理应用信息平台并做好工程分包单位总包代发申请，乙方对工资支付表合法性、真实性、准确性、及时性及完整性负责。</w:t>
      </w:r>
    </w:p>
    <w:p w14:paraId="7A7FD21B">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4.按要求向甲方开具与收款金额一致、完税、有效的发票。</w:t>
      </w:r>
    </w:p>
    <w:p w14:paraId="3575D741">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5.乙方应收工程款不足支付工人工资时，乙方应先自行垫付工人工资确保每月足额发放工人工资。</w:t>
      </w:r>
    </w:p>
    <w:p w14:paraId="476C5878">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6.乙方按规定落实对工人工资负直接责任。施工期间，若发生工人工资拖欠问题，乙方须配合甲方支付和解决所欠工人工资，并承担相应的违约责任。</w:t>
      </w:r>
    </w:p>
    <w:p w14:paraId="0A665C5D">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7.乙方不得伪造出勤信息、提供虚假身份信息套取工资，不得高估冒算超出费用；不得实施占用、挪用农民工工资，或者不足额申报农民工工资等导致工人不能及时、足额领取工资的行为。</w:t>
      </w:r>
    </w:p>
    <w:p w14:paraId="75DDF0AB">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乙方有义务提供甲方要求的一切必要资料，配合甲方核查与代发工资真实性相关的信息及事项，包括但不限于农民工身份信息，出勤信息，完成工作量的信息，工资标准信息，工人实际领取、支配工资情况，已完工工程量及工程进度与工资总额是否匹配，乙方与农民工发生劳动争议的情况等。</w:t>
      </w:r>
    </w:p>
    <w:p w14:paraId="25428E21">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9.本合同签订之日起，乙方不履行或不完全履行合同义务的行为，甲方有权在履约保证金中扣减，若不足以在履约保证金扣除，甲方有权在乙方的工程进度款中抵扣。</w:t>
      </w:r>
    </w:p>
    <w:p w14:paraId="6747C644">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本工程中，甲方仅进行工人工资的代发放工作，乙方聘请的工人均应为符合相关法律规定的人员（如年龄符合法律规定等），并与乙方签订劳动合同，劳动合同内须明确工人知悉本合同甲方系受本合同乙方委托进行工资代发，明确收取工资的银行账户，清楚其是与本合同乙方建立劳动关系，如果其与乙方发生劳动争议的，与甲方无关。乙方需保证与工人的劳动合同签订率为100%，并实时将劳动合同签订情况形成台账（盖章确认）向甲方备案。</w:t>
      </w:r>
    </w:p>
    <w:p w14:paraId="6F7D1158">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乙方及其聘请的工人需缴纳的税费、社保等费用（如个人所得税、含工伤保险在内的五险一金等），由乙方自行承担申报及按国家和法律规定向相关行政部门缴纳的责任。甲方仅进行工人工资的代发放工作，不承担上述税费、社保等费用的缴纳责任。若因乙方不按国家和法律规定为工人缴纳相关费用所产生的一切经济及法律责任均由乙方承担。</w:t>
      </w:r>
    </w:p>
    <w:p w14:paraId="2E258E8F">
      <w:pPr>
        <w:keepNext w:val="0"/>
        <w:keepLines w:val="0"/>
        <w:pageBreakBefore w:val="0"/>
        <w:numPr>
          <w:ilvl w:val="0"/>
          <w:numId w:val="0"/>
        </w:numPr>
        <w:tabs>
          <w:tab w:val="left" w:pos="666"/>
        </w:tabs>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三、违约责任</w:t>
      </w:r>
    </w:p>
    <w:p w14:paraId="01BE749C">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1.乙方逾期未能按合同约定在</w:t>
      </w:r>
      <w:r>
        <w:rPr>
          <w:rFonts w:hint="eastAsia" w:ascii="仿宋_GB2312" w:hAnsi="仿宋_GB2312" w:eastAsia="仿宋_GB2312" w:cs="仿宋_GB2312"/>
          <w:color w:val="auto"/>
          <w:sz w:val="32"/>
          <w:szCs w:val="32"/>
          <w:highlight w:val="none"/>
          <w:u w:val="single"/>
          <w:lang w:val="en-US" w:eastAsia="zh-CN"/>
        </w:rPr>
        <w:t xml:space="preserve">  广州市  </w:t>
      </w:r>
      <w:r>
        <w:rPr>
          <w:rFonts w:hint="eastAsia" w:ascii="仿宋_GB2312" w:hAnsi="仿宋_GB2312" w:eastAsia="仿宋_GB2312" w:cs="仿宋_GB2312"/>
          <w:color w:val="auto"/>
          <w:sz w:val="32"/>
          <w:szCs w:val="32"/>
          <w:highlight w:val="none"/>
          <w:lang w:val="en-US" w:eastAsia="zh-CN"/>
        </w:rPr>
        <w:t>市建设领域管理应用信息平台进行工程分包单位总包代发申请，导致甲方无法发放农民工工资，为此而产生农民工投诉、闹事等情况，乙方应承担及时支付农民工工资、维稳及维护甲方声誉等相应的责任。</w:t>
      </w:r>
    </w:p>
    <w:p w14:paraId="05B6AA4C">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2.若由于乙方原因拖欠农民工工资，致使农民工出现投诉、闹事等情况，乙方应承担及时支付农民工工资、维稳及维护甲方声誉等相应的责任。</w:t>
      </w:r>
    </w:p>
    <w:p w14:paraId="504E84A6">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3.若相关政府部门或甲方发现乙方伪造出勤信息、提供虚假身份信息套取工资、高估冒算超出费用，或者拒不配合甲方核查的，甲方有权向乙方追偿相关赔偿。赔偿额难以计算的，每次违约赔偿额不少于50000元。</w:t>
      </w:r>
    </w:p>
    <w:p w14:paraId="68B6EE3F">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甲方代发工人工资所涉及的劳务工人是乙方聘用，乙方须为劳务工人购买包括工伤保险在内的社会保险。甲方代发工人工资所涉及的劳务工人与甲方不存在劳动关系、劳务关系、雇佣关系及其他权利义务。若发生的劳资纠纷、工伤赔偿纠纷等，均与甲方无关，所有责任由乙方自行承担。如因乙方未履行上述合同义务，导致甲方承担有关责任，由乙方向甲方承担全部赔偿责任。</w:t>
      </w:r>
    </w:p>
    <w:p w14:paraId="2488B69A">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5.乙方提供的代付信息（包括但不限于工人姓名、收款账户信息、工资金额等）应准确，并对提交的所有资料真实性负责。若因信息错误，导致的重复、漏发或者串户等问题，均由乙方自行承担。</w:t>
      </w:r>
    </w:p>
    <w:p w14:paraId="6876363F">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6.若由于乙方原因发生讨薪等维稳事件，乙方应当在发生事件之日起5日内解决完毕，否则甲方有权在第三方见证下解决农民工的讨薪争议，甲方因此支付的费用有权向乙方追偿，并且乙方承担 50000元/次的违约金。</w:t>
      </w:r>
    </w:p>
    <w:p w14:paraId="60C574E5">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7.因乙方原因造成甲方被第三方起诉或被申请仲裁的，甲方维权产生的费用（包括但不限于诉讼费、仲裁费、律师费、公证费、鉴定费、检测费、差旅费等）均由乙方承担。甲方有权从任一期应付乙方款项中等额扣回，如有不足由乙方另行补足，甲方有权继续向乙方追偿，并且乙方承担 50000元/次的违约金。</w:t>
      </w:r>
    </w:p>
    <w:p w14:paraId="62B0022E">
      <w:pPr>
        <w:keepNext w:val="0"/>
        <w:keepLines w:val="0"/>
        <w:pageBreakBefore w:val="0"/>
        <w:numPr>
          <w:ilvl w:val="0"/>
          <w:numId w:val="0"/>
        </w:numPr>
        <w:tabs>
          <w:tab w:val="left" w:pos="666"/>
        </w:tabs>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四、其他约定</w:t>
      </w:r>
    </w:p>
    <w:p w14:paraId="2D570C2E">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1.乙方承诺，甲方支付的农民工工资为原合同工程款的组成部分。乙方按原合同收取的每期工程款中的工人工资专用账户工资由甲方按本协议代发，其余的工程款按原合同约定支付。</w:t>
      </w:r>
    </w:p>
    <w:p w14:paraId="7CDEE58D">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2.甲方委派</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，电话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为劳资管理员，负责对工人工资的支付情况进行审核、监督、跟踪。</w:t>
      </w:r>
    </w:p>
    <w:p w14:paraId="4C9156D9">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3.乙方委派</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，电话</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为劳资管理员，负责本分包工程中乙方聘请的农民工进出场登记、用工考勤计量、工资编制、审核、上报、发放等工作。</w:t>
      </w:r>
    </w:p>
    <w:p w14:paraId="64563F42">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本委托付款协议作为原合同的补充，本委托付款协议的约定与原合同的约定有不一致的，适用本委托付款协议的约定。除与本委托服务协议的约定不一致的内容外，原合同的其余部分仍然有效，对合同双方仍然具有法律约束力。</w:t>
      </w:r>
    </w:p>
    <w:p w14:paraId="7FADF28E">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任何一方由于不可抗力的原因不能履行合同时，应及时向对方通报不能履行或不能完全履行的理由，以减轻可能给对方造成的损失，遭受不可抗力的一方可以延期履行、部分履行或者不履行合同，并根据情况可部分或全部免予承担违约责任。但不可抗力发生在违约方违约之后的除外。</w:t>
      </w:r>
    </w:p>
    <w:p w14:paraId="5DA064C0">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任何一方就本合同发给另一方的任何书面通知、函件等须以书面形式进行。该书面文件如以专人送达，以文件签收时视为对方已接收；如以邮件寄形式送达，须以中国邮政EMS邮件方式，对方签收或拒签视为送达。若因预留地址、名称有误或有变更（应当在该变更发生后的7天之内书面通知对方）而未书面通知另一方的，自邮件注明不能送达原因的日期，视为送达。除非另行书面通知，双方对通讯送达地址确认。</w:t>
      </w:r>
    </w:p>
    <w:p w14:paraId="48C4BA1C">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双方确认送达地址如下：</w:t>
      </w:r>
    </w:p>
    <w:p w14:paraId="40BA374B">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甲方送达地址：</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54A9F54E">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u w:val="singl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邮政编码：</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电话：</w:t>
      </w:r>
      <w:r>
        <w:rPr>
          <w:rFonts w:hint="eastAsia" w:ascii="仿宋_GB2312" w:hAnsi="仿宋_GB2312" w:eastAsia="仿宋_GB2312" w:cs="仿宋_GB2312"/>
          <w:color w:val="auto"/>
          <w:kern w:val="2"/>
          <w:sz w:val="32"/>
          <w:szCs w:val="32"/>
          <w:highlight w:val="none"/>
          <w:u w:val="single"/>
          <w:lang w:val="en-US" w:eastAsia="zh-CN" w:bidi="ar-SA"/>
        </w:rPr>
        <w:t xml:space="preserve">               </w:t>
      </w:r>
    </w:p>
    <w:p w14:paraId="57F17D09">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乙方送达地址：</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 xml:space="preserve">                      </w:t>
      </w:r>
    </w:p>
    <w:p w14:paraId="54E5F5C9">
      <w:pPr>
        <w:pStyle w:val="9"/>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宋体" w:hAnsi="宋体" w:cs="宋体"/>
          <w:color w:val="auto"/>
          <w:sz w:val="28"/>
          <w:szCs w:val="36"/>
          <w:highlight w:val="none"/>
          <w:u w:val="single"/>
          <w:lang w:eastAsia="zh-CN"/>
        </w:rPr>
      </w:pPr>
      <w:r>
        <w:rPr>
          <w:rFonts w:hint="eastAsia" w:ascii="仿宋_GB2312" w:hAnsi="仿宋_GB2312" w:eastAsia="仿宋_GB2312" w:cs="仿宋_GB2312"/>
          <w:color w:val="auto"/>
          <w:kern w:val="2"/>
          <w:sz w:val="32"/>
          <w:szCs w:val="32"/>
          <w:highlight w:val="none"/>
          <w:lang w:val="en-US" w:eastAsia="zh-CN" w:bidi="ar-SA"/>
        </w:rPr>
        <w:t>邮政编码：</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电话：</w:t>
      </w:r>
      <w:r>
        <w:rPr>
          <w:rFonts w:hint="eastAsia" w:ascii="仿宋_GB2312" w:hAnsi="仿宋_GB2312" w:eastAsia="仿宋_GB2312" w:cs="仿宋_GB2312"/>
          <w:b w:val="0"/>
          <w:bCs w:val="0"/>
          <w:color w:val="auto"/>
          <w:kern w:val="2"/>
          <w:sz w:val="32"/>
          <w:szCs w:val="32"/>
          <w:highlight w:val="none"/>
          <w:u w:val="single"/>
          <w:lang w:val="en-US" w:eastAsia="zh-CN" w:bidi="ar-SA"/>
        </w:rPr>
        <w:t xml:space="preserve">                </w:t>
      </w:r>
    </w:p>
    <w:p w14:paraId="6CE92DE9">
      <w:pPr>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7.本协议一式</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份，甲方执</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份，乙方执</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份，双方签名盖章后生效。</w:t>
      </w:r>
    </w:p>
    <w:p w14:paraId="7F1B46E4">
      <w:pPr>
        <w:keepNext w:val="0"/>
        <w:keepLines w:val="0"/>
        <w:pageBreakBefore w:val="0"/>
        <w:tabs>
          <w:tab w:val="left" w:pos="0"/>
        </w:tabs>
        <w:kinsoku/>
        <w:wordWrap/>
        <w:overflowPunct/>
        <w:topLinePunct w:val="0"/>
        <w:autoSpaceDE/>
        <w:autoSpaceDN/>
        <w:bidi w:val="0"/>
        <w:adjustRightInd/>
        <w:spacing w:line="560" w:lineRule="exact"/>
        <w:textAlignment w:val="auto"/>
        <w:rPr>
          <w:rFonts w:hint="eastAsia" w:ascii="Calibri" w:hAnsi="Calibri" w:eastAsia="宋体" w:cs="Times New Roman"/>
          <w:color w:val="auto"/>
          <w:sz w:val="28"/>
          <w:szCs w:val="28"/>
          <w:highlight w:val="none"/>
        </w:rPr>
      </w:pPr>
    </w:p>
    <w:p w14:paraId="6E1951AD">
      <w:pPr>
        <w:keepNext w:val="0"/>
        <w:keepLines w:val="0"/>
        <w:pageBreakBefore w:val="0"/>
        <w:tabs>
          <w:tab w:val="left" w:pos="0"/>
        </w:tabs>
        <w:kinsoku/>
        <w:wordWrap/>
        <w:overflowPunct/>
        <w:topLinePunct w:val="0"/>
        <w:autoSpaceDE/>
        <w:autoSpaceDN/>
        <w:bidi w:val="0"/>
        <w:adjustRightInd/>
        <w:spacing w:line="560" w:lineRule="exact"/>
        <w:textAlignment w:val="auto"/>
        <w:rPr>
          <w:rFonts w:hint="eastAsia" w:ascii="Calibri" w:hAnsi="Calibri" w:eastAsia="宋体" w:cs="Times New Roman"/>
          <w:color w:val="auto"/>
          <w:sz w:val="28"/>
          <w:szCs w:val="28"/>
          <w:highlight w:val="none"/>
        </w:rPr>
      </w:pPr>
    </w:p>
    <w:p w14:paraId="4ED0FD5A">
      <w:pPr>
        <w:keepNext w:val="0"/>
        <w:keepLines w:val="0"/>
        <w:pageBreakBefore w:val="0"/>
        <w:tabs>
          <w:tab w:val="left" w:pos="0"/>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甲方：（盖章）广东省源天工程有限公司 乙方（盖章）：</w:t>
      </w:r>
    </w:p>
    <w:p w14:paraId="550BBEDA">
      <w:pPr>
        <w:keepNext w:val="0"/>
        <w:keepLines w:val="0"/>
        <w:pageBreakBefore w:val="0"/>
        <w:tabs>
          <w:tab w:val="left" w:pos="0"/>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                        </w:t>
      </w:r>
    </w:p>
    <w:p w14:paraId="35EAD294">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法定代表人/签约人：                 法定代表人/签约人：</w:t>
      </w:r>
    </w:p>
    <w:p w14:paraId="4ADC66D8">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0E0112A2">
      <w:pPr>
        <w:keepNext w:val="0"/>
        <w:keepLines w:val="0"/>
        <w:pageBreakBefore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color w:val="auto"/>
          <w:kern w:val="2"/>
          <w:sz w:val="32"/>
          <w:szCs w:val="32"/>
          <w:highlight w:val="none"/>
          <w:lang w:val="en-US" w:eastAsia="zh-CN" w:bidi="ar-SA"/>
        </w:rPr>
      </w:pPr>
    </w:p>
    <w:p w14:paraId="7539D8B5">
      <w:pPr>
        <w:keepNext w:val="0"/>
        <w:keepLines w:val="0"/>
        <w:pageBreakBefore w:val="0"/>
        <w:kinsoku/>
        <w:wordWrap/>
        <w:overflowPunct/>
        <w:topLinePunct w:val="0"/>
        <w:autoSpaceDE/>
        <w:autoSpaceDN/>
        <w:bidi w:val="0"/>
        <w:adjustRightInd/>
        <w:spacing w:line="560" w:lineRule="exact"/>
        <w:jc w:val="righ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日期：</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年</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月</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日</w:t>
      </w:r>
    </w:p>
    <w:p w14:paraId="6AE50ABB">
      <w:pPr>
        <w:pStyle w:val="3"/>
        <w:pageBreakBefore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bCs w:val="0"/>
          <w:color w:val="auto"/>
          <w:sz w:val="36"/>
          <w:szCs w:val="36"/>
          <w:highlight w:val="none"/>
        </w:rPr>
      </w:pPr>
    </w:p>
    <w:p w14:paraId="1467705A">
      <w:pPr>
        <w:rPr>
          <w:rFonts w:hint="eastAsia" w:ascii="方正小标宋简体" w:hAnsi="方正小标宋简体" w:eastAsia="方正小标宋简体" w:cs="方正小标宋简体"/>
          <w:bCs w:val="0"/>
          <w:color w:val="auto"/>
          <w:sz w:val="36"/>
          <w:szCs w:val="36"/>
          <w:highlight w:val="none"/>
        </w:rPr>
      </w:pPr>
    </w:p>
    <w:p w14:paraId="710F0332">
      <w:pPr>
        <w:rPr>
          <w:rFonts w:hint="eastAsia" w:ascii="方正小标宋简体" w:hAnsi="方正小标宋简体" w:eastAsia="方正小标宋简体" w:cs="方正小标宋简体"/>
          <w:bCs w:val="0"/>
          <w:color w:val="auto"/>
          <w:sz w:val="36"/>
          <w:szCs w:val="36"/>
          <w:highlight w:val="none"/>
        </w:rPr>
      </w:pPr>
    </w:p>
    <w:p w14:paraId="2509ED4C">
      <w:pPr>
        <w:rPr>
          <w:rFonts w:hint="eastAsia" w:ascii="方正小标宋简体" w:hAnsi="方正小标宋简体" w:eastAsia="方正小标宋简体" w:cs="方正小标宋简体"/>
          <w:bCs w:val="0"/>
          <w:color w:val="auto"/>
          <w:sz w:val="36"/>
          <w:szCs w:val="36"/>
          <w:highlight w:val="none"/>
        </w:rPr>
      </w:pPr>
    </w:p>
    <w:p w14:paraId="36AAFBDF">
      <w:pPr>
        <w:pStyle w:val="3"/>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sectPr>
          <w:footerReference r:id="rId10" w:type="default"/>
          <w:pgSz w:w="11906" w:h="16838"/>
          <w:pgMar w:top="2098" w:right="1474" w:bottom="1984" w:left="1587" w:header="851" w:footer="992" w:gutter="0"/>
          <w:pgNumType w:fmt="numberInDash"/>
          <w:cols w:space="720" w:num="1"/>
          <w:docGrid w:type="lines" w:linePitch="312" w:charSpace="0"/>
        </w:sectPr>
      </w:pPr>
    </w:p>
    <w:p w14:paraId="1A7408A6">
      <w:pPr>
        <w:pStyle w:val="3"/>
        <w:pageBreakBefore w:val="0"/>
        <w:widowControl w:val="0"/>
        <w:kinsoku/>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val="en-US" w:eastAsia="zh-CN"/>
        </w:rPr>
        <w:t>附件13：</w:t>
      </w:r>
    </w:p>
    <w:p w14:paraId="553FF53C">
      <w:pPr>
        <w:pStyle w:val="3"/>
        <w:pageBreakBefore w:val="0"/>
        <w:widowControl w:val="0"/>
        <w:kinsoku/>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val="0"/>
          <w:bCs/>
          <w:color w:val="auto"/>
          <w:sz w:val="36"/>
          <w:szCs w:val="36"/>
          <w:highlight w:val="none"/>
        </w:rPr>
      </w:pPr>
      <w:r>
        <w:rPr>
          <w:rFonts w:hint="eastAsia" w:asciiTheme="majorEastAsia" w:hAnsiTheme="majorEastAsia" w:eastAsiaTheme="majorEastAsia" w:cstheme="majorEastAsia"/>
          <w:b w:val="0"/>
          <w:bCs/>
          <w:color w:val="auto"/>
          <w:sz w:val="36"/>
          <w:szCs w:val="36"/>
          <w:highlight w:val="none"/>
          <w:u w:val="single"/>
        </w:rPr>
        <w:t>增城区开发区下沉式污水处理厂及配套管网工程设计采购施工总承包标段二</w:t>
      </w:r>
    </w:p>
    <w:p w14:paraId="6BFAC371">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Theme="majorEastAsia" w:hAnsiTheme="majorEastAsia" w:eastAsiaTheme="majorEastAsia" w:cstheme="majorEastAsia"/>
          <w:b w:val="0"/>
          <w:bCs/>
          <w:color w:val="auto"/>
          <w:sz w:val="36"/>
          <w:szCs w:val="36"/>
          <w:highlight w:val="none"/>
          <w:u w:val="single"/>
        </w:rPr>
        <w:t>增城区开发区下沉式污水处理厂新装22500kVA配电工程专业分包合同</w:t>
      </w:r>
      <w:r>
        <w:rPr>
          <w:rFonts w:hint="eastAsia" w:asciiTheme="majorEastAsia" w:hAnsiTheme="majorEastAsia" w:eastAsiaTheme="majorEastAsia" w:cstheme="majorEastAsia"/>
          <w:b w:val="0"/>
          <w:bCs/>
          <w:color w:val="auto"/>
          <w:sz w:val="36"/>
          <w:szCs w:val="36"/>
          <w:highlight w:val="none"/>
        </w:rPr>
        <w:t>工人工资代发委托书</w:t>
      </w:r>
    </w:p>
    <w:p w14:paraId="789E9FE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t>广东省源天工程有限公司：</w:t>
      </w:r>
    </w:p>
    <w:p w14:paraId="58F746A5">
      <w:pPr>
        <w:keepNext w:val="0"/>
        <w:keepLines w:val="0"/>
        <w:pageBreakBefore w:val="0"/>
        <w:widowControl w:val="0"/>
        <w:kinsoku/>
        <w:overflowPunct/>
        <w:topLinePunct w:val="0"/>
        <w:autoSpaceDE/>
        <w:autoSpaceDN/>
        <w:bidi w:val="0"/>
        <w:adjustRightInd/>
        <w:snapToGrid/>
        <w:spacing w:line="560" w:lineRule="exact"/>
        <w:ind w:firstLine="54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兹由我司承接贵公司</w:t>
      </w:r>
      <w:r>
        <w:rPr>
          <w:rFonts w:hint="eastAsia" w:ascii="仿宋_GB2312" w:hAnsi="仿宋_GB2312" w:eastAsia="仿宋_GB2312" w:cs="仿宋_GB2312"/>
          <w:color w:val="auto"/>
          <w:sz w:val="28"/>
          <w:szCs w:val="28"/>
          <w:highlight w:val="none"/>
          <w:u w:val="single"/>
        </w:rPr>
        <w:t>增城区开发区下沉式污水处理厂及配套管网工程设计采购施工总承包标段二增城区开发区下沉式污水处理厂新装22500kVA配电工程专业分包合同</w:t>
      </w:r>
      <w:r>
        <w:rPr>
          <w:rFonts w:hint="eastAsia" w:ascii="仿宋_GB2312" w:hAnsi="仿宋_GB2312" w:eastAsia="仿宋_GB2312" w:cs="仿宋_GB2312"/>
          <w:color w:val="auto"/>
          <w:sz w:val="28"/>
          <w:szCs w:val="28"/>
          <w:highlight w:val="none"/>
        </w:rPr>
        <w:t>（合同编号：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为响应国家关于确实保障农民工权益相关政策的精神，根据《广州市住房和城乡建设局关于落实广州市建设领域工程项目全面实施农民工工资总包代发制度的通知》等相关要求，及双方签订的《工人工资专用账户总包代发协议》（合同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），现我司委托贵公司代发</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月委托人所属工人工资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u w:val="single"/>
        </w:rPr>
        <w:t xml:space="preserve">           元 </w:t>
      </w:r>
      <w:r>
        <w:rPr>
          <w:rFonts w:hint="eastAsia" w:ascii="仿宋_GB2312" w:hAnsi="仿宋_GB2312" w:eastAsia="仿宋_GB2312" w:cs="仿宋_GB2312"/>
          <w:color w:val="auto"/>
          <w:sz w:val="28"/>
          <w:szCs w:val="28"/>
          <w:highlight w:val="none"/>
        </w:rPr>
        <w:t>），具体工人名单及工资标准清单附后。</w:t>
      </w:r>
    </w:p>
    <w:p w14:paraId="543E9679">
      <w:pPr>
        <w:keepNext w:val="0"/>
        <w:keepLines w:val="0"/>
        <w:pageBreakBefore w:val="0"/>
        <w:widowControl w:val="0"/>
        <w:kinsoku/>
        <w:overflowPunct/>
        <w:topLinePunct w:val="0"/>
        <w:autoSpaceDE/>
        <w:autoSpaceDN/>
        <w:bidi w:val="0"/>
        <w:adjustRightInd/>
        <w:snapToGrid/>
        <w:spacing w:line="560" w:lineRule="exact"/>
        <w:ind w:firstLine="540"/>
        <w:jc w:val="left"/>
        <w:textAlignment w:val="auto"/>
        <w:rPr>
          <w:rFonts w:hint="eastAsia" w:ascii="仿宋_GB2312" w:hAnsi="仿宋_GB2312" w:eastAsia="仿宋_GB2312" w:cs="仿宋_GB2312"/>
          <w:color w:val="auto"/>
          <w:sz w:val="28"/>
          <w:szCs w:val="28"/>
          <w:highlight w:val="none"/>
        </w:rPr>
      </w:pPr>
      <w:bookmarkStart w:id="1883" w:name="_Hlk41395873"/>
      <w:r>
        <w:rPr>
          <w:rFonts w:hint="eastAsia" w:ascii="仿宋_GB2312" w:hAnsi="仿宋_GB2312" w:eastAsia="仿宋_GB2312" w:cs="仿宋_GB2312"/>
          <w:color w:val="auto"/>
          <w:sz w:val="28"/>
          <w:szCs w:val="28"/>
          <w:highlight w:val="none"/>
        </w:rPr>
        <w:t>上述贵公司代发工人工资款项</w:t>
      </w:r>
      <w:bookmarkEnd w:id="1883"/>
      <w:r>
        <w:rPr>
          <w:rFonts w:hint="eastAsia" w:ascii="仿宋_GB2312" w:hAnsi="仿宋_GB2312" w:eastAsia="仿宋_GB2312" w:cs="仿宋_GB2312"/>
          <w:color w:val="auto"/>
          <w:sz w:val="28"/>
          <w:szCs w:val="28"/>
          <w:highlight w:val="none"/>
        </w:rPr>
        <w:t>视为贵公司支付我司</w:t>
      </w:r>
      <w:r>
        <w:rPr>
          <w:rFonts w:hint="eastAsia" w:ascii="仿宋_GB2312" w:hAnsi="仿宋_GB2312" w:eastAsia="仿宋_GB2312" w:cs="仿宋_GB2312"/>
          <w:color w:val="auto"/>
          <w:sz w:val="28"/>
          <w:szCs w:val="28"/>
          <w:highlight w:val="none"/>
          <w:u w:val="single"/>
        </w:rPr>
        <w:t>（增城区开发区下沉式污水处理厂及配套管网工程设计采购施工总承包标段二增城区开发区下沉式污水处理厂新装22500kVA配电工程</w:t>
      </w:r>
      <w:r>
        <w:rPr>
          <w:rFonts w:hint="eastAsia" w:ascii="仿宋_GB2312" w:hAnsi="仿宋_GB2312" w:eastAsia="仿宋_GB2312" w:cs="仿宋_GB2312"/>
          <w:color w:val="auto"/>
          <w:sz w:val="28"/>
          <w:szCs w:val="28"/>
          <w:highlight w:val="none"/>
        </w:rPr>
        <w:t>的工程款，贵公司从前述应付给我司的工程（结算）款中直接予以扣除。</w:t>
      </w:r>
    </w:p>
    <w:p w14:paraId="1A2A77B1">
      <w:pPr>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委托人（盖章）：            </w:t>
      </w:r>
    </w:p>
    <w:p w14:paraId="0012A809">
      <w:pPr>
        <w:keepNext w:val="0"/>
        <w:keepLines w:val="0"/>
        <w:pageBreakBefore w:val="0"/>
        <w:widowControl w:val="0"/>
        <w:kinsoku/>
        <w:overflowPunct/>
        <w:topLinePunct w:val="0"/>
        <w:autoSpaceDE/>
        <w:autoSpaceDN/>
        <w:bidi w:val="0"/>
        <w:adjustRightInd/>
        <w:snapToGrid/>
        <w:spacing w:line="560" w:lineRule="exact"/>
        <w:ind w:firstLine="2520" w:firstLineChars="9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41573646">
      <w:pPr>
        <w:keepNext w:val="0"/>
        <w:keepLines w:val="0"/>
        <w:pageBreakBefore w:val="0"/>
        <w:widowControl w:val="0"/>
        <w:kinsoku/>
        <w:overflowPunct/>
        <w:topLinePunct w:val="0"/>
        <w:autoSpaceDE/>
        <w:autoSpaceDN/>
        <w:bidi w:val="0"/>
        <w:adjustRightInd/>
        <w:snapToGrid/>
        <w:spacing w:line="560" w:lineRule="exact"/>
        <w:ind w:firstLine="2520" w:firstLineChars="900"/>
        <w:jc w:val="left"/>
        <w:textAlignment w:val="auto"/>
        <w:rPr>
          <w:rFonts w:hint="eastAsia" w:ascii="仿宋_GB2312" w:hAnsi="仿宋_GB2312" w:eastAsia="仿宋_GB2312" w:cs="仿宋_GB2312"/>
          <w:color w:val="auto"/>
          <w:sz w:val="28"/>
          <w:szCs w:val="28"/>
          <w:highlight w:val="none"/>
        </w:rPr>
      </w:pPr>
    </w:p>
    <w:p w14:paraId="46DED21F">
      <w:pPr>
        <w:keepNext w:val="0"/>
        <w:keepLines w:val="0"/>
        <w:pageBreakBefore w:val="0"/>
        <w:widowControl/>
        <w:kinsoku/>
        <w:overflowPunct/>
        <w:topLinePunct w:val="0"/>
        <w:autoSpaceDE/>
        <w:autoSpaceDN/>
        <w:bidi w:val="0"/>
        <w:adjustRightInd/>
        <w:snapToGrid/>
        <w:spacing w:line="560" w:lineRule="exact"/>
        <w:ind w:firstLine="0" w:firstLineChars="0"/>
        <w:jc w:val="righ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日期：</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月</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日</w:t>
      </w:r>
    </w:p>
    <w:p w14:paraId="047EF977">
      <w:pPr>
        <w:pStyle w:val="3"/>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附件14：</w:t>
      </w:r>
    </w:p>
    <w:p w14:paraId="2B9963B0">
      <w:pPr>
        <w:pStyle w:val="3"/>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工人工资</w:t>
      </w:r>
      <w:r>
        <w:rPr>
          <w:rFonts w:hint="eastAsia" w:ascii="方正小标宋简体" w:hAnsi="方正小标宋简体" w:eastAsia="方正小标宋简体" w:cs="方正小标宋简体"/>
          <w:b w:val="0"/>
          <w:bCs/>
          <w:color w:val="auto"/>
          <w:sz w:val="44"/>
          <w:szCs w:val="44"/>
          <w:highlight w:val="none"/>
        </w:rPr>
        <w:t>代发知情与承诺书</w:t>
      </w:r>
    </w:p>
    <w:p w14:paraId="4CE10B74">
      <w:pPr>
        <w:pageBreakBefore w:val="0"/>
        <w:widowControl w:val="0"/>
        <w:kinsoku/>
        <w:overflowPunct/>
        <w:topLinePunct w:val="0"/>
        <w:autoSpaceDE/>
        <w:autoSpaceDN/>
        <w:bidi w:val="0"/>
        <w:adjustRightInd/>
        <w:snapToGrid/>
        <w:spacing w:line="560" w:lineRule="exact"/>
        <w:textAlignment w:val="auto"/>
        <w:rPr>
          <w:rFonts w:hint="eastAsia"/>
          <w:color w:val="auto"/>
          <w:highlight w:val="none"/>
        </w:rPr>
      </w:pPr>
    </w:p>
    <w:p w14:paraId="775C0B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广东省源天工程有限公司：</w:t>
      </w:r>
    </w:p>
    <w:p w14:paraId="569AB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，性别：男（）/女（），年龄：   岁，身份证号</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；联系电话：</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w:t>
      </w:r>
    </w:p>
    <w:p w14:paraId="5308C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一、本人确认明知以下内容</w:t>
      </w:r>
      <w:r>
        <w:rPr>
          <w:rFonts w:hint="eastAsia" w:ascii="黑体" w:hAnsi="黑体" w:eastAsia="黑体" w:cs="黑体"/>
          <w:color w:val="auto"/>
          <w:sz w:val="32"/>
          <w:szCs w:val="32"/>
          <w:highlight w:val="none"/>
          <w:lang w:eastAsia="zh-CN"/>
        </w:rPr>
        <w:t>：</w:t>
      </w:r>
    </w:p>
    <w:p w14:paraId="201E9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本人受</w:t>
      </w:r>
      <w:r>
        <w:rPr>
          <w:rFonts w:hint="eastAsia" w:ascii="仿宋_GB2312" w:hAnsi="仿宋_GB2312" w:eastAsia="仿宋_GB2312" w:cs="仿宋_GB2312"/>
          <w:color w:val="auto"/>
          <w:sz w:val="32"/>
          <w:szCs w:val="32"/>
          <w:highlight w:val="none"/>
          <w:u w:val="single"/>
        </w:rPr>
        <w:t>（     分包/劳务派遣单位名称）</w:t>
      </w:r>
      <w:r>
        <w:rPr>
          <w:rFonts w:hint="eastAsia" w:ascii="仿宋_GB2312" w:hAnsi="仿宋_GB2312" w:eastAsia="仿宋_GB2312" w:cs="仿宋_GB2312"/>
          <w:color w:val="auto"/>
          <w:sz w:val="32"/>
          <w:szCs w:val="32"/>
          <w:highlight w:val="none"/>
        </w:rPr>
        <w:t>聘用与安排，在源天公司</w:t>
      </w:r>
      <w:r>
        <w:rPr>
          <w:rFonts w:hint="eastAsia" w:ascii="仿宋_GB2312" w:hAnsi="仿宋_GB2312" w:eastAsia="仿宋_GB2312" w:cs="仿宋_GB2312"/>
          <w:color w:val="auto"/>
          <w:sz w:val="32"/>
          <w:szCs w:val="32"/>
          <w:highlight w:val="none"/>
          <w:u w:val="single"/>
        </w:rPr>
        <w:t>（      项目名称）</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岗位/工种工作。</w:t>
      </w:r>
    </w:p>
    <w:p w14:paraId="2B0BA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u w:val="single"/>
        </w:rPr>
        <w:t>（     分包/劳务派遣单位名称）是</w:t>
      </w:r>
      <w:r>
        <w:rPr>
          <w:rFonts w:hint="eastAsia" w:ascii="仿宋_GB2312" w:hAnsi="仿宋_GB2312" w:eastAsia="仿宋_GB2312" w:cs="仿宋_GB2312"/>
          <w:color w:val="auto"/>
          <w:sz w:val="32"/>
          <w:szCs w:val="32"/>
          <w:highlight w:val="none"/>
        </w:rPr>
        <w:t>本人的用人单位，与本人签订劳动合同，建立了真实有效的劳动合同关系，本人的劳动关系、考勤、工资金额、需缴纳的税费、工伤、养老等社会保险等均由</w:t>
      </w:r>
      <w:r>
        <w:rPr>
          <w:rFonts w:hint="eastAsia" w:ascii="仿宋_GB2312" w:hAnsi="仿宋_GB2312" w:eastAsia="仿宋_GB2312" w:cs="仿宋_GB2312"/>
          <w:color w:val="auto"/>
          <w:sz w:val="32"/>
          <w:szCs w:val="32"/>
          <w:highlight w:val="none"/>
          <w:u w:val="single"/>
        </w:rPr>
        <w:t>用人单位</w:t>
      </w:r>
      <w:r>
        <w:rPr>
          <w:rFonts w:hint="eastAsia" w:ascii="仿宋_GB2312" w:hAnsi="仿宋_GB2312" w:eastAsia="仿宋_GB2312" w:cs="仿宋_GB2312"/>
          <w:color w:val="auto"/>
          <w:sz w:val="32"/>
          <w:szCs w:val="32"/>
          <w:highlight w:val="none"/>
        </w:rPr>
        <w:t>负责。</w:t>
      </w:r>
    </w:p>
    <w:p w14:paraId="0E783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源天公司与</w:t>
      </w:r>
      <w:r>
        <w:rPr>
          <w:rFonts w:hint="eastAsia" w:ascii="仿宋_GB2312" w:hAnsi="仿宋_GB2312" w:eastAsia="仿宋_GB2312" w:cs="仿宋_GB2312"/>
          <w:color w:val="auto"/>
          <w:sz w:val="32"/>
          <w:szCs w:val="32"/>
          <w:highlight w:val="none"/>
          <w:u w:val="single"/>
        </w:rPr>
        <w:t>（     分包/劳务派遣单位名称）</w:t>
      </w:r>
      <w:r>
        <w:rPr>
          <w:rFonts w:hint="eastAsia" w:ascii="仿宋_GB2312" w:hAnsi="仿宋_GB2312" w:eastAsia="仿宋_GB2312" w:cs="仿宋_GB2312"/>
          <w:color w:val="auto"/>
          <w:sz w:val="32"/>
          <w:szCs w:val="32"/>
          <w:highlight w:val="none"/>
        </w:rPr>
        <w:t>签订了</w:t>
      </w:r>
      <w:r>
        <w:rPr>
          <w:rFonts w:hint="eastAsia" w:ascii="仿宋_GB2312" w:hAnsi="仿宋_GB2312" w:eastAsia="仿宋_GB2312" w:cs="仿宋_GB2312"/>
          <w:color w:val="auto"/>
          <w:sz w:val="32"/>
          <w:szCs w:val="32"/>
          <w:highlight w:val="none"/>
          <w:u w:val="none"/>
        </w:rPr>
        <w:t>分包合同/劳务派遣合同，源天公司仅为用工单位，</w:t>
      </w:r>
      <w:r>
        <w:rPr>
          <w:rFonts w:hint="eastAsia" w:ascii="仿宋_GB2312" w:hAnsi="仿宋_GB2312" w:eastAsia="仿宋_GB2312" w:cs="仿宋_GB2312"/>
          <w:color w:val="auto"/>
          <w:sz w:val="32"/>
          <w:szCs w:val="32"/>
          <w:highlight w:val="none"/>
        </w:rPr>
        <w:t>与本人不存在劳动合同关系、劳务雇佣关系。</w:t>
      </w:r>
    </w:p>
    <w:p w14:paraId="615FB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源天公司根据国务院《保障农民工工资支付条例》有关规定，受</w:t>
      </w:r>
      <w:r>
        <w:rPr>
          <w:rFonts w:hint="eastAsia" w:ascii="仿宋_GB2312" w:hAnsi="仿宋_GB2312" w:eastAsia="仿宋_GB2312" w:cs="仿宋_GB2312"/>
          <w:color w:val="auto"/>
          <w:sz w:val="32"/>
          <w:szCs w:val="32"/>
          <w:highlight w:val="none"/>
          <w:u w:val="single"/>
        </w:rPr>
        <w:t>（     分包/劳务派遣单位名称）</w:t>
      </w:r>
      <w:r>
        <w:rPr>
          <w:rFonts w:hint="eastAsia" w:ascii="仿宋_GB2312" w:hAnsi="仿宋_GB2312" w:eastAsia="仿宋_GB2312" w:cs="仿宋_GB2312"/>
          <w:color w:val="auto"/>
          <w:sz w:val="32"/>
          <w:szCs w:val="32"/>
          <w:highlight w:val="none"/>
        </w:rPr>
        <w:t>委托为本人代发工资，工资数额由本人与</w:t>
      </w:r>
      <w:r>
        <w:rPr>
          <w:rFonts w:hint="eastAsia" w:ascii="仿宋_GB2312" w:hAnsi="仿宋_GB2312" w:eastAsia="仿宋_GB2312" w:cs="仿宋_GB2312"/>
          <w:color w:val="auto"/>
          <w:sz w:val="32"/>
          <w:szCs w:val="32"/>
          <w:highlight w:val="none"/>
          <w:u w:val="single"/>
        </w:rPr>
        <w:t>（     分包/劳务派遣单位名称）</w:t>
      </w:r>
      <w:r>
        <w:rPr>
          <w:rFonts w:hint="eastAsia" w:ascii="仿宋_GB2312" w:hAnsi="仿宋_GB2312" w:eastAsia="仿宋_GB2312" w:cs="仿宋_GB2312"/>
          <w:color w:val="auto"/>
          <w:sz w:val="32"/>
          <w:szCs w:val="32"/>
          <w:highlight w:val="none"/>
          <w:u w:val="none"/>
        </w:rPr>
        <w:t>商定且报送给源天公司按月发放，本人</w:t>
      </w:r>
      <w:r>
        <w:rPr>
          <w:rFonts w:hint="eastAsia" w:ascii="仿宋_GB2312" w:hAnsi="仿宋_GB2312" w:eastAsia="仿宋_GB2312" w:cs="仿宋_GB2312"/>
          <w:color w:val="auto"/>
          <w:sz w:val="32"/>
          <w:szCs w:val="32"/>
          <w:highlight w:val="none"/>
        </w:rPr>
        <w:t>明确收取代发工资的银行账户信息无误且附后，如果本人发生劳动争议的，该账户内工资发放不证明与源天公司存在劳动关系或劳务雇佣关系。</w:t>
      </w:r>
    </w:p>
    <w:p w14:paraId="277B28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源天公司因项目管理需要进行的安全教育培训登记、考勤登记、进入场地证件、工作证等资料都是项目管理需要，不作为与源天公司存在劳动关系、劳务雇佣关系的依据。</w:t>
      </w:r>
    </w:p>
    <w:p w14:paraId="683E8686">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在本项目工作中若发生的劳资纠纷、工伤赔偿纠纷等，本人承诺只向本人有劳动关系单位依法追偿索赔，与源天公司无关。</w:t>
      </w:r>
    </w:p>
    <w:p w14:paraId="4AEAF6A3">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二、本人承诺以下事项</w:t>
      </w:r>
      <w:r>
        <w:rPr>
          <w:rFonts w:hint="eastAsia" w:ascii="黑体" w:hAnsi="黑体" w:eastAsia="黑体" w:cs="黑体"/>
          <w:b w:val="0"/>
          <w:bCs w:val="0"/>
          <w:color w:val="auto"/>
          <w:sz w:val="32"/>
          <w:szCs w:val="32"/>
          <w:highlight w:val="none"/>
          <w:lang w:eastAsia="zh-CN"/>
        </w:rPr>
        <w:t>：</w:t>
      </w:r>
    </w:p>
    <w:p w14:paraId="20E005F1">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服从贵司、项目部、班组各项项目管理、安全生产制度、操作规程，服从贵司管理人员、监理等人员指挥和规范要求，爱护和规范操作设施设备，安全生产，按时保质完成工作，如有违反自愿接受处罚，造成贵司经济损失的向贵司赔偿。</w:t>
      </w:r>
    </w:p>
    <w:p w14:paraId="272EEFEE">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不组织、不参与赌博、打架斗殴、酗酒闹事、卖淫嫖娼等违法犯罪活动，如有违反，造成贵司经济损失的向贵司赔偿。</w:t>
      </w:r>
    </w:p>
    <w:p w14:paraId="60BDFFB0">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如因本人违反上述承诺，或对上述明知内容予以否认与违反，造成贵司损失（包括且不限于贵司为维权支付的诉讼费、律师费、鉴定费、公证费、差旅费等）均由本人承担。</w:t>
      </w:r>
    </w:p>
    <w:p w14:paraId="0F7BDEAA">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本文件自本人签字之日起生效，不得单方撤销。</w:t>
      </w:r>
    </w:p>
    <w:p w14:paraId="1C9BC1ED">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40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知情、承诺人（签字按手印）：</w:t>
      </w:r>
    </w:p>
    <w:p w14:paraId="368C1CDB">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rPr>
      </w:pPr>
    </w:p>
    <w:p w14:paraId="7BE297D0">
      <w:pPr>
        <w:pStyle w:val="17"/>
        <w:numPr>
          <w:ilvl w:val="0"/>
          <w:numId w:val="0"/>
        </w:numPr>
        <w:spacing w:line="560" w:lineRule="exact"/>
        <w:ind w:left="840" w:leftChars="400" w:firstLine="640" w:firstLineChars="200"/>
        <w:jc w:val="right"/>
        <w:rPr>
          <w:color w:val="auto"/>
          <w:highlight w:val="none"/>
        </w:rPr>
      </w:pP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00007A87" w:usb1="80000000" w:usb2="00000008"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22AD">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AACA1">
    <w:pPr>
      <w:pStyle w:val="1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68B0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4ED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24EDB0">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C9A7">
    <w:pPr>
      <w:pStyle w:val="10"/>
      <w:ind w:right="420" w:rightChars="2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A7D4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5A7D4C">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- 55 -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14E27">
    <w:pPr>
      <w:pStyle w:val="10"/>
      <w:ind w:right="420" w:rightChars="20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27C1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527C1B">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- 68 -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49E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7C1EFA">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77C1EFA">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3C9B">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C5FF">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01DD7"/>
    <w:multiLevelType w:val="singleLevel"/>
    <w:tmpl w:val="CA301DD7"/>
    <w:lvl w:ilvl="0" w:tentative="0">
      <w:start w:val="2"/>
      <w:numFmt w:val="decimal"/>
      <w:suff w:val="space"/>
      <w:lvlText w:val="（%1）"/>
      <w:lvlJc w:val="left"/>
    </w:lvl>
  </w:abstractNum>
  <w:abstractNum w:abstractNumId="1">
    <w:nsid w:val="0F3CE843"/>
    <w:multiLevelType w:val="singleLevel"/>
    <w:tmpl w:val="0F3CE843"/>
    <w:lvl w:ilvl="0" w:tentative="0">
      <w:start w:val="13"/>
      <w:numFmt w:val="decimal"/>
      <w:suff w:val="space"/>
      <w:lvlText w:val="%1."/>
      <w:lvlJc w:val="left"/>
    </w:lvl>
  </w:abstractNum>
  <w:abstractNum w:abstractNumId="2">
    <w:nsid w:val="407A3859"/>
    <w:multiLevelType w:val="singleLevel"/>
    <w:tmpl w:val="407A3859"/>
    <w:lvl w:ilvl="0" w:tentative="0">
      <w:start w:val="16"/>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ZjU0YmJlM2ZhZmE1ZWYyMWFlZDU5NGQ5NzdiOTYifQ=="/>
  </w:docVars>
  <w:rsids>
    <w:rsidRoot w:val="096435B8"/>
    <w:rsid w:val="01F84E53"/>
    <w:rsid w:val="02DE7C7D"/>
    <w:rsid w:val="03DD6186"/>
    <w:rsid w:val="053A44BA"/>
    <w:rsid w:val="07806E2F"/>
    <w:rsid w:val="07FA0A3B"/>
    <w:rsid w:val="096435B8"/>
    <w:rsid w:val="09A42C53"/>
    <w:rsid w:val="0C6F3B75"/>
    <w:rsid w:val="0C9413AC"/>
    <w:rsid w:val="0ECA7304"/>
    <w:rsid w:val="117A2F4F"/>
    <w:rsid w:val="12C909E1"/>
    <w:rsid w:val="12DD452D"/>
    <w:rsid w:val="16610551"/>
    <w:rsid w:val="18477575"/>
    <w:rsid w:val="1C66595B"/>
    <w:rsid w:val="1F43414D"/>
    <w:rsid w:val="1F72498F"/>
    <w:rsid w:val="242D0A1F"/>
    <w:rsid w:val="2492238F"/>
    <w:rsid w:val="25253A86"/>
    <w:rsid w:val="28D35EE6"/>
    <w:rsid w:val="29017971"/>
    <w:rsid w:val="2A077664"/>
    <w:rsid w:val="2B895A8E"/>
    <w:rsid w:val="2C3A051F"/>
    <w:rsid w:val="2F5D28A6"/>
    <w:rsid w:val="30B02C6F"/>
    <w:rsid w:val="319D31FC"/>
    <w:rsid w:val="31F97D80"/>
    <w:rsid w:val="38F946C5"/>
    <w:rsid w:val="3958081E"/>
    <w:rsid w:val="3D1D73D6"/>
    <w:rsid w:val="3D740D16"/>
    <w:rsid w:val="3DDF2AF1"/>
    <w:rsid w:val="3EAF306A"/>
    <w:rsid w:val="415148D7"/>
    <w:rsid w:val="415C66C8"/>
    <w:rsid w:val="41B63217"/>
    <w:rsid w:val="457723A3"/>
    <w:rsid w:val="48B95820"/>
    <w:rsid w:val="4A393FBA"/>
    <w:rsid w:val="4BD47B5F"/>
    <w:rsid w:val="4C293FCF"/>
    <w:rsid w:val="4C3912C8"/>
    <w:rsid w:val="4D296FFE"/>
    <w:rsid w:val="4D6C0FAE"/>
    <w:rsid w:val="4DF63E9B"/>
    <w:rsid w:val="4ECE51FD"/>
    <w:rsid w:val="505102B9"/>
    <w:rsid w:val="50645AB7"/>
    <w:rsid w:val="51DD4619"/>
    <w:rsid w:val="5844018D"/>
    <w:rsid w:val="5AEB772A"/>
    <w:rsid w:val="604637BB"/>
    <w:rsid w:val="6125036F"/>
    <w:rsid w:val="64223835"/>
    <w:rsid w:val="666C27AC"/>
    <w:rsid w:val="6933260F"/>
    <w:rsid w:val="6CBB05FE"/>
    <w:rsid w:val="6F0174BC"/>
    <w:rsid w:val="72502398"/>
    <w:rsid w:val="73A82005"/>
    <w:rsid w:val="75611BB6"/>
    <w:rsid w:val="765F3CC2"/>
    <w:rsid w:val="766B0856"/>
    <w:rsid w:val="78F17B55"/>
    <w:rsid w:val="79EE164F"/>
    <w:rsid w:val="7A1815E1"/>
    <w:rsid w:val="7D1F1CD9"/>
    <w:rsid w:val="7E89300C"/>
    <w:rsid w:val="7F8E4843"/>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7">
    <w:name w:val="Body Text Indent"/>
    <w:basedOn w:val="1"/>
    <w:qFormat/>
    <w:uiPriority w:val="0"/>
    <w:pPr>
      <w:ind w:firstLine="435"/>
    </w:pPr>
    <w:rPr>
      <w:sz w:val="32"/>
    </w:rPr>
  </w:style>
  <w:style w:type="paragraph" w:styleId="8">
    <w:name w:val="toc 3"/>
    <w:basedOn w:val="1"/>
    <w:next w:val="1"/>
    <w:qFormat/>
    <w:uiPriority w:val="0"/>
    <w:pPr>
      <w:ind w:left="420"/>
      <w:jc w:val="left"/>
    </w:pPr>
    <w:rPr>
      <w:rFonts w:ascii="Calibri" w:hAnsi="Calibri"/>
      <w:i/>
      <w:iCs/>
      <w:sz w:val="20"/>
      <w:szCs w:val="20"/>
    </w:rPr>
  </w:style>
  <w:style w:type="paragraph" w:styleId="9">
    <w:name w:val="Plain Text"/>
    <w:basedOn w:val="1"/>
    <w:next w:val="1"/>
    <w:qFormat/>
    <w:uiPriority w:val="0"/>
    <w:rPr>
      <w:rFonts w:ascii="宋体" w:hAnsi="Courier New" w:eastAsia="宋体" w:cs="Times New Roman"/>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spacing w:before="120" w:after="120"/>
      <w:jc w:val="left"/>
    </w:pPr>
    <w:rPr>
      <w:rFonts w:ascii="Calibri" w:hAnsi="Calibri"/>
      <w:b/>
      <w:bCs/>
      <w:caps/>
      <w:sz w:val="20"/>
      <w:szCs w:val="20"/>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210"/>
      <w:jc w:val="left"/>
    </w:pPr>
    <w:rPr>
      <w:rFonts w:ascii="Calibri" w:hAnsi="Calibri"/>
      <w:smallCaps/>
      <w:sz w:val="20"/>
      <w:szCs w:val="20"/>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w:basedOn w:val="6"/>
    <w:qFormat/>
    <w:uiPriority w:val="0"/>
    <w:pPr>
      <w:spacing w:line="220" w:lineRule="exact"/>
      <w:ind w:left="360" w:hanging="360"/>
    </w:pPr>
  </w:style>
  <w:style w:type="paragraph" w:styleId="17">
    <w:name w:val="Body Text First Indent 2"/>
    <w:basedOn w:val="7"/>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qFormat/>
    <w:uiPriority w:val="0"/>
    <w:rPr>
      <w:vertAlign w:val="superscript"/>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3">
    <w:name w:val="textcontents"/>
    <w:qFormat/>
    <w:uiPriority w:val="0"/>
    <w:rPr>
      <w:rFonts w:cs="Times New Roman"/>
    </w:rPr>
  </w:style>
  <w:style w:type="character" w:customStyle="1" w:styleId="24">
    <w:name w:val="fontstyle01"/>
    <w:basedOn w:val="20"/>
    <w:qFormat/>
    <w:uiPriority w:val="0"/>
    <w:rPr>
      <w:rFonts w:hint="eastAsia" w:ascii="宋体" w:hAnsi="宋体" w:eastAsia="宋体" w:cs="Times New Roman"/>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广东省源天工程有限公司</Company>
  <Pages>91</Pages>
  <Words>10230</Words>
  <Characters>11335</Characters>
  <Lines>0</Lines>
  <Paragraphs>0</Paragraphs>
  <TotalTime>0</TotalTime>
  <ScaleCrop>false</ScaleCrop>
  <LinksUpToDate>false</LinksUpToDate>
  <CharactersWithSpaces>13212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2024-04-18T02:58:00Z</dcterms:created>
  <dc:creator>fls-pc</dc:creator>
  <cp:lastModifiedBy>Kwok_zhiyuan</cp:lastModifiedBy>
  <dcterms:modified xsi:type="dcterms:W3CDTF">2025-07-31T12:00:48Z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A5F90A59A17B40668E204DF391769455_13</vt:lpwstr>
  </property>
  <property fmtid="{D5CDD505-2E9C-101B-9397-08002B2CF9AE}" pid="4" name="KSOTemplateDocerSaveRecord">
    <vt:lpwstr>eyJoZGlkIjoiMGQ1ZmJmZGVjNWU2MmZhZDNlY2QzMDZjYWIzZmFiYWEiLCJ1c2VySWQiOiI1NzUzODc5MjgifQ==</vt:lpwstr>
  </property>
</Properties>
</file>