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3FDCF">
      <w:pPr>
        <w:autoSpaceDE w:val="0"/>
        <w:autoSpaceDN w:val="0"/>
        <w:adjustRightInd w:val="0"/>
        <w:spacing w:line="360" w:lineRule="auto"/>
        <w:jc w:val="center"/>
        <w:rPr>
          <w:rFonts w:hint="eastAsia"/>
          <w:b/>
          <w:sz w:val="44"/>
          <w:szCs w:val="44"/>
        </w:rPr>
      </w:pPr>
      <w:r>
        <w:rPr>
          <w:rFonts w:hint="eastAsia"/>
          <w:b/>
          <w:sz w:val="44"/>
          <w:szCs w:val="44"/>
        </w:rPr>
        <w:t>增城区广汕南路西延线(规划纵一路-规划纵二路)建设工程施工监理</w:t>
      </w:r>
    </w:p>
    <w:p w14:paraId="26AB67CB">
      <w:pPr>
        <w:kinsoku w:val="0"/>
        <w:overflowPunct w:val="0"/>
        <w:spacing w:before="3" w:line="100" w:lineRule="exact"/>
        <w:rPr>
          <w:sz w:val="36"/>
          <w:szCs w:val="36"/>
        </w:rPr>
      </w:pPr>
    </w:p>
    <w:p w14:paraId="69B07600">
      <w:pPr>
        <w:kinsoku w:val="0"/>
        <w:overflowPunct w:val="0"/>
        <w:spacing w:line="200" w:lineRule="exact"/>
        <w:rPr>
          <w:sz w:val="36"/>
          <w:szCs w:val="36"/>
        </w:rPr>
      </w:pPr>
    </w:p>
    <w:p w14:paraId="22E386CD">
      <w:pPr>
        <w:tabs>
          <w:tab w:val="left" w:pos="5834"/>
        </w:tabs>
        <w:kinsoku w:val="0"/>
        <w:overflowPunct w:val="0"/>
        <w:spacing w:line="360" w:lineRule="auto"/>
        <w:ind w:left="2685"/>
        <w:rPr>
          <w:rFonts w:hint="eastAsia" w:ascii="宋体" w:hAnsi="宋体"/>
          <w:sz w:val="36"/>
          <w:szCs w:val="36"/>
        </w:rPr>
      </w:pPr>
      <w:r>
        <w:rPr>
          <w:rFonts w:hint="eastAsia" w:ascii="宋体" w:hAnsi="宋体"/>
          <w:sz w:val="36"/>
          <w:szCs w:val="36"/>
        </w:rPr>
        <w:t>（招标</w:t>
      </w:r>
      <w:r>
        <w:rPr>
          <w:rFonts w:hint="eastAsia" w:ascii="宋体" w:hAnsi="宋体"/>
          <w:spacing w:val="-3"/>
          <w:sz w:val="36"/>
          <w:szCs w:val="36"/>
        </w:rPr>
        <w:t>编</w:t>
      </w:r>
      <w:r>
        <w:rPr>
          <w:rFonts w:hint="eastAsia" w:ascii="宋体" w:hAnsi="宋体"/>
          <w:sz w:val="36"/>
          <w:szCs w:val="36"/>
        </w:rPr>
        <w:t>号：</w:t>
      </w:r>
      <w:r>
        <w:rPr>
          <w:rFonts w:hint="eastAsia" w:ascii="宋体" w:hAnsi="宋体"/>
          <w:sz w:val="36"/>
          <w:szCs w:val="36"/>
          <w:u w:val="single"/>
        </w:rPr>
        <w:tab/>
      </w:r>
      <w:r>
        <w:rPr>
          <w:rFonts w:hint="eastAsia" w:ascii="宋体" w:hAnsi="宋体"/>
          <w:sz w:val="36"/>
          <w:szCs w:val="36"/>
        </w:rPr>
        <w:t>）</w:t>
      </w:r>
    </w:p>
    <w:p w14:paraId="70481E0C">
      <w:pPr>
        <w:kinsoku w:val="0"/>
        <w:overflowPunct w:val="0"/>
        <w:spacing w:line="200" w:lineRule="exact"/>
        <w:rPr>
          <w:sz w:val="20"/>
        </w:rPr>
      </w:pPr>
    </w:p>
    <w:p w14:paraId="59C1205B">
      <w:pPr>
        <w:kinsoku w:val="0"/>
        <w:overflowPunct w:val="0"/>
        <w:spacing w:line="200" w:lineRule="exact"/>
        <w:rPr>
          <w:sz w:val="20"/>
        </w:rPr>
      </w:pPr>
    </w:p>
    <w:p w14:paraId="0CA3EC5C">
      <w:pPr>
        <w:kinsoku w:val="0"/>
        <w:overflowPunct w:val="0"/>
        <w:spacing w:line="200" w:lineRule="exact"/>
        <w:rPr>
          <w:sz w:val="20"/>
        </w:rPr>
      </w:pPr>
    </w:p>
    <w:p w14:paraId="30643FD4">
      <w:pPr>
        <w:kinsoku w:val="0"/>
        <w:overflowPunct w:val="0"/>
        <w:spacing w:line="200" w:lineRule="exact"/>
        <w:rPr>
          <w:sz w:val="20"/>
        </w:rPr>
      </w:pPr>
    </w:p>
    <w:p w14:paraId="68E125E2">
      <w:pPr>
        <w:kinsoku w:val="0"/>
        <w:overflowPunct w:val="0"/>
        <w:spacing w:line="200" w:lineRule="exact"/>
        <w:rPr>
          <w:sz w:val="20"/>
        </w:rPr>
      </w:pPr>
    </w:p>
    <w:p w14:paraId="7DCCC40F">
      <w:pPr>
        <w:kinsoku w:val="0"/>
        <w:overflowPunct w:val="0"/>
        <w:spacing w:line="200" w:lineRule="exact"/>
        <w:rPr>
          <w:sz w:val="20"/>
        </w:rPr>
      </w:pPr>
    </w:p>
    <w:p w14:paraId="136A07E9">
      <w:pPr>
        <w:kinsoku w:val="0"/>
        <w:overflowPunct w:val="0"/>
        <w:spacing w:line="539" w:lineRule="exact"/>
        <w:ind w:right="1"/>
        <w:rPr>
          <w:rFonts w:hint="eastAsia" w:ascii="宋体" w:hAnsi="宋体"/>
          <w:spacing w:val="1"/>
          <w:sz w:val="72"/>
          <w:szCs w:val="36"/>
        </w:rPr>
      </w:pPr>
      <w:bookmarkStart w:id="0" w:name="_Toc30233"/>
      <w:bookmarkStart w:id="1" w:name="_Toc31377"/>
    </w:p>
    <w:p w14:paraId="24C38173">
      <w:pPr>
        <w:kinsoku w:val="0"/>
        <w:overflowPunct w:val="0"/>
        <w:spacing w:line="539" w:lineRule="exact"/>
        <w:ind w:right="1"/>
        <w:rPr>
          <w:rFonts w:hint="eastAsia" w:ascii="宋体" w:hAnsi="宋体"/>
          <w:spacing w:val="1"/>
          <w:sz w:val="72"/>
          <w:szCs w:val="36"/>
        </w:rPr>
      </w:pPr>
    </w:p>
    <w:p w14:paraId="360337FB">
      <w:pPr>
        <w:kinsoku w:val="0"/>
        <w:overflowPunct w:val="0"/>
        <w:spacing w:line="539" w:lineRule="exact"/>
        <w:ind w:right="1"/>
        <w:rPr>
          <w:rFonts w:hint="eastAsia" w:ascii="宋体" w:hAnsi="宋体"/>
          <w:spacing w:val="1"/>
          <w:sz w:val="72"/>
          <w:szCs w:val="36"/>
        </w:rPr>
      </w:pPr>
    </w:p>
    <w:p w14:paraId="53EBA129">
      <w:pPr>
        <w:kinsoku w:val="0"/>
        <w:overflowPunct w:val="0"/>
        <w:spacing w:line="539" w:lineRule="exact"/>
        <w:ind w:right="1"/>
        <w:rPr>
          <w:rFonts w:hint="eastAsia" w:ascii="宋体" w:hAnsi="宋体"/>
          <w:spacing w:val="1"/>
          <w:sz w:val="72"/>
          <w:szCs w:val="36"/>
        </w:rPr>
      </w:pPr>
    </w:p>
    <w:p w14:paraId="01773D40">
      <w:pPr>
        <w:kinsoku w:val="0"/>
        <w:overflowPunct w:val="0"/>
        <w:jc w:val="center"/>
        <w:rPr>
          <w:rFonts w:hint="eastAsia" w:ascii="宋体" w:hAnsi="宋体" w:eastAsia="宋体"/>
          <w:sz w:val="72"/>
          <w:szCs w:val="72"/>
          <w:lang w:eastAsia="zh-CN"/>
        </w:rPr>
      </w:pPr>
      <w:r>
        <w:rPr>
          <w:rFonts w:hint="eastAsia" w:ascii="宋体" w:hAnsi="宋体"/>
          <w:spacing w:val="1"/>
          <w:sz w:val="72"/>
          <w:szCs w:val="72"/>
        </w:rPr>
        <w:t>招</w:t>
      </w:r>
      <w:r>
        <w:rPr>
          <w:rFonts w:hint="eastAsia" w:ascii="宋体" w:hAnsi="宋体"/>
          <w:sz w:val="72"/>
          <w:szCs w:val="72"/>
        </w:rPr>
        <w:t>标</w:t>
      </w:r>
      <w:bookmarkEnd w:id="0"/>
      <w:bookmarkEnd w:id="1"/>
      <w:r>
        <w:rPr>
          <w:rFonts w:hint="eastAsia" w:ascii="宋体" w:hAnsi="宋体"/>
          <w:sz w:val="72"/>
          <w:szCs w:val="72"/>
          <w:lang w:val="en-US" w:eastAsia="zh-CN"/>
        </w:rPr>
        <w:t>公告</w:t>
      </w:r>
    </w:p>
    <w:p w14:paraId="645AE17D">
      <w:pPr>
        <w:kinsoku w:val="0"/>
        <w:overflowPunct w:val="0"/>
        <w:spacing w:line="170" w:lineRule="exact"/>
        <w:rPr>
          <w:sz w:val="17"/>
        </w:rPr>
      </w:pPr>
    </w:p>
    <w:p w14:paraId="6F1B0BB6">
      <w:pPr>
        <w:kinsoku w:val="0"/>
        <w:overflowPunct w:val="0"/>
        <w:spacing w:line="200" w:lineRule="exact"/>
        <w:rPr>
          <w:sz w:val="20"/>
        </w:rPr>
      </w:pPr>
    </w:p>
    <w:p w14:paraId="14A88905">
      <w:pPr>
        <w:kinsoku w:val="0"/>
        <w:overflowPunct w:val="0"/>
        <w:spacing w:line="200" w:lineRule="exact"/>
        <w:rPr>
          <w:sz w:val="20"/>
        </w:rPr>
      </w:pPr>
    </w:p>
    <w:p w14:paraId="1E80547E">
      <w:pPr>
        <w:kinsoku w:val="0"/>
        <w:overflowPunct w:val="0"/>
        <w:spacing w:line="200" w:lineRule="exact"/>
        <w:rPr>
          <w:sz w:val="20"/>
        </w:rPr>
      </w:pPr>
    </w:p>
    <w:p w14:paraId="184E5E0A">
      <w:pPr>
        <w:kinsoku w:val="0"/>
        <w:overflowPunct w:val="0"/>
        <w:spacing w:line="200" w:lineRule="exact"/>
        <w:rPr>
          <w:sz w:val="20"/>
        </w:rPr>
      </w:pPr>
    </w:p>
    <w:p w14:paraId="3223AEEE">
      <w:pPr>
        <w:kinsoku w:val="0"/>
        <w:overflowPunct w:val="0"/>
        <w:spacing w:line="200" w:lineRule="exact"/>
        <w:rPr>
          <w:sz w:val="20"/>
        </w:rPr>
      </w:pPr>
    </w:p>
    <w:p w14:paraId="37C1565A">
      <w:pPr>
        <w:kinsoku w:val="0"/>
        <w:overflowPunct w:val="0"/>
        <w:spacing w:line="200" w:lineRule="exact"/>
        <w:rPr>
          <w:sz w:val="20"/>
        </w:rPr>
      </w:pPr>
    </w:p>
    <w:p w14:paraId="58164DBB">
      <w:pPr>
        <w:kinsoku w:val="0"/>
        <w:overflowPunct w:val="0"/>
        <w:spacing w:line="200" w:lineRule="exact"/>
        <w:rPr>
          <w:sz w:val="20"/>
        </w:rPr>
      </w:pPr>
    </w:p>
    <w:p w14:paraId="3491B6FE">
      <w:pPr>
        <w:kinsoku w:val="0"/>
        <w:overflowPunct w:val="0"/>
        <w:spacing w:line="200" w:lineRule="exact"/>
        <w:rPr>
          <w:sz w:val="20"/>
        </w:rPr>
      </w:pPr>
    </w:p>
    <w:p w14:paraId="0D5AB13A">
      <w:pPr>
        <w:kinsoku w:val="0"/>
        <w:overflowPunct w:val="0"/>
        <w:spacing w:line="200" w:lineRule="exact"/>
        <w:rPr>
          <w:sz w:val="20"/>
        </w:rPr>
      </w:pPr>
    </w:p>
    <w:p w14:paraId="68A6B7E1">
      <w:pPr>
        <w:kinsoku w:val="0"/>
        <w:overflowPunct w:val="0"/>
        <w:spacing w:line="200" w:lineRule="exact"/>
        <w:rPr>
          <w:sz w:val="20"/>
        </w:rPr>
      </w:pPr>
    </w:p>
    <w:p w14:paraId="09CD57E6">
      <w:pPr>
        <w:kinsoku w:val="0"/>
        <w:overflowPunct w:val="0"/>
        <w:spacing w:line="200" w:lineRule="exact"/>
        <w:rPr>
          <w:sz w:val="20"/>
        </w:rPr>
      </w:pPr>
    </w:p>
    <w:p w14:paraId="4F1E2C12">
      <w:pPr>
        <w:kinsoku w:val="0"/>
        <w:overflowPunct w:val="0"/>
        <w:spacing w:line="200" w:lineRule="exact"/>
        <w:rPr>
          <w:sz w:val="20"/>
        </w:rPr>
      </w:pPr>
    </w:p>
    <w:p w14:paraId="4167E735">
      <w:pPr>
        <w:kinsoku w:val="0"/>
        <w:overflowPunct w:val="0"/>
        <w:spacing w:line="200" w:lineRule="exact"/>
        <w:rPr>
          <w:sz w:val="20"/>
        </w:rPr>
      </w:pPr>
    </w:p>
    <w:p w14:paraId="11C48EAB">
      <w:pPr>
        <w:kinsoku w:val="0"/>
        <w:overflowPunct w:val="0"/>
        <w:spacing w:line="200" w:lineRule="exact"/>
        <w:rPr>
          <w:sz w:val="20"/>
        </w:rPr>
      </w:pPr>
    </w:p>
    <w:p w14:paraId="2F2346A0">
      <w:pPr>
        <w:kinsoku w:val="0"/>
        <w:overflowPunct w:val="0"/>
        <w:spacing w:line="200" w:lineRule="exact"/>
        <w:rPr>
          <w:sz w:val="20"/>
        </w:rPr>
      </w:pPr>
    </w:p>
    <w:p w14:paraId="511A90AD">
      <w:pPr>
        <w:kinsoku w:val="0"/>
        <w:overflowPunct w:val="0"/>
        <w:spacing w:line="200" w:lineRule="exact"/>
        <w:rPr>
          <w:sz w:val="20"/>
        </w:rPr>
      </w:pPr>
    </w:p>
    <w:p w14:paraId="20A6052F">
      <w:pPr>
        <w:kinsoku w:val="0"/>
        <w:overflowPunct w:val="0"/>
        <w:spacing w:line="200" w:lineRule="exact"/>
        <w:rPr>
          <w:sz w:val="20"/>
        </w:rPr>
      </w:pPr>
    </w:p>
    <w:p w14:paraId="69B081DB">
      <w:pPr>
        <w:tabs>
          <w:tab w:val="left" w:pos="2593"/>
        </w:tabs>
        <w:kinsoku w:val="0"/>
        <w:overflowPunct w:val="0"/>
        <w:ind w:left="3"/>
        <w:jc w:val="left"/>
        <w:rPr>
          <w:rFonts w:hint="eastAsia" w:ascii="宋体" w:hAnsi="宋体"/>
          <w:sz w:val="28"/>
          <w:szCs w:val="28"/>
        </w:rPr>
      </w:pPr>
      <w:r>
        <w:rPr>
          <w:rFonts w:hint="eastAsia" w:ascii="宋体" w:hAnsi="宋体"/>
          <w:sz w:val="28"/>
          <w:szCs w:val="28"/>
        </w:rPr>
        <w:t>招  标  人：</w:t>
      </w:r>
      <w:r>
        <w:rPr>
          <w:rFonts w:hint="eastAsia" w:ascii="宋体" w:hAnsi="宋体"/>
          <w:sz w:val="28"/>
          <w:szCs w:val="28"/>
          <w:u w:val="single"/>
        </w:rPr>
        <w:t>广州市增城区公共建设项目管理服务中心</w:t>
      </w:r>
      <w:r>
        <w:rPr>
          <w:rFonts w:hint="eastAsia" w:ascii="宋体" w:hAnsi="宋体"/>
          <w:sz w:val="28"/>
          <w:szCs w:val="28"/>
        </w:rPr>
        <w:t>（盖单位章）</w:t>
      </w:r>
    </w:p>
    <w:p w14:paraId="31194003">
      <w:pPr>
        <w:kinsoku w:val="0"/>
        <w:overflowPunct w:val="0"/>
        <w:jc w:val="left"/>
        <w:rPr>
          <w:rFonts w:hint="eastAsia" w:ascii="宋体" w:hAnsi="宋体"/>
          <w:sz w:val="28"/>
          <w:szCs w:val="28"/>
        </w:rPr>
      </w:pPr>
    </w:p>
    <w:p w14:paraId="7A1902D2">
      <w:pPr>
        <w:kinsoku w:val="0"/>
        <w:overflowPunct w:val="0"/>
        <w:ind w:left="-2"/>
        <w:jc w:val="left"/>
        <w:rPr>
          <w:sz w:val="28"/>
          <w:szCs w:val="28"/>
        </w:rPr>
      </w:pPr>
      <w:r>
        <w:rPr>
          <w:rFonts w:hint="eastAsia" w:ascii="宋体" w:hAnsi="宋体"/>
          <w:sz w:val="28"/>
          <w:szCs w:val="28"/>
        </w:rPr>
        <w:t>招标代理机构：</w:t>
      </w:r>
      <w:r>
        <w:rPr>
          <w:rFonts w:hint="eastAsia" w:ascii="宋体" w:hAnsi="宋体"/>
          <w:sz w:val="28"/>
          <w:szCs w:val="28"/>
          <w:u w:val="single"/>
        </w:rPr>
        <w:t>建成工程咨询股份有限公司</w:t>
      </w:r>
      <w:r>
        <w:rPr>
          <w:rFonts w:hint="eastAsia" w:ascii="宋体" w:hAnsi="宋体"/>
          <w:sz w:val="28"/>
          <w:szCs w:val="28"/>
        </w:rPr>
        <w:t xml:space="preserve">（盖单位章） </w:t>
      </w:r>
    </w:p>
    <w:p w14:paraId="3F66C202">
      <w:pPr>
        <w:pStyle w:val="6"/>
        <w:jc w:val="left"/>
        <w:rPr>
          <w:sz w:val="28"/>
          <w:szCs w:val="28"/>
        </w:rPr>
      </w:pPr>
    </w:p>
    <w:p w14:paraId="01B94D02">
      <w:pPr>
        <w:tabs>
          <w:tab w:val="left" w:pos="3611"/>
          <w:tab w:val="left" w:pos="4626"/>
          <w:tab w:val="left" w:pos="5642"/>
        </w:tabs>
        <w:kinsoku w:val="0"/>
        <w:overflowPunct w:val="0"/>
        <w:spacing w:line="381" w:lineRule="exact"/>
        <w:jc w:val="left"/>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2025</w:t>
      </w:r>
      <w:r>
        <w:rPr>
          <w:rFonts w:hint="eastAsia" w:ascii="宋体" w:hAnsi="宋体"/>
          <w:spacing w:val="2"/>
          <w:sz w:val="28"/>
          <w:szCs w:val="28"/>
        </w:rPr>
        <w:t>年</w:t>
      </w:r>
      <w:r>
        <w:rPr>
          <w:rFonts w:hint="eastAsia" w:ascii="宋体" w:hAnsi="宋体"/>
          <w:spacing w:val="2"/>
          <w:sz w:val="28"/>
          <w:szCs w:val="28"/>
          <w:u w:val="single"/>
          <w:lang w:val="en-US" w:eastAsia="zh-CN"/>
        </w:rPr>
        <w:t xml:space="preserve"> 8 </w:t>
      </w:r>
      <w:r>
        <w:rPr>
          <w:rFonts w:hint="eastAsia" w:ascii="宋体" w:hAnsi="宋体"/>
          <w:spacing w:val="2"/>
          <w:sz w:val="28"/>
          <w:szCs w:val="28"/>
        </w:rPr>
        <w:t>月</w:t>
      </w:r>
    </w:p>
    <w:p w14:paraId="31BD2043">
      <w:pPr>
        <w:autoSpaceDE w:val="0"/>
        <w:autoSpaceDN w:val="0"/>
        <w:adjustRightInd w:val="0"/>
        <w:spacing w:line="360" w:lineRule="auto"/>
        <w:jc w:val="center"/>
        <w:rPr>
          <w:rFonts w:hint="eastAsia" w:ascii="宋体" w:hAnsi="宋体" w:cs="宋体"/>
          <w:b/>
          <w:sz w:val="36"/>
          <w:szCs w:val="36"/>
        </w:rPr>
        <w:sectPr>
          <w:pgSz w:w="11906" w:h="16838"/>
          <w:pgMar w:top="1440" w:right="1066" w:bottom="1440" w:left="1800" w:header="851" w:footer="992" w:gutter="0"/>
          <w:cols w:space="425" w:num="1"/>
          <w:docGrid w:type="lines" w:linePitch="312" w:charSpace="0"/>
        </w:sectPr>
      </w:pPr>
      <w:bookmarkStart w:id="2" w:name="_Toc24404"/>
      <w:bookmarkStart w:id="3" w:name="_Toc18135"/>
      <w:bookmarkStart w:id="4" w:name="_Toc9660"/>
      <w:bookmarkStart w:id="5" w:name="_Toc6275"/>
      <w:bookmarkStart w:id="6" w:name="_Toc24592"/>
      <w:bookmarkStart w:id="7" w:name="_Toc26883"/>
      <w:bookmarkStart w:id="8" w:name="_Toc15600"/>
      <w:bookmarkStart w:id="9" w:name="_Toc27786"/>
      <w:bookmarkStart w:id="10" w:name="_Toc19439"/>
      <w:bookmarkStart w:id="11" w:name="_Toc30405"/>
      <w:bookmarkStart w:id="12" w:name="_Toc7983"/>
    </w:p>
    <w:p w14:paraId="4319C394">
      <w:pPr>
        <w:autoSpaceDE w:val="0"/>
        <w:autoSpaceDN w:val="0"/>
        <w:adjustRightInd w:val="0"/>
        <w:spacing w:line="360" w:lineRule="auto"/>
        <w:jc w:val="center"/>
        <w:rPr>
          <w:rFonts w:ascii="Times New Roman" w:hAnsi="Times New Roman"/>
        </w:rPr>
      </w:pPr>
      <w:r>
        <w:rPr>
          <w:rFonts w:hint="eastAsia" w:ascii="宋体" w:hAnsi="宋体" w:cs="宋体"/>
          <w:b/>
          <w:sz w:val="36"/>
          <w:szCs w:val="36"/>
          <w:lang w:eastAsia="zh-CN"/>
        </w:rPr>
        <w:t>增城区广汕南路西延线(规划纵一路-规划纵二路)建设工程施工监理</w:t>
      </w:r>
      <w:r>
        <w:rPr>
          <w:rFonts w:hint="eastAsia" w:ascii="宋体" w:hAnsi="宋体" w:cs="宋体"/>
          <w:b/>
          <w:sz w:val="36"/>
          <w:szCs w:val="36"/>
        </w:rPr>
        <w:t>招标公告</w:t>
      </w:r>
    </w:p>
    <w:p w14:paraId="1DC21050">
      <w:pPr>
        <w:pStyle w:val="3"/>
        <w:rPr>
          <w:rFonts w:hint="eastAsia"/>
        </w:rPr>
      </w:pPr>
      <w:bookmarkStart w:id="13" w:name="_Toc29260"/>
      <w:bookmarkStart w:id="14" w:name="_Toc19309"/>
      <w:bookmarkStart w:id="15" w:name="_Toc7616"/>
      <w:r>
        <w:rPr>
          <w:rFonts w:hint="eastAsia"/>
        </w:rPr>
        <w:t>1.招标条件</w:t>
      </w:r>
      <w:bookmarkEnd w:id="13"/>
      <w:bookmarkEnd w:id="14"/>
      <w:bookmarkEnd w:id="15"/>
    </w:p>
    <w:p w14:paraId="72B467AF">
      <w:pPr>
        <w:snapToGrid w:val="0"/>
        <w:spacing w:line="360" w:lineRule="auto"/>
        <w:ind w:firstLine="420" w:firstLineChars="200"/>
        <w:jc w:val="left"/>
        <w:rPr>
          <w:rFonts w:hint="eastAsia"/>
          <w:sz w:val="24"/>
          <w:szCs w:val="24"/>
        </w:rPr>
      </w:pPr>
      <w:bookmarkStart w:id="16" w:name="_Toc16756"/>
      <w:bookmarkStart w:id="17" w:name="_Toc23202"/>
      <w:bookmarkStart w:id="18" w:name="_Toc5569"/>
      <w:bookmarkStart w:id="19" w:name="_Toc15996"/>
      <w:bookmarkStart w:id="20" w:name="_Toc26461"/>
      <w:bookmarkStart w:id="21" w:name="_Toc492300547"/>
      <w:bookmarkStart w:id="22" w:name="_Toc8135"/>
      <w:bookmarkStart w:id="23" w:name="_Toc9097"/>
      <w:bookmarkStart w:id="24" w:name="_Toc12610"/>
      <w:bookmarkStart w:id="25" w:name="_Toc20915"/>
      <w:r>
        <w:rPr>
          <w:rFonts w:hint="eastAsia"/>
          <w:szCs w:val="21"/>
        </w:rPr>
        <w:t>本招标项目</w:t>
      </w:r>
      <w:r>
        <w:rPr>
          <w:rFonts w:hint="eastAsia" w:ascii="宋体" w:hAnsi="宋体"/>
          <w:szCs w:val="21"/>
          <w:u w:val="single"/>
        </w:rPr>
        <w:t>增城区广汕南路西延线(规划纵一路-规划纵二路)建设工程</w:t>
      </w:r>
      <w:r>
        <w:rPr>
          <w:rFonts w:hint="eastAsia"/>
          <w:szCs w:val="21"/>
        </w:rPr>
        <w:t>已由</w:t>
      </w:r>
      <w:r>
        <w:rPr>
          <w:rFonts w:hint="eastAsia"/>
          <w:szCs w:val="21"/>
          <w:u w:val="single"/>
        </w:rPr>
        <w:t>广州市增城区发展和改革局</w:t>
      </w:r>
      <w:r>
        <w:rPr>
          <w:rFonts w:hint="eastAsia"/>
          <w:szCs w:val="21"/>
        </w:rPr>
        <w:t>以</w:t>
      </w:r>
      <w:r>
        <w:rPr>
          <w:rFonts w:hint="eastAsia"/>
          <w:szCs w:val="21"/>
          <w:u w:val="single"/>
        </w:rPr>
        <w:t>穗增发改投批〔2025]116号文</w:t>
      </w:r>
      <w:r>
        <w:rPr>
          <w:rFonts w:hint="eastAsia" w:ascii="宋体" w:hAnsi="宋体"/>
          <w:szCs w:val="21"/>
        </w:rPr>
        <w:t>批</w:t>
      </w:r>
      <w:r>
        <w:rPr>
          <w:rFonts w:hint="eastAsia"/>
          <w:szCs w:val="21"/>
        </w:rPr>
        <w:t>准建设，项目业主为</w:t>
      </w:r>
      <w:r>
        <w:rPr>
          <w:rFonts w:hint="eastAsia" w:ascii="宋体" w:hAnsi="宋体"/>
          <w:szCs w:val="21"/>
          <w:u w:val="single"/>
        </w:rPr>
        <w:t>广州市增城区公共建设项目管理服务中心</w:t>
      </w:r>
      <w:r>
        <w:rPr>
          <w:rFonts w:hint="eastAsia"/>
          <w:szCs w:val="21"/>
        </w:rPr>
        <w:t>，建设资金为</w:t>
      </w:r>
      <w:r>
        <w:rPr>
          <w:rFonts w:hint="eastAsia" w:ascii="宋体" w:hAnsi="宋体" w:cs="宋体"/>
          <w:szCs w:val="21"/>
          <w:u w:val="single"/>
        </w:rPr>
        <w:t>区财政资金</w:t>
      </w:r>
      <w:r>
        <w:rPr>
          <w:rFonts w:hint="eastAsia"/>
          <w:szCs w:val="21"/>
        </w:rPr>
        <w:t>，出资比例为</w:t>
      </w:r>
      <w:r>
        <w:rPr>
          <w:rFonts w:hint="eastAsia"/>
          <w:szCs w:val="21"/>
          <w:u w:val="single"/>
        </w:rPr>
        <w:t>100%</w:t>
      </w:r>
      <w:r>
        <w:rPr>
          <w:rFonts w:hint="eastAsia"/>
          <w:szCs w:val="21"/>
        </w:rPr>
        <w:t>，招标人为</w:t>
      </w:r>
      <w:r>
        <w:rPr>
          <w:rFonts w:hint="eastAsia" w:ascii="宋体" w:hAnsi="宋体"/>
          <w:szCs w:val="21"/>
          <w:u w:val="single"/>
        </w:rPr>
        <w:t>广州市增城区公共建设项目管理服务中心</w:t>
      </w:r>
      <w:r>
        <w:rPr>
          <w:rFonts w:hint="eastAsia"/>
          <w:szCs w:val="21"/>
        </w:rPr>
        <w:t>。项目已具备招标条件，现对该项目的</w:t>
      </w:r>
      <w:r>
        <w:rPr>
          <w:rFonts w:hint="eastAsia"/>
          <w:szCs w:val="21"/>
          <w:u w:val="single"/>
        </w:rPr>
        <w:t>施工监理</w:t>
      </w:r>
      <w:r>
        <w:rPr>
          <w:rFonts w:hint="eastAsia"/>
          <w:szCs w:val="21"/>
        </w:rPr>
        <w:t>进行公开招标。</w:t>
      </w:r>
      <w:r>
        <w:rPr>
          <w:rFonts w:hint="eastAsia"/>
          <w:sz w:val="24"/>
          <w:szCs w:val="24"/>
        </w:rPr>
        <w:t xml:space="preserve"> </w:t>
      </w:r>
    </w:p>
    <w:p w14:paraId="1FD96B38">
      <w:pPr>
        <w:snapToGrid w:val="0"/>
        <w:spacing w:line="360" w:lineRule="auto"/>
        <w:ind w:firstLine="480" w:firstLineChars="200"/>
        <w:jc w:val="left"/>
        <w:rPr>
          <w:rFonts w:hint="eastAsia"/>
          <w:sz w:val="24"/>
          <w:szCs w:val="24"/>
        </w:rPr>
      </w:pPr>
    </w:p>
    <w:p w14:paraId="75578BE5">
      <w:pPr>
        <w:pStyle w:val="3"/>
        <w:rPr>
          <w:rFonts w:hint="eastAsia"/>
        </w:rPr>
      </w:pPr>
      <w:bookmarkStart w:id="26" w:name="_Toc17994"/>
      <w:r>
        <w:rPr>
          <w:rFonts w:hint="eastAsia"/>
        </w:rPr>
        <w:t>2.项目概况与招标范围</w:t>
      </w:r>
      <w:bookmarkEnd w:id="16"/>
      <w:bookmarkEnd w:id="17"/>
      <w:bookmarkEnd w:id="18"/>
      <w:bookmarkEnd w:id="19"/>
      <w:bookmarkEnd w:id="20"/>
      <w:bookmarkEnd w:id="21"/>
      <w:bookmarkEnd w:id="22"/>
      <w:bookmarkEnd w:id="23"/>
      <w:bookmarkEnd w:id="24"/>
      <w:bookmarkEnd w:id="25"/>
      <w:bookmarkEnd w:id="26"/>
    </w:p>
    <w:p w14:paraId="60665842">
      <w:pPr>
        <w:tabs>
          <w:tab w:val="left" w:pos="7513"/>
        </w:tabs>
        <w:autoSpaceDE w:val="0"/>
        <w:autoSpaceDN w:val="0"/>
        <w:adjustRightInd w:val="0"/>
        <w:spacing w:line="360" w:lineRule="auto"/>
        <w:rPr>
          <w:rFonts w:ascii="宋体" w:hAnsi="宋体"/>
          <w:szCs w:val="21"/>
        </w:rPr>
      </w:pPr>
      <w:bookmarkStart w:id="27" w:name="_Toc17345"/>
      <w:r>
        <w:rPr>
          <w:rFonts w:ascii="宋体" w:hAnsi="宋体"/>
          <w:szCs w:val="21"/>
        </w:rPr>
        <w:t>2.1</w:t>
      </w:r>
      <w:r>
        <w:rPr>
          <w:rFonts w:hint="eastAsia" w:ascii="宋体" w:hAnsi="宋体"/>
          <w:szCs w:val="21"/>
        </w:rPr>
        <w:t xml:space="preserve"> </w:t>
      </w:r>
      <w:r>
        <w:rPr>
          <w:rFonts w:ascii="宋体" w:hAnsi="宋体"/>
          <w:szCs w:val="21"/>
        </w:rPr>
        <w:t>招标项目概况</w:t>
      </w:r>
      <w:bookmarkEnd w:id="27"/>
    </w:p>
    <w:p w14:paraId="32665B58">
      <w:pPr>
        <w:tabs>
          <w:tab w:val="left" w:pos="7513"/>
        </w:tabs>
        <w:autoSpaceDE w:val="0"/>
        <w:autoSpaceDN w:val="0"/>
        <w:spacing w:line="360" w:lineRule="auto"/>
        <w:ind w:firstLine="371" w:firstLineChars="177"/>
        <w:rPr>
          <w:rFonts w:hint="eastAsia" w:ascii="宋体" w:hAnsi="宋体"/>
          <w:szCs w:val="21"/>
          <w:u w:val="single"/>
        </w:rPr>
      </w:pPr>
      <w:bookmarkStart w:id="28" w:name="_Toc13481"/>
      <w:r>
        <w:rPr>
          <w:rFonts w:ascii="宋体" w:hAnsi="宋体"/>
          <w:szCs w:val="21"/>
        </w:rPr>
        <w:t>2.1.</w:t>
      </w:r>
      <w:r>
        <w:rPr>
          <w:rFonts w:hint="eastAsia" w:ascii="宋体" w:hAnsi="宋体"/>
          <w:szCs w:val="21"/>
        </w:rPr>
        <w:t>1 招标项目固定资产投资项目代码：</w:t>
      </w:r>
      <w:r>
        <w:rPr>
          <w:rFonts w:hint="eastAsia" w:ascii="宋体" w:hAnsi="宋体"/>
          <w:szCs w:val="21"/>
          <w:u w:val="single"/>
        </w:rPr>
        <w:t>2307-440118-04-01-127109</w:t>
      </w:r>
    </w:p>
    <w:p w14:paraId="148B559D">
      <w:pPr>
        <w:tabs>
          <w:tab w:val="left" w:pos="7513"/>
        </w:tabs>
        <w:autoSpaceDE w:val="0"/>
        <w:autoSpaceDN w:val="0"/>
        <w:spacing w:line="360" w:lineRule="auto"/>
        <w:ind w:firstLine="371" w:firstLineChars="177"/>
        <w:rPr>
          <w:rFonts w:hint="eastAsia" w:ascii="宋体" w:hAnsi="宋体"/>
          <w:szCs w:val="21"/>
          <w:u w:val="single"/>
          <w:lang w:eastAsia="zh-CN"/>
        </w:rPr>
      </w:pPr>
      <w:r>
        <w:rPr>
          <w:rFonts w:hint="eastAsia" w:ascii="宋体" w:hAnsi="宋体"/>
          <w:szCs w:val="21"/>
        </w:rPr>
        <w:t>2.1.2 招标项目名称：</w:t>
      </w:r>
      <w:r>
        <w:rPr>
          <w:rFonts w:hint="eastAsia" w:ascii="宋体" w:hAnsi="宋体"/>
          <w:szCs w:val="21"/>
          <w:u w:val="single"/>
          <w:lang w:eastAsia="zh-CN"/>
        </w:rPr>
        <w:t>增城区广汕南路西延线(规划纵一路-规划纵二路)建设工程施工监理</w:t>
      </w:r>
    </w:p>
    <w:p w14:paraId="5637DC55">
      <w:pPr>
        <w:tabs>
          <w:tab w:val="left" w:pos="7513"/>
        </w:tabs>
        <w:autoSpaceDE w:val="0"/>
        <w:autoSpaceDN w:val="0"/>
        <w:spacing w:line="360" w:lineRule="auto"/>
        <w:ind w:firstLine="371" w:firstLineChars="177"/>
        <w:rPr>
          <w:rFonts w:ascii="宋体" w:hAnsi="宋体" w:cs="宋体"/>
          <w:szCs w:val="21"/>
        </w:rPr>
      </w:pPr>
      <w:r>
        <w:rPr>
          <w:rFonts w:hint="eastAsia" w:ascii="宋体" w:hAnsi="宋体"/>
          <w:szCs w:val="21"/>
        </w:rPr>
        <w:t xml:space="preserve">2.1.3 </w:t>
      </w:r>
      <w:r>
        <w:rPr>
          <w:rFonts w:ascii="宋体" w:hAnsi="宋体"/>
          <w:szCs w:val="21"/>
        </w:rPr>
        <w:t>工程建设地点：</w:t>
      </w:r>
      <w:r>
        <w:rPr>
          <w:rFonts w:ascii="宋体" w:hAnsi="宋体"/>
          <w:szCs w:val="21"/>
          <w:u w:val="single"/>
        </w:rPr>
        <w:t>项目位于中新镇公铁联运片区。</w:t>
      </w:r>
      <w:r>
        <w:rPr>
          <w:rFonts w:ascii="宋体" w:hAnsi="宋体"/>
          <w:szCs w:val="21"/>
        </w:rPr>
        <w:t xml:space="preserve"> </w:t>
      </w:r>
    </w:p>
    <w:p w14:paraId="2641614F">
      <w:pPr>
        <w:tabs>
          <w:tab w:val="left" w:pos="7513"/>
        </w:tabs>
        <w:autoSpaceDE w:val="0"/>
        <w:autoSpaceDN w:val="0"/>
        <w:spacing w:line="360" w:lineRule="auto"/>
        <w:ind w:firstLine="371" w:firstLineChars="177"/>
        <w:rPr>
          <w:rFonts w:ascii="宋体" w:hAnsi="Times New Roman"/>
          <w:szCs w:val="21"/>
          <w:u w:val="single"/>
        </w:rPr>
      </w:pPr>
      <w:r>
        <w:rPr>
          <w:rFonts w:ascii="宋体" w:hAnsi="宋体"/>
          <w:szCs w:val="21"/>
        </w:rPr>
        <w:t>2.1.</w:t>
      </w:r>
      <w:r>
        <w:rPr>
          <w:rFonts w:hint="eastAsia" w:ascii="宋体" w:hAnsi="宋体"/>
          <w:szCs w:val="21"/>
        </w:rPr>
        <w:t xml:space="preserve">4 </w:t>
      </w:r>
      <w:r>
        <w:rPr>
          <w:rFonts w:ascii="宋体" w:hAnsi="宋体"/>
          <w:szCs w:val="21"/>
        </w:rPr>
        <w:t>工程建设规模</w:t>
      </w:r>
      <w:r>
        <w:rPr>
          <w:rFonts w:ascii="宋体" w:hAnsi="Times New Roman"/>
          <w:szCs w:val="21"/>
        </w:rPr>
        <w:t>：</w:t>
      </w:r>
      <w:r>
        <w:rPr>
          <w:rFonts w:ascii="宋体" w:hAnsi="Times New Roman"/>
          <w:szCs w:val="21"/>
          <w:u w:val="single"/>
        </w:rPr>
        <w:t>项目位于中新镇公铁联运片区，西起规划纵一路，东至规划纵二路，道路总长约1.122km,道路规划宽60m,双向6车道，建设标准为城市主干路。主要建设内 容包括道路、交通、桥梁、给排水、照明、电力管沟及绿化等工 程(不含规划高架桥)。</w:t>
      </w:r>
    </w:p>
    <w:p w14:paraId="6EC38338">
      <w:pPr>
        <w:tabs>
          <w:tab w:val="left" w:pos="7513"/>
        </w:tabs>
        <w:autoSpaceDE w:val="0"/>
        <w:autoSpaceDN w:val="0"/>
        <w:spacing w:line="360" w:lineRule="auto"/>
        <w:ind w:firstLine="371" w:firstLineChars="177"/>
        <w:rPr>
          <w:szCs w:val="21"/>
          <w:u w:val="single"/>
        </w:rPr>
      </w:pPr>
      <w:r>
        <w:rPr>
          <w:rFonts w:ascii="宋体" w:hAnsi="宋体"/>
          <w:szCs w:val="21"/>
        </w:rPr>
        <w:t>2.1.</w:t>
      </w:r>
      <w:r>
        <w:rPr>
          <w:rFonts w:hint="eastAsia" w:ascii="宋体" w:hAnsi="宋体"/>
          <w:szCs w:val="21"/>
        </w:rPr>
        <w:t xml:space="preserve">5 </w:t>
      </w:r>
      <w:r>
        <w:rPr>
          <w:rFonts w:ascii="宋体" w:hAnsi="宋体"/>
          <w:szCs w:val="21"/>
        </w:rPr>
        <w:t>工程</w:t>
      </w:r>
      <w:r>
        <w:rPr>
          <w:rFonts w:ascii="宋体" w:hAnsi="宋体"/>
          <w:szCs w:val="21"/>
          <w:u w:val="none"/>
        </w:rPr>
        <w:t>概算</w:t>
      </w:r>
      <w:r>
        <w:rPr>
          <w:rFonts w:ascii="宋体" w:hAnsi="宋体"/>
          <w:szCs w:val="21"/>
        </w:rPr>
        <w:t>建筑安装工程费</w:t>
      </w:r>
      <w:r>
        <w:rPr>
          <w:rFonts w:ascii="宋体" w:hAnsi="Times New Roman"/>
          <w:szCs w:val="21"/>
        </w:rPr>
        <w:t>：</w:t>
      </w:r>
      <w:r>
        <w:rPr>
          <w:rFonts w:hint="eastAsia" w:ascii="宋体" w:hAnsi="宋体" w:cs="宋体"/>
          <w:szCs w:val="21"/>
          <w:u w:val="single"/>
        </w:rPr>
        <w:t>项目概算投资额约为</w:t>
      </w:r>
      <w:r>
        <w:rPr>
          <w:rFonts w:hint="eastAsia" w:ascii="宋体" w:hAnsi="宋体" w:cs="宋体"/>
          <w:szCs w:val="21"/>
          <w:u w:val="single"/>
          <w:lang w:val="en-US" w:eastAsia="zh-CN"/>
        </w:rPr>
        <w:t>20994.404</w:t>
      </w:r>
      <w:r>
        <w:rPr>
          <w:rFonts w:hint="eastAsia" w:ascii="宋体" w:hAnsi="宋体" w:cs="宋体"/>
          <w:szCs w:val="21"/>
          <w:u w:val="single"/>
        </w:rPr>
        <w:t>万元，其中，建安费约为</w:t>
      </w:r>
      <w:r>
        <w:rPr>
          <w:rFonts w:hint="eastAsia" w:ascii="宋体" w:hAnsi="宋体" w:cs="宋体"/>
          <w:szCs w:val="21"/>
          <w:u w:val="single"/>
          <w:lang w:val="en-US" w:eastAsia="zh-CN"/>
        </w:rPr>
        <w:t>12926.0747</w:t>
      </w:r>
      <w:r>
        <w:rPr>
          <w:rFonts w:hint="eastAsia" w:ascii="宋体" w:hAnsi="宋体" w:cs="宋体"/>
          <w:szCs w:val="21"/>
          <w:u w:val="single"/>
        </w:rPr>
        <w:t>万元</w:t>
      </w:r>
      <w:r>
        <w:rPr>
          <w:rFonts w:hint="eastAsia"/>
          <w:szCs w:val="21"/>
          <w:u w:val="single"/>
        </w:rPr>
        <w:t>。</w:t>
      </w:r>
    </w:p>
    <w:p w14:paraId="5751E1A7">
      <w:pPr>
        <w:tabs>
          <w:tab w:val="left" w:pos="7513"/>
        </w:tabs>
        <w:spacing w:line="360" w:lineRule="auto"/>
        <w:rPr>
          <w:rFonts w:ascii="宋体" w:hAnsi="宋体"/>
          <w:szCs w:val="21"/>
        </w:rPr>
      </w:pPr>
      <w:r>
        <w:rPr>
          <w:rFonts w:ascii="宋体" w:hAnsi="宋体"/>
          <w:szCs w:val="21"/>
        </w:rPr>
        <w:t>2.2</w:t>
      </w:r>
      <w:r>
        <w:rPr>
          <w:rFonts w:hint="eastAsia" w:ascii="宋体" w:hAnsi="宋体"/>
          <w:szCs w:val="21"/>
        </w:rPr>
        <w:t xml:space="preserve"> </w:t>
      </w:r>
      <w:r>
        <w:rPr>
          <w:rFonts w:ascii="宋体" w:hAnsi="宋体"/>
          <w:szCs w:val="21"/>
        </w:rPr>
        <w:t>招标范围</w:t>
      </w:r>
      <w:bookmarkEnd w:id="28"/>
    </w:p>
    <w:p w14:paraId="40EB8457">
      <w:pPr>
        <w:tabs>
          <w:tab w:val="left" w:pos="7513"/>
        </w:tabs>
        <w:spacing w:line="360" w:lineRule="auto"/>
        <w:ind w:firstLine="420" w:firstLineChars="200"/>
        <w:rPr>
          <w:rFonts w:ascii="宋体" w:hAnsi="宋体" w:cs="宋体"/>
          <w:szCs w:val="21"/>
        </w:rPr>
      </w:pPr>
      <w:r>
        <w:rPr>
          <w:rFonts w:ascii="宋体" w:hAnsi="宋体"/>
          <w:szCs w:val="21"/>
        </w:rPr>
        <w:t>2.2.1</w:t>
      </w:r>
      <w:r>
        <w:rPr>
          <w:rFonts w:hint="eastAsia" w:ascii="宋体" w:hAnsi="宋体"/>
          <w:szCs w:val="21"/>
        </w:rPr>
        <w:t>监理</w:t>
      </w:r>
      <w:r>
        <w:rPr>
          <w:rFonts w:ascii="宋体" w:hAnsi="Times New Roman"/>
          <w:szCs w:val="21"/>
        </w:rPr>
        <w:t>标段划分：</w:t>
      </w:r>
      <w:r>
        <w:rPr>
          <w:rFonts w:hint="eastAsia"/>
          <w:bCs/>
          <w:szCs w:val="21"/>
          <w:u w:val="single"/>
        </w:rPr>
        <w:t>本项目划分1个标段。</w:t>
      </w:r>
      <w:r>
        <w:rPr>
          <w:szCs w:val="21"/>
        </w:rPr>
        <w:t xml:space="preserve">   </w:t>
      </w:r>
    </w:p>
    <w:p w14:paraId="72374F1B">
      <w:pPr>
        <w:tabs>
          <w:tab w:val="left" w:pos="7513"/>
        </w:tabs>
        <w:autoSpaceDE w:val="0"/>
        <w:autoSpaceDN w:val="0"/>
        <w:spacing w:line="360" w:lineRule="auto"/>
        <w:ind w:firstLine="371" w:firstLineChars="177"/>
        <w:rPr>
          <w:rFonts w:ascii="宋体" w:hAnsi="Times New Roman"/>
          <w:szCs w:val="21"/>
          <w:u w:val="single"/>
        </w:rPr>
      </w:pPr>
      <w:r>
        <w:rPr>
          <w:rFonts w:ascii="宋体" w:hAnsi="宋体"/>
          <w:szCs w:val="21"/>
        </w:rPr>
        <w:t>2.2.2</w:t>
      </w:r>
      <w:r>
        <w:rPr>
          <w:rFonts w:hint="eastAsia" w:ascii="宋体" w:hAnsi="宋体"/>
          <w:szCs w:val="21"/>
        </w:rPr>
        <w:t>招标</w:t>
      </w:r>
      <w:r>
        <w:rPr>
          <w:rFonts w:ascii="宋体" w:hAnsi="宋体"/>
          <w:szCs w:val="21"/>
        </w:rPr>
        <w:t>范围：</w:t>
      </w:r>
      <w:bookmarkStart w:id="29" w:name="OLE_LINK17"/>
      <w:bookmarkStart w:id="30" w:name="OLE_LINK16"/>
      <w:r>
        <w:rPr>
          <w:rFonts w:ascii="宋体" w:hAnsi="Times New Roman"/>
          <w:szCs w:val="21"/>
          <w:u w:val="single"/>
        </w:rPr>
        <w:t>项目准备阶段、施工阶段、工程收尾阶段（包括但不限于竣工验收、整改、工程移交及实物移交等）及工程质量保修阶段的质量控制、安全生产监督管理、进度  控制、施工过程造价控制、合同管理、信息管理、组织协调、协助建设单位进行档案整理、 归档及管理等监理工作。其中，施工过程造价控制服务包括：</w:t>
      </w:r>
    </w:p>
    <w:p w14:paraId="1499179A">
      <w:pPr>
        <w:tabs>
          <w:tab w:val="left" w:pos="7513"/>
        </w:tabs>
        <w:autoSpaceDE w:val="0"/>
        <w:autoSpaceDN w:val="0"/>
        <w:spacing w:line="360" w:lineRule="auto"/>
        <w:ind w:firstLine="371" w:firstLineChars="177"/>
        <w:rPr>
          <w:rFonts w:ascii="宋体" w:hAnsi="Times New Roman"/>
          <w:szCs w:val="21"/>
          <w:u w:val="single"/>
        </w:rPr>
      </w:pPr>
      <w:r>
        <w:rPr>
          <w:rFonts w:ascii="宋体" w:hAnsi="Times New Roman"/>
          <w:szCs w:val="21"/>
          <w:u w:val="single"/>
        </w:rPr>
        <w:t>(1)施工阶段：①协助招标人制定工程成本控制办法，包括工程变更程序和工程量、价调整、工程款支付等管理办法。②协助招标人的合同管理，包括合同变更谈判、变更的处理程序，落实变更的措施，修改变更相关的资料，检查变更措施的落实情况，协助招标人拟订补充合同。③按招标人要求进行现场工程实物计量及与造价控制有关的专题会、审核工程进度款、审核工程变更及签证文件，整理结算资料等施工的造价控制，按月、季、年 提交造价控制报告。</w:t>
      </w:r>
    </w:p>
    <w:p w14:paraId="438650AE">
      <w:pPr>
        <w:tabs>
          <w:tab w:val="left" w:pos="7513"/>
        </w:tabs>
        <w:autoSpaceDE w:val="0"/>
        <w:autoSpaceDN w:val="0"/>
        <w:spacing w:line="360" w:lineRule="auto"/>
        <w:ind w:firstLine="371" w:firstLineChars="177"/>
        <w:rPr>
          <w:rFonts w:ascii="宋体" w:hAnsi="Times New Roman"/>
          <w:szCs w:val="21"/>
          <w:u w:val="single"/>
        </w:rPr>
      </w:pPr>
      <w:r>
        <w:rPr>
          <w:rFonts w:ascii="宋体" w:hAnsi="Times New Roman"/>
          <w:szCs w:val="21"/>
          <w:u w:val="single"/>
        </w:rPr>
        <w:t>(2)项目竣工结算阶段：收集和整理结算依据资料,提供结算审核服务及结算审核报告，确保工程审计所需资料的完整性、合理性、正确性。工程结算审定后结合工程变更及签证、价差调整情况，提交本项目施工过程造价分析报告（包括按招标人要求编制《工程结算造 价指标明细表》）。</w:t>
      </w:r>
    </w:p>
    <w:p w14:paraId="168A4D85">
      <w:pPr>
        <w:tabs>
          <w:tab w:val="left" w:pos="7513"/>
        </w:tabs>
        <w:autoSpaceDE w:val="0"/>
        <w:autoSpaceDN w:val="0"/>
        <w:spacing w:line="360" w:lineRule="auto"/>
        <w:ind w:firstLine="371" w:firstLineChars="177"/>
        <w:rPr>
          <w:rFonts w:ascii="宋体" w:hAnsi="Times New Roman"/>
          <w:szCs w:val="21"/>
          <w:u w:val="single"/>
        </w:rPr>
      </w:pPr>
      <w:r>
        <w:rPr>
          <w:rFonts w:ascii="宋体" w:hAnsi="Times New Roman"/>
          <w:szCs w:val="21"/>
          <w:u w:val="single"/>
        </w:rPr>
        <w:t>(3)项目决算阶段：收集和整理决算依据资料,提供决算报告，确保决算报告的完整性、合理性、正确性，完成整个项目造价控制管理建档工作。</w:t>
      </w:r>
    </w:p>
    <w:p w14:paraId="7D3BAE4E">
      <w:pPr>
        <w:tabs>
          <w:tab w:val="left" w:pos="7513"/>
        </w:tabs>
        <w:autoSpaceDE w:val="0"/>
        <w:autoSpaceDN w:val="0"/>
        <w:spacing w:line="360" w:lineRule="auto"/>
        <w:ind w:firstLine="371" w:firstLineChars="177"/>
        <w:rPr>
          <w:rFonts w:ascii="宋体" w:hAnsi="Times New Roman"/>
          <w:szCs w:val="21"/>
          <w:u w:val="single"/>
        </w:rPr>
      </w:pPr>
      <w:r>
        <w:rPr>
          <w:rFonts w:ascii="宋体" w:hAnsi="Times New Roman"/>
          <w:szCs w:val="21"/>
          <w:u w:val="single"/>
        </w:rPr>
        <w:t>(4)负责本项目各类合同（包括但不限于施工合同、咨询合同、监理合同、材料设备采 购合同及各类顾问、服务合同等）的合同款支付审核与合同价控制等，并完善合同中相关 计价、计量、支付、索赔等造价控制条款。</w:t>
      </w:r>
    </w:p>
    <w:p w14:paraId="50D126D8">
      <w:pPr>
        <w:tabs>
          <w:tab w:val="left" w:pos="7513"/>
        </w:tabs>
        <w:autoSpaceDE w:val="0"/>
        <w:autoSpaceDN w:val="0"/>
        <w:spacing w:line="360" w:lineRule="auto"/>
        <w:ind w:firstLine="371" w:firstLineChars="177"/>
        <w:rPr>
          <w:rFonts w:ascii="宋体" w:hAnsi="Times New Roman"/>
          <w:szCs w:val="21"/>
          <w:u w:val="single"/>
        </w:rPr>
      </w:pPr>
      <w:r>
        <w:rPr>
          <w:rFonts w:ascii="宋体" w:hAnsi="Times New Roman"/>
          <w:szCs w:val="21"/>
          <w:u w:val="single"/>
        </w:rPr>
        <w:t>(5)按招标人要求编制的各阶段造价指标明细表须结合施工单位提供的经济技术指标、分专项工程提交，同时竣工验收前，须督促施工单位完成竣工经济技术指标表、专项工程 经济技术指标表。</w:t>
      </w:r>
    </w:p>
    <w:p w14:paraId="6A7F46E8">
      <w:pPr>
        <w:tabs>
          <w:tab w:val="left" w:pos="7513"/>
        </w:tabs>
        <w:autoSpaceDE w:val="0"/>
        <w:autoSpaceDN w:val="0"/>
        <w:spacing w:line="360" w:lineRule="auto"/>
        <w:ind w:firstLine="371" w:firstLineChars="177"/>
        <w:rPr>
          <w:rFonts w:ascii="宋体" w:hAnsi="宋体"/>
          <w:szCs w:val="21"/>
        </w:rPr>
      </w:pPr>
      <w:r>
        <w:rPr>
          <w:rFonts w:ascii="宋体" w:hAnsi="Times New Roman"/>
          <w:szCs w:val="21"/>
          <w:u w:val="single"/>
        </w:rPr>
        <w:t>（6）招标人要求的本工程其他造价控制服务事项，随时接受招标人对本工程的造价控制服务。</w:t>
      </w:r>
      <w:bookmarkEnd w:id="29"/>
      <w:bookmarkEnd w:id="30"/>
      <w:r>
        <w:rPr>
          <w:rFonts w:ascii="宋体" w:hAnsi="Times New Roman"/>
          <w:szCs w:val="21"/>
          <w:u w:val="single"/>
        </w:rPr>
        <w:t xml:space="preserve">  </w:t>
      </w:r>
      <w:r>
        <w:rPr>
          <w:rFonts w:ascii="宋体" w:hAnsi="宋体"/>
          <w:szCs w:val="21"/>
        </w:rPr>
        <w:t xml:space="preserve">              </w:t>
      </w:r>
    </w:p>
    <w:p w14:paraId="07194171">
      <w:pPr>
        <w:widowControl/>
        <w:snapToGrid w:val="0"/>
        <w:spacing w:line="360" w:lineRule="auto"/>
        <w:ind w:firstLine="420" w:firstLineChars="200"/>
        <w:jc w:val="left"/>
        <w:rPr>
          <w:rFonts w:hint="eastAsia" w:ascii="宋体" w:hAnsi="宋体"/>
          <w:sz w:val="24"/>
          <w:szCs w:val="24"/>
          <w:u w:val="single"/>
          <w:lang w:val="zh-CN"/>
        </w:rPr>
      </w:pPr>
      <w:r>
        <w:rPr>
          <w:rFonts w:ascii="宋体" w:hAnsi="宋体"/>
          <w:szCs w:val="21"/>
        </w:rPr>
        <w:t>2.2.3监理服务期：</w:t>
      </w:r>
      <w:r>
        <w:rPr>
          <w:spacing w:val="9"/>
        </w:rPr>
        <w:t>从中标人收到招标人中标通知或参加由招标人组织的进场动员会开始算</w:t>
      </w:r>
      <w:r>
        <w:rPr>
          <w:spacing w:val="10"/>
        </w:rPr>
        <w:t>起，至本项目工程质量保修期结束且本合同</w:t>
      </w:r>
      <w:r>
        <w:rPr>
          <w:spacing w:val="9"/>
        </w:rPr>
        <w:t>工程结算金额经政府主管部</w:t>
      </w:r>
      <w:r>
        <w:rPr>
          <w:spacing w:val="6"/>
        </w:rPr>
        <w:t>门审定之日</w:t>
      </w:r>
      <w:r>
        <w:rPr>
          <w:rFonts w:ascii="宋体" w:hAnsi="宋体"/>
          <w:szCs w:val="21"/>
          <w:u w:val="single"/>
        </w:rPr>
        <w:t>双方的责任、义务履行完毕时止。</w:t>
      </w:r>
    </w:p>
    <w:p w14:paraId="42201941">
      <w:pPr>
        <w:tabs>
          <w:tab w:val="left" w:pos="7513"/>
        </w:tabs>
        <w:spacing w:line="360" w:lineRule="auto"/>
        <w:ind w:firstLine="420" w:firstLineChars="200"/>
        <w:rPr>
          <w:rFonts w:ascii="宋体" w:hAnsi="宋体"/>
          <w:szCs w:val="21"/>
        </w:rPr>
      </w:pPr>
      <w:r>
        <w:rPr>
          <w:rFonts w:ascii="宋体" w:hAnsi="宋体"/>
          <w:szCs w:val="21"/>
        </w:rPr>
        <w:t>2.2.</w:t>
      </w:r>
      <w:r>
        <w:rPr>
          <w:rFonts w:hint="eastAsia" w:ascii="宋体" w:hAnsi="宋体"/>
          <w:szCs w:val="21"/>
        </w:rPr>
        <w:t>4</w:t>
      </w:r>
      <w:r>
        <w:rPr>
          <w:rFonts w:ascii="宋体" w:hAnsi="宋体"/>
          <w:szCs w:val="21"/>
        </w:rPr>
        <w:t>监理服务</w:t>
      </w:r>
      <w:r>
        <w:rPr>
          <w:rFonts w:hint="eastAsia" w:ascii="宋体" w:hAnsi="宋体"/>
          <w:szCs w:val="21"/>
        </w:rPr>
        <w:t>阶段</w:t>
      </w:r>
      <w:r>
        <w:rPr>
          <w:rFonts w:ascii="宋体" w:hAnsi="宋体"/>
          <w:szCs w:val="21"/>
        </w:rPr>
        <w:t>：</w:t>
      </w:r>
      <w:r>
        <w:rPr>
          <w:rFonts w:ascii="宋体" w:hAnsi="Times New Roman"/>
          <w:szCs w:val="21"/>
          <w:u w:val="single"/>
        </w:rPr>
        <w:t>项目准备阶段</w:t>
      </w:r>
      <w:r>
        <w:rPr>
          <w:rFonts w:hint="eastAsia" w:ascii="宋体" w:hAnsi="Times New Roman"/>
          <w:szCs w:val="21"/>
          <w:u w:val="single"/>
        </w:rPr>
        <w:t>、</w:t>
      </w:r>
      <w:r>
        <w:rPr>
          <w:rFonts w:hint="eastAsia" w:ascii="宋体" w:hAnsi="宋体"/>
          <w:szCs w:val="21"/>
          <w:u w:val="single"/>
        </w:rPr>
        <w:t>施工准备阶段、施工阶段、竣工验收阶段、</w:t>
      </w:r>
      <w:r>
        <w:rPr>
          <w:rFonts w:ascii="宋体" w:hAnsi="Times New Roman"/>
          <w:szCs w:val="21"/>
          <w:u w:val="single"/>
        </w:rPr>
        <w:t>工程收尾阶段（包括但不限于竣工验收、整改、工程移交及实物移交等）及工程质量保修阶段</w:t>
      </w:r>
      <w:r>
        <w:rPr>
          <w:rFonts w:hint="eastAsia" w:ascii="宋体" w:hAnsi="宋体"/>
          <w:szCs w:val="21"/>
          <w:u w:val="single"/>
        </w:rPr>
        <w:t>等。</w:t>
      </w:r>
      <w:r>
        <w:rPr>
          <w:rFonts w:ascii="宋体" w:hAnsi="宋体"/>
          <w:szCs w:val="21"/>
        </w:rPr>
        <w:t xml:space="preserve">                </w:t>
      </w:r>
    </w:p>
    <w:p w14:paraId="76E0FC8A">
      <w:pPr>
        <w:tabs>
          <w:tab w:val="left" w:pos="7513"/>
        </w:tabs>
        <w:spacing w:line="360" w:lineRule="auto"/>
        <w:ind w:firstLine="420" w:firstLineChars="200"/>
        <w:rPr>
          <w:rFonts w:ascii="宋体" w:hAnsi="宋体"/>
          <w:szCs w:val="21"/>
        </w:rPr>
      </w:pPr>
      <w:r>
        <w:rPr>
          <w:rFonts w:hint="eastAsia" w:ascii="宋体" w:hAnsi="宋体"/>
          <w:szCs w:val="21"/>
        </w:rPr>
        <w:t>2.2.5</w:t>
      </w:r>
      <w:r>
        <w:rPr>
          <w:rFonts w:ascii="宋体" w:hAnsi="宋体"/>
          <w:szCs w:val="21"/>
        </w:rPr>
        <w:t>监理服务最高投标限价：</w:t>
      </w:r>
      <w:bookmarkStart w:id="31" w:name="OLE_LINK1"/>
      <w:r>
        <w:rPr>
          <w:rFonts w:hint="eastAsia" w:ascii="宋体" w:hAnsi="宋体" w:cs="宋体"/>
          <w:szCs w:val="21"/>
          <w:u w:val="single"/>
          <w:lang w:eastAsia="zh-CN"/>
        </w:rPr>
        <w:t>2697477.86</w:t>
      </w:r>
      <w:r>
        <w:rPr>
          <w:rFonts w:hint="eastAsia" w:ascii="宋体" w:hAnsi="宋体" w:cs="宋体"/>
          <w:szCs w:val="21"/>
        </w:rPr>
        <w:t>元。</w:t>
      </w:r>
      <w:r>
        <w:rPr>
          <w:rFonts w:ascii="宋体" w:hAnsi="宋体" w:cs="宋体"/>
          <w:szCs w:val="21"/>
          <w:lang w:bidi="ar"/>
        </w:rPr>
        <w:t xml:space="preserve">    </w:t>
      </w:r>
      <w:bookmarkEnd w:id="31"/>
    </w:p>
    <w:p w14:paraId="6C2A0522">
      <w:pPr>
        <w:pStyle w:val="4"/>
        <w:rPr>
          <w:rFonts w:hint="eastAsia" w:ascii="楷体_GB2312" w:hAnsi="楷体_GB2312" w:eastAsia="楷体_GB2312" w:cs="楷体_GB2312"/>
          <w:szCs w:val="21"/>
          <w:lang w:val="en-US"/>
        </w:rPr>
      </w:pPr>
      <w:r>
        <w:rPr>
          <w:rFonts w:hint="eastAsia" w:ascii="楷体_GB2312" w:hAnsi="楷体_GB2312" w:eastAsia="楷体_GB2312" w:cs="楷体_GB2312"/>
          <w:szCs w:val="21"/>
          <w:lang w:val="en-US"/>
        </w:rPr>
        <w:t>注：两个或两个以上标段的，需明确允许兼中或不兼中，明确对总监理工程师的数量要求。对于包含两个或两个以上专业的招标项目，应分别明确各专业对应的招标内容、规模和最高投标限价的专业组成费用。</w:t>
      </w:r>
    </w:p>
    <w:p w14:paraId="20252110">
      <w:pPr>
        <w:rPr>
          <w:rFonts w:hint="eastAsia"/>
        </w:rPr>
      </w:pPr>
    </w:p>
    <w:p w14:paraId="6B122C52">
      <w:pPr>
        <w:pStyle w:val="3"/>
        <w:rPr>
          <w:rFonts w:hint="eastAsia"/>
        </w:rPr>
      </w:pPr>
      <w:bookmarkStart w:id="32" w:name="_Toc29683"/>
      <w:bookmarkStart w:id="33" w:name="_Toc13318"/>
      <w:bookmarkStart w:id="34" w:name="_Toc26825"/>
      <w:bookmarkStart w:id="35" w:name="_Toc20643"/>
      <w:bookmarkStart w:id="36" w:name="_Toc11352"/>
      <w:bookmarkStart w:id="37" w:name="_Toc14304"/>
      <w:r>
        <w:rPr>
          <w:rFonts w:hint="eastAsia"/>
        </w:rPr>
        <w:t>3.投标人资格要求</w:t>
      </w:r>
      <w:bookmarkEnd w:id="32"/>
      <w:bookmarkEnd w:id="33"/>
      <w:bookmarkEnd w:id="34"/>
      <w:bookmarkEnd w:id="35"/>
      <w:bookmarkEnd w:id="36"/>
      <w:bookmarkEnd w:id="37"/>
    </w:p>
    <w:p w14:paraId="4187AD75">
      <w:pPr>
        <w:pStyle w:val="5"/>
        <w:tabs>
          <w:tab w:val="left" w:pos="4500"/>
          <w:tab w:val="left" w:pos="6415"/>
        </w:tabs>
        <w:kinsoku w:val="0"/>
        <w:overflowPunct w:val="0"/>
        <w:spacing w:after="0" w:line="360" w:lineRule="auto"/>
        <w:ind w:right="213" w:firstLine="428" w:firstLineChars="200"/>
        <w:rPr>
          <w:rFonts w:hint="eastAsia" w:ascii="宋体" w:hAnsi="宋体" w:cs="宋体"/>
          <w:spacing w:val="2"/>
        </w:rPr>
      </w:pPr>
      <w:r>
        <w:rPr>
          <w:rFonts w:hint="eastAsia" w:ascii="宋体" w:hAnsi="宋体" w:cs="宋体"/>
          <w:spacing w:val="2"/>
        </w:rPr>
        <w:t>3.1 投标人参加投标的意思表达清楚，投标人代表被授权有效。</w:t>
      </w:r>
    </w:p>
    <w:p w14:paraId="6D97F16A">
      <w:pPr>
        <w:pStyle w:val="5"/>
        <w:tabs>
          <w:tab w:val="left" w:pos="4500"/>
          <w:tab w:val="left" w:pos="6415"/>
        </w:tabs>
        <w:kinsoku w:val="0"/>
        <w:overflowPunct w:val="0"/>
        <w:spacing w:after="0" w:line="360" w:lineRule="auto"/>
        <w:ind w:right="213" w:firstLine="428" w:firstLineChars="200"/>
        <w:rPr>
          <w:rFonts w:hint="eastAsia" w:ascii="宋体" w:hAnsi="宋体" w:cs="宋体"/>
          <w:spacing w:val="2"/>
        </w:rPr>
      </w:pPr>
      <w:r>
        <w:rPr>
          <w:rFonts w:hint="eastAsia" w:ascii="宋体" w:hAnsi="宋体" w:cs="宋体"/>
          <w:spacing w:val="2"/>
        </w:rPr>
        <w:t>3.2投标人是法人或其他组织，按国家法律经营；</w:t>
      </w:r>
    </w:p>
    <w:p w14:paraId="5D8B36B2">
      <w:pPr>
        <w:pStyle w:val="5"/>
        <w:tabs>
          <w:tab w:val="left" w:pos="4500"/>
          <w:tab w:val="left" w:pos="6415"/>
        </w:tabs>
        <w:kinsoku w:val="0"/>
        <w:overflowPunct w:val="0"/>
        <w:spacing w:after="0" w:line="360" w:lineRule="auto"/>
        <w:ind w:right="213" w:firstLine="428" w:firstLineChars="200"/>
        <w:rPr>
          <w:rFonts w:hint="eastAsia" w:cs="宋体"/>
        </w:rPr>
      </w:pPr>
      <w:r>
        <w:rPr>
          <w:rFonts w:hint="eastAsia" w:ascii="宋体" w:hAnsi="宋体" w:cs="宋体"/>
          <w:spacing w:val="2"/>
        </w:rPr>
        <w:t>3.3投</w:t>
      </w:r>
      <w:r>
        <w:rPr>
          <w:rFonts w:hint="eastAsia" w:ascii="宋体" w:hAnsi="宋体" w:cs="宋体"/>
        </w:rPr>
        <w:t>标人</w:t>
      </w:r>
      <w:r>
        <w:rPr>
          <w:rFonts w:hint="eastAsia" w:ascii="宋体" w:hAnsi="宋体" w:cs="宋体"/>
          <w:szCs w:val="21"/>
        </w:rPr>
        <w:t>须</w:t>
      </w:r>
      <w:r>
        <w:rPr>
          <w:rFonts w:hint="eastAsia" w:ascii="宋体" w:hAnsi="宋体" w:cs="宋体"/>
          <w:spacing w:val="2"/>
          <w:szCs w:val="21"/>
        </w:rPr>
        <w:t>具</w:t>
      </w:r>
      <w:r>
        <w:rPr>
          <w:rFonts w:hint="eastAsia" w:ascii="宋体" w:hAnsi="宋体" w:cs="宋体"/>
          <w:spacing w:val="1"/>
          <w:szCs w:val="21"/>
        </w:rPr>
        <w:t>备</w:t>
      </w:r>
      <w:r>
        <w:rPr>
          <w:rFonts w:hint="eastAsia" w:cs="宋体"/>
          <w:spacing w:val="1"/>
          <w:szCs w:val="21"/>
        </w:rPr>
        <w:t>建设行政主管部门颁发的</w:t>
      </w:r>
      <w:r>
        <w:rPr>
          <w:rFonts w:hint="eastAsia" w:ascii="Calibri" w:hAnsi="Calibri"/>
          <w:b/>
          <w:bCs/>
          <w:szCs w:val="21"/>
          <w:u w:val="single"/>
        </w:rPr>
        <w:t>工程监理综合资质</w:t>
      </w:r>
      <w:r>
        <w:rPr>
          <w:rFonts w:hint="eastAsia" w:ascii="Calibri" w:hAnsi="Calibri"/>
          <w:szCs w:val="21"/>
          <w:u w:val="single"/>
        </w:rPr>
        <w:t>或</w:t>
      </w:r>
      <w:r>
        <w:rPr>
          <w:rFonts w:hint="eastAsia" w:ascii="Calibri" w:hAnsi="Calibri"/>
          <w:b/>
          <w:bCs/>
          <w:szCs w:val="21"/>
          <w:u w:val="single"/>
        </w:rPr>
        <w:t>市政公用工程监理</w:t>
      </w:r>
      <w:r>
        <w:rPr>
          <w:rFonts w:hint="eastAsia" w:ascii="宋体" w:hAnsi="宋体" w:cs="宋体"/>
          <w:b/>
          <w:bCs/>
          <w:szCs w:val="21"/>
          <w:u w:val="single"/>
          <w:lang w:bidi="ar"/>
        </w:rPr>
        <w:t>甲级</w:t>
      </w:r>
      <w:r>
        <w:rPr>
          <w:rFonts w:hint="eastAsia" w:ascii="宋体" w:hAnsi="宋体" w:cs="宋体"/>
          <w:szCs w:val="21"/>
        </w:rPr>
        <w:t>资质或</w:t>
      </w:r>
      <w:r>
        <w:rPr>
          <w:rFonts w:hint="eastAsia" w:cs="宋体"/>
          <w:szCs w:val="21"/>
        </w:rPr>
        <w:t>以上资质。</w:t>
      </w:r>
    </w:p>
    <w:p w14:paraId="6DDF793D">
      <w:pPr>
        <w:pStyle w:val="5"/>
        <w:tabs>
          <w:tab w:val="left" w:pos="4500"/>
          <w:tab w:val="left" w:pos="6415"/>
        </w:tabs>
        <w:kinsoku w:val="0"/>
        <w:overflowPunct w:val="0"/>
        <w:autoSpaceDE w:val="0"/>
        <w:autoSpaceDN w:val="0"/>
        <w:spacing w:line="360" w:lineRule="auto"/>
        <w:ind w:right="214" w:firstLine="420" w:firstLineChars="200"/>
        <w:rPr>
          <w:rFonts w:hint="eastAsia" w:cs="宋体"/>
        </w:rPr>
      </w:pPr>
      <w:r>
        <w:rPr>
          <w:rFonts w:hint="eastAsia" w:cs="宋体"/>
        </w:rPr>
        <w:t>对应所设置资质要求的规模指标：</w:t>
      </w:r>
    </w:p>
    <w:p w14:paraId="5BCC63F4">
      <w:pPr>
        <w:pStyle w:val="5"/>
        <w:tabs>
          <w:tab w:val="left" w:pos="4500"/>
          <w:tab w:val="left" w:pos="6415"/>
        </w:tabs>
        <w:kinsoku w:val="0"/>
        <w:overflowPunct w:val="0"/>
        <w:autoSpaceDE w:val="0"/>
        <w:autoSpaceDN w:val="0"/>
        <w:spacing w:line="360" w:lineRule="auto"/>
        <w:ind w:right="214" w:firstLine="420" w:firstLineChars="200"/>
        <w:rPr>
          <w:rFonts w:hint="eastAsia" w:cs="宋体"/>
        </w:rPr>
      </w:pPr>
      <w:r>
        <w:rPr>
          <w:rFonts w:hint="eastAsia"/>
          <w:szCs w:val="21"/>
          <w:u w:val="single"/>
        </w:rPr>
        <w:sym w:font="Wingdings 2" w:char="0052"/>
      </w:r>
      <w:r>
        <w:rPr>
          <w:rFonts w:hint="eastAsia"/>
          <w:szCs w:val="21"/>
          <w:u w:val="single"/>
        </w:rPr>
        <w:t xml:space="preserve">城市快速路、主干道 □城市次干路  □城市支路  □单孔跨径100米以上桥梁 </w:t>
      </w:r>
      <w:r>
        <w:rPr>
          <w:rFonts w:hint="eastAsia"/>
          <w:szCs w:val="21"/>
          <w:u w:val="single"/>
        </w:rPr>
        <w:sym w:font="Wingdings 2" w:char="00A3"/>
      </w:r>
      <w:r>
        <w:rPr>
          <w:rFonts w:hint="eastAsia"/>
          <w:szCs w:val="21"/>
          <w:u w:val="single"/>
        </w:rPr>
        <w:t>长度1000米以上的隧道 □各类地铁轻轨工程</w:t>
      </w:r>
    </w:p>
    <w:p w14:paraId="2BA3AD14">
      <w:pPr>
        <w:pStyle w:val="5"/>
        <w:tabs>
          <w:tab w:val="left" w:pos="4500"/>
          <w:tab w:val="left" w:pos="6415"/>
        </w:tabs>
        <w:kinsoku w:val="0"/>
        <w:overflowPunct w:val="0"/>
        <w:spacing w:after="0" w:line="360" w:lineRule="auto"/>
        <w:ind w:right="213"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w:t>
      </w:r>
      <w:r>
        <w:rPr>
          <w:rFonts w:hint="eastAsia" w:ascii="楷体_GB2312" w:hAnsi="楷体_GB2312" w:eastAsia="楷体_GB2312" w:cs="楷体_GB2312"/>
          <w:sz w:val="20"/>
          <w:szCs w:val="21"/>
        </w:rPr>
        <w:t>，详见链接：</w:t>
      </w:r>
      <w:r>
        <w:rPr>
          <w:rFonts w:hint="eastAsia" w:ascii="楷体_GB2312" w:hAnsi="楷体_GB2312" w:eastAsia="楷体_GB2312" w:cs="楷体_GB2312"/>
          <w:sz w:val="20"/>
          <w:szCs w:val="21"/>
        </w:rPr>
        <w:fldChar w:fldCharType="begin"/>
      </w:r>
      <w:r>
        <w:rPr>
          <w:rFonts w:hint="eastAsia" w:ascii="楷体_GB2312" w:hAnsi="楷体_GB2312" w:eastAsia="楷体_GB2312" w:cs="楷体_GB2312"/>
          <w:sz w:val="20"/>
          <w:szCs w:val="21"/>
        </w:rPr>
        <w:instrText xml:space="preserve"> HYPERLINK "http://zfcxjst.gd.gov.cn/xxgk/wjtz/content/post_3137220.html）确定。香港企业须提供满足招标文件要求的相应资质证书及备案证明资料扫描件。" </w:instrText>
      </w:r>
      <w:r>
        <w:rPr>
          <w:rFonts w:hint="eastAsia" w:ascii="楷体_GB2312" w:hAnsi="楷体_GB2312" w:eastAsia="楷体_GB2312" w:cs="楷体_GB2312"/>
          <w:sz w:val="20"/>
          <w:szCs w:val="21"/>
        </w:rPr>
        <w:fldChar w:fldCharType="separate"/>
      </w:r>
      <w:r>
        <w:rPr>
          <w:rFonts w:hint="eastAsia" w:ascii="楷体_GB2312" w:hAnsi="楷体_GB2312" w:eastAsia="楷体_GB2312" w:cs="楷体_GB2312"/>
          <w:sz w:val="20"/>
          <w:szCs w:val="21"/>
        </w:rPr>
        <w:t>http://zfcxjst.gd.gov.cn/xxgk/wjtz/content/post_3137220.html）确定。香港企业须提供满足招标文件要求的相应资质证书及备案证明资料扫描件。</w:t>
      </w:r>
      <w:r>
        <w:rPr>
          <w:rFonts w:hint="eastAsia" w:ascii="楷体_GB2312" w:hAnsi="楷体_GB2312" w:eastAsia="楷体_GB2312" w:cs="楷体_GB2312"/>
          <w:sz w:val="20"/>
          <w:szCs w:val="21"/>
        </w:rPr>
        <w:fldChar w:fldCharType="end"/>
      </w:r>
      <w:r>
        <w:rPr>
          <w:rFonts w:hint="eastAsia" w:ascii="楷体_GB2312" w:hAnsi="楷体_GB2312" w:eastAsia="楷体_GB2312" w:cs="楷体_GB2312"/>
          <w:szCs w:val="21"/>
        </w:rPr>
        <w:t>（2）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w:t>
      </w:r>
      <w:r>
        <w:rPr>
          <w:rFonts w:hint="eastAsia" w:ascii="楷体_GB2312" w:hAnsi="楷体_GB2312" w:eastAsia="楷体_GB2312" w:cs="楷体_GB2312"/>
          <w:sz w:val="20"/>
          <w:szCs w:val="21"/>
        </w:rPr>
        <w:t>《住房和城乡建设部办公厅关于建设工程企业资质统一延续有关事项的通知》（建办市函〔2021〕510号）、《广东省住房和城乡建设厅关于建设工程企业资质有效期延期的通知》（粤建许函〔2021〕849号）、</w:t>
      </w:r>
      <w:r>
        <w:rPr>
          <w:rFonts w:hint="eastAsia" w:ascii="楷体_GB2312" w:hAnsi="楷体_GB2312" w:eastAsia="楷体_GB2312" w:cs="楷体_GB2312"/>
          <w:szCs w:val="21"/>
        </w:rPr>
        <w:t>《住房和城乡建设部办公厅关于建设工程企业资质有关事宜的通知》（建办市函〔2022〕361号）、《广东省住房和城乡建设厅关于建设工程企业资质有关事宜的通知》（粤建许函〔2022〕846号）、</w:t>
      </w:r>
      <w:r>
        <w:rPr>
          <w:rFonts w:hint="eastAsia" w:ascii="楷体_GB2312" w:hAnsi="楷体_GB2312" w:eastAsia="楷体_GB2312" w:cs="楷体_GB2312"/>
          <w:sz w:val="20"/>
          <w:szCs w:val="21"/>
        </w:rPr>
        <w:t>《住房和城乡建设部关于进一步加强建设工程企业资质审批管理工作的通知》（建市规〔2023〕3号）</w:t>
      </w:r>
      <w:r>
        <w:rPr>
          <w:rFonts w:hint="eastAsia" w:ascii="楷体_GB2312" w:hAnsi="楷体_GB2312" w:eastAsia="楷体_GB2312" w:cs="楷体_GB2312"/>
          <w:szCs w:val="21"/>
        </w:rPr>
        <w:t>、《住房城乡建设部办公厅关于做好有关建设工程企业资质证书换领和延续工作的通知》（建办市〔2023〕47号）</w:t>
      </w:r>
      <w:r>
        <w:rPr>
          <w:rFonts w:hint="eastAsia" w:ascii="楷体_GB2312" w:hAnsi="楷体_GB2312" w:eastAsia="楷体_GB2312" w:cs="楷体_GB2312"/>
          <w:sz w:val="20"/>
          <w:szCs w:val="21"/>
        </w:rPr>
        <w:t>、</w:t>
      </w:r>
      <w:r>
        <w:rPr>
          <w:rFonts w:hint="eastAsia" w:ascii="楷体_GB2312" w:hAnsi="楷体_GB2312" w:eastAsia="楷体_GB2312" w:cs="楷体_GB2312"/>
          <w:szCs w:val="21"/>
        </w:rPr>
        <w:t>《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2B80022D">
      <w:pPr>
        <w:spacing w:line="360" w:lineRule="auto"/>
        <w:ind w:firstLine="420" w:firstLineChars="200"/>
        <w:rPr>
          <w:rFonts w:hint="eastAsia" w:ascii="宋体" w:hAnsi="宋体" w:cs="宋体"/>
          <w:u w:val="single"/>
          <w:lang w:val="en"/>
        </w:rPr>
      </w:pPr>
      <w:r>
        <w:rPr>
          <w:rFonts w:hint="eastAsia" w:ascii="宋体" w:hAnsi="宋体" w:cs="宋体"/>
          <w:szCs w:val="21"/>
        </w:rPr>
        <w:t>3.4</w:t>
      </w:r>
      <w:r>
        <w:rPr>
          <w:rFonts w:hint="eastAsia" w:ascii="宋体" w:hAnsi="宋体" w:cs="宋体"/>
        </w:rPr>
        <w:t>拟</w:t>
      </w:r>
      <w:r>
        <w:rPr>
          <w:rFonts w:hint="eastAsia" w:ascii="宋体" w:hAnsi="宋体" w:cs="宋体"/>
          <w:szCs w:val="21"/>
        </w:rPr>
        <w:t>委派总监理工程师须具备</w:t>
      </w:r>
      <w:r>
        <w:rPr>
          <w:rFonts w:hint="eastAsia" w:ascii="宋体" w:hAnsi="宋体" w:cs="宋体"/>
          <w:szCs w:val="21"/>
          <w:u w:val="single"/>
        </w:rPr>
        <w:t>建设部2006年4月1日后颁发的中华人民共和国注册监理工程师注册执业证书，且其注册证书专业为</w:t>
      </w:r>
      <w:r>
        <w:rPr>
          <w:rStyle w:val="11"/>
          <w:rFonts w:hint="eastAsia"/>
          <w:szCs w:val="21"/>
          <w:u w:val="single"/>
        </w:rPr>
        <w:t>市政公用工程</w:t>
      </w:r>
      <w:r>
        <w:rPr>
          <w:rFonts w:hint="eastAsia" w:ascii="宋体" w:hAnsi="宋体" w:cs="宋体"/>
          <w:szCs w:val="21"/>
          <w:u w:val="single"/>
        </w:rPr>
        <w:t>，并具备大学本科学历</w:t>
      </w:r>
      <w:r>
        <w:rPr>
          <w:rFonts w:hint="eastAsia" w:ascii="宋体" w:hAnsi="宋体" w:cs="宋体"/>
          <w:szCs w:val="21"/>
          <w:u w:val="single"/>
          <w:lang w:val="en"/>
        </w:rPr>
        <w:t>。</w:t>
      </w:r>
      <w:r>
        <w:rPr>
          <w:rFonts w:hint="eastAsia" w:ascii="宋体" w:hAnsi="宋体" w:cs="宋体"/>
          <w:szCs w:val="21"/>
          <w:u w:val="single"/>
        </w:rPr>
        <w:t>需提供离投标截止时间最近的1个月</w:t>
      </w:r>
      <w:r>
        <w:rPr>
          <w:rFonts w:hint="eastAsia" w:cs="宋体"/>
          <w:szCs w:val="21"/>
          <w:u w:val="single"/>
        </w:rPr>
        <w:t>（即2025年</w:t>
      </w:r>
      <w:r>
        <w:rPr>
          <w:rFonts w:hint="eastAsia" w:cs="宋体"/>
          <w:szCs w:val="21"/>
          <w:u w:val="single"/>
          <w:lang w:val="en-US" w:eastAsia="zh-CN"/>
        </w:rPr>
        <w:t>7</w:t>
      </w:r>
      <w:bookmarkStart w:id="92" w:name="_GoBack"/>
      <w:bookmarkEnd w:id="92"/>
      <w:r>
        <w:rPr>
          <w:rFonts w:hint="eastAsia" w:cs="宋体"/>
          <w:szCs w:val="21"/>
          <w:u w:val="single"/>
        </w:rPr>
        <w:t>月）</w:t>
      </w:r>
      <w:r>
        <w:rPr>
          <w:rFonts w:hint="eastAsia" w:ascii="宋体" w:hAnsi="宋体" w:cs="宋体"/>
          <w:szCs w:val="21"/>
          <w:u w:val="single"/>
        </w:rPr>
        <w:t>在本单位缴纳的社保证明文件。</w:t>
      </w:r>
    </w:p>
    <w:p w14:paraId="7697DB11">
      <w:pPr>
        <w:pStyle w:val="5"/>
        <w:tabs>
          <w:tab w:val="left" w:pos="4500"/>
          <w:tab w:val="left" w:pos="6415"/>
        </w:tabs>
        <w:kinsoku w:val="0"/>
        <w:overflowPunct w:val="0"/>
        <w:spacing w:after="0" w:line="360" w:lineRule="auto"/>
        <w:ind w:right="213" w:firstLine="400" w:firstLineChars="200"/>
        <w:rPr>
          <w:rFonts w:hint="eastAsia" w:ascii="楷体_GB2312" w:hAnsi="楷体_GB2312" w:eastAsia="楷体_GB2312" w:cs="楷体_GB2312"/>
          <w:sz w:val="20"/>
          <w:szCs w:val="21"/>
        </w:rPr>
      </w:pPr>
      <w:r>
        <w:rPr>
          <w:rFonts w:hint="eastAsia" w:ascii="楷体_GB2312" w:hAnsi="楷体_GB2312" w:eastAsia="楷体_GB2312" w:cs="楷体_GB2312"/>
          <w:sz w:val="20"/>
          <w:szCs w:val="21"/>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E5856D1">
      <w:pPr>
        <w:spacing w:line="400" w:lineRule="exact"/>
        <w:ind w:firstLine="420" w:firstLineChars="200"/>
        <w:rPr>
          <w:rFonts w:hint="eastAsia" w:ascii="宋体" w:hAnsi="宋体" w:cs="宋体"/>
          <w:szCs w:val="21"/>
        </w:rPr>
      </w:pPr>
      <w:r>
        <w:rPr>
          <w:rFonts w:hint="eastAsia" w:ascii="宋体" w:hAnsi="宋体" w:cs="宋体"/>
          <w:szCs w:val="21"/>
        </w:rPr>
        <w:t>3.5 投标申请人业绩要求（</w:t>
      </w:r>
      <w:r>
        <w:rPr>
          <w:rFonts w:hint="eastAsia" w:ascii="宋体" w:hAnsi="宋体" w:cs="宋体"/>
          <w:szCs w:val="21"/>
        </w:rPr>
        <w:sym w:font="Wingdings 2" w:char="00A3"/>
      </w:r>
      <w:r>
        <w:rPr>
          <w:rFonts w:hint="eastAsia" w:ascii="宋体" w:hAnsi="宋体" w:cs="宋体"/>
          <w:szCs w:val="21"/>
        </w:rPr>
        <w:t>需要 /☑不需要）：</w:t>
      </w:r>
    </w:p>
    <w:p w14:paraId="2C747C98">
      <w:pPr>
        <w:spacing w:line="400" w:lineRule="exact"/>
        <w:ind w:firstLine="420" w:firstLineChars="200"/>
        <w:rPr>
          <w:rFonts w:hint="eastAsia" w:ascii="宋体" w:hAnsi="宋体" w:cs="宋体"/>
          <w:szCs w:val="21"/>
        </w:rPr>
      </w:pPr>
      <w:r>
        <w:rPr>
          <w:rFonts w:hint="eastAsia" w:ascii="宋体" w:hAnsi="宋体" w:cs="宋体"/>
          <w:szCs w:val="21"/>
        </w:rPr>
        <w:t>3.6关于联合体投标：</w:t>
      </w:r>
    </w:p>
    <w:p w14:paraId="434BCEB5">
      <w:pPr>
        <w:spacing w:line="400" w:lineRule="exact"/>
        <w:ind w:firstLine="420" w:firstLineChars="200"/>
        <w:rPr>
          <w:rFonts w:hint="eastAsia" w:ascii="宋体" w:hAnsi="宋体" w:cs="宋体"/>
          <w:szCs w:val="21"/>
        </w:rPr>
      </w:pPr>
      <w:r>
        <w:rPr>
          <w:rFonts w:hint="eastAsia" w:ascii="宋体" w:hAnsi="宋体" w:cs="宋体"/>
          <w:szCs w:val="21"/>
        </w:rPr>
        <w:t>3.6.1本次招标（</w:t>
      </w:r>
      <w:r>
        <w:rPr>
          <w:rFonts w:hint="eastAsia"/>
          <w:szCs w:val="21"/>
        </w:rPr>
        <w:sym w:font="Wingdings 2" w:char="0052"/>
      </w:r>
      <w:r>
        <w:rPr>
          <w:rFonts w:hint="eastAsia"/>
          <w:szCs w:val="21"/>
        </w:rPr>
        <w:t>接受</w:t>
      </w:r>
      <w:r>
        <w:rPr>
          <w:rFonts w:hint="eastAsia" w:ascii="宋体" w:hAnsi="宋体" w:cs="宋体"/>
        </w:rPr>
        <w:t xml:space="preserve"> /</w:t>
      </w:r>
      <w:r>
        <w:rPr>
          <w:rFonts w:hint="eastAsia"/>
          <w:szCs w:val="21"/>
        </w:rPr>
        <w:t>□</w:t>
      </w:r>
      <w:r>
        <w:rPr>
          <w:rFonts w:hint="eastAsia" w:ascii="宋体" w:hAnsi="宋体" w:cs="宋体"/>
        </w:rPr>
        <w:t>不接受）</w:t>
      </w:r>
      <w:r>
        <w:rPr>
          <w:rFonts w:hint="eastAsia" w:ascii="宋体" w:hAnsi="宋体" w:cs="宋体"/>
          <w:szCs w:val="21"/>
        </w:rPr>
        <w:t>联合体投标。</w:t>
      </w:r>
    </w:p>
    <w:p w14:paraId="075073A0">
      <w:pPr>
        <w:spacing w:line="400" w:lineRule="exact"/>
        <w:ind w:firstLine="420" w:firstLineChars="200"/>
        <w:rPr>
          <w:rFonts w:ascii="宋体" w:hAnsi="宋体" w:cs="宋体"/>
          <w:szCs w:val="21"/>
        </w:rPr>
      </w:pPr>
      <w:r>
        <w:rPr>
          <w:rFonts w:ascii="宋体" w:hAnsi="宋体" w:cs="宋体"/>
          <w:szCs w:val="21"/>
        </w:rPr>
        <w:t>应以工程监理综合资质或市政公用工程监 理甲级资质一方为主办方，并签订联合体协议。投标人拟任本工程总监理工程师应为主办方正式员工。联合体协议应明确约定各方拟承担的工作和责任。</w:t>
      </w:r>
    </w:p>
    <w:p w14:paraId="61A6DD14">
      <w:pPr>
        <w:spacing w:line="360" w:lineRule="auto"/>
        <w:ind w:firstLine="420" w:firstLineChars="200"/>
        <w:rPr>
          <w:rFonts w:hint="eastAsia" w:ascii="宋体" w:hAnsi="宋体" w:cs="宋体"/>
          <w:szCs w:val="21"/>
        </w:rPr>
      </w:pPr>
      <w:r>
        <w:rPr>
          <w:rFonts w:hint="eastAsia" w:ascii="宋体" w:hAnsi="宋体" w:cs="宋体"/>
          <w:szCs w:val="21"/>
        </w:rPr>
        <w:t>3.7资格审查前，投标人已在广州交易集团有限公司（广州公共资源交易中心）办理企业信息登记及拟担任本工程项目总监理工程师须是本企业信息登记信息中的在册人员，企业信息取自投标截止时间投标人在广州交易集团有限公司（广州公共资源交易中心）企业库内登记的信息。</w:t>
      </w:r>
    </w:p>
    <w:p w14:paraId="508AAED8">
      <w:pPr>
        <w:spacing w:line="360" w:lineRule="auto"/>
        <w:ind w:firstLine="420" w:firstLineChars="200"/>
        <w:jc w:val="left"/>
        <w:rPr>
          <w:rFonts w:hint="eastAsia" w:ascii="宋体" w:hAnsi="宋体" w:cs="宋体"/>
          <w:szCs w:val="20"/>
        </w:rPr>
      </w:pPr>
      <w:r>
        <w:rPr>
          <w:rFonts w:hint="eastAsia" w:ascii="宋体" w:hAnsi="宋体" w:cs="宋体"/>
          <w:szCs w:val="20"/>
        </w:rPr>
        <w:t>3.8投标人未出现招标文件第二章投标人须知第1.4.3项所规定的任何一种情形，并已按规定格式签名盖章《投标人声明》（按投标人提供的《投标人声明》内容进行评审）。</w:t>
      </w:r>
    </w:p>
    <w:p w14:paraId="6F44DCB2">
      <w:pPr>
        <w:spacing w:line="360" w:lineRule="auto"/>
        <w:ind w:firstLine="420" w:firstLineChars="200"/>
        <w:jc w:val="left"/>
        <w:rPr>
          <w:rFonts w:ascii="宋体" w:hAnsi="宋体" w:cs="宋体"/>
          <w:szCs w:val="20"/>
        </w:rPr>
      </w:pPr>
      <w:r>
        <w:rPr>
          <w:rFonts w:hint="eastAsia" w:ascii="宋体" w:hAnsi="宋体" w:cs="宋体"/>
          <w:szCs w:val="20"/>
        </w:rPr>
        <w:t>3.9在投标截止时间前，投标人未被列入拖欠农民工工资失信联合惩戒对象名单。</w:t>
      </w:r>
    </w:p>
    <w:p w14:paraId="39965491">
      <w:pPr>
        <w:spacing w:line="360" w:lineRule="auto"/>
        <w:ind w:firstLine="420" w:firstLineChars="200"/>
        <w:jc w:val="left"/>
        <w:rPr>
          <w:rFonts w:hint="eastAsia" w:ascii="宋体" w:hAnsi="宋体" w:cs="宋体"/>
          <w:szCs w:val="21"/>
        </w:rPr>
      </w:pPr>
      <w:r>
        <w:rPr>
          <w:rFonts w:hint="eastAsia" w:ascii="宋体" w:hAnsi="宋体" w:cs="宋体"/>
          <w:szCs w:val="20"/>
        </w:rPr>
        <w:t>3.10政府投资项目，在投标截止时间前，</w:t>
      </w:r>
      <w:r>
        <w:rPr>
          <w:rFonts w:ascii="宋体" w:hAnsi="宋体" w:cs="宋体"/>
          <w:szCs w:val="20"/>
        </w:rPr>
        <w:t>投标人未被列入“</w:t>
      </w:r>
      <w:r>
        <w:rPr>
          <w:rFonts w:hint="eastAsia" w:ascii="宋体" w:hAnsi="宋体" w:cs="宋体"/>
          <w:szCs w:val="20"/>
        </w:rPr>
        <w:t>失信被执行人</w:t>
      </w:r>
      <w:r>
        <w:rPr>
          <w:rFonts w:ascii="宋体" w:hAnsi="宋体" w:cs="宋体"/>
          <w:szCs w:val="20"/>
        </w:rPr>
        <w:t>”</w:t>
      </w:r>
      <w:r>
        <w:rPr>
          <w:rFonts w:hint="eastAsia" w:ascii="宋体" w:hAnsi="宋体" w:cs="宋体"/>
          <w:szCs w:val="20"/>
        </w:rPr>
        <w:t>名单</w:t>
      </w:r>
      <w:r>
        <w:rPr>
          <w:rFonts w:hint="eastAsia" w:ascii="宋体" w:hAnsi="宋体" w:cs="宋体"/>
          <w:szCs w:val="21"/>
        </w:rPr>
        <w:t>。</w:t>
      </w:r>
    </w:p>
    <w:p w14:paraId="548147E0">
      <w:pPr>
        <w:pStyle w:val="3"/>
        <w:rPr>
          <w:rFonts w:hint="eastAsia"/>
        </w:rPr>
      </w:pPr>
      <w:bookmarkStart w:id="38" w:name="_Toc492300549"/>
      <w:bookmarkStart w:id="39" w:name="_Toc1349"/>
      <w:bookmarkStart w:id="40" w:name="_Toc25355"/>
      <w:bookmarkStart w:id="41" w:name="_Toc7384"/>
      <w:bookmarkStart w:id="42" w:name="_Toc31269"/>
      <w:bookmarkStart w:id="43" w:name="_Toc17136"/>
      <w:bookmarkStart w:id="44" w:name="_Toc10789"/>
      <w:bookmarkStart w:id="45" w:name="_Toc5034"/>
      <w:bookmarkStart w:id="46" w:name="_Toc21595"/>
      <w:bookmarkStart w:id="47" w:name="_Toc2300"/>
      <w:bookmarkStart w:id="48" w:name="_Toc32692"/>
      <w:r>
        <w:rPr>
          <w:rFonts w:hint="eastAsia"/>
        </w:rPr>
        <w:t>4.招标文件的获取</w:t>
      </w:r>
      <w:bookmarkEnd w:id="38"/>
      <w:bookmarkEnd w:id="39"/>
      <w:bookmarkEnd w:id="40"/>
      <w:bookmarkEnd w:id="41"/>
      <w:bookmarkEnd w:id="42"/>
      <w:bookmarkEnd w:id="43"/>
      <w:bookmarkEnd w:id="44"/>
      <w:bookmarkEnd w:id="45"/>
      <w:bookmarkEnd w:id="46"/>
      <w:bookmarkEnd w:id="47"/>
      <w:bookmarkEnd w:id="48"/>
    </w:p>
    <w:p w14:paraId="136B4E84">
      <w:pPr>
        <w:tabs>
          <w:tab w:val="left" w:pos="360"/>
        </w:tabs>
        <w:spacing w:line="360" w:lineRule="auto"/>
        <w:ind w:firstLine="420" w:firstLineChars="200"/>
        <w:jc w:val="left"/>
        <w:rPr>
          <w:rFonts w:hint="eastAsia" w:ascii="Times New Roman" w:hAnsi="Times New Roman"/>
          <w:szCs w:val="21"/>
        </w:rPr>
      </w:pPr>
      <w:r>
        <w:rPr>
          <w:rFonts w:ascii="Times New Roman" w:hAnsi="Times New Roman"/>
          <w:color w:val="000000"/>
          <w:szCs w:val="21"/>
        </w:rPr>
        <w:t>4.1</w:t>
      </w:r>
      <w:r>
        <w:rPr>
          <w:rFonts w:hint="eastAsia" w:ascii="Times New Roman" w:hAnsi="Times New Roman"/>
          <w:szCs w:val="21"/>
        </w:rPr>
        <w:t>凡有意参加投标者，请于</w:t>
      </w:r>
      <w:r>
        <w:rPr>
          <w:rFonts w:hint="eastAsia" w:ascii="Times New Roman" w:hAnsi="Times New Roman"/>
          <w:szCs w:val="21"/>
          <w:u w:val="single"/>
        </w:rPr>
        <w:t>2025</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rPr>
        <w:t>分至</w:t>
      </w:r>
      <w:r>
        <w:rPr>
          <w:rFonts w:hint="eastAsia" w:ascii="Times New Roman" w:hAnsi="Times New Roman"/>
          <w:szCs w:val="21"/>
          <w:u w:val="single"/>
        </w:rPr>
        <w:t>2025</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北京时间，下同</w:t>
      </w:r>
      <w:r>
        <w:rPr>
          <w:rFonts w:ascii="Times New Roman" w:hAnsi="Times New Roman"/>
          <w:szCs w:val="21"/>
        </w:rPr>
        <w:t>)</w:t>
      </w:r>
      <w:r>
        <w:rPr>
          <w:rFonts w:hint="eastAsia" w:ascii="Times New Roman" w:hAnsi="Times New Roman"/>
          <w:szCs w:val="21"/>
        </w:rPr>
        <w:t>，登录</w:t>
      </w:r>
      <w:r>
        <w:rPr>
          <w:rFonts w:hint="eastAsia" w:ascii="Times New Roman" w:hAnsi="Times New Roman"/>
          <w:szCs w:val="21"/>
          <w:u w:val="single"/>
        </w:rPr>
        <w:t>广州交易集团有限公司（广州公共资源交易中心）</w:t>
      </w:r>
      <w:r>
        <w:rPr>
          <w:rFonts w:hint="eastAsia" w:ascii="Times New Roman" w:hAnsi="Times New Roman"/>
          <w:szCs w:val="21"/>
        </w:rPr>
        <w:t>下载电子招标文件。</w:t>
      </w:r>
    </w:p>
    <w:p w14:paraId="78284197">
      <w:pPr>
        <w:spacing w:line="360" w:lineRule="auto"/>
        <w:ind w:firstLine="420" w:firstLineChars="200"/>
        <w:rPr>
          <w:rFonts w:hint="eastAsia" w:ascii="Times New Roman" w:hAnsi="Times New Roman"/>
          <w:szCs w:val="21"/>
        </w:rPr>
      </w:pPr>
      <w:r>
        <w:rPr>
          <w:rFonts w:hint="eastAsia" w:ascii="Times New Roman" w:hAnsi="Times New Roman"/>
          <w:szCs w:val="21"/>
        </w:rPr>
        <w:t>4.2发布招标公告时间（含本日）：</w:t>
      </w:r>
      <w:r>
        <w:rPr>
          <w:rFonts w:hint="eastAsia" w:ascii="Times New Roman" w:hAnsi="Times New Roman"/>
          <w:szCs w:val="21"/>
          <w:u w:val="single"/>
        </w:rPr>
        <w:t>2025</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rPr>
        <w:t>分至</w:t>
      </w:r>
      <w:r>
        <w:rPr>
          <w:rFonts w:hint="eastAsia" w:ascii="Times New Roman" w:hAnsi="Times New Roman"/>
          <w:szCs w:val="21"/>
          <w:u w:val="single"/>
        </w:rPr>
        <w:t>2025</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rPr>
        <w:t>分</w:t>
      </w:r>
    </w:p>
    <w:p w14:paraId="46DCBF3C">
      <w:pPr>
        <w:spacing w:line="360" w:lineRule="auto"/>
        <w:ind w:firstLine="420" w:firstLineChars="200"/>
        <w:rPr>
          <w:rFonts w:hint="eastAsia" w:ascii="楷体_GB2312" w:hAnsi="楷体_GB2312" w:eastAsia="楷体_GB2312" w:cs="楷体_GB2312"/>
          <w:szCs w:val="21"/>
        </w:rPr>
      </w:pPr>
      <w:r>
        <w:rPr>
          <w:rFonts w:hint="eastAsia" w:ascii="楷体_GB2312" w:hAnsi="楷体_GB2312" w:eastAsia="楷体_GB2312" w:cs="楷体_GB2312"/>
          <w:szCs w:val="21"/>
        </w:rPr>
        <w:t>注：本公告发布之日起开始发布招标文件，发布招标公告的时间为招标公告发出之日起至递交投标文件截止时间止,并从招标公告发布之日起开始计算备标时间。</w:t>
      </w:r>
    </w:p>
    <w:p w14:paraId="5B2AC8A4">
      <w:pPr>
        <w:spacing w:line="360" w:lineRule="auto"/>
        <w:ind w:firstLine="420" w:firstLineChars="200"/>
        <w:rPr>
          <w:rFonts w:hint="eastAsia" w:ascii="宋体" w:hAnsi="宋体" w:cs="宋体"/>
          <w:szCs w:val="21"/>
        </w:rPr>
      </w:pPr>
      <w:r>
        <w:rPr>
          <w:rFonts w:hint="eastAsia" w:ascii="Times New Roman" w:hAnsi="Times New Roman"/>
          <w:szCs w:val="21"/>
        </w:rPr>
        <w:t>4.3</w:t>
      </w:r>
      <w:r>
        <w:rPr>
          <w:rFonts w:hint="eastAsia" w:ascii="宋体" w:hAnsi="宋体" w:cs="宋体"/>
          <w:szCs w:val="21"/>
        </w:rPr>
        <w:t>本项目招标文件随招标公告一并在</w:t>
      </w:r>
      <w:r>
        <w:rPr>
          <w:rFonts w:hint="eastAsia" w:ascii="Times New Roman" w:hAnsi="Times New Roman"/>
          <w:szCs w:val="21"/>
          <w:u w:val="single"/>
        </w:rPr>
        <w:t>广州交易集团有限公司（广州公共资源交易中心）</w:t>
      </w:r>
      <w:r>
        <w:rPr>
          <w:rFonts w:hint="eastAsia" w:ascii="宋体" w:hAnsi="宋体" w:cs="宋体"/>
          <w:szCs w:val="21"/>
        </w:rPr>
        <w:t>网站交易平台发布。招标文件一经在交易平台发布，视为发出给投标人，招标文件由投标人自行在交易平台下载。</w:t>
      </w:r>
    </w:p>
    <w:p w14:paraId="4FF88147">
      <w:pPr>
        <w:pStyle w:val="4"/>
        <w:rPr>
          <w:rFonts w:hint="eastAsia"/>
        </w:rPr>
      </w:pPr>
    </w:p>
    <w:p w14:paraId="3D08CCF9">
      <w:pPr>
        <w:pStyle w:val="3"/>
        <w:rPr>
          <w:rFonts w:hint="eastAsia"/>
        </w:rPr>
      </w:pPr>
      <w:bookmarkStart w:id="49" w:name="_Toc18670"/>
      <w:bookmarkStart w:id="50" w:name="_Toc492300550"/>
      <w:bookmarkStart w:id="51" w:name="_Toc16837"/>
      <w:bookmarkStart w:id="52" w:name="_Toc30981"/>
      <w:bookmarkStart w:id="53" w:name="_Toc6915"/>
      <w:bookmarkStart w:id="54" w:name="_Toc13305"/>
      <w:bookmarkStart w:id="55" w:name="_Toc3884"/>
      <w:bookmarkStart w:id="56" w:name="_Toc3582"/>
      <w:bookmarkStart w:id="57" w:name="_Toc14445"/>
      <w:bookmarkStart w:id="58" w:name="_Toc22166"/>
      <w:bookmarkStart w:id="59" w:name="_Toc30270"/>
      <w:r>
        <w:rPr>
          <w:rFonts w:hint="eastAsia"/>
        </w:rPr>
        <w:t>5.投标文件的递交</w:t>
      </w:r>
      <w:bookmarkEnd w:id="49"/>
      <w:bookmarkEnd w:id="50"/>
      <w:bookmarkEnd w:id="51"/>
      <w:bookmarkEnd w:id="52"/>
      <w:bookmarkEnd w:id="53"/>
      <w:bookmarkEnd w:id="54"/>
      <w:bookmarkEnd w:id="55"/>
      <w:bookmarkEnd w:id="56"/>
      <w:bookmarkEnd w:id="57"/>
      <w:bookmarkEnd w:id="58"/>
      <w:bookmarkEnd w:id="59"/>
    </w:p>
    <w:p w14:paraId="1F16DB50">
      <w:pPr>
        <w:tabs>
          <w:tab w:val="left" w:pos="360"/>
        </w:tabs>
        <w:spacing w:line="400" w:lineRule="exact"/>
        <w:ind w:firstLine="420" w:firstLineChars="200"/>
        <w:rPr>
          <w:rFonts w:hint="eastAsia" w:ascii="宋体" w:hAnsi="宋体" w:cs="宋体"/>
          <w:szCs w:val="21"/>
        </w:rPr>
      </w:pPr>
      <w:bookmarkStart w:id="60" w:name="_Toc3643"/>
      <w:bookmarkStart w:id="61" w:name="_Toc9454"/>
      <w:bookmarkStart w:id="62" w:name="_Toc492300551"/>
      <w:bookmarkStart w:id="63" w:name="_Toc5954"/>
      <w:bookmarkStart w:id="64" w:name="_Toc28330"/>
      <w:bookmarkStart w:id="65" w:name="_Toc996"/>
      <w:bookmarkStart w:id="66" w:name="_Toc25776"/>
      <w:bookmarkStart w:id="67" w:name="_Toc14276"/>
      <w:bookmarkStart w:id="68" w:name="_Toc8942"/>
      <w:bookmarkStart w:id="69" w:name="_Toc5148"/>
      <w:r>
        <w:rPr>
          <w:rFonts w:hint="eastAsia" w:ascii="宋体" w:hAnsi="宋体" w:cs="宋体"/>
          <w:szCs w:val="21"/>
        </w:rPr>
        <w:t>5.1 投标文件递交的截止时间（投标截止时间，下同）为</w:t>
      </w:r>
      <w:r>
        <w:rPr>
          <w:rFonts w:hint="eastAsia" w:ascii="Times New Roman" w:hAnsi="Times New Roman"/>
          <w:szCs w:val="21"/>
          <w:u w:val="single"/>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分，投标人应在截止时间前通过</w:t>
      </w:r>
      <w:r>
        <w:rPr>
          <w:rFonts w:hint="eastAsia" w:ascii="Times New Roman" w:hAnsi="Times New Roman"/>
          <w:szCs w:val="21"/>
          <w:u w:val="single"/>
        </w:rPr>
        <w:t>广州交易集团有限公司（广州公共资源交易中心）</w:t>
      </w:r>
      <w:r>
        <w:rPr>
          <w:rFonts w:hint="eastAsia" w:ascii="宋体" w:hAnsi="宋体" w:cs="宋体"/>
          <w:szCs w:val="21"/>
        </w:rPr>
        <w:t>递交电子投标文件。投标人完成电子投标文件上传后，交易平台即时向投标人发出递交回执通知。递交时间以递交回执通知载明的传输完成时间为准。</w:t>
      </w:r>
    </w:p>
    <w:p w14:paraId="40B36F01">
      <w:pPr>
        <w:widowControl/>
        <w:topLinePunct/>
        <w:snapToGrid w:val="0"/>
        <w:spacing w:line="400" w:lineRule="exact"/>
        <w:ind w:firstLine="420" w:firstLineChars="200"/>
        <w:rPr>
          <w:rFonts w:hint="eastAsia" w:ascii="宋体" w:hAnsi="宋体" w:cs="宋体"/>
          <w:szCs w:val="21"/>
        </w:rPr>
      </w:pPr>
      <w:r>
        <w:rPr>
          <w:rFonts w:hint="eastAsia" w:ascii="宋体" w:hAnsi="宋体" w:cs="宋体"/>
          <w:szCs w:val="21"/>
        </w:rPr>
        <w:t>在投标截止时间后</w:t>
      </w:r>
      <w:r>
        <w:rPr>
          <w:rFonts w:hint="eastAsia" w:ascii="宋体" w:hAnsi="宋体" w:cs="宋体"/>
          <w:b/>
          <w:bCs/>
          <w:szCs w:val="21"/>
          <w:u w:val="single"/>
        </w:rPr>
        <w:t>一</w:t>
      </w:r>
      <w:r>
        <w:rPr>
          <w:rFonts w:hint="eastAsia" w:ascii="宋体" w:hAnsi="宋体" w:cs="宋体"/>
          <w:b/>
          <w:bCs/>
          <w:szCs w:val="21"/>
        </w:rPr>
        <w:t>小时</w:t>
      </w:r>
      <w:r>
        <w:rPr>
          <w:rFonts w:hint="eastAsia" w:ascii="宋体" w:hAnsi="宋体" w:cs="宋体"/>
          <w:szCs w:val="21"/>
        </w:rPr>
        <w:t>内，投标人通过</w:t>
      </w:r>
      <w:r>
        <w:rPr>
          <w:rFonts w:hint="eastAsia" w:ascii="Times New Roman" w:hAnsi="Times New Roman"/>
          <w:szCs w:val="21"/>
          <w:u w:val="single"/>
        </w:rPr>
        <w:t>广州交易集团有限公司（广州公共资源交易中心）</w:t>
      </w:r>
      <w:r>
        <w:rPr>
          <w:rFonts w:hint="eastAsia" w:ascii="宋体" w:hAnsi="宋体" w:cs="宋体"/>
          <w:szCs w:val="21"/>
        </w:rPr>
        <w:t>网站对已递交的电子投标文件进行解密。</w:t>
      </w:r>
    </w:p>
    <w:p w14:paraId="68AAF1DE">
      <w:pPr>
        <w:pStyle w:val="5"/>
        <w:tabs>
          <w:tab w:val="left" w:pos="3492"/>
          <w:tab w:val="left" w:pos="7063"/>
        </w:tabs>
        <w:kinsoku w:val="0"/>
        <w:overflowPunct w:val="0"/>
        <w:autoSpaceDE w:val="0"/>
        <w:autoSpaceDN w:val="0"/>
        <w:spacing w:line="360" w:lineRule="auto"/>
        <w:ind w:right="113" w:firstLine="424" w:firstLineChars="202"/>
        <w:rPr>
          <w:rFonts w:hint="eastAsia"/>
          <w:szCs w:val="21"/>
          <w:u w:val="single"/>
        </w:rPr>
      </w:pPr>
      <w:r>
        <w:rPr>
          <w:rFonts w:hint="eastAsia" w:ascii="宋体" w:hAnsi="宋体" w:cs="宋体"/>
          <w:szCs w:val="21"/>
        </w:rPr>
        <w:t>5.2 投标人应在递交投标文件截止时间前，登录</w:t>
      </w:r>
      <w:r>
        <w:rPr>
          <w:rFonts w:hint="eastAsia"/>
          <w:szCs w:val="21"/>
          <w:u w:val="single"/>
        </w:rPr>
        <w:t>广州交易集团有限公司（广州公共资源交易中心）</w:t>
      </w:r>
      <w:r>
        <w:rPr>
          <w:rFonts w:hint="eastAsia" w:ascii="宋体" w:hAnsi="宋体" w:cs="宋体"/>
          <w:szCs w:val="21"/>
        </w:rPr>
        <w:t>网站交易平台办理网上投标登记手续；投标登记时间（含本日）</w:t>
      </w:r>
      <w:r>
        <w:rPr>
          <w:rFonts w:hint="eastAsia"/>
          <w:szCs w:val="21"/>
        </w:rPr>
        <w:t>：</w:t>
      </w:r>
      <w:r>
        <w:rPr>
          <w:rFonts w:hint="eastAsia"/>
          <w:szCs w:val="21"/>
          <w:u w:val="single"/>
        </w:rPr>
        <w:t>2025</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分至</w:t>
      </w:r>
      <w:r>
        <w:rPr>
          <w:rFonts w:hint="eastAsia"/>
          <w:szCs w:val="21"/>
          <w:u w:val="single"/>
        </w:rPr>
        <w:t>2025</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p w14:paraId="764F2969">
      <w:pPr>
        <w:pStyle w:val="5"/>
        <w:tabs>
          <w:tab w:val="left" w:pos="3492"/>
          <w:tab w:val="left" w:pos="7063"/>
        </w:tabs>
        <w:kinsoku w:val="0"/>
        <w:overflowPunct w:val="0"/>
        <w:autoSpaceDE w:val="0"/>
        <w:autoSpaceDN w:val="0"/>
        <w:spacing w:line="360" w:lineRule="auto"/>
        <w:ind w:right="113" w:firstLine="424" w:firstLineChars="202"/>
        <w:rPr>
          <w:rFonts w:hint="eastAsia" w:ascii="楷体_GB2312" w:hAnsi="楷体_GB2312" w:eastAsia="楷体_GB2312" w:cs="楷体_GB2312"/>
          <w:szCs w:val="21"/>
        </w:rPr>
      </w:pPr>
      <w:r>
        <w:rPr>
          <w:rFonts w:hint="eastAsia" w:ascii="楷体_GB2312" w:hAnsi="楷体_GB2312" w:eastAsia="楷体_GB2312" w:cs="楷体_GB2312"/>
          <w:szCs w:val="21"/>
        </w:rPr>
        <w:t>注：详见电子招标投标交易平台网站发布的最新版操作指引。</w:t>
      </w:r>
    </w:p>
    <w:p w14:paraId="502974B4">
      <w:pPr>
        <w:tabs>
          <w:tab w:val="left" w:pos="360"/>
        </w:tabs>
        <w:spacing w:line="400" w:lineRule="exact"/>
        <w:ind w:firstLine="420" w:firstLineChars="200"/>
        <w:rPr>
          <w:rFonts w:hint="eastAsia" w:ascii="宋体" w:hAnsi="宋体" w:cs="宋体"/>
          <w:szCs w:val="21"/>
        </w:rPr>
      </w:pPr>
      <w:r>
        <w:rPr>
          <w:rFonts w:hint="eastAsia" w:ascii="宋体" w:hAnsi="宋体" w:cs="宋体"/>
          <w:szCs w:val="21"/>
        </w:rPr>
        <w:t>5.3 开标开始时间：</w:t>
      </w:r>
      <w:r>
        <w:rPr>
          <w:rFonts w:hint="eastAsia" w:ascii="Times New Roman" w:hAnsi="Times New Roman"/>
          <w:szCs w:val="21"/>
          <w:u w:val="single"/>
        </w:rPr>
        <w:t>2025</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分</w:t>
      </w:r>
      <w:r>
        <w:rPr>
          <w:rFonts w:hint="eastAsia" w:ascii="宋体" w:hAnsi="宋体" w:cs="宋体"/>
          <w:szCs w:val="21"/>
        </w:rPr>
        <w:t>；地点：</w:t>
      </w:r>
      <w:r>
        <w:rPr>
          <w:rFonts w:hint="eastAsia" w:ascii="宋体" w:hAnsi="宋体" w:cs="宋体"/>
          <w:szCs w:val="21"/>
          <w:u w:val="single"/>
        </w:rPr>
        <w:t>广州公共资源交易中心增城交易部第   开标室（地址：增城区荔城街增城大道2号金河湾3栋108）</w:t>
      </w:r>
      <w:r>
        <w:rPr>
          <w:rFonts w:hint="eastAsia" w:ascii="宋体" w:hAnsi="宋体" w:cs="宋体"/>
          <w:szCs w:val="21"/>
        </w:rPr>
        <w:t>。</w:t>
      </w:r>
    </w:p>
    <w:p w14:paraId="2123AD49">
      <w:pPr>
        <w:tabs>
          <w:tab w:val="left" w:pos="360"/>
        </w:tabs>
        <w:spacing w:line="400" w:lineRule="exact"/>
        <w:ind w:firstLine="420" w:firstLineChars="200"/>
        <w:rPr>
          <w:rFonts w:hint="eastAsia" w:ascii="宋体" w:hAnsi="宋体" w:cs="宋体"/>
          <w:szCs w:val="21"/>
        </w:rPr>
      </w:pPr>
      <w:r>
        <w:rPr>
          <w:rFonts w:hint="eastAsia" w:ascii="宋体" w:hAnsi="宋体" w:cs="宋体"/>
          <w:szCs w:val="21"/>
        </w:rPr>
        <w:t>5.4 投标文件光盘（备用）递交时间：</w:t>
      </w:r>
      <w:r>
        <w:rPr>
          <w:rFonts w:hint="eastAsia" w:ascii="Times New Roman" w:hAnsi="Times New Roman"/>
          <w:szCs w:val="21"/>
          <w:u w:val="single"/>
        </w:rPr>
        <w:t>2025</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rPr>
        <w:t>分</w:t>
      </w:r>
      <w:r>
        <w:rPr>
          <w:rFonts w:hint="eastAsia" w:ascii="宋体" w:hAnsi="宋体" w:cs="宋体"/>
          <w:szCs w:val="21"/>
        </w:rPr>
        <w:t>至</w:t>
      </w:r>
      <w:r>
        <w:rPr>
          <w:rFonts w:hint="eastAsia" w:ascii="Times New Roman" w:hAnsi="Times New Roman"/>
          <w:szCs w:val="21"/>
          <w:u w:val="single"/>
        </w:rPr>
        <w:t>2025</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rPr>
        <w:t>分</w:t>
      </w:r>
      <w:r>
        <w:rPr>
          <w:rFonts w:hint="eastAsia" w:ascii="宋体" w:hAnsi="宋体" w:cs="宋体"/>
          <w:szCs w:val="21"/>
        </w:rPr>
        <w:t>；地点：</w:t>
      </w:r>
      <w:r>
        <w:rPr>
          <w:rFonts w:hint="eastAsia" w:ascii="宋体" w:hAnsi="宋体" w:cs="宋体"/>
          <w:szCs w:val="21"/>
          <w:u w:val="single"/>
        </w:rPr>
        <w:t>广州公共资源交易中心增城交易部第   开标室（地址：增城区荔城街增城大道2号金河湾3栋108）</w:t>
      </w:r>
      <w:r>
        <w:rPr>
          <w:rFonts w:hint="eastAsia" w:ascii="宋体" w:hAnsi="宋体" w:cs="宋体"/>
          <w:szCs w:val="21"/>
        </w:rPr>
        <w:t>。（投标人自行决定是否递交备用电子光盘，若提交电子光盘需则按规定封装。投标人将数据刻录到光盘之后，投标前自行检查文件是否可以读取）。逾期送达的投标文件光盘（备用），招标人将予以拒收。</w:t>
      </w:r>
    </w:p>
    <w:p w14:paraId="0159E962">
      <w:pPr>
        <w:tabs>
          <w:tab w:val="left" w:pos="360"/>
        </w:tabs>
        <w:spacing w:line="400" w:lineRule="exact"/>
        <w:ind w:firstLine="420" w:firstLineChars="200"/>
        <w:rPr>
          <w:rFonts w:hint="eastAsia" w:ascii="宋体" w:hAnsi="宋体" w:cs="宋体"/>
          <w:szCs w:val="21"/>
        </w:rPr>
      </w:pPr>
      <w:r>
        <w:rPr>
          <w:rFonts w:hint="eastAsia" w:ascii="宋体" w:hAnsi="宋体" w:cs="宋体"/>
          <w:szCs w:val="21"/>
        </w:rPr>
        <w:t>5.5 投标文件解密时间为：</w:t>
      </w:r>
      <w:r>
        <w:rPr>
          <w:rFonts w:hint="eastAsia" w:ascii="Times New Roman" w:hAnsi="Times New Roman"/>
          <w:szCs w:val="21"/>
          <w:u w:val="single"/>
        </w:rPr>
        <w:t>2025</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rPr>
        <w:t>分</w:t>
      </w:r>
      <w:r>
        <w:rPr>
          <w:rFonts w:hint="eastAsia" w:ascii="宋体" w:hAnsi="宋体" w:cs="宋体"/>
          <w:szCs w:val="21"/>
        </w:rPr>
        <w:t>至</w:t>
      </w:r>
      <w:r>
        <w:rPr>
          <w:rFonts w:hint="eastAsia" w:ascii="Times New Roman" w:hAnsi="Times New Roman"/>
          <w:szCs w:val="21"/>
          <w:u w:val="single"/>
        </w:rPr>
        <w:t>2025</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rPr>
        <w:t>分</w:t>
      </w:r>
      <w:r>
        <w:rPr>
          <w:rFonts w:hint="eastAsia" w:ascii="宋体" w:hAnsi="宋体" w:cs="宋体"/>
          <w:szCs w:val="21"/>
        </w:rPr>
        <w:t>，投标人应在截止时间前通过</w:t>
      </w:r>
      <w:r>
        <w:rPr>
          <w:rFonts w:hint="eastAsia" w:ascii="Times New Roman" w:hAnsi="Times New Roman"/>
          <w:szCs w:val="21"/>
          <w:u w:val="single"/>
        </w:rPr>
        <w:t>广州交易集团有限公司（广州公共资源交易中心）数字交易平台</w:t>
      </w:r>
      <w:r>
        <w:rPr>
          <w:rFonts w:hint="eastAsia" w:ascii="宋体" w:hAnsi="宋体" w:cs="宋体"/>
          <w:szCs w:val="21"/>
        </w:rPr>
        <w:t>对电子投标文件进行投标文件解密。</w:t>
      </w:r>
    </w:p>
    <w:p w14:paraId="03C85C29">
      <w:pPr>
        <w:spacing w:line="400" w:lineRule="exact"/>
        <w:ind w:firstLine="420" w:firstLineChars="200"/>
        <w:rPr>
          <w:rFonts w:hint="eastAsia" w:ascii="宋体" w:hAnsi="宋体" w:cs="宋体"/>
          <w:szCs w:val="21"/>
        </w:rPr>
      </w:pPr>
      <w:r>
        <w:rPr>
          <w:rFonts w:hint="eastAsia" w:ascii="宋体" w:hAnsi="宋体" w:cs="宋体"/>
          <w:szCs w:val="21"/>
        </w:rPr>
        <w:t>5.6 逾期送达的投标文件，电子招标投标交易平台将予以拒收。</w:t>
      </w:r>
    </w:p>
    <w:p w14:paraId="2C1644B3">
      <w:pPr>
        <w:spacing w:line="400" w:lineRule="exact"/>
        <w:ind w:firstLine="420" w:firstLineChars="200"/>
        <w:rPr>
          <w:rFonts w:hint="eastAsia" w:ascii="宋体" w:hAnsi="宋体" w:cs="宋体"/>
          <w:szCs w:val="21"/>
        </w:rPr>
      </w:pPr>
      <w:r>
        <w:rPr>
          <w:rFonts w:hint="eastAsia" w:ascii="宋体" w:hAnsi="宋体" w:cs="宋体"/>
          <w:szCs w:val="21"/>
        </w:rPr>
        <w:t>5.7 递交投标文件截止时间及开标时间是否有变化，请密切留意</w:t>
      </w:r>
      <w:r>
        <w:rPr>
          <w:rFonts w:hint="eastAsia" w:ascii="Times New Roman" w:hAnsi="Times New Roman"/>
          <w:szCs w:val="21"/>
          <w:u w:val="single"/>
        </w:rPr>
        <w:t>广州交易集团有限公司（广州公共资源交易中心）</w:t>
      </w:r>
      <w:r>
        <w:rPr>
          <w:rFonts w:hint="eastAsia" w:ascii="宋体" w:hAnsi="宋体" w:cs="宋体"/>
          <w:szCs w:val="21"/>
        </w:rPr>
        <w:t>中的相关信息。递交投标文件截止时间后，投标文件评审时间因故推迟的，相关资审信息仍以原递交投标文件截止时间的信息为准。</w:t>
      </w:r>
    </w:p>
    <w:p w14:paraId="3769B72B">
      <w:pPr>
        <w:pStyle w:val="3"/>
        <w:rPr>
          <w:rFonts w:hint="eastAsia"/>
        </w:rPr>
      </w:pPr>
      <w:bookmarkStart w:id="70" w:name="_Toc4976"/>
      <w:r>
        <w:rPr>
          <w:rFonts w:hint="eastAsia"/>
        </w:rPr>
        <w:t>6.发布公告的媒介</w:t>
      </w:r>
      <w:bookmarkEnd w:id="60"/>
      <w:bookmarkEnd w:id="61"/>
      <w:bookmarkEnd w:id="62"/>
      <w:bookmarkEnd w:id="63"/>
      <w:bookmarkEnd w:id="64"/>
      <w:bookmarkEnd w:id="65"/>
      <w:bookmarkEnd w:id="66"/>
      <w:bookmarkEnd w:id="67"/>
      <w:bookmarkEnd w:id="68"/>
      <w:bookmarkEnd w:id="69"/>
      <w:bookmarkEnd w:id="70"/>
    </w:p>
    <w:p w14:paraId="0DB39756">
      <w:pPr>
        <w:spacing w:line="400" w:lineRule="exact"/>
        <w:ind w:firstLine="420" w:firstLineChars="200"/>
        <w:rPr>
          <w:rFonts w:hint="eastAsia" w:ascii="Times New Roman" w:hAnsi="Times New Roman"/>
        </w:rPr>
      </w:pPr>
      <w:r>
        <w:rPr>
          <w:rFonts w:hint="eastAsia" w:ascii="宋体" w:hAnsi="宋体" w:cs="宋体"/>
          <w:szCs w:val="21"/>
        </w:rPr>
        <w:t>本次招标公告同时在</w:t>
      </w:r>
      <w:r>
        <w:rPr>
          <w:rFonts w:hint="eastAsia" w:ascii="Times New Roman" w:hAnsi="Times New Roman"/>
          <w:szCs w:val="21"/>
          <w:u w:val="single"/>
        </w:rPr>
        <w:t>广州交易集团有限公司（广州公共资源交易中心）</w:t>
      </w:r>
      <w:r>
        <w:rPr>
          <w:rFonts w:hint="eastAsia" w:ascii="宋体" w:hAnsi="宋体" w:cs="宋体"/>
          <w:szCs w:val="21"/>
        </w:rPr>
        <w:t>、广东省招标投标监管网（网址：http://zbtb.gd.gov.cn/login）、中国招标投标公共服务平台（网址：http://www.cebpubservice.com/）</w:t>
      </w:r>
      <w:r>
        <w:rPr>
          <w:rFonts w:hint="eastAsia" w:ascii="宋体" w:hAnsi="宋体" w:cs="宋体"/>
          <w:szCs w:val="21"/>
          <w:u w:val="single"/>
        </w:rPr>
        <w:t>和广州市增城区人民政府门户网站（http://www.zc.gov.cn/）的“首页&gt;公开&gt;公共资源配置领域&gt;工程建设项目招投标”栏目</w:t>
      </w:r>
      <w:r>
        <w:rPr>
          <w:rFonts w:hint="eastAsia" w:ascii="宋体" w:hAnsi="宋体" w:cs="宋体"/>
          <w:szCs w:val="21"/>
        </w:rPr>
        <w:t>上发布。本公告的修改、补充，在</w:t>
      </w:r>
      <w:r>
        <w:rPr>
          <w:rFonts w:hint="eastAsia" w:ascii="宋体" w:hAnsi="宋体" w:cs="宋体"/>
          <w:szCs w:val="21"/>
          <w:u w:val="single"/>
        </w:rPr>
        <w:t xml:space="preserve">           </w:t>
      </w:r>
      <w:r>
        <w:rPr>
          <w:rFonts w:hint="eastAsia" w:ascii="Times New Roman" w:hAnsi="Times New Roman"/>
          <w:szCs w:val="21"/>
          <w:u w:val="single"/>
        </w:rPr>
        <w:t>广州交易集团有限公司（广州公共资源交易中心）</w:t>
      </w:r>
      <w:r>
        <w:rPr>
          <w:rFonts w:hint="eastAsia" w:ascii="宋体" w:hAnsi="宋体" w:cs="宋体"/>
          <w:szCs w:val="21"/>
          <w:u w:val="single"/>
        </w:rPr>
        <w:t>网站</w:t>
      </w:r>
      <w:r>
        <w:rPr>
          <w:rFonts w:hint="eastAsia" w:ascii="Times New Roman" w:hAnsi="Times New Roman"/>
          <w:szCs w:val="21"/>
        </w:rPr>
        <w:t>、</w:t>
      </w:r>
      <w:r>
        <w:rPr>
          <w:rFonts w:hint="eastAsia" w:ascii="宋体" w:hAnsi="宋体" w:cs="宋体"/>
          <w:szCs w:val="21"/>
        </w:rPr>
        <w:t>广东省招标投标监管网和中国招标投标公共服务平台发布。招标公告、公示信息的发布时间和内容，以在广东省招标投标监管网(网址: http://zbtb.gd.gov.cn/) 发布的为准。本项目相关附件具体详见</w:t>
      </w:r>
      <w:r>
        <w:rPr>
          <w:rFonts w:hint="eastAsia" w:ascii="Times New Roman" w:hAnsi="Times New Roman"/>
          <w:szCs w:val="21"/>
          <w:u w:val="single"/>
        </w:rPr>
        <w:t>广州交易集团有限公司（广州公共资源交易中心）</w:t>
      </w:r>
      <w:r>
        <w:rPr>
          <w:rFonts w:hint="eastAsia" w:ascii="宋体" w:hAnsi="宋体" w:cs="宋体"/>
          <w:szCs w:val="21"/>
          <w:u w:val="single"/>
        </w:rPr>
        <w:t>网站</w:t>
      </w:r>
      <w:r>
        <w:rPr>
          <w:rFonts w:hint="eastAsia" w:ascii="Times New Roman" w:hAnsi="Times New Roman"/>
        </w:rPr>
        <w:t>。</w:t>
      </w:r>
    </w:p>
    <w:p w14:paraId="0371B152">
      <w:pPr>
        <w:pStyle w:val="4"/>
        <w:rPr>
          <w:rFonts w:hint="eastAsia"/>
        </w:rPr>
      </w:pPr>
    </w:p>
    <w:p w14:paraId="3C54714D">
      <w:pPr>
        <w:pStyle w:val="3"/>
        <w:rPr>
          <w:rFonts w:hint="eastAsia"/>
        </w:rPr>
      </w:pPr>
      <w:bookmarkStart w:id="71" w:name="_Toc29446"/>
      <w:bookmarkStart w:id="72" w:name="_Toc4765"/>
      <w:bookmarkStart w:id="73" w:name="_Toc492300552"/>
      <w:bookmarkStart w:id="74" w:name="_Toc12872"/>
      <w:bookmarkStart w:id="75" w:name="_Toc19129"/>
      <w:bookmarkStart w:id="76" w:name="_Toc14159"/>
      <w:bookmarkStart w:id="77" w:name="_Toc17274"/>
      <w:bookmarkStart w:id="78" w:name="_Toc31630"/>
      <w:bookmarkStart w:id="79" w:name="_Toc22894"/>
      <w:bookmarkStart w:id="80" w:name="_Toc26465"/>
      <w:bookmarkStart w:id="81" w:name="_Toc2596"/>
      <w:r>
        <w:rPr>
          <w:rFonts w:hint="eastAsia"/>
        </w:rPr>
        <w:t>7.</w:t>
      </w:r>
      <w:bookmarkEnd w:id="71"/>
      <w:bookmarkEnd w:id="72"/>
      <w:bookmarkEnd w:id="73"/>
      <w:bookmarkEnd w:id="74"/>
      <w:bookmarkEnd w:id="75"/>
      <w:bookmarkEnd w:id="76"/>
      <w:bookmarkEnd w:id="77"/>
      <w:bookmarkEnd w:id="78"/>
      <w:bookmarkEnd w:id="79"/>
      <w:bookmarkEnd w:id="80"/>
      <w:r>
        <w:rPr>
          <w:rFonts w:hint="eastAsia"/>
        </w:rPr>
        <w:t>资格审查方式</w:t>
      </w:r>
      <w:bookmarkEnd w:id="81"/>
    </w:p>
    <w:p w14:paraId="18C331A4">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7.1 本工程采用资格后审方式，由评标委员会负责资格审查。</w:t>
      </w:r>
    </w:p>
    <w:p w14:paraId="344AE85E">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7.2 资格审查结果将在</w:t>
      </w:r>
      <w:r>
        <w:rPr>
          <w:rFonts w:hint="eastAsia" w:ascii="Times New Roman" w:hAnsi="Times New Roman"/>
          <w:szCs w:val="21"/>
        </w:rPr>
        <w:t>广州交易集团有限公司（广州公共资源交易中心）、</w:t>
      </w:r>
      <w:r>
        <w:rPr>
          <w:rFonts w:hint="eastAsia" w:ascii="宋体" w:hAnsi="宋体" w:cs="宋体"/>
          <w:szCs w:val="21"/>
        </w:rPr>
        <w:t>广东省招标投标监管网和</w:t>
      </w:r>
      <w:r>
        <w:rPr>
          <w:rFonts w:hint="eastAsia" w:ascii="宋体" w:hAnsi="宋体" w:cs="宋体"/>
          <w:szCs w:val="21"/>
          <w:u w:val="single"/>
        </w:rPr>
        <w:t>广州市增城区人民政府门户网站（http://www.zc.gov.cn/）的“首页&gt;公开&gt;公共资源配置领域&gt;工程建设项目招投标”栏目</w:t>
      </w:r>
      <w:r>
        <w:rPr>
          <w:rFonts w:hint="eastAsia" w:ascii="宋体" w:hAnsi="宋体" w:cs="宋体"/>
          <w:szCs w:val="21"/>
        </w:rPr>
        <w:t>公示，公示时间不得少于3日，最后一天应为工作日。</w:t>
      </w:r>
    </w:p>
    <w:p w14:paraId="5577067B">
      <w:pPr>
        <w:pStyle w:val="4"/>
        <w:rPr>
          <w:lang w:val="en-US"/>
        </w:rPr>
      </w:pPr>
    </w:p>
    <w:p w14:paraId="3A59C3AD">
      <w:pPr>
        <w:pStyle w:val="3"/>
        <w:rPr>
          <w:rFonts w:hint="eastAsia"/>
        </w:rPr>
      </w:pPr>
      <w:bookmarkStart w:id="82" w:name="_Toc748"/>
      <w:r>
        <w:rPr>
          <w:rFonts w:hint="eastAsia"/>
        </w:rPr>
        <w:t>8.疑问、异议、投诉处理</w:t>
      </w:r>
      <w:bookmarkEnd w:id="82"/>
    </w:p>
    <w:p w14:paraId="54A2213F">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 xml:space="preserve">8.1 </w:t>
      </w:r>
      <w:r>
        <w:rPr>
          <w:rFonts w:ascii="宋体" w:hAnsi="宋体" w:cs="宋体"/>
          <w:szCs w:val="21"/>
        </w:rPr>
        <w:t>关于疑问、异议、投诉的基本概念和处理程序详见《中华人民共和国招标投标法》、《中华人民共和国招标投标法实施条例》、《工程建设项目招标投标活动投诉处理办法》</w:t>
      </w:r>
      <w:r>
        <w:rPr>
          <w:rFonts w:hint="eastAsia" w:ascii="宋体" w:hAnsi="宋体" w:cs="宋体"/>
          <w:szCs w:val="21"/>
        </w:rPr>
        <w:t>。</w:t>
      </w:r>
    </w:p>
    <w:p w14:paraId="532A3272">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 xml:space="preserve">8.2 </w:t>
      </w:r>
      <w:r>
        <w:rPr>
          <w:rFonts w:ascii="宋体" w:hAnsi="宋体" w:cs="宋体"/>
          <w:szCs w:val="21"/>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cs="宋体"/>
          <w:szCs w:val="21"/>
        </w:rPr>
        <w:t>。</w:t>
      </w:r>
    </w:p>
    <w:p w14:paraId="7804C795">
      <w:pPr>
        <w:autoSpaceDE w:val="0"/>
        <w:autoSpaceDN w:val="0"/>
        <w:spacing w:line="360" w:lineRule="auto"/>
        <w:ind w:firstLine="281" w:firstLineChars="134"/>
        <w:rPr>
          <w:rFonts w:hint="eastAsia" w:ascii="宋体" w:hAnsi="宋体" w:cs="宋体"/>
          <w:szCs w:val="21"/>
        </w:rPr>
      </w:pPr>
      <w:r>
        <w:rPr>
          <w:rFonts w:hint="eastAsia" w:ascii="宋体" w:hAnsi="宋体" w:cs="宋体"/>
          <w:szCs w:val="21"/>
        </w:rPr>
        <w:t>8.3 潜在投标人或利害关系人对本招标公告、招标文件有异议的，应当在招标投标相关法律法规规定的时间内（投标截止时间</w:t>
      </w:r>
      <w:r>
        <w:rPr>
          <w:rFonts w:hint="eastAsia" w:ascii="宋体" w:hAnsi="宋体" w:cs="宋体"/>
          <w:szCs w:val="21"/>
          <w:u w:val="single"/>
        </w:rPr>
        <w:t>15</w:t>
      </w:r>
      <w:r>
        <w:rPr>
          <w:rFonts w:hint="eastAsia" w:ascii="宋体" w:hAnsi="宋体" w:cs="宋体"/>
          <w:szCs w:val="21"/>
        </w:rPr>
        <w:t>日前）通过电子交易系统向招标人提出，具体按照</w:t>
      </w:r>
      <w:r>
        <w:rPr>
          <w:rFonts w:hint="eastAsia" w:ascii="Times New Roman" w:hAnsi="Times New Roman"/>
          <w:szCs w:val="21"/>
          <w:u w:val="single"/>
        </w:rPr>
        <w:t>广州交易集团有限公司（广州公共资源交易中心）</w:t>
      </w:r>
      <w:r>
        <w:rPr>
          <w:rFonts w:hint="eastAsia" w:ascii="宋体" w:hAnsi="宋体" w:cs="宋体"/>
          <w:szCs w:val="21"/>
        </w:rPr>
        <w:t>相关指南进行操作；尚未登记注册的，可</w:t>
      </w:r>
      <w:r>
        <w:rPr>
          <w:rFonts w:hint="eastAsia" w:ascii="Times New Roman" w:hAnsi="Times New Roman"/>
          <w:szCs w:val="21"/>
          <w:u w:val="single"/>
        </w:rPr>
        <w:t>广州交易集团有限公司（广州公共资源交易中心）</w:t>
      </w:r>
      <w:r>
        <w:rPr>
          <w:rFonts w:hint="eastAsia" w:ascii="宋体" w:hAnsi="宋体" w:cs="宋体"/>
          <w:szCs w:val="21"/>
        </w:rPr>
        <w:t>向招标人提出。招标人应当在规定的异议答复期限内作出答复；作出答复前，应当暂停招标投标活动。招标人依法作出答复、发布招标文件澄清或者修改文件的，应当通过电子交易系统进行。</w:t>
      </w:r>
    </w:p>
    <w:p w14:paraId="52908FC7">
      <w:pPr>
        <w:autoSpaceDE w:val="0"/>
        <w:autoSpaceDN w:val="0"/>
        <w:spacing w:line="360" w:lineRule="auto"/>
        <w:ind w:firstLine="281" w:firstLineChars="134"/>
        <w:rPr>
          <w:rFonts w:hint="eastAsia" w:ascii="宋体" w:hAnsi="宋体" w:cs="宋体"/>
          <w:szCs w:val="21"/>
        </w:rPr>
      </w:pPr>
      <w:r>
        <w:rPr>
          <w:rFonts w:hint="eastAsia" w:ascii="宋体" w:hAnsi="宋体" w:cs="宋体"/>
          <w:szCs w:val="21"/>
        </w:rPr>
        <w:t>异议受理部门：</w:t>
      </w:r>
      <w:r>
        <w:rPr>
          <w:rFonts w:hint="eastAsia" w:ascii="宋体" w:hAnsi="宋体" w:cs="宋体"/>
          <w:szCs w:val="21"/>
          <w:u w:val="single"/>
        </w:rPr>
        <w:t>广州市增城区公共建设项目管理服务中心</w:t>
      </w:r>
      <w:r>
        <w:rPr>
          <w:rFonts w:hint="eastAsia" w:ascii="宋体" w:hAnsi="宋体" w:cs="宋体"/>
          <w:szCs w:val="21"/>
        </w:rPr>
        <w:t xml:space="preserve">            </w:t>
      </w:r>
    </w:p>
    <w:p w14:paraId="436149B0">
      <w:pPr>
        <w:autoSpaceDE w:val="0"/>
        <w:autoSpaceDN w:val="0"/>
        <w:spacing w:line="360" w:lineRule="auto"/>
        <w:ind w:firstLine="281" w:firstLineChars="134"/>
        <w:rPr>
          <w:rFonts w:hint="eastAsia" w:ascii="宋体" w:hAnsi="宋体" w:eastAsia="宋体" w:cs="宋体"/>
          <w:szCs w:val="21"/>
          <w:u w:val="single"/>
          <w:lang w:eastAsia="zh-CN"/>
        </w:rPr>
      </w:pPr>
      <w:r>
        <w:rPr>
          <w:rFonts w:hint="eastAsia" w:ascii="宋体" w:hAnsi="宋体" w:cs="宋体"/>
          <w:szCs w:val="21"/>
        </w:rPr>
        <w:t>异议受理电话：</w:t>
      </w:r>
      <w:r>
        <w:rPr>
          <w:rFonts w:hint="eastAsia" w:ascii="宋体" w:hAnsi="宋体" w:cs="宋体"/>
          <w:szCs w:val="21"/>
          <w:u w:val="single"/>
          <w:lang w:eastAsia="zh-CN"/>
        </w:rPr>
        <w:t>020-62701972</w:t>
      </w:r>
    </w:p>
    <w:p w14:paraId="21F0027E">
      <w:pPr>
        <w:autoSpaceDE w:val="0"/>
        <w:autoSpaceDN w:val="0"/>
        <w:spacing w:line="360" w:lineRule="auto"/>
        <w:ind w:firstLine="281" w:firstLineChars="134"/>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广州市增城区荔城街荔城大道28号</w:t>
      </w:r>
      <w:r>
        <w:rPr>
          <w:rFonts w:hint="eastAsia" w:ascii="宋体" w:hAnsi="宋体" w:cs="宋体"/>
          <w:szCs w:val="21"/>
        </w:rPr>
        <w:t xml:space="preserve">              </w:t>
      </w:r>
    </w:p>
    <w:p w14:paraId="5D135C08">
      <w:pPr>
        <w:pStyle w:val="2"/>
        <w:ind w:firstLine="420" w:firstLineChars="200"/>
        <w:rPr>
          <w:rFonts w:hint="eastAsia" w:ascii="宋体" w:hAnsi="宋体" w:eastAsia="宋体" w:cs="宋体"/>
          <w:b w:val="0"/>
          <w:sz w:val="21"/>
          <w:szCs w:val="21"/>
        </w:rPr>
      </w:pPr>
      <w:bookmarkStart w:id="83" w:name="_Toc27994"/>
      <w:r>
        <w:rPr>
          <w:rFonts w:hint="eastAsia" w:ascii="宋体" w:hAnsi="宋体" w:cs="宋体"/>
          <w:b w:val="0"/>
          <w:sz w:val="21"/>
          <w:szCs w:val="21"/>
        </w:rPr>
        <w:t>8</w:t>
      </w:r>
      <w:r>
        <w:rPr>
          <w:rFonts w:hint="eastAsia" w:ascii="宋体" w:hAnsi="宋体" w:eastAsia="宋体" w:cs="宋体"/>
          <w:b w:val="0"/>
          <w:sz w:val="21"/>
          <w:szCs w:val="21"/>
        </w:rPr>
        <w:t>.4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ascii="宋体" w:hAnsi="宋体" w:eastAsia="宋体" w:cs="宋体"/>
          <w:b w:val="0"/>
          <w:sz w:val="21"/>
          <w:szCs w:val="21"/>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eastAsia="宋体" w:cs="宋体"/>
          <w:b w:val="0"/>
          <w:sz w:val="21"/>
          <w:szCs w:val="21"/>
        </w:rPr>
        <w:t>同时将记录到广州市交通建设项目企业信息库诚信评价管理系统。</w:t>
      </w:r>
      <w:bookmarkEnd w:id="83"/>
    </w:p>
    <w:p w14:paraId="3B379BB1">
      <w:pPr>
        <w:pStyle w:val="3"/>
        <w:rPr>
          <w:rFonts w:hint="eastAsia" w:ascii="宋体" w:hAnsi="宋体" w:cs="宋体"/>
        </w:rPr>
      </w:pPr>
      <w:bookmarkStart w:id="84" w:name="_Toc11636"/>
      <w:r>
        <w:rPr>
          <w:rFonts w:hint="eastAsia" w:ascii="宋体" w:hAnsi="宋体" w:cs="宋体"/>
        </w:rPr>
        <w:t>9.其它事项</w:t>
      </w:r>
      <w:bookmarkEnd w:id="84"/>
    </w:p>
    <w:p w14:paraId="2BEDE4F4">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9.1 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ADBBB65">
      <w:pPr>
        <w:pStyle w:val="6"/>
        <w:autoSpaceDE w:val="0"/>
        <w:autoSpaceDN w:val="0"/>
        <w:spacing w:line="360" w:lineRule="auto"/>
        <w:ind w:firstLine="420" w:firstLineChars="200"/>
        <w:rPr>
          <w:rFonts w:hint="eastAsia" w:hAnsi="宋体" w:cs="宋体"/>
        </w:rPr>
      </w:pPr>
      <w:r>
        <w:rPr>
          <w:rFonts w:hint="eastAsia" w:hAnsi="宋体" w:cs="宋体"/>
        </w:rPr>
        <w:t>9.2 其它：</w:t>
      </w:r>
      <w:r>
        <w:rPr>
          <w:rFonts w:hint="eastAsia" w:hAnsi="宋体" w:cs="宋体"/>
          <w:u w:val="single"/>
        </w:rPr>
        <w:t xml:space="preserve">   /  </w:t>
      </w:r>
      <w:r>
        <w:rPr>
          <w:rFonts w:hint="eastAsia" w:hAnsi="宋体" w:cs="宋体"/>
        </w:rPr>
        <w:t xml:space="preserve"> 。</w:t>
      </w:r>
    </w:p>
    <w:p w14:paraId="6356312B">
      <w:pPr>
        <w:rPr>
          <w:rFonts w:hint="eastAsia"/>
        </w:rPr>
      </w:pPr>
    </w:p>
    <w:p w14:paraId="417B1C3B">
      <w:pPr>
        <w:pStyle w:val="3"/>
        <w:rPr>
          <w:rFonts w:hint="eastAsia" w:ascii="宋体" w:hAnsi="宋体" w:cs="宋体"/>
        </w:rPr>
      </w:pPr>
      <w:bookmarkStart w:id="85" w:name="bookmark9"/>
      <w:bookmarkEnd w:id="85"/>
      <w:bookmarkStart w:id="86" w:name="_Toc13798"/>
      <w:bookmarkStart w:id="87" w:name="_Toc9802"/>
      <w:bookmarkStart w:id="88" w:name="_Toc26307"/>
      <w:bookmarkStart w:id="89" w:name="_Toc25287"/>
      <w:bookmarkStart w:id="90" w:name="_Toc20345"/>
      <w:bookmarkStart w:id="91" w:name="_Toc15585"/>
      <w:r>
        <w:rPr>
          <w:rFonts w:hint="eastAsia" w:ascii="宋体" w:hAnsi="宋体" w:cs="宋体"/>
        </w:rPr>
        <w:t>10.联系方式</w:t>
      </w:r>
      <w:bookmarkEnd w:id="86"/>
      <w:bookmarkEnd w:id="87"/>
      <w:bookmarkEnd w:id="88"/>
      <w:bookmarkEnd w:id="89"/>
      <w:bookmarkEnd w:id="90"/>
      <w:bookmarkEnd w:id="91"/>
    </w:p>
    <w:p w14:paraId="0E7F4E3D">
      <w:pPr>
        <w:kinsoku w:val="0"/>
        <w:overflowPunct w:val="0"/>
        <w:spacing w:before="6" w:line="120" w:lineRule="exact"/>
        <w:rPr>
          <w:sz w:val="12"/>
        </w:rPr>
      </w:pPr>
    </w:p>
    <w:p w14:paraId="1D594EDE">
      <w:pPr>
        <w:pStyle w:val="5"/>
        <w:tabs>
          <w:tab w:val="left" w:pos="1151"/>
          <w:tab w:val="left" w:pos="4228"/>
          <w:tab w:val="left" w:pos="4862"/>
          <w:tab w:val="left" w:pos="7942"/>
        </w:tabs>
        <w:kinsoku w:val="0"/>
        <w:overflowPunct w:val="0"/>
        <w:spacing w:line="310" w:lineRule="auto"/>
        <w:ind w:right="915"/>
        <w:rPr>
          <w:szCs w:val="21"/>
          <w:u w:val="single"/>
        </w:rPr>
      </w:pPr>
      <w:r>
        <w:rPr>
          <w:szCs w:val="21"/>
        </w:rPr>
        <w:t>招 标</w:t>
      </w:r>
      <w:r>
        <w:rPr>
          <w:spacing w:val="-2"/>
          <w:szCs w:val="21"/>
        </w:rPr>
        <w:t xml:space="preserve"> </w:t>
      </w:r>
      <w:r>
        <w:rPr>
          <w:szCs w:val="21"/>
        </w:rPr>
        <w:t>人：</w:t>
      </w:r>
      <w:r>
        <w:rPr>
          <w:rFonts w:hint="eastAsia" w:ascii="宋体" w:hAnsi="宋体"/>
          <w:szCs w:val="21"/>
          <w:u w:val="single"/>
        </w:rPr>
        <w:t>广州市增城区公共建设项目管理服务中心</w:t>
      </w:r>
    </w:p>
    <w:p w14:paraId="5194AB15">
      <w:pPr>
        <w:pStyle w:val="5"/>
        <w:tabs>
          <w:tab w:val="left" w:pos="1151"/>
          <w:tab w:val="left" w:pos="4228"/>
          <w:tab w:val="left" w:pos="4862"/>
          <w:tab w:val="left" w:pos="7942"/>
        </w:tabs>
        <w:kinsoku w:val="0"/>
        <w:overflowPunct w:val="0"/>
        <w:spacing w:line="310" w:lineRule="auto"/>
        <w:ind w:right="915"/>
        <w:rPr>
          <w:szCs w:val="21"/>
        </w:rPr>
      </w:pPr>
      <w:r>
        <w:rPr>
          <w:rFonts w:hint="eastAsia"/>
          <w:szCs w:val="21"/>
        </w:rPr>
        <w:t>邮政编码</w:t>
      </w:r>
      <w:r>
        <w:rPr>
          <w:szCs w:val="21"/>
        </w:rPr>
        <w:t>：</w:t>
      </w:r>
      <w:r>
        <w:rPr>
          <w:rFonts w:hint="eastAsia"/>
          <w:szCs w:val="21"/>
          <w:u w:val="single"/>
        </w:rPr>
        <w:t>511300</w:t>
      </w:r>
    </w:p>
    <w:p w14:paraId="5F4ACE92">
      <w:pPr>
        <w:pStyle w:val="5"/>
        <w:tabs>
          <w:tab w:val="left" w:pos="1151"/>
          <w:tab w:val="left" w:pos="4228"/>
          <w:tab w:val="left" w:pos="4862"/>
          <w:tab w:val="left" w:pos="7942"/>
        </w:tabs>
        <w:kinsoku w:val="0"/>
        <w:overflowPunct w:val="0"/>
        <w:spacing w:line="310" w:lineRule="auto"/>
        <w:ind w:right="915"/>
        <w:rPr>
          <w:szCs w:val="21"/>
          <w:u w:val="single"/>
        </w:rPr>
      </w:pPr>
      <w:r>
        <w:rPr>
          <w:szCs w:val="21"/>
        </w:rPr>
        <w:t>地</w:t>
      </w:r>
      <w:r>
        <w:rPr>
          <w:rFonts w:hint="eastAsia"/>
          <w:szCs w:val="21"/>
        </w:rPr>
        <w:t xml:space="preserve">    </w:t>
      </w:r>
      <w:r>
        <w:rPr>
          <w:szCs w:val="21"/>
        </w:rPr>
        <w:t>址：</w:t>
      </w:r>
      <w:r>
        <w:rPr>
          <w:rFonts w:hint="eastAsia" w:ascii="宋体" w:hAnsi="宋体" w:cs="宋体"/>
          <w:szCs w:val="21"/>
          <w:u w:val="single"/>
        </w:rPr>
        <w:t>广州市增城区荔城街荔城大道28号</w:t>
      </w:r>
    </w:p>
    <w:p w14:paraId="4A910F0E">
      <w:pPr>
        <w:spacing w:line="360" w:lineRule="auto"/>
        <w:rPr>
          <w:rFonts w:hint="eastAsia" w:eastAsia="宋体"/>
          <w:szCs w:val="21"/>
          <w:lang w:eastAsia="zh-CN"/>
        </w:rPr>
      </w:pPr>
      <w:r>
        <w:rPr>
          <w:rFonts w:hint="eastAsia"/>
          <w:szCs w:val="21"/>
        </w:rPr>
        <w:t>联系电话</w:t>
      </w:r>
      <w:r>
        <w:rPr>
          <w:szCs w:val="21"/>
        </w:rPr>
        <w:t>：</w:t>
      </w:r>
      <w:r>
        <w:rPr>
          <w:rFonts w:hint="eastAsia" w:ascii="宋体" w:hAnsi="宋体" w:cs="宋体"/>
          <w:szCs w:val="21"/>
          <w:u w:val="single"/>
          <w:lang w:eastAsia="zh-CN"/>
        </w:rPr>
        <w:t>020-62701972</w:t>
      </w:r>
    </w:p>
    <w:p w14:paraId="56EDFEB6">
      <w:pPr>
        <w:pStyle w:val="5"/>
        <w:tabs>
          <w:tab w:val="left" w:pos="1151"/>
          <w:tab w:val="left" w:pos="4228"/>
          <w:tab w:val="left" w:pos="4862"/>
          <w:tab w:val="left" w:pos="7942"/>
        </w:tabs>
        <w:kinsoku w:val="0"/>
        <w:overflowPunct w:val="0"/>
        <w:spacing w:line="310" w:lineRule="auto"/>
        <w:ind w:right="915"/>
        <w:rPr>
          <w:szCs w:val="21"/>
          <w:u w:val="single"/>
        </w:rPr>
      </w:pPr>
      <w:r>
        <w:rPr>
          <w:rFonts w:hint="eastAsia"/>
          <w:szCs w:val="21"/>
        </w:rPr>
        <w:t>传真号码</w:t>
      </w:r>
      <w:r>
        <w:rPr>
          <w:szCs w:val="21"/>
        </w:rPr>
        <w:t>：</w:t>
      </w:r>
      <w:r>
        <w:rPr>
          <w:szCs w:val="21"/>
          <w:u w:val="single"/>
        </w:rPr>
        <w:tab/>
      </w:r>
      <w:r>
        <w:rPr>
          <w:rFonts w:hint="eastAsia"/>
          <w:szCs w:val="21"/>
          <w:u w:val="single"/>
        </w:rPr>
        <w:t xml:space="preserve">        </w:t>
      </w:r>
      <w:r>
        <w:rPr>
          <w:rFonts w:hint="eastAsia" w:ascii="宋体" w:hAnsi="宋体" w:cs="宋体"/>
          <w:szCs w:val="21"/>
          <w:u w:val="single"/>
        </w:rPr>
        <w:t>/</w:t>
      </w:r>
      <w:r>
        <w:rPr>
          <w:rFonts w:hint="eastAsia"/>
          <w:szCs w:val="21"/>
          <w:u w:val="single"/>
        </w:rPr>
        <w:t xml:space="preserve">    </w:t>
      </w:r>
    </w:p>
    <w:p w14:paraId="04DE6453">
      <w:pPr>
        <w:pStyle w:val="5"/>
        <w:tabs>
          <w:tab w:val="left" w:pos="1151"/>
          <w:tab w:val="left" w:pos="4228"/>
          <w:tab w:val="left" w:pos="4862"/>
          <w:tab w:val="left" w:pos="7942"/>
        </w:tabs>
        <w:kinsoku w:val="0"/>
        <w:overflowPunct w:val="0"/>
        <w:spacing w:line="310" w:lineRule="auto"/>
        <w:ind w:right="915"/>
        <w:rPr>
          <w:rFonts w:hint="eastAsia"/>
          <w:szCs w:val="21"/>
          <w:u w:val="single"/>
        </w:rPr>
      </w:pPr>
      <w:r>
        <w:rPr>
          <w:rFonts w:hint="eastAsia"/>
          <w:szCs w:val="21"/>
        </w:rPr>
        <w:t>电子邮箱</w:t>
      </w:r>
      <w:r>
        <w:rPr>
          <w:szCs w:val="21"/>
        </w:rPr>
        <w:t>：</w:t>
      </w:r>
      <w:r>
        <w:rPr>
          <w:szCs w:val="21"/>
          <w:u w:val="single"/>
        </w:rPr>
        <w:tab/>
      </w:r>
      <w:r>
        <w:rPr>
          <w:rFonts w:hint="eastAsia"/>
          <w:szCs w:val="21"/>
          <w:u w:val="single"/>
        </w:rPr>
        <w:t xml:space="preserve">        </w:t>
      </w:r>
      <w:r>
        <w:rPr>
          <w:rFonts w:hint="eastAsia" w:ascii="宋体" w:hAnsi="宋体" w:cs="宋体"/>
          <w:szCs w:val="21"/>
          <w:u w:val="single"/>
        </w:rPr>
        <w:t>/</w:t>
      </w:r>
      <w:r>
        <w:rPr>
          <w:rFonts w:hint="eastAsia"/>
          <w:szCs w:val="21"/>
          <w:u w:val="single"/>
        </w:rPr>
        <w:t xml:space="preserve">    </w:t>
      </w:r>
    </w:p>
    <w:p w14:paraId="426B525B">
      <w:pPr>
        <w:pStyle w:val="5"/>
        <w:tabs>
          <w:tab w:val="left" w:pos="1151"/>
          <w:tab w:val="left" w:pos="4228"/>
          <w:tab w:val="left" w:pos="4862"/>
          <w:tab w:val="left" w:pos="7942"/>
        </w:tabs>
        <w:kinsoku w:val="0"/>
        <w:overflowPunct w:val="0"/>
        <w:spacing w:line="310" w:lineRule="auto"/>
        <w:ind w:right="915"/>
        <w:rPr>
          <w:rFonts w:hint="eastAsia"/>
          <w:szCs w:val="21"/>
        </w:rPr>
      </w:pPr>
      <w:r>
        <w:rPr>
          <w:rFonts w:hint="eastAsia"/>
          <w:szCs w:val="21"/>
        </w:rPr>
        <w:t xml:space="preserve"> </w:t>
      </w:r>
    </w:p>
    <w:p w14:paraId="61381C56">
      <w:pPr>
        <w:pStyle w:val="5"/>
        <w:tabs>
          <w:tab w:val="left" w:pos="1151"/>
          <w:tab w:val="left" w:pos="4228"/>
          <w:tab w:val="left" w:pos="4862"/>
          <w:tab w:val="left" w:pos="7942"/>
        </w:tabs>
        <w:kinsoku w:val="0"/>
        <w:overflowPunct w:val="0"/>
        <w:spacing w:line="310" w:lineRule="auto"/>
        <w:ind w:right="915"/>
        <w:rPr>
          <w:rFonts w:hint="eastAsia" w:ascii="宋体" w:hAnsi="宋体"/>
          <w:szCs w:val="21"/>
          <w:u w:val="single"/>
        </w:rPr>
      </w:pPr>
      <w:r>
        <w:rPr>
          <w:szCs w:val="21"/>
        </w:rPr>
        <w:t>招</w:t>
      </w:r>
      <w:r>
        <w:rPr>
          <w:rFonts w:hint="eastAsia"/>
          <w:szCs w:val="21"/>
        </w:rPr>
        <w:t>标代理机构</w:t>
      </w:r>
      <w:r>
        <w:rPr>
          <w:szCs w:val="21"/>
        </w:rPr>
        <w:t>：</w:t>
      </w:r>
      <w:r>
        <w:rPr>
          <w:rFonts w:hint="eastAsia" w:ascii="宋体" w:hAnsi="宋体"/>
          <w:szCs w:val="21"/>
          <w:u w:val="single"/>
        </w:rPr>
        <w:t>建成工程咨询股份有限公司</w:t>
      </w:r>
    </w:p>
    <w:p w14:paraId="4444653A">
      <w:pPr>
        <w:pStyle w:val="5"/>
        <w:tabs>
          <w:tab w:val="left" w:pos="1151"/>
          <w:tab w:val="left" w:pos="4228"/>
          <w:tab w:val="left" w:pos="4862"/>
          <w:tab w:val="left" w:pos="7942"/>
        </w:tabs>
        <w:kinsoku w:val="0"/>
        <w:overflowPunct w:val="0"/>
        <w:spacing w:line="310" w:lineRule="auto"/>
        <w:ind w:right="915"/>
        <w:rPr>
          <w:szCs w:val="21"/>
        </w:rPr>
      </w:pPr>
      <w:r>
        <w:rPr>
          <w:rFonts w:hint="eastAsia"/>
          <w:szCs w:val="21"/>
        </w:rPr>
        <w:t>邮政编码</w:t>
      </w:r>
      <w:r>
        <w:rPr>
          <w:szCs w:val="21"/>
        </w:rPr>
        <w:t>：</w:t>
      </w:r>
      <w:r>
        <w:rPr>
          <w:rFonts w:hint="eastAsia"/>
          <w:szCs w:val="21"/>
          <w:u w:val="single"/>
        </w:rPr>
        <w:t>510030</w:t>
      </w:r>
    </w:p>
    <w:p w14:paraId="787AC54A">
      <w:pPr>
        <w:pStyle w:val="5"/>
        <w:tabs>
          <w:tab w:val="left" w:pos="1151"/>
          <w:tab w:val="left" w:pos="4228"/>
          <w:tab w:val="left" w:pos="4862"/>
          <w:tab w:val="left" w:pos="7942"/>
        </w:tabs>
        <w:kinsoku w:val="0"/>
        <w:overflowPunct w:val="0"/>
        <w:spacing w:line="310" w:lineRule="auto"/>
        <w:ind w:right="915"/>
        <w:rPr>
          <w:szCs w:val="21"/>
          <w:u w:val="single"/>
        </w:rPr>
      </w:pPr>
      <w:r>
        <w:rPr>
          <w:szCs w:val="21"/>
        </w:rPr>
        <w:t>地</w:t>
      </w:r>
      <w:r>
        <w:rPr>
          <w:rFonts w:hint="eastAsia"/>
          <w:szCs w:val="21"/>
        </w:rPr>
        <w:t xml:space="preserve">    </w:t>
      </w:r>
      <w:r>
        <w:rPr>
          <w:szCs w:val="21"/>
        </w:rPr>
        <w:t>址：</w:t>
      </w:r>
      <w:r>
        <w:rPr>
          <w:rFonts w:hint="eastAsia"/>
          <w:szCs w:val="21"/>
          <w:u w:val="single"/>
        </w:rPr>
        <w:t>广州市越秀区东风中路318号嘉业大厦22楼</w:t>
      </w:r>
    </w:p>
    <w:p w14:paraId="40C8AD00">
      <w:pPr>
        <w:pStyle w:val="5"/>
        <w:tabs>
          <w:tab w:val="left" w:pos="1151"/>
          <w:tab w:val="left" w:pos="4228"/>
          <w:tab w:val="left" w:pos="7942"/>
          <w:tab w:val="left" w:pos="9400"/>
        </w:tabs>
        <w:kinsoku w:val="0"/>
        <w:overflowPunct w:val="0"/>
        <w:spacing w:line="310" w:lineRule="auto"/>
        <w:ind w:right="915"/>
        <w:rPr>
          <w:szCs w:val="21"/>
        </w:rPr>
      </w:pPr>
      <w:r>
        <w:rPr>
          <w:rFonts w:hint="eastAsia"/>
          <w:szCs w:val="21"/>
        </w:rPr>
        <w:t>联系电话</w:t>
      </w:r>
      <w:r>
        <w:rPr>
          <w:szCs w:val="21"/>
        </w:rPr>
        <w:t>：</w:t>
      </w:r>
      <w:r>
        <w:rPr>
          <w:rFonts w:hint="eastAsia"/>
          <w:szCs w:val="21"/>
          <w:u w:val="single"/>
        </w:rPr>
        <w:t>020-32632286</w:t>
      </w:r>
    </w:p>
    <w:p w14:paraId="63D88947">
      <w:pPr>
        <w:pStyle w:val="5"/>
        <w:tabs>
          <w:tab w:val="left" w:pos="1151"/>
          <w:tab w:val="left" w:pos="4228"/>
          <w:tab w:val="left" w:pos="4862"/>
          <w:tab w:val="left" w:pos="7942"/>
        </w:tabs>
        <w:kinsoku w:val="0"/>
        <w:overflowPunct w:val="0"/>
        <w:spacing w:line="310" w:lineRule="auto"/>
        <w:ind w:right="915"/>
        <w:rPr>
          <w:szCs w:val="21"/>
          <w:u w:val="single"/>
        </w:rPr>
      </w:pPr>
      <w:r>
        <w:rPr>
          <w:rFonts w:hint="eastAsia"/>
          <w:szCs w:val="21"/>
        </w:rPr>
        <w:t>传真号码</w:t>
      </w:r>
      <w:r>
        <w:rPr>
          <w:szCs w:val="21"/>
        </w:rPr>
        <w:t>：</w:t>
      </w:r>
      <w:r>
        <w:rPr>
          <w:szCs w:val="21"/>
          <w:u w:val="single"/>
        </w:rPr>
        <w:tab/>
      </w:r>
      <w:r>
        <w:rPr>
          <w:rFonts w:hint="eastAsia"/>
          <w:szCs w:val="21"/>
          <w:u w:val="single"/>
        </w:rPr>
        <w:t xml:space="preserve">        </w:t>
      </w:r>
      <w:r>
        <w:rPr>
          <w:rFonts w:hint="eastAsia" w:ascii="宋体" w:hAnsi="宋体" w:cs="宋体"/>
          <w:szCs w:val="21"/>
          <w:u w:val="single"/>
        </w:rPr>
        <w:t>/</w:t>
      </w:r>
      <w:r>
        <w:rPr>
          <w:rFonts w:hint="eastAsia"/>
          <w:szCs w:val="21"/>
          <w:u w:val="single"/>
        </w:rPr>
        <w:t xml:space="preserve">    </w:t>
      </w:r>
    </w:p>
    <w:p w14:paraId="100B7EDE">
      <w:pPr>
        <w:pStyle w:val="5"/>
        <w:tabs>
          <w:tab w:val="left" w:pos="1151"/>
          <w:tab w:val="left" w:pos="4228"/>
          <w:tab w:val="left" w:pos="4862"/>
          <w:tab w:val="left" w:pos="7942"/>
        </w:tabs>
        <w:kinsoku w:val="0"/>
        <w:overflowPunct w:val="0"/>
        <w:spacing w:line="310" w:lineRule="auto"/>
        <w:ind w:right="915"/>
        <w:rPr>
          <w:szCs w:val="21"/>
        </w:rPr>
      </w:pPr>
      <w:r>
        <w:rPr>
          <w:rFonts w:hint="eastAsia"/>
          <w:szCs w:val="21"/>
        </w:rPr>
        <w:t>电子邮箱</w:t>
      </w:r>
      <w:r>
        <w:rPr>
          <w:szCs w:val="21"/>
        </w:rPr>
        <w:t>：</w:t>
      </w:r>
      <w:r>
        <w:rPr>
          <w:szCs w:val="21"/>
          <w:u w:val="single"/>
        </w:rPr>
        <w:tab/>
      </w:r>
      <w:r>
        <w:rPr>
          <w:rFonts w:hint="eastAsia"/>
          <w:szCs w:val="21"/>
          <w:u w:val="single"/>
        </w:rPr>
        <w:t xml:space="preserve">        </w:t>
      </w:r>
      <w:r>
        <w:rPr>
          <w:rFonts w:hint="eastAsia" w:ascii="宋体" w:hAnsi="宋体" w:cs="宋体"/>
          <w:szCs w:val="21"/>
          <w:u w:val="single"/>
        </w:rPr>
        <w:t>/</w:t>
      </w:r>
      <w:r>
        <w:rPr>
          <w:rFonts w:hint="eastAsia"/>
          <w:szCs w:val="21"/>
          <w:u w:val="single"/>
        </w:rPr>
        <w:t xml:space="preserve">    </w:t>
      </w:r>
    </w:p>
    <w:p w14:paraId="6C500C82">
      <w:pPr>
        <w:pStyle w:val="5"/>
        <w:tabs>
          <w:tab w:val="left" w:pos="1151"/>
          <w:tab w:val="left" w:pos="4228"/>
          <w:tab w:val="left" w:pos="4862"/>
          <w:tab w:val="left" w:pos="7942"/>
        </w:tabs>
        <w:kinsoku w:val="0"/>
        <w:overflowPunct w:val="0"/>
        <w:spacing w:line="310" w:lineRule="auto"/>
        <w:ind w:right="915"/>
      </w:pPr>
    </w:p>
    <w:p w14:paraId="14A83FCD">
      <w:pPr>
        <w:pStyle w:val="5"/>
        <w:tabs>
          <w:tab w:val="left" w:pos="1151"/>
          <w:tab w:val="left" w:pos="4228"/>
          <w:tab w:val="left" w:pos="4862"/>
          <w:tab w:val="left" w:pos="7942"/>
        </w:tabs>
        <w:kinsoku w:val="0"/>
        <w:overflowPunct w:val="0"/>
        <w:spacing w:line="310" w:lineRule="auto"/>
        <w:ind w:right="915"/>
        <w:rPr>
          <w:u w:val="single"/>
        </w:rPr>
      </w:pPr>
      <w:r>
        <w:t>招标</w:t>
      </w:r>
      <w:r>
        <w:rPr>
          <w:rFonts w:hint="eastAsia"/>
        </w:rPr>
        <w:t>管理机构</w:t>
      </w:r>
      <w:r>
        <w:t>：</w:t>
      </w:r>
      <w:r>
        <w:rPr>
          <w:rFonts w:hint="eastAsia" w:ascii="宋体" w:hAnsi="宋体"/>
          <w:szCs w:val="21"/>
          <w:u w:val="single"/>
        </w:rPr>
        <w:t>广州市增城区建设工程招标管理办公室</w:t>
      </w:r>
    </w:p>
    <w:p w14:paraId="3641C2A4">
      <w:pPr>
        <w:pStyle w:val="5"/>
        <w:tabs>
          <w:tab w:val="left" w:pos="1151"/>
          <w:tab w:val="left" w:pos="4228"/>
          <w:tab w:val="left" w:pos="4862"/>
          <w:tab w:val="left" w:pos="7942"/>
        </w:tabs>
        <w:kinsoku w:val="0"/>
        <w:overflowPunct w:val="0"/>
        <w:spacing w:line="310" w:lineRule="auto"/>
        <w:ind w:right="915"/>
      </w:pPr>
      <w:r>
        <w:rPr>
          <w:rFonts w:hint="eastAsia"/>
        </w:rPr>
        <w:t>邮政编码</w:t>
      </w:r>
      <w:r>
        <w:t>：</w:t>
      </w:r>
      <w:r>
        <w:rPr>
          <w:rFonts w:hint="eastAsia"/>
          <w:u w:val="single"/>
        </w:rPr>
        <w:t>511300</w:t>
      </w:r>
    </w:p>
    <w:p w14:paraId="08AE0B75">
      <w:pPr>
        <w:pStyle w:val="5"/>
        <w:tabs>
          <w:tab w:val="left" w:pos="1151"/>
          <w:tab w:val="left" w:pos="4228"/>
          <w:tab w:val="left" w:pos="4862"/>
          <w:tab w:val="left" w:pos="7942"/>
        </w:tabs>
        <w:kinsoku w:val="0"/>
        <w:overflowPunct w:val="0"/>
        <w:spacing w:line="310" w:lineRule="auto"/>
        <w:ind w:right="915"/>
        <w:rPr>
          <w:u w:val="single"/>
        </w:rPr>
      </w:pPr>
      <w:r>
        <w:t>地</w:t>
      </w:r>
      <w:r>
        <w:rPr>
          <w:rFonts w:hint="eastAsia"/>
        </w:rPr>
        <w:t xml:space="preserve">    </w:t>
      </w:r>
      <w:r>
        <w:t>址：</w:t>
      </w:r>
      <w:r>
        <w:rPr>
          <w:rFonts w:hint="eastAsia"/>
          <w:u w:val="single"/>
        </w:rPr>
        <w:t>广州市增城区荔城街挂绿路12号建设局4楼</w:t>
      </w:r>
    </w:p>
    <w:p w14:paraId="6847E4B5">
      <w:pPr>
        <w:pStyle w:val="5"/>
        <w:tabs>
          <w:tab w:val="left" w:pos="1151"/>
          <w:tab w:val="left" w:pos="4228"/>
          <w:tab w:val="left" w:pos="7942"/>
          <w:tab w:val="left" w:pos="9400"/>
        </w:tabs>
        <w:kinsoku w:val="0"/>
        <w:overflowPunct w:val="0"/>
        <w:spacing w:line="310" w:lineRule="auto"/>
        <w:ind w:right="915"/>
      </w:pPr>
      <w:r>
        <w:rPr>
          <w:rFonts w:hint="eastAsia"/>
        </w:rPr>
        <w:t>电    话</w:t>
      </w:r>
      <w:r>
        <w:t>：</w:t>
      </w:r>
      <w:r>
        <w:rPr>
          <w:rFonts w:hint="eastAsia"/>
          <w:u w:val="single"/>
        </w:rPr>
        <w:t>020-32821156</w:t>
      </w:r>
    </w:p>
    <w:p w14:paraId="652CD46F">
      <w:pPr>
        <w:spacing w:line="400" w:lineRule="exact"/>
        <w:rPr>
          <w:rFonts w:hint="eastAsia"/>
        </w:rPr>
      </w:pPr>
    </w:p>
    <w:p w14:paraId="433812C0">
      <w:pPr>
        <w:spacing w:line="400" w:lineRule="exact"/>
        <w:ind w:firstLine="210" w:firstLineChars="100"/>
        <w:jc w:val="center"/>
        <w:rPr>
          <w:rFonts w:hint="eastAsia" w:ascii="宋体" w:hAnsi="宋体"/>
          <w:u w:val="single"/>
        </w:rPr>
      </w:pPr>
      <w:r>
        <w:rPr>
          <w:rFonts w:hint="eastAsia" w:ascii="宋体" w:hAnsi="宋体"/>
        </w:rPr>
        <w:t xml:space="preserve">                                   </w:t>
      </w:r>
      <w:r>
        <w:rPr>
          <w:rFonts w:hint="eastAsia" w:ascii="宋体" w:hAnsi="宋体"/>
          <w:u w:val="single"/>
        </w:rPr>
        <w:t>2025  年     月     日</w:t>
      </w:r>
    </w:p>
    <w:bookmarkEnd w:id="2"/>
    <w:bookmarkEnd w:id="3"/>
    <w:bookmarkEnd w:id="4"/>
    <w:bookmarkEnd w:id="5"/>
    <w:bookmarkEnd w:id="6"/>
    <w:bookmarkEnd w:id="7"/>
    <w:bookmarkEnd w:id="8"/>
    <w:bookmarkEnd w:id="9"/>
    <w:bookmarkEnd w:id="10"/>
    <w:bookmarkEnd w:id="11"/>
    <w:bookmarkEnd w:id="12"/>
    <w:p w14:paraId="6D784C21"/>
    <w:sectPr>
      <w:footerReference r:id="rId3" w:type="default"/>
      <w:pgSz w:w="11906" w:h="16838"/>
      <w:pgMar w:top="1440" w:right="106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E8EA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9932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09932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211FA"/>
    <w:rsid w:val="09B30653"/>
    <w:rsid w:val="1AC9503E"/>
    <w:rsid w:val="2B8510E5"/>
    <w:rsid w:val="40CB4A03"/>
    <w:rsid w:val="517211FA"/>
    <w:rsid w:val="59BF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3">
    <w:name w:val="heading 3"/>
    <w:basedOn w:val="1"/>
    <w:next w:val="1"/>
    <w:qFormat/>
    <w:uiPriority w:val="0"/>
    <w:pPr>
      <w:keepNext/>
      <w:keepLines/>
      <w:spacing w:line="360" w:lineRule="auto"/>
      <w:outlineLvl w:val="2"/>
    </w:pPr>
    <w:rPr>
      <w:rFonts w:ascii="Times New Roman" w:hAnsi="Times New Roman" w:eastAsia="宋体"/>
      <w:b/>
      <w:bCs/>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pacing w:line="360" w:lineRule="atLeast"/>
      <w:ind w:firstLine="420"/>
      <w:textAlignment w:val="baseline"/>
    </w:pPr>
    <w:rPr>
      <w:rFonts w:ascii="Times New Roman" w:hAnsi="Times New Roman"/>
      <w:szCs w:val="20"/>
      <w:lang w:val="zh-CN"/>
    </w:rPr>
  </w:style>
  <w:style w:type="paragraph" w:styleId="5">
    <w:name w:val="Body Text"/>
    <w:basedOn w:val="1"/>
    <w:qFormat/>
    <w:uiPriority w:val="0"/>
    <w:pPr>
      <w:spacing w:after="120"/>
    </w:pPr>
    <w:rPr>
      <w:rFonts w:ascii="Times New Roman" w:hAnsi="Times New Roman" w:eastAsia="宋体"/>
      <w:szCs w:val="24"/>
    </w:rPr>
  </w:style>
  <w:style w:type="paragraph" w:styleId="6">
    <w:name w:val="Plain Text"/>
    <w:basedOn w:val="1"/>
    <w:next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5842</Words>
  <Characters>6408</Characters>
  <Lines>0</Lines>
  <Paragraphs>0</Paragraphs>
  <TotalTime>0</TotalTime>
  <ScaleCrop>false</ScaleCrop>
  <LinksUpToDate>false</LinksUpToDate>
  <CharactersWithSpaces>6790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2025-07-30T01:45:00Z</dcterms:created>
  <dc:creator>建</dc:creator>
  <cp:lastModifiedBy>建</cp:lastModifiedBy>
  <dcterms:modified xsi:type="dcterms:W3CDTF">2025-08-06T02:04:44Z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7E9B3CA6B3AE4022B7952370C2C14A03_11</vt:lpwstr>
  </property>
  <property fmtid="{D5CDD505-2E9C-101B-9397-08002B2CF9AE}" pid="4" name="KSOTemplateDocerSaveRecord">
    <vt:lpwstr>eyJoZGlkIjoiOGY3NThlNjIxMjkzYzQ1NzM1NmYxMjUyNmYwMmE3ZjEiLCJ1c2VySWQiOiIxOTA3MjQxMCJ9</vt:lpwstr>
  </property>
</Properties>
</file>