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auto"/>
          <w:sz w:val="36"/>
          <w:szCs w:val="36"/>
          <w:highlight w:val="none"/>
        </w:rPr>
      </w:pPr>
      <w:bookmarkStart w:id="0" w:name="_Toc251569647"/>
      <w:bookmarkStart w:id="1" w:name="_Toc197843635"/>
      <w:bookmarkStart w:id="2" w:name="_Toc288578279"/>
    </w:p>
    <w:p>
      <w:pPr>
        <w:jc w:val="center"/>
        <w:rPr>
          <w:rFonts w:hint="eastAsia" w:ascii="宋体" w:hAnsi="宋体"/>
          <w:b/>
          <w:color w:val="auto"/>
          <w:sz w:val="52"/>
          <w:szCs w:val="52"/>
          <w:highlight w:val="none"/>
          <w:lang w:eastAsia="zh-CN"/>
        </w:rPr>
      </w:pPr>
    </w:p>
    <w:p>
      <w:pPr>
        <w:pStyle w:val="26"/>
        <w:ind w:left="0" w:leftChars="0" w:firstLine="0" w:firstLineChars="0"/>
        <w:jc w:val="center"/>
        <w:rPr>
          <w:rFonts w:hint="default" w:ascii="宋体" w:hAnsi="宋体"/>
          <w:color w:val="auto"/>
          <w:sz w:val="32"/>
          <w:szCs w:val="32"/>
          <w:highlight w:val="none"/>
          <w:lang w:val="en-US"/>
        </w:rPr>
      </w:pPr>
      <w:r>
        <w:rPr>
          <w:rFonts w:hint="eastAsia" w:ascii="宋体" w:hAnsi="宋体" w:cs="宋体"/>
          <w:b/>
          <w:bCs/>
          <w:color w:val="auto"/>
          <w:sz w:val="52"/>
          <w:szCs w:val="52"/>
          <w:highlight w:val="none"/>
          <w:lang w:eastAsia="zh-CN"/>
        </w:rPr>
        <w:t xml:space="preserve"> 广州市黄埔区九佛街五村七片城中村改造项目复建地块四工程检测监测服务</w:t>
      </w: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pStyle w:val="23"/>
        <w:rPr>
          <w:rFonts w:ascii="宋体" w:hAnsi="宋体"/>
          <w:color w:val="auto"/>
          <w:sz w:val="32"/>
          <w:szCs w:val="32"/>
          <w:highlight w:val="none"/>
          <w:u w:val="single"/>
        </w:rPr>
      </w:pPr>
    </w:p>
    <w:p>
      <w:pPr>
        <w:rPr>
          <w:rFonts w:ascii="宋体" w:hAnsi="宋体"/>
          <w:color w:val="auto"/>
          <w:sz w:val="32"/>
          <w:szCs w:val="32"/>
          <w:highlight w:val="none"/>
          <w:u w:val="single"/>
        </w:rPr>
      </w:pPr>
    </w:p>
    <w:p>
      <w:pPr>
        <w:pStyle w:val="23"/>
        <w:rPr>
          <w:color w:val="auto"/>
          <w:highlight w:val="none"/>
        </w:rPr>
      </w:pPr>
    </w:p>
    <w:p>
      <w:pPr>
        <w:jc w:val="center"/>
        <w:rPr>
          <w:rFonts w:ascii="宋体" w:hAnsi="宋体"/>
          <w:color w:val="auto"/>
          <w:sz w:val="32"/>
          <w:szCs w:val="32"/>
          <w:highlight w:val="none"/>
          <w:u w:val="single"/>
        </w:rPr>
      </w:pPr>
    </w:p>
    <w:p>
      <w:pPr>
        <w:jc w:val="center"/>
        <w:rPr>
          <w:rFonts w:ascii="宋体" w:hAnsi="宋体"/>
          <w:b/>
          <w:bCs/>
          <w:color w:val="auto"/>
          <w:sz w:val="72"/>
          <w:szCs w:val="72"/>
          <w:highlight w:val="none"/>
        </w:rPr>
      </w:pPr>
      <w:r>
        <w:rPr>
          <w:rFonts w:hint="eastAsia" w:ascii="宋体" w:hAnsi="宋体"/>
          <w:b/>
          <w:bCs/>
          <w:color w:val="auto"/>
          <w:sz w:val="72"/>
          <w:szCs w:val="72"/>
          <w:highlight w:val="none"/>
        </w:rPr>
        <w:t>招标文件</w:t>
      </w:r>
    </w:p>
    <w:p>
      <w:pPr>
        <w:jc w:val="center"/>
        <w:rPr>
          <w:rFonts w:ascii="宋体" w:hAnsi="宋体"/>
          <w:color w:val="auto"/>
          <w:sz w:val="32"/>
          <w:szCs w:val="32"/>
          <w:highlight w:val="none"/>
          <w:u w:val="single"/>
        </w:rPr>
      </w:pPr>
    </w:p>
    <w:p>
      <w:pPr>
        <w:pStyle w:val="26"/>
        <w:ind w:left="0" w:leftChars="0" w:firstLine="0" w:firstLineChars="0"/>
        <w:rPr>
          <w:rFonts w:ascii="宋体" w:hAnsi="宋体"/>
          <w:color w:val="auto"/>
          <w:sz w:val="32"/>
          <w:szCs w:val="32"/>
          <w:highlight w:val="none"/>
          <w:u w:val="single"/>
        </w:rPr>
      </w:pPr>
    </w:p>
    <w:p>
      <w:pPr>
        <w:rPr>
          <w:rFonts w:ascii="宋体" w:hAnsi="宋体"/>
          <w:color w:val="auto"/>
          <w:sz w:val="32"/>
          <w:szCs w:val="32"/>
          <w:highlight w:val="none"/>
          <w:u w:val="single"/>
        </w:rPr>
      </w:pPr>
    </w:p>
    <w:p>
      <w:pP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spacing w:line="480" w:lineRule="auto"/>
        <w:ind w:right="-1" w:firstLine="2108" w:firstLineChars="700"/>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招标单位：</w:t>
      </w:r>
      <w:r>
        <w:rPr>
          <w:rFonts w:hint="eastAsia" w:ascii="宋体" w:hAnsi="宋体"/>
          <w:b/>
          <w:bCs/>
          <w:color w:val="auto"/>
          <w:sz w:val="30"/>
          <w:szCs w:val="30"/>
          <w:highlight w:val="none"/>
          <w:lang w:eastAsia="zh-CN"/>
        </w:rPr>
        <w:t>广州开城梧栖城市开发投资有限公司</w:t>
      </w:r>
    </w:p>
    <w:p>
      <w:pPr>
        <w:tabs>
          <w:tab w:val="left" w:pos="6575"/>
        </w:tabs>
        <w:spacing w:line="360" w:lineRule="auto"/>
        <w:ind w:firstLine="2108" w:firstLineChars="700"/>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招标代理：</w:t>
      </w:r>
      <w:r>
        <w:rPr>
          <w:rFonts w:hint="eastAsia" w:ascii="宋体" w:hAnsi="宋体"/>
          <w:b/>
          <w:bCs/>
          <w:color w:val="auto"/>
          <w:sz w:val="30"/>
          <w:szCs w:val="30"/>
          <w:highlight w:val="none"/>
          <w:lang w:eastAsia="zh-CN"/>
        </w:rPr>
        <w:t>广州宏达工程顾问集团有限公司</w:t>
      </w:r>
    </w:p>
    <w:p>
      <w:pPr>
        <w:tabs>
          <w:tab w:val="left" w:pos="6575"/>
        </w:tabs>
        <w:spacing w:line="360" w:lineRule="auto"/>
        <w:ind w:firstLine="2108" w:firstLineChars="700"/>
        <w:jc w:val="left"/>
        <w:rPr>
          <w:rFonts w:ascii="黑体" w:hAnsi="黑体" w:eastAsia="黑体" w:cs="宋体"/>
          <w:b/>
          <w:bCs/>
          <w:color w:val="auto"/>
          <w:kern w:val="0"/>
          <w:sz w:val="32"/>
          <w:szCs w:val="32"/>
          <w:highlight w:val="none"/>
        </w:rPr>
      </w:pPr>
      <w:r>
        <w:rPr>
          <w:rFonts w:hint="eastAsia" w:ascii="宋体" w:hAnsi="宋体"/>
          <w:b/>
          <w:bCs/>
          <w:color w:val="auto"/>
          <w:sz w:val="30"/>
          <w:szCs w:val="30"/>
          <w:highlight w:val="none"/>
        </w:rPr>
        <w:t>日    期：202</w:t>
      </w:r>
      <w:r>
        <w:rPr>
          <w:rFonts w:hint="eastAsia" w:ascii="宋体" w:hAnsi="宋体"/>
          <w:b/>
          <w:bCs/>
          <w:color w:val="auto"/>
          <w:sz w:val="30"/>
          <w:szCs w:val="30"/>
          <w:highlight w:val="none"/>
          <w:lang w:val="en-US" w:eastAsia="zh-CN"/>
        </w:rPr>
        <w:t>5</w:t>
      </w:r>
      <w:r>
        <w:rPr>
          <w:rFonts w:hint="eastAsia" w:ascii="宋体" w:hAnsi="宋体"/>
          <w:b/>
          <w:bCs/>
          <w:color w:val="auto"/>
          <w:sz w:val="30"/>
          <w:szCs w:val="30"/>
          <w:highlight w:val="none"/>
        </w:rPr>
        <w:t>年</w:t>
      </w:r>
      <w:r>
        <w:rPr>
          <w:rFonts w:hint="eastAsia" w:ascii="宋体" w:hAnsi="宋体"/>
          <w:b/>
          <w:bCs/>
          <w:color w:val="auto"/>
          <w:sz w:val="30"/>
          <w:szCs w:val="30"/>
          <w:highlight w:val="none"/>
          <w:lang w:val="en-US" w:eastAsia="zh-CN"/>
        </w:rPr>
        <w:t>8</w:t>
      </w:r>
      <w:r>
        <w:rPr>
          <w:rFonts w:hint="eastAsia" w:ascii="宋体" w:hAnsi="宋体"/>
          <w:b/>
          <w:bCs/>
          <w:color w:val="auto"/>
          <w:sz w:val="30"/>
          <w:szCs w:val="30"/>
          <w:highlight w:val="none"/>
        </w:rPr>
        <w:t>月</w:t>
      </w:r>
    </w:p>
    <w:p>
      <w:pPr>
        <w:spacing w:line="360" w:lineRule="auto"/>
        <w:jc w:val="center"/>
        <w:rPr>
          <w:rFonts w:hint="eastAsia" w:ascii="宋体" w:hAnsi="宋体"/>
          <w:bCs/>
          <w:color w:val="auto"/>
          <w:sz w:val="52"/>
          <w:highlight w:val="none"/>
        </w:rPr>
        <w:sectPr>
          <w:footerReference r:id="rId3" w:type="even"/>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pPr>
        <w:spacing w:line="360" w:lineRule="auto"/>
        <w:jc w:val="center"/>
        <w:rPr>
          <w:rFonts w:ascii="宋体" w:hAnsi="宋体"/>
          <w:bCs/>
          <w:color w:val="auto"/>
          <w:sz w:val="52"/>
          <w:highlight w:val="none"/>
        </w:rPr>
      </w:pPr>
      <w:r>
        <w:rPr>
          <w:rFonts w:hint="eastAsia" w:ascii="宋体" w:hAnsi="宋体"/>
          <w:bCs/>
          <w:color w:val="auto"/>
          <w:sz w:val="52"/>
          <w:highlight w:val="none"/>
        </w:rPr>
        <w:t>重要提示</w:t>
      </w:r>
    </w:p>
    <w:p>
      <w:pPr>
        <w:spacing w:line="360" w:lineRule="auto"/>
        <w:ind w:firstLine="537" w:firstLineChars="224"/>
        <w:jc w:val="center"/>
        <w:rPr>
          <w:rFonts w:ascii="宋体" w:hAnsi="宋体"/>
          <w:bCs/>
          <w:color w:val="auto"/>
          <w:sz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网站最新发布的指引</w:t>
      </w:r>
      <w:r>
        <w:rPr>
          <w:rFonts w:hint="eastAsia" w:ascii="宋体" w:hAnsi="宋体"/>
          <w:color w:val="auto"/>
          <w:sz w:val="24"/>
          <w:highlight w:val="none"/>
        </w:rPr>
        <w:t>。</w:t>
      </w:r>
    </w:p>
    <w:p>
      <w:pPr>
        <w:jc w:val="center"/>
        <w:rPr>
          <w:rFonts w:ascii="宋体" w:hAnsi="宋体"/>
          <w:b/>
          <w:color w:val="auto"/>
          <w:sz w:val="28"/>
          <w:szCs w:val="28"/>
          <w:highlight w:val="none"/>
        </w:rPr>
      </w:pPr>
    </w:p>
    <w:p>
      <w:pPr>
        <w:spacing w:line="360" w:lineRule="auto"/>
        <w:ind w:firstLine="1164" w:firstLineChars="224"/>
        <w:jc w:val="center"/>
        <w:rPr>
          <w:rFonts w:ascii="宋体" w:hAnsi="宋体"/>
          <w:bCs/>
          <w:color w:val="auto"/>
          <w:sz w:val="52"/>
          <w:highlight w:val="none"/>
        </w:rPr>
        <w:sectPr>
          <w:footerReference r:id="rId4" w:type="default"/>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pPr>
        <w:jc w:val="center"/>
        <w:rPr>
          <w:rFonts w:ascii="宋体" w:hAnsi="宋体"/>
          <w:b/>
          <w:bCs/>
          <w:color w:val="auto"/>
          <w:sz w:val="48"/>
          <w:szCs w:val="48"/>
          <w:highlight w:val="none"/>
        </w:rPr>
      </w:pPr>
      <w:r>
        <w:rPr>
          <w:rFonts w:hint="eastAsia" w:ascii="宋体" w:hAnsi="宋体"/>
          <w:b/>
          <w:bCs/>
          <w:color w:val="auto"/>
          <w:sz w:val="48"/>
          <w:szCs w:val="48"/>
          <w:highlight w:val="none"/>
        </w:rPr>
        <w:t>目录</w:t>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_Toc13097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_Toc13097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_Toc24884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_Toc24884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_Toc9821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_Toc9821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_Toc30552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评标办法（综合评估法）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_Toc30552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_Toc24092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_Toc24092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_Toc29520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_Toc29520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_Toc31919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委托人要求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_Toc31919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_Toc28110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_Toc28110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ascii="宋体" w:hAnsi="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_Toc31278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_Toc31278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ascii="宋体" w:hAnsi="宋体"/>
          <w:color w:val="auto"/>
          <w:highlight w:val="none"/>
        </w:rPr>
        <w:br w:type="page"/>
      </w:r>
    </w:p>
    <w:p>
      <w:pPr>
        <w:pStyle w:val="3"/>
        <w:ind w:firstLine="470"/>
        <w:rPr>
          <w:color w:val="auto"/>
          <w:highlight w:val="none"/>
        </w:rPr>
      </w:pPr>
      <w:bookmarkStart w:id="3" w:name="_Toc13097"/>
      <w:r>
        <w:rPr>
          <w:rFonts w:hint="eastAsia"/>
          <w:color w:val="auto"/>
          <w:highlight w:val="none"/>
        </w:rPr>
        <w:t>第一卷</w:t>
      </w:r>
      <w:bookmarkEnd w:id="3"/>
    </w:p>
    <w:p>
      <w:pPr>
        <w:pStyle w:val="3"/>
        <w:rPr>
          <w:color w:val="auto"/>
          <w:sz w:val="28"/>
          <w:highlight w:val="none"/>
        </w:rPr>
      </w:pPr>
      <w:bookmarkStart w:id="4" w:name="_Toc24884"/>
      <w:bookmarkStart w:id="5" w:name="_Toc533357306"/>
      <w:r>
        <w:rPr>
          <w:rFonts w:hint="eastAsia"/>
          <w:color w:val="auto"/>
          <w:highlight w:val="none"/>
        </w:rPr>
        <w:t>第一章  招标公告</w:t>
      </w:r>
      <w:bookmarkEnd w:id="4"/>
    </w:p>
    <w:p>
      <w:pPr>
        <w:spacing w:line="360" w:lineRule="auto"/>
        <w:jc w:val="center"/>
        <w:rPr>
          <w:rFonts w:ascii="宋体" w:hAnsi="宋体"/>
          <w:color w:val="auto"/>
          <w:sz w:val="24"/>
          <w:szCs w:val="24"/>
          <w:highlight w:val="none"/>
        </w:rPr>
      </w:pPr>
      <w:r>
        <w:rPr>
          <w:rFonts w:hint="eastAsia" w:ascii="宋体" w:hAnsi="宋体"/>
          <w:bCs/>
          <w:color w:val="auto"/>
          <w:sz w:val="24"/>
          <w:szCs w:val="24"/>
          <w:highlight w:val="none"/>
        </w:rPr>
        <w:t>（另册）</w:t>
      </w:r>
    </w:p>
    <w:p>
      <w:pPr>
        <w:spacing w:line="360" w:lineRule="auto"/>
        <w:ind w:left="3986" w:firstLine="421"/>
        <w:rPr>
          <w:rFonts w:ascii="宋体" w:hAnsi="宋体"/>
          <w:color w:val="auto"/>
          <w:highlight w:val="none"/>
        </w:rPr>
      </w:pPr>
    </w:p>
    <w:p>
      <w:pPr>
        <w:pStyle w:val="3"/>
        <w:rPr>
          <w:color w:val="auto"/>
          <w:sz w:val="28"/>
          <w:highlight w:val="none"/>
        </w:rPr>
      </w:pPr>
      <w:bookmarkStart w:id="6" w:name="_Toc514099629"/>
      <w:bookmarkStart w:id="7" w:name="_Toc511557031"/>
      <w:r>
        <w:rPr>
          <w:rFonts w:hint="eastAsia"/>
          <w:color w:val="auto"/>
          <w:highlight w:val="none"/>
        </w:rPr>
        <w:br w:type="page"/>
      </w:r>
      <w:bookmarkEnd w:id="5"/>
      <w:bookmarkEnd w:id="6"/>
      <w:bookmarkEnd w:id="7"/>
      <w:bookmarkStart w:id="8" w:name="_Toc300834927"/>
      <w:bookmarkEnd w:id="8"/>
      <w:bookmarkStart w:id="9" w:name="_Toc10785"/>
      <w:bookmarkEnd w:id="9"/>
      <w:bookmarkStart w:id="10" w:name="_Toc247527535"/>
      <w:bookmarkEnd w:id="10"/>
      <w:bookmarkStart w:id="11" w:name="_Toc369531498"/>
      <w:bookmarkEnd w:id="11"/>
      <w:bookmarkStart w:id="12" w:name="_Toc352691456"/>
      <w:bookmarkEnd w:id="12"/>
      <w:bookmarkStart w:id="13" w:name="_Toc384308187"/>
      <w:bookmarkEnd w:id="13"/>
      <w:bookmarkStart w:id="14" w:name="_Toc152042289"/>
      <w:bookmarkEnd w:id="14"/>
      <w:bookmarkStart w:id="15" w:name="_Toc300834930"/>
      <w:bookmarkEnd w:id="15"/>
      <w:bookmarkStart w:id="16" w:name="_Toc369531495"/>
      <w:bookmarkEnd w:id="16"/>
      <w:bookmarkStart w:id="17" w:name="_Toc152045512"/>
      <w:bookmarkEnd w:id="17"/>
      <w:bookmarkStart w:id="18" w:name="_Toc17972"/>
      <w:bookmarkEnd w:id="18"/>
      <w:bookmarkStart w:id="19" w:name="_Toc144974480"/>
      <w:bookmarkEnd w:id="19"/>
      <w:bookmarkStart w:id="20" w:name="_Toc384308188"/>
      <w:bookmarkEnd w:id="20"/>
      <w:bookmarkStart w:id="21" w:name="_Toc30817"/>
      <w:bookmarkEnd w:id="21"/>
      <w:bookmarkStart w:id="22" w:name="_Toc352691453"/>
      <w:bookmarkEnd w:id="22"/>
      <w:bookmarkStart w:id="23" w:name="_Toc361508563"/>
      <w:bookmarkEnd w:id="23"/>
      <w:bookmarkStart w:id="24" w:name="_Toc247513934"/>
      <w:bookmarkEnd w:id="24"/>
      <w:bookmarkStart w:id="25" w:name="_Toc247513935"/>
      <w:bookmarkEnd w:id="25"/>
      <w:bookmarkStart w:id="26" w:name="_Toc152045513"/>
      <w:bookmarkEnd w:id="26"/>
      <w:bookmarkStart w:id="27" w:name="_Toc361508562"/>
      <w:bookmarkEnd w:id="27"/>
      <w:bookmarkStart w:id="28" w:name="_Toc384308185"/>
      <w:bookmarkEnd w:id="28"/>
      <w:bookmarkStart w:id="29" w:name="_Toc300834929"/>
      <w:bookmarkEnd w:id="29"/>
      <w:bookmarkStart w:id="30" w:name="_Toc361508560"/>
      <w:bookmarkEnd w:id="30"/>
      <w:bookmarkStart w:id="31" w:name="_Toc369531497"/>
      <w:bookmarkEnd w:id="31"/>
      <w:bookmarkStart w:id="32" w:name="_Toc247527536"/>
      <w:bookmarkEnd w:id="32"/>
      <w:bookmarkStart w:id="33" w:name="_Toc352691455"/>
      <w:bookmarkEnd w:id="33"/>
      <w:bookmarkStart w:id="34" w:name="_Toc152042288"/>
      <w:bookmarkEnd w:id="34"/>
      <w:bookmarkStart w:id="35" w:name="_Toc144974481"/>
      <w:bookmarkEnd w:id="35"/>
      <w:bookmarkStart w:id="36" w:name="_Toc9821"/>
      <w:r>
        <w:rPr>
          <w:rFonts w:hint="eastAsia"/>
          <w:color w:val="auto"/>
          <w:highlight w:val="none"/>
        </w:rPr>
        <w:t>第二章  投标人须知</w:t>
      </w:r>
      <w:bookmarkEnd w:id="36"/>
    </w:p>
    <w:p>
      <w:pPr>
        <w:pStyle w:val="4"/>
        <w:rPr>
          <w:rFonts w:ascii="宋体" w:hAnsi="宋体"/>
          <w:color w:val="auto"/>
          <w:highlight w:val="none"/>
        </w:rPr>
      </w:pPr>
      <w:bookmarkStart w:id="37" w:name="_Toc533357307"/>
      <w:bookmarkStart w:id="38" w:name="_Toc26420"/>
      <w:r>
        <w:rPr>
          <w:rFonts w:hint="eastAsia" w:ascii="宋体" w:hAnsi="宋体"/>
          <w:color w:val="auto"/>
          <w:highlight w:val="none"/>
        </w:rPr>
        <w:t>投标人须知前附表</w:t>
      </w:r>
      <w:bookmarkEnd w:id="37"/>
      <w:bookmarkEnd w:id="38"/>
    </w:p>
    <w:tbl>
      <w:tblPr>
        <w:tblStyle w:val="27"/>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160"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7200"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u w:val="single"/>
                <w:lang w:eastAsia="zh-CN"/>
              </w:rPr>
              <w:t>广州开城梧栖城市开发投资有限公司</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eastAsia="zh-CN"/>
              </w:rPr>
              <w:t>广州市黄埔区知凤街9号知识大厦7楼01-06室</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张工</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020-31700409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lang w:eastAsia="zh-CN"/>
              </w:rPr>
              <w:t>广州宏达工程顾问集团有限公司</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广州市黄埔区科学大道99号科汇金谷二街7号</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郑工</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eastAsia="zh-CN"/>
              </w:rPr>
              <w:t>020-</w:t>
            </w:r>
            <w:r>
              <w:rPr>
                <w:rFonts w:hint="eastAsia" w:ascii="宋体" w:hAnsi="宋体" w:eastAsia="宋体" w:cs="宋体"/>
                <w:color w:val="auto"/>
                <w:sz w:val="21"/>
                <w:szCs w:val="21"/>
                <w:highlight w:val="none"/>
                <w:u w:val="single"/>
                <w:lang w:val="en-US" w:eastAsia="zh-CN"/>
              </w:rPr>
              <w:t>87562291-8732</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7200" w:type="dxa"/>
            <w:vAlign w:val="center"/>
          </w:tcPr>
          <w:p>
            <w:pPr>
              <w:keepNext w:val="0"/>
              <w:keepLines w:val="0"/>
              <w:pageBreakBefore w:val="0"/>
              <w:kinsoku/>
              <w:wordWrap/>
              <w:overflowPunct/>
              <w:autoSpaceDE/>
              <w:autoSpaceDN/>
              <w:bidi w:val="0"/>
              <w:snapToGrid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 </w:t>
            </w:r>
            <w:r>
              <w:rPr>
                <w:rFonts w:hint="eastAsia" w:ascii="宋体" w:hAnsi="宋体" w:cs="宋体"/>
                <w:color w:val="auto"/>
                <w:sz w:val="21"/>
                <w:szCs w:val="21"/>
                <w:highlight w:val="none"/>
                <w:lang w:eastAsia="zh-CN"/>
              </w:rPr>
              <w:t>广州市黄埔区九佛街五村七片城中村改造项目复建地块四工程检测监测服务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项目建设地点</w:t>
            </w:r>
          </w:p>
        </w:tc>
        <w:tc>
          <w:tcPr>
            <w:tcW w:w="7200" w:type="dxa"/>
            <w:vAlign w:val="center"/>
          </w:tcPr>
          <w:p>
            <w:pPr>
              <w:keepNext w:val="0"/>
              <w:keepLines w:val="0"/>
              <w:pageBreakBefore w:val="0"/>
              <w:kinsoku/>
              <w:wordWrap/>
              <w:overflowPunct/>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项目建设规模</w:t>
            </w:r>
          </w:p>
        </w:tc>
        <w:tc>
          <w:tcPr>
            <w:tcW w:w="7200" w:type="dxa"/>
            <w:vAlign w:val="center"/>
          </w:tcPr>
          <w:p>
            <w:pPr>
              <w:keepNext w:val="0"/>
              <w:keepLines w:val="0"/>
              <w:pageBreakBefore w:val="0"/>
              <w:kinsoku/>
              <w:wordWrap/>
              <w:overflowPunct/>
              <w:autoSpaceDE/>
              <w:autoSpaceDN/>
              <w:bidi w:val="0"/>
              <w:snapToGrid w:val="0"/>
              <w:spacing w:line="400" w:lineRule="exact"/>
              <w:ind w:right="10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工程项目施工预计开工日期和建设周期</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建筑安装工程费/工程概算</w:t>
            </w:r>
          </w:p>
        </w:tc>
        <w:tc>
          <w:tcPr>
            <w:tcW w:w="7200" w:type="dxa"/>
            <w:vAlign w:val="center"/>
          </w:tcPr>
          <w:p>
            <w:pPr>
              <w:keepNext w:val="0"/>
              <w:keepLines w:val="0"/>
              <w:pageBreakBefore w:val="0"/>
              <w:kinsoku/>
              <w:wordWrap/>
              <w:overflowPunct/>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200" w:type="dxa"/>
            <w:vAlign w:val="center"/>
          </w:tcPr>
          <w:p>
            <w:pPr>
              <w:keepNext w:val="0"/>
              <w:keepLines w:val="0"/>
              <w:pageBreakBefore w:val="0"/>
              <w:kinsoku/>
              <w:wordWrap/>
              <w:overflowPunct/>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7200" w:type="dxa"/>
            <w:vAlign w:val="center"/>
          </w:tcPr>
          <w:p>
            <w:pPr>
              <w:keepNext w:val="0"/>
              <w:keepLines w:val="0"/>
              <w:pageBreakBefore w:val="0"/>
              <w:kinsoku/>
              <w:wordWrap/>
              <w:overflowPunct/>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7200" w:type="dxa"/>
            <w:vAlign w:val="center"/>
          </w:tcPr>
          <w:p>
            <w:pPr>
              <w:keepNext w:val="0"/>
              <w:keepLines w:val="0"/>
              <w:pageBreakBefore w:val="0"/>
              <w:kinsoku/>
              <w:wordWrap/>
              <w:overflowPunct/>
              <w:autoSpaceDE/>
              <w:autoSpaceDN/>
              <w:bidi w:val="0"/>
              <w:snapToGrid w:val="0"/>
              <w:spacing w:line="400" w:lineRule="exact"/>
              <w:ind w:right="10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7200" w:type="dxa"/>
            <w:vAlign w:val="center"/>
          </w:tcPr>
          <w:p>
            <w:pPr>
              <w:keepNext w:val="0"/>
              <w:keepLines w:val="0"/>
              <w:pageBreakBefore w:val="0"/>
              <w:kinsoku/>
              <w:wordWrap/>
              <w:overflowPunct/>
              <w:autoSpaceDE/>
              <w:autoSpaceDN/>
              <w:bidi w:val="0"/>
              <w:snapToGrid w:val="0"/>
              <w:spacing w:line="400" w:lineRule="exact"/>
              <w:ind w:right="106"/>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本工程的具体开工日期以甲方通知为准。乙方必须配合本项目现场工期进度，服务周期需按甲方要求，实际工期根据项目实际施工进度进行调整，检测/监测工作进度必须满足现场施工和甲方的要求</w:t>
            </w:r>
            <w:r>
              <w:rPr>
                <w:rFonts w:hint="eastAsia" w:ascii="宋体" w:hAnsi="宋体" w:eastAsia="宋体" w:cs="宋体"/>
                <w:color w:val="auto"/>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7200" w:type="dxa"/>
            <w:vAlign w:val="center"/>
          </w:tcPr>
          <w:p>
            <w:pPr>
              <w:pStyle w:val="25"/>
              <w:keepNext w:val="0"/>
              <w:keepLines w:val="0"/>
              <w:pageBreakBefore w:val="0"/>
              <w:kinsoku/>
              <w:wordWrap/>
              <w:overflowPunct/>
              <w:autoSpaceDE/>
              <w:autoSpaceDN/>
              <w:bidi w:val="0"/>
              <w:snapToGrid w:val="0"/>
              <w:spacing w:line="400" w:lineRule="exact"/>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符合国家及省、市有关检测标准。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投标人资质条件、能力、信誉</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（1）资质要求：见招标公告投标人资格要求。</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（2）财务要求：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（3）业绩要求：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（4）信誉要求：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（5）项目负责人的资格要求：见招标公告投标人资格要求。</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（6）其他主要人员要求：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（7）试验检测仪器设备要求：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200" w:type="dxa"/>
            <w:vAlign w:val="center"/>
          </w:tcPr>
          <w:p>
            <w:pPr>
              <w:keepNext w:val="0"/>
              <w:keepLines w:val="0"/>
              <w:pageBreakBefore w:val="0"/>
              <w:kinsoku/>
              <w:wordWrap/>
              <w:overflowPunct/>
              <w:autoSpaceDE/>
              <w:autoSpaceDN/>
              <w:bidi w:val="0"/>
              <w:snapToGrid w:val="0"/>
              <w:spacing w:line="400" w:lineRule="exact"/>
              <w:ind w:right="-238"/>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sym w:font="Wingdings 2" w:char="00A3"/>
            </w:r>
            <w:r>
              <w:rPr>
                <w:rFonts w:hint="eastAsia" w:ascii="宋体" w:hAnsi="宋体" w:eastAsia="宋体" w:cs="宋体"/>
                <w:color w:val="auto"/>
                <w:position w:val="3"/>
                <w:sz w:val="21"/>
                <w:szCs w:val="21"/>
                <w:highlight w:val="none"/>
              </w:rPr>
              <w:t>不接受</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投标人不得存在的其他情形</w:t>
            </w:r>
          </w:p>
        </w:tc>
        <w:tc>
          <w:tcPr>
            <w:tcW w:w="7200" w:type="dxa"/>
            <w:vAlign w:val="center"/>
          </w:tcPr>
          <w:p>
            <w:pPr>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u w:val="single"/>
              </w:rPr>
              <w:t>由投标人自行现场考察。</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□组织，踏勘时间：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pStyle w:val="11"/>
              <w:keepNext w:val="0"/>
              <w:keepLines w:val="0"/>
              <w:pageBreakBefore w:val="0"/>
              <w:kinsoku/>
              <w:wordWrap/>
              <w:overflowPunct/>
              <w:topLinePunct/>
              <w:autoSpaceDE/>
              <w:autoSpaceDN/>
              <w:bidi w:val="0"/>
              <w:snapToGrid w:val="0"/>
              <w:spacing w:line="400" w:lineRule="exact"/>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踏勘集中地点：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不召开</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□召开，召开时间：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napToGrid w:val="0"/>
              <w:spacing w:line="400" w:lineRule="exact"/>
              <w:ind w:firstLine="840" w:firstLineChars="4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召开地点：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2160"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投标人在投标预备会前提出问题</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2160"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 xml:space="preserve"> （此为投标预备会的答疑澄清）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实质性要求和条件</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不允许</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□允许，偏差范围：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pStyle w:val="11"/>
              <w:keepNext w:val="0"/>
              <w:keepLines w:val="0"/>
              <w:pageBreakBefore w:val="0"/>
              <w:kinsoku/>
              <w:wordWrap/>
              <w:overflowPunct/>
              <w:topLinePunct/>
              <w:autoSpaceDE/>
              <w:autoSpaceDN/>
              <w:bidi w:val="0"/>
              <w:snapToGrid w:val="0"/>
              <w:spacing w:line="400" w:lineRule="exact"/>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偏差幅度：</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构成招标文件的其他资料</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866"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160"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时间：投标人在递交投标文件截止时间18天前提出；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36" w:hRule="atLeast"/>
        </w:trPr>
        <w:tc>
          <w:tcPr>
            <w:tcW w:w="866"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2160"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7200" w:type="dxa"/>
            <w:vAlign w:val="center"/>
          </w:tcPr>
          <w:p>
            <w:pPr>
              <w:pStyle w:val="25"/>
              <w:keepNext w:val="0"/>
              <w:keepLines w:val="0"/>
              <w:pageBreakBefore w:val="0"/>
              <w:kinsoku/>
              <w:wordWrap/>
              <w:overflowPunct/>
              <w:autoSpaceDE/>
              <w:autoSpaceDN/>
              <w:bidi w:val="0"/>
              <w:snapToGrid w:val="0"/>
              <w:spacing w:line="400" w:lineRule="exact"/>
              <w:ind w:right="174" w:rightChars="83"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形式：招标答疑采用网上答疑方式进行。投标人若对招标文件（包括图纸、合同版本、最高投标限价等）有疑问的，可在规定的时间内通过</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网站将问题提交给招标人或招标代理人。</w:t>
            </w:r>
          </w:p>
          <w:p>
            <w:pPr>
              <w:pStyle w:val="25"/>
              <w:keepNext w:val="0"/>
              <w:keepLines w:val="0"/>
              <w:pageBreakBefore w:val="0"/>
              <w:kinsoku/>
              <w:wordWrap/>
              <w:overflowPunct/>
              <w:autoSpaceDE/>
              <w:autoSpaceDN/>
              <w:bidi w:val="0"/>
              <w:snapToGrid w:val="0"/>
              <w:spacing w:line="400" w:lineRule="exact"/>
              <w:ind w:right="174" w:rightChars="83"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网上答疑的操作指南为：登陆</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进入“我是投标人”→进入“新建设工程交易平台”→进入“我的投标”→进入“招标答疑提问”→通过项目编号或名称找到所需的项目→在上述的答疑时间内点击“答疑提问”进入到提问区域→无记名或匿名提出问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在递交投标文件截止时间15天前；在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网站通过“建设工程-项目查询（日程安排、答疑纪要）”专区网上公开发布。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866"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160"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投标人确认收到招标文件澄清</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2160"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形式：招标文件澄清（招标答疑纪要）一经在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招标文件修改发出的形式</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以补充公告或项目答疑澄清的方式在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866"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160"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投标人确认收到招标文件修改</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866"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2160"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形式：招标文件修改一经在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构成投标文件的其他资料</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详见招标文件第六章投标文件格式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增值税税金的计算方法</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一般计税方法计算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本项目实行综合单价包干。（以元为单位，精确到小数点后2位）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■有，最高投标限价：人民币</w:t>
            </w:r>
            <w:r>
              <w:rPr>
                <w:rFonts w:hint="eastAsia" w:ascii="宋体" w:hAnsi="宋体" w:eastAsia="宋体" w:cs="宋体"/>
                <w:color w:val="auto"/>
                <w:sz w:val="21"/>
                <w:szCs w:val="21"/>
                <w:highlight w:val="none"/>
                <w:lang w:val="en-US" w:eastAsia="zh-CN"/>
              </w:rPr>
              <w:t>6,118,138.65</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p>
            <w:pPr>
              <w:keepNext w:val="0"/>
              <w:keepLines w:val="0"/>
              <w:pageBreakBefore w:val="0"/>
              <w:tabs>
                <w:tab w:val="left" w:pos="7513"/>
              </w:tabs>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本项目最高投标限价只作为招标的依据，投标金额及下浮率（%）作为签订合同的依据。中标价不作为竣工结算的依据。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tcBorders>
              <w:bottom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2160" w:type="dxa"/>
            <w:tcBorders>
              <w:bottom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投标报价的其他要求</w:t>
            </w:r>
          </w:p>
        </w:tc>
        <w:tc>
          <w:tcPr>
            <w:tcW w:w="7200" w:type="dxa"/>
            <w:tcBorders>
              <w:bottom w:val="single" w:color="auto" w:sz="4" w:space="0"/>
            </w:tcBorders>
            <w:vAlign w:val="center"/>
          </w:tcPr>
          <w:p>
            <w:pPr>
              <w:pStyle w:val="26"/>
              <w:keepNext w:val="0"/>
              <w:keepLines w:val="0"/>
              <w:pageBreakBefore w:val="0"/>
              <w:kinsoku/>
              <w:wordWrap/>
              <w:overflowPunct/>
              <w:autoSpaceDE/>
              <w:autoSpaceDN/>
              <w:bidi w:val="0"/>
              <w:spacing w:after="0" w:line="400" w:lineRule="exact"/>
              <w:ind w:left="0"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投标人必须详细审阅全部招标文件，充分考虑职责和义务，全面地理解招标文件对投标报价的要求，并按招标人提出的条件及内容进行报价。</w:t>
            </w:r>
          </w:p>
          <w:p>
            <w:pPr>
              <w:pStyle w:val="26"/>
              <w:keepNext w:val="0"/>
              <w:keepLines w:val="0"/>
              <w:pageBreakBefore w:val="0"/>
              <w:kinsoku/>
              <w:wordWrap/>
              <w:overflowPunct/>
              <w:autoSpaceDE/>
              <w:autoSpaceDN/>
              <w:bidi w:val="0"/>
              <w:spacing w:after="0" w:line="400" w:lineRule="exact"/>
              <w:ind w:left="0"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1、各投标人自行报价，投标报价超过最高投标限价的，一律视为废标。</w:t>
            </w:r>
          </w:p>
          <w:p>
            <w:pPr>
              <w:pStyle w:val="26"/>
              <w:keepNext w:val="0"/>
              <w:keepLines w:val="0"/>
              <w:pageBreakBefore w:val="0"/>
              <w:kinsoku/>
              <w:wordWrap/>
              <w:overflowPunct/>
              <w:autoSpaceDE/>
              <w:autoSpaceDN/>
              <w:bidi w:val="0"/>
              <w:spacing w:after="0" w:line="400" w:lineRule="exact"/>
              <w:ind w:left="0"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2、投标报价及费用计算方式：</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①</w:t>
            </w:r>
            <w:r>
              <w:rPr>
                <w:rFonts w:hint="eastAsia" w:ascii="宋体" w:hAnsi="宋体" w:eastAsia="宋体" w:cs="宋体"/>
                <w:color w:val="auto"/>
                <w:sz w:val="21"/>
                <w:szCs w:val="21"/>
                <w:highlight w:val="none"/>
                <w:u w:val="single"/>
              </w:rPr>
              <w:t>投标基准价为本项目检测监测清单根据相关计费文件</w:t>
            </w:r>
            <w:r>
              <w:rPr>
                <w:rFonts w:hint="eastAsia" w:ascii="宋体" w:hAnsi="宋体" w:eastAsia="宋体" w:cs="宋体"/>
                <w:color w:val="auto"/>
                <w:sz w:val="21"/>
                <w:szCs w:val="21"/>
                <w:highlight w:val="none"/>
                <w:u w:val="single"/>
                <w:lang w:eastAsia="zh-CN"/>
              </w:rPr>
              <w:t>计取</w:t>
            </w:r>
            <w:r>
              <w:rPr>
                <w:rFonts w:hint="eastAsia" w:ascii="宋体" w:hAnsi="宋体" w:eastAsia="宋体" w:cs="宋体"/>
                <w:color w:val="auto"/>
                <w:sz w:val="21"/>
                <w:szCs w:val="21"/>
                <w:highlight w:val="none"/>
                <w:u w:val="single"/>
              </w:rPr>
              <w:t>，即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8,157,518.20</w:t>
            </w:r>
            <w:r>
              <w:rPr>
                <w:rFonts w:hint="eastAsia" w:ascii="宋体" w:hAnsi="宋体" w:eastAsia="宋体" w:cs="宋体"/>
                <w:color w:val="auto"/>
                <w:sz w:val="21"/>
                <w:szCs w:val="21"/>
                <w:highlight w:val="none"/>
                <w:u w:val="single"/>
              </w:rPr>
              <w:t>元；最高投标限价</w:t>
            </w:r>
            <w:r>
              <w:rPr>
                <w:rFonts w:hint="eastAsia" w:ascii="宋体" w:hAnsi="宋体" w:eastAsia="宋体" w:cs="宋体"/>
                <w:color w:val="auto"/>
                <w:sz w:val="21"/>
                <w:szCs w:val="21"/>
                <w:highlight w:val="none"/>
                <w:u w:val="single"/>
                <w:lang w:eastAsia="zh-CN"/>
              </w:rPr>
              <w:t>计取</w:t>
            </w:r>
            <w:r>
              <w:rPr>
                <w:rFonts w:hint="eastAsia" w:ascii="宋体" w:hAnsi="宋体" w:eastAsia="宋体" w:cs="宋体"/>
                <w:color w:val="auto"/>
                <w:sz w:val="21"/>
                <w:szCs w:val="21"/>
                <w:highlight w:val="none"/>
                <w:u w:val="single"/>
              </w:rPr>
              <w:t>为</w:t>
            </w:r>
            <w:r>
              <w:rPr>
                <w:rFonts w:hint="eastAsia" w:ascii="宋体" w:hAnsi="宋体" w:eastAsia="宋体" w:cs="宋体"/>
                <w:b w:val="0"/>
                <w:bCs/>
                <w:color w:val="auto"/>
                <w:sz w:val="21"/>
                <w:szCs w:val="21"/>
                <w:highlight w:val="none"/>
                <w:u w:val="single"/>
                <w:lang w:val="en-US" w:eastAsia="zh-CN"/>
              </w:rPr>
              <w:t>投标基准价</w:t>
            </w:r>
            <w:r>
              <w:rPr>
                <w:rFonts w:hint="eastAsia" w:ascii="宋体" w:hAnsi="宋体" w:eastAsia="宋体" w:cs="宋体"/>
                <w:color w:val="auto"/>
                <w:sz w:val="21"/>
                <w:szCs w:val="21"/>
                <w:highlight w:val="none"/>
                <w:u w:val="single"/>
              </w:rPr>
              <w:t>下浮</w:t>
            </w:r>
            <w:r>
              <w:rPr>
                <w:rFonts w:hint="eastAsia" w:ascii="宋体" w:hAnsi="宋体" w:cs="宋体"/>
                <w:color w:val="auto"/>
                <w:sz w:val="21"/>
                <w:szCs w:val="21"/>
                <w:highlight w:val="none"/>
                <w:u w:val="single"/>
                <w:lang w:val="en-US" w:eastAsia="zh-CN"/>
              </w:rPr>
              <w:t>25</w:t>
            </w:r>
            <w:r>
              <w:rPr>
                <w:rFonts w:hint="eastAsia" w:ascii="宋体" w:hAnsi="宋体" w:eastAsia="宋体" w:cs="宋体"/>
                <w:color w:val="auto"/>
                <w:sz w:val="21"/>
                <w:szCs w:val="21"/>
                <w:highlight w:val="none"/>
                <w:u w:val="single"/>
              </w:rPr>
              <w:t>%，即</w:t>
            </w:r>
            <w:r>
              <w:rPr>
                <w:rFonts w:hint="eastAsia" w:ascii="宋体" w:hAnsi="宋体" w:eastAsia="宋体" w:cs="宋体"/>
                <w:color w:val="auto"/>
                <w:sz w:val="21"/>
                <w:szCs w:val="21"/>
                <w:highlight w:val="none"/>
                <w:u w:val="single"/>
                <w:lang w:val="en-US" w:eastAsia="zh-CN"/>
              </w:rPr>
              <w:t>6,118,138.65</w:t>
            </w:r>
            <w:r>
              <w:rPr>
                <w:rFonts w:hint="eastAsia" w:ascii="宋体" w:hAnsi="宋体" w:eastAsia="宋体" w:cs="宋体"/>
                <w:color w:val="auto"/>
                <w:sz w:val="21"/>
                <w:szCs w:val="21"/>
                <w:highlight w:val="none"/>
                <w:u w:val="single"/>
              </w:rPr>
              <w:t>元。</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②</w:t>
            </w:r>
            <w:r>
              <w:rPr>
                <w:rFonts w:hint="eastAsia" w:ascii="宋体" w:hAnsi="宋体" w:eastAsia="宋体" w:cs="宋体"/>
                <w:color w:val="auto"/>
                <w:sz w:val="21"/>
                <w:szCs w:val="21"/>
                <w:highlight w:val="none"/>
                <w:u w:val="single"/>
              </w:rPr>
              <w:t>投标下浮率以投标基准价为下浮基数。投标报价=</w:t>
            </w:r>
            <w:r>
              <w:rPr>
                <w:rFonts w:hint="eastAsia" w:ascii="宋体" w:hAnsi="宋体" w:eastAsia="宋体" w:cs="宋体"/>
                <w:b w:val="0"/>
                <w:bCs/>
                <w:color w:val="auto"/>
                <w:sz w:val="21"/>
                <w:szCs w:val="21"/>
                <w:highlight w:val="none"/>
                <w:u w:val="single"/>
                <w:lang w:val="en-US" w:eastAsia="zh-CN"/>
              </w:rPr>
              <w:t>投标基准价</w:t>
            </w:r>
            <w:r>
              <w:rPr>
                <w:rFonts w:hint="eastAsia" w:ascii="宋体" w:hAnsi="宋体" w:eastAsia="宋体" w:cs="宋体"/>
                <w:color w:val="auto"/>
                <w:sz w:val="21"/>
                <w:szCs w:val="21"/>
                <w:highlight w:val="none"/>
                <w:u w:val="single"/>
              </w:rPr>
              <w:t>*（1-投标下浮率）。投标下浮率=【1-（投标报价/</w:t>
            </w:r>
            <w:r>
              <w:rPr>
                <w:rFonts w:hint="eastAsia" w:ascii="宋体" w:hAnsi="宋体" w:eastAsia="宋体" w:cs="宋体"/>
                <w:b w:val="0"/>
                <w:bCs/>
                <w:color w:val="auto"/>
                <w:sz w:val="21"/>
                <w:szCs w:val="21"/>
                <w:highlight w:val="none"/>
                <w:u w:val="single"/>
                <w:lang w:val="en-US" w:eastAsia="zh-CN"/>
              </w:rPr>
              <w:t>投标基准价</w:t>
            </w:r>
            <w:r>
              <w:rPr>
                <w:rFonts w:hint="eastAsia" w:ascii="宋体" w:hAnsi="宋体" w:eastAsia="宋体" w:cs="宋体"/>
                <w:color w:val="auto"/>
                <w:sz w:val="21"/>
                <w:szCs w:val="21"/>
                <w:highlight w:val="none"/>
                <w:u w:val="single"/>
              </w:rPr>
              <w:t>）】×100%，（1-投标下浮率）与</w:t>
            </w:r>
            <w:r>
              <w:rPr>
                <w:rFonts w:hint="eastAsia" w:ascii="宋体" w:hAnsi="宋体" w:eastAsia="宋体" w:cs="宋体"/>
                <w:b w:val="0"/>
                <w:bCs/>
                <w:color w:val="auto"/>
                <w:sz w:val="21"/>
                <w:szCs w:val="21"/>
                <w:highlight w:val="none"/>
                <w:u w:val="single"/>
                <w:lang w:val="en-US" w:eastAsia="zh-CN"/>
              </w:rPr>
              <w:t>投标基准价</w:t>
            </w:r>
            <w:r>
              <w:rPr>
                <w:rFonts w:hint="eastAsia" w:ascii="宋体" w:hAnsi="宋体" w:eastAsia="宋体" w:cs="宋体"/>
                <w:color w:val="auto"/>
                <w:sz w:val="21"/>
                <w:szCs w:val="21"/>
                <w:highlight w:val="none"/>
                <w:u w:val="single"/>
              </w:rPr>
              <w:t>乘积不等于投标报价的，按</w:t>
            </w:r>
            <w:r>
              <w:rPr>
                <w:rFonts w:hint="eastAsia" w:ascii="宋体" w:hAnsi="宋体" w:eastAsia="宋体" w:cs="宋体"/>
                <w:b w:val="0"/>
                <w:bCs/>
                <w:color w:val="auto"/>
                <w:sz w:val="21"/>
                <w:szCs w:val="21"/>
                <w:highlight w:val="none"/>
                <w:u w:val="single"/>
                <w:lang w:val="en-US" w:eastAsia="zh-CN"/>
              </w:rPr>
              <w:t>投标基准价</w:t>
            </w:r>
            <w:r>
              <w:rPr>
                <w:rFonts w:hint="eastAsia" w:ascii="宋体" w:hAnsi="宋体" w:eastAsia="宋体" w:cs="宋体"/>
                <w:color w:val="auto"/>
                <w:sz w:val="21"/>
                <w:szCs w:val="21"/>
                <w:highlight w:val="none"/>
                <w:u w:val="single"/>
              </w:rPr>
              <w:t>*（1-投标下浮率）修正投标报价。投标总价及各项综合单价均按同等投标下浮率执行，投标报价（含下浮率）精确到小数点后两位。</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3、成本警戒价为</w:t>
            </w:r>
            <w:r>
              <w:rPr>
                <w:rFonts w:hint="eastAsia" w:ascii="宋体" w:hAnsi="宋体" w:cs="宋体"/>
                <w:color w:val="auto"/>
                <w:sz w:val="21"/>
                <w:szCs w:val="21"/>
                <w:highlight w:val="none"/>
                <w:u w:val="single"/>
                <w:lang w:val="en-US" w:eastAsia="zh-CN"/>
              </w:rPr>
              <w:t>4,894,510.92</w:t>
            </w:r>
            <w:r>
              <w:rPr>
                <w:rFonts w:hint="eastAsia" w:ascii="宋体" w:hAnsi="宋体" w:eastAsia="宋体" w:cs="宋体"/>
                <w:color w:val="auto"/>
                <w:sz w:val="21"/>
                <w:szCs w:val="21"/>
                <w:highlight w:val="none"/>
                <w:u w:val="single"/>
              </w:rPr>
              <w:t>元。（按最高投标限价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866"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20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90日历天（从提交投标截止之日起计算。如出现异议或投诉，则投标有效期自动延长至异议或投诉处理结束）。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160"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200" w:type="dxa"/>
            <w:tcBorders>
              <w:top w:val="single" w:color="auto" w:sz="4" w:space="0"/>
            </w:tcBorders>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是否要求投标人递交投标保证金：</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□不要求</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■要求，投标保证金的形式：投标保证金可采用现金、支票、投标保证保险、投标保函（银行或专业担保公司出具）的形式，须在递交投标文件截止时间前完成缴纳。</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投标保证金额度：人民币</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万</w:t>
            </w:r>
            <w:r>
              <w:rPr>
                <w:rFonts w:hint="eastAsia" w:ascii="宋体" w:hAnsi="宋体" w:eastAsia="宋体" w:cs="宋体"/>
                <w:color w:val="auto"/>
                <w:sz w:val="21"/>
                <w:szCs w:val="21"/>
                <w:highlight w:val="none"/>
                <w:u w:val="single"/>
                <w:lang w:val="en-US" w:eastAsia="zh-CN"/>
              </w:rPr>
              <w:t>元。</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投标保证金有效期：与投标有效期一致</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1.如采用现金或者支票方式提交的，由</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代收。保证金从投标人基本账户转账至</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。其缴纳情况以开标时</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数据库查询信息为准。缴纳时间：递交投标文件开始时至递交投标文件截止时间前。具体操作步骤参见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最新的投标保证金缴纳操作流程。</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数据库查询信息为准。具体操作步骤参见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最新的建设工程电子投标保函操作指引。</w:t>
            </w:r>
          </w:p>
          <w:p>
            <w:pPr>
              <w:keepNext w:val="0"/>
              <w:keepLines w:val="0"/>
              <w:pageBreakBefore w:val="0"/>
              <w:kinsoku/>
              <w:wordWrap/>
              <w:overflowPunct/>
              <w:autoSpaceDE/>
              <w:autoSpaceDN/>
              <w:bidi w:val="0"/>
              <w:spacing w:line="40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3.联合体投标的，保证金由联合体主办方缴纳。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160"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资格审查资料的特殊要求</w:t>
            </w:r>
          </w:p>
        </w:tc>
        <w:tc>
          <w:tcPr>
            <w:tcW w:w="7200" w:type="dxa"/>
            <w:tcBorders>
              <w:top w:val="single" w:color="auto" w:sz="4" w:space="0"/>
            </w:tcBorders>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□无</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■有，具体要求：</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本招标项目资格审查不要求提供“近年财务状况表”、“正在检测、监测和新承接的项目情况表”、“近年发生的诉讼及仲裁情况”、“拟委任的主要人员汇总表”、“拟投入本项目的主要试验检测仪器设备表”，以上内容不作为本项目资格审查的依据；</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
                <w:sz w:val="21"/>
                <w:szCs w:val="21"/>
                <w:highlight w:val="none"/>
              </w:rPr>
              <w:t>2、提交的资格审查资料要求详见招标文件第二章3.5款规定；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近年财务状况的年份要求</w:t>
            </w:r>
          </w:p>
        </w:tc>
        <w:tc>
          <w:tcPr>
            <w:tcW w:w="7200" w:type="dxa"/>
            <w:vAlign w:val="center"/>
          </w:tcPr>
          <w:p>
            <w:pPr>
              <w:keepNext w:val="0"/>
              <w:keepLines w:val="0"/>
              <w:pageBreakBefore w:val="0"/>
              <w:kinsoku/>
              <w:wordWrap/>
              <w:overflowPunct/>
              <w:autoSpaceDE/>
              <w:autoSpaceDN/>
              <w:bidi w:val="0"/>
              <w:spacing w:line="400" w:lineRule="exact"/>
              <w:ind w:firstLine="105" w:firstLineChars="5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年至</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近年完成的类似项目情况的时间要求</w:t>
            </w:r>
          </w:p>
        </w:tc>
        <w:tc>
          <w:tcPr>
            <w:tcW w:w="7200" w:type="dxa"/>
            <w:vAlign w:val="center"/>
          </w:tcPr>
          <w:p>
            <w:pPr>
              <w:keepNext w:val="0"/>
              <w:keepLines w:val="0"/>
              <w:pageBreakBefore w:val="0"/>
              <w:kinsoku/>
              <w:wordWrap/>
              <w:overflowPunct/>
              <w:autoSpaceDE/>
              <w:autoSpaceDN/>
              <w:bidi w:val="0"/>
              <w:spacing w:line="400" w:lineRule="exact"/>
              <w:ind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日至今（完成时间以检测报告为准）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近年发生的诉讼及仲裁情况的时间要求</w:t>
            </w:r>
          </w:p>
        </w:tc>
        <w:tc>
          <w:tcPr>
            <w:tcW w:w="7200" w:type="dxa"/>
            <w:vAlign w:val="center"/>
          </w:tcPr>
          <w:p>
            <w:pPr>
              <w:keepNext w:val="0"/>
              <w:keepLines w:val="0"/>
              <w:pageBreakBefore w:val="0"/>
              <w:kinsoku/>
              <w:wordWrap/>
              <w:overflowPunct/>
              <w:autoSpaceDE/>
              <w:autoSpaceDN/>
              <w:bidi w:val="0"/>
              <w:snapToGrid w:val="0"/>
              <w:spacing w:line="400" w:lineRule="exact"/>
              <w:ind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是否允许递交备选投标方案</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不允许</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投标文件所附证书证件要求</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证书证件需为</w:t>
            </w:r>
            <w:r>
              <w:rPr>
                <w:rFonts w:hint="eastAsia" w:ascii="宋体" w:hAnsi="宋体" w:eastAsia="宋体" w:cs="宋体"/>
                <w:b/>
                <w:color w:val="auto"/>
                <w:sz w:val="21"/>
                <w:szCs w:val="21"/>
                <w:highlight w:val="none"/>
              </w:rPr>
              <w:t>原件清晰扫描件</w:t>
            </w:r>
            <w:r>
              <w:rPr>
                <w:rFonts w:hint="eastAsia" w:ascii="宋体" w:hAnsi="宋体" w:eastAsia="宋体" w:cs="宋体"/>
                <w:color w:val="auto"/>
                <w:sz w:val="21"/>
                <w:szCs w:val="21"/>
                <w:highlight w:val="none"/>
              </w:rPr>
              <w:t>，并采用单位数字证书，按照招标文件要求在相应位置加盖电子印章。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6"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投标文件签字或盖章要求</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ind w:right="174" w:rightChars="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投标文件中需个人签字或盖章的，应加盖个人电子印章或在线下完成后扫描上传。投标文件按招标文件要求加盖单位电子印章。相关操作详见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网站最新发布的指引。</w:t>
            </w:r>
          </w:p>
          <w:p>
            <w:pPr>
              <w:pStyle w:val="11"/>
              <w:keepNext w:val="0"/>
              <w:keepLines w:val="0"/>
              <w:pageBreakBefore w:val="0"/>
              <w:kinsoku/>
              <w:wordWrap/>
              <w:overflowPunct/>
              <w:topLinePunct/>
              <w:autoSpaceDE/>
              <w:autoSpaceDN/>
              <w:bidi w:val="0"/>
              <w:snapToGrid w:val="0"/>
              <w:spacing w:line="400" w:lineRule="exact"/>
              <w:ind w:right="174" w:rightChars="83"/>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u w:val="single"/>
              </w:rPr>
              <w:t>联合体投标时，除“联合体协议书”</w:t>
            </w:r>
            <w:r>
              <w:rPr>
                <w:rFonts w:hint="eastAsia" w:ascii="宋体" w:hAnsi="宋体" w:eastAsia="宋体" w:cs="宋体"/>
                <w:b/>
                <w:bCs/>
                <w:color w:val="auto"/>
                <w:sz w:val="21"/>
                <w:szCs w:val="21"/>
                <w:highlight w:val="none"/>
                <w:u w:val="single"/>
                <w:lang w:eastAsia="zh-CN"/>
              </w:rPr>
              <w:t>、“投标申请人声明”</w:t>
            </w:r>
            <w:r>
              <w:rPr>
                <w:rFonts w:hint="eastAsia" w:ascii="宋体" w:hAnsi="宋体" w:eastAsia="宋体" w:cs="宋体"/>
                <w:b/>
                <w:bCs/>
                <w:color w:val="auto"/>
                <w:sz w:val="21"/>
                <w:szCs w:val="21"/>
                <w:highlight w:val="none"/>
                <w:u w:val="single"/>
              </w:rPr>
              <w:t>需由联合体各方分别按要求进行签字或盖章外[法定代表人证明书及授权委托证明书可由联合体主办方出具（其中“单位”一栏可只填写联合体主办方名称）]，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投标文件加密要求</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网上递交的电子投标文件须进行加密。具体操作</w:t>
            </w:r>
            <w:r>
              <w:rPr>
                <w:rFonts w:hint="eastAsia" w:ascii="宋体" w:hAnsi="宋体" w:eastAsia="宋体" w:cs="宋体"/>
                <w:color w:val="auto"/>
                <w:sz w:val="21"/>
                <w:szCs w:val="21"/>
                <w:highlight w:val="none"/>
                <w:u w:val="single"/>
              </w:rPr>
              <w:t>详见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网站最新发布的指引。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160" w:type="dxa"/>
            <w:tcBorders>
              <w:bottom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shd w:val="clear" w:color="FFFFFF" w:fill="D9D9D9"/>
              </w:rPr>
            </w:pPr>
            <w:r>
              <w:rPr>
                <w:rFonts w:hint="eastAsia" w:ascii="宋体" w:hAnsi="宋体" w:eastAsia="宋体" w:cs="宋体"/>
                <w:color w:val="auto"/>
                <w:sz w:val="21"/>
                <w:szCs w:val="21"/>
                <w:highlight w:val="none"/>
              </w:rPr>
              <w:t>封套上应载明的信息</w:t>
            </w:r>
          </w:p>
        </w:tc>
        <w:tc>
          <w:tcPr>
            <w:tcW w:w="7200" w:type="dxa"/>
            <w:tcBorders>
              <w:bottom w:val="single" w:color="auto" w:sz="4" w:space="0"/>
            </w:tcBorders>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如有提交投标文件光盘备用，封套上应注明如下信息：</w:t>
            </w:r>
          </w:p>
          <w:p>
            <w:pPr>
              <w:pStyle w:val="11"/>
              <w:keepNext w:val="0"/>
              <w:keepLines w:val="0"/>
              <w:pageBreakBefore w:val="0"/>
              <w:kinsoku/>
              <w:wordWrap/>
              <w:overflowPunct/>
              <w:topLine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招标人名称：</w:t>
            </w:r>
            <w:r>
              <w:rPr>
                <w:rFonts w:hint="eastAsia" w:ascii="宋体" w:hAnsi="宋体" w:eastAsia="宋体" w:cs="宋体"/>
                <w:color w:val="auto"/>
                <w:sz w:val="21"/>
                <w:szCs w:val="21"/>
                <w:highlight w:val="none"/>
                <w:u w:val="single"/>
              </w:rPr>
              <w:t xml:space="preserve">                     </w:t>
            </w:r>
          </w:p>
          <w:p>
            <w:pPr>
              <w:pStyle w:val="11"/>
              <w:keepNext w:val="0"/>
              <w:keepLines w:val="0"/>
              <w:pageBreakBefore w:val="0"/>
              <w:kinsoku/>
              <w:wordWrap/>
              <w:overflowPunct/>
              <w:topLine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招标人地址：</w:t>
            </w:r>
            <w:r>
              <w:rPr>
                <w:rFonts w:hint="eastAsia" w:ascii="宋体" w:hAnsi="宋体" w:eastAsia="宋体" w:cs="宋体"/>
                <w:color w:val="auto"/>
                <w:sz w:val="21"/>
                <w:szCs w:val="21"/>
                <w:highlight w:val="none"/>
                <w:u w:val="single"/>
              </w:rPr>
              <w:t xml:space="preserve">                     </w:t>
            </w:r>
          </w:p>
          <w:p>
            <w:pPr>
              <w:pStyle w:val="11"/>
              <w:keepNext w:val="0"/>
              <w:keepLines w:val="0"/>
              <w:pageBreakBefore w:val="0"/>
              <w:kinsoku/>
              <w:wordWrap/>
              <w:overflowPunct/>
              <w:topLine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广州市黄埔区九佛街五村七片城中村改造项目复建地块四工程检测监测服务</w:t>
            </w:r>
            <w:r>
              <w:rPr>
                <w:rFonts w:hint="eastAsia" w:ascii="宋体" w:hAnsi="宋体" w:eastAsia="宋体" w:cs="宋体"/>
                <w:color w:val="auto"/>
                <w:sz w:val="21"/>
                <w:szCs w:val="21"/>
                <w:highlight w:val="none"/>
              </w:rPr>
              <w:t>招标项目投标文件</w:t>
            </w:r>
          </w:p>
          <w:p>
            <w:pPr>
              <w:pStyle w:val="11"/>
              <w:keepNext w:val="0"/>
              <w:keepLines w:val="0"/>
              <w:pageBreakBefore w:val="0"/>
              <w:kinsoku/>
              <w:wordWrap/>
              <w:overflowPunct/>
              <w:topLine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招标项目编号：</w:t>
            </w:r>
            <w:r>
              <w:rPr>
                <w:rFonts w:hint="eastAsia" w:ascii="宋体" w:hAnsi="宋体" w:eastAsia="宋体" w:cs="宋体"/>
                <w:color w:val="auto"/>
                <w:sz w:val="21"/>
                <w:szCs w:val="21"/>
                <w:highlight w:val="none"/>
                <w:u w:val="single"/>
              </w:rPr>
              <w:t xml:space="preserve">                   </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866" w:type="dxa"/>
            <w:tcBorders>
              <w:right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时  分（北京时间）</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（详见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递交电子投标文件交易平台</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1.递交方式：通过</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网站，网上递交电子投标文件。</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2.递交投标文件的时间及地点是否有改变，请密切留意招标答疑纪要或补充公告（如有）的相关信息，具体时间及场地安排请各投标人密切留意</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公布本项目的日程安排，投标人可登录</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网站首页，点击“交易业务-建设工程”专栏中的“项目查询（日程安排、答疑纪要）”，输入项目编号或项目名称查询最新信息。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投标文件是否退还</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否</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黄埔交易部（黄埔区水西路32号四楼）指定开标室，详见</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网站信息，并邀请所有投标人的法定代表人或其委托代理人准时参加。</w:t>
            </w:r>
            <w:r>
              <w:rPr>
                <w:rFonts w:hint="eastAsia" w:ascii="宋体" w:hAnsi="宋体" w:eastAsia="宋体" w:cs="宋体"/>
                <w:color w:val="auto"/>
                <w:sz w:val="21"/>
                <w:szCs w:val="21"/>
                <w:highlight w:val="none"/>
                <w:u w:val="single"/>
              </w:rPr>
              <w:t>投标人也可选择参加在线开标，具体按照交易平台相关指南进行操作。详见：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网站最新指引。</w:t>
            </w:r>
            <w:r>
              <w:rPr>
                <w:rFonts w:hint="eastAsia" w:ascii="宋体" w:hAnsi="宋体" w:eastAsia="宋体" w:cs="宋体"/>
                <w:color w:val="auto"/>
                <w:sz w:val="21"/>
                <w:szCs w:val="21"/>
                <w:highlight w:val="none"/>
              </w:rPr>
              <w:t>投标人代表有权出席开标会，也可以自主决定不参加开标会，若投标人代表对开标过程提出异议，该投标人代表须同时出示本人身份证原件。参加在线开标的，投标人应通过交易平台在线提出，招标人应通过交易平台答复，答复后方可结束开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8"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电子招投标项目开标按下列程序进行：</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5.2.1主持人按下列程序进行开标：</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（1）宣布开标纪律；</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（2）公布在投标截止时间前递交投标文件的投标人名称；</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（3）宣布开标人、唱标人、记录人、监标人等有关人员姓名；</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（4）投标人通过电子招标投标交易平台对已递交的电子投标文件进行解密，公布招标项目名称、投标人名称、投标保证金的递交情况、投标报价及其他内容，并记录在案；</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（5）投标人代表、招标人代表、监标人、记录人等有关人员在开标记录上签字确认；若有关人员不签字的，不影响开标程序；</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（6）开标结束。</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小时内</w:t>
            </w:r>
            <w:r>
              <w:rPr>
                <w:rFonts w:hint="eastAsia" w:ascii="宋体" w:hAnsi="宋体" w:eastAsia="宋体" w:cs="宋体"/>
                <w:color w:val="auto"/>
                <w:sz w:val="21"/>
                <w:szCs w:val="21"/>
                <w:highlight w:val="none"/>
                <w:u w:val="single"/>
              </w:rPr>
              <w:t>解密其电子投标文件。</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评标委员会构成，由招标人依法组建。</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评标专家确定方式：从广东省综合评标评审专家库中随机抽取</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推荐中标候选人：</w:t>
            </w:r>
            <w:r>
              <w:rPr>
                <w:rFonts w:hint="eastAsia" w:ascii="宋体" w:hAnsi="宋体" w:eastAsia="宋体" w:cs="宋体"/>
                <w:color w:val="auto"/>
                <w:sz w:val="21"/>
                <w:szCs w:val="21"/>
                <w:highlight w:val="none"/>
                <w:u w:val="single"/>
              </w:rPr>
              <w:t xml:space="preserve"> 3人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网站、广东省招标投标监管网、中国招标投标公共服务平台</w:t>
            </w:r>
          </w:p>
          <w:p>
            <w:pPr>
              <w:keepNext w:val="0"/>
              <w:keepLines w:val="0"/>
              <w:pageBreakBefore w:val="0"/>
              <w:kinsoku/>
              <w:wordWrap/>
              <w:overflowPunct/>
              <w:autoSpaceDE/>
              <w:autoSpaceDN/>
              <w:bidi w:val="0"/>
              <w:snapToGrid w:val="0"/>
              <w:spacing w:line="400" w:lineRule="exact"/>
              <w:ind w:righ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日</w:t>
            </w:r>
          </w:p>
          <w:p>
            <w:pPr>
              <w:keepNext w:val="0"/>
              <w:keepLines w:val="0"/>
              <w:pageBreakBefore w:val="0"/>
              <w:kinsoku/>
              <w:wordWrap/>
              <w:overflowPunct/>
              <w:autoSpaceDE/>
              <w:autoSpaceDN/>
              <w:bidi w:val="0"/>
              <w:snapToGrid w:val="0"/>
              <w:spacing w:line="400" w:lineRule="exact"/>
              <w:ind w:right="106"/>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4"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200" w:type="dxa"/>
            <w:vAlign w:val="center"/>
          </w:tcPr>
          <w:p>
            <w:pPr>
              <w:keepNext w:val="0"/>
              <w:keepLines w:val="0"/>
              <w:pageBreakBefore w:val="0"/>
              <w:kinsoku/>
              <w:wordWrap/>
              <w:overflowPunct/>
              <w:topLine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是否要求中标人提交履约保证金：</w:t>
            </w:r>
          </w:p>
          <w:p>
            <w:pPr>
              <w:keepNext w:val="0"/>
              <w:keepLines w:val="0"/>
              <w:pageBreakBefore w:val="0"/>
              <w:kinsoku/>
              <w:wordWrap/>
              <w:overflowPunct/>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□不要求</w:t>
            </w:r>
          </w:p>
          <w:p>
            <w:pPr>
              <w:keepNext w:val="0"/>
              <w:keepLines w:val="0"/>
              <w:pageBreakBefore w:val="0"/>
              <w:kinsoku/>
              <w:wordWrap/>
              <w:overflowPunct/>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w:t>
            </w:r>
          </w:p>
          <w:p>
            <w:pPr>
              <w:keepNext w:val="0"/>
              <w:keepLines w:val="0"/>
              <w:pageBreakBefore w:val="0"/>
              <w:kinsoku/>
              <w:wordWrap/>
              <w:overflowPunct/>
              <w:topLine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中标人自主选择提供</w:t>
            </w:r>
            <w:r>
              <w:rPr>
                <w:rFonts w:hint="eastAsia" w:ascii="宋体" w:hAnsi="宋体" w:eastAsia="宋体" w:cs="宋体"/>
                <w:color w:val="auto"/>
                <w:sz w:val="21"/>
                <w:szCs w:val="21"/>
                <w:highlight w:val="none"/>
                <w:u w:val="single"/>
                <w:lang w:val="en-US" w:eastAsia="zh-CN"/>
              </w:rPr>
              <w:t>符合合同约定的</w:t>
            </w:r>
            <w:r>
              <w:rPr>
                <w:rFonts w:hint="eastAsia" w:ascii="宋体" w:hAnsi="宋体" w:eastAsia="宋体" w:cs="宋体"/>
                <w:color w:val="auto"/>
                <w:sz w:val="21"/>
                <w:szCs w:val="21"/>
                <w:highlight w:val="none"/>
                <w:u w:val="single"/>
              </w:rPr>
              <w:t>履约担保的形式</w:t>
            </w:r>
            <w:r>
              <w:rPr>
                <w:rFonts w:hint="eastAsia" w:ascii="宋体" w:hAnsi="宋体" w:eastAsia="宋体" w:cs="宋体"/>
                <w:color w:val="auto"/>
                <w:sz w:val="21"/>
                <w:szCs w:val="21"/>
                <w:highlight w:val="none"/>
                <w:u w:val="single"/>
                <w:lang w:eastAsia="zh-CN"/>
              </w:rPr>
              <w:t>，提供的履约保证金金额为中标价款的10%。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是否采用电子招标投标</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p>
            <w:pPr>
              <w:keepNext w:val="0"/>
              <w:keepLines w:val="0"/>
              <w:pageBreakBefore w:val="0"/>
              <w:kinsoku/>
              <w:wordWrap/>
              <w:overflowPunct/>
              <w:autoSpaceDE/>
              <w:autoSpaceDN/>
              <w:bidi w:val="0"/>
              <w:spacing w:line="400" w:lineRule="exact"/>
              <w:ind w:left="2099" w:leftChars="3" w:hanging="2093" w:hangingChars="9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■是，具体要求：</w:t>
            </w:r>
          </w:p>
          <w:p>
            <w:pPr>
              <w:keepNext w:val="0"/>
              <w:keepLines w:val="0"/>
              <w:pageBreakBefore w:val="0"/>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1.具体操作详见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网站最新发布的指引。</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2.提交投标文件光盘备用</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投标人将按</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最新发布的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3.补救方案</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（1）投标文件解密失败的补救方案：</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（2）评标时突发情况的补救方案</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若遇不可抗力发生（如：网络瘫痪、服务器损坏、交易系统故障短期无法恢复等因素），由评标委员会开启递交的全部投标文件光盘，并按光盘内容进行评审。</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360" w:type="dxa"/>
            <w:gridSpan w:val="2"/>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160" w:type="dxa"/>
            <w:vAlign w:val="center"/>
          </w:tcPr>
          <w:p>
            <w:pPr>
              <w:keepNext w:val="0"/>
              <w:keepLines w:val="0"/>
              <w:pageBreakBefore w:val="0"/>
              <w:kinsoku/>
              <w:wordWrap/>
              <w:overflowPunct/>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特别提示</w:t>
            </w:r>
          </w:p>
        </w:tc>
        <w:tc>
          <w:tcPr>
            <w:tcW w:w="7200" w:type="dxa"/>
            <w:vAlign w:val="center"/>
          </w:tcPr>
          <w:p>
            <w:pPr>
              <w:keepNext w:val="0"/>
              <w:keepLines w:val="0"/>
              <w:pageBreakBefore w:val="0"/>
              <w:widowControl/>
              <w:shd w:val="clear" w:color="auto" w:fill="FFFFFF"/>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pPr>
              <w:keepNext w:val="0"/>
              <w:keepLines w:val="0"/>
              <w:pageBreakBefore w:val="0"/>
              <w:widowControl/>
              <w:shd w:val="clear" w:color="auto" w:fill="FFFFFF"/>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1.将中标工程转包或者违法分包的；</w:t>
            </w:r>
          </w:p>
          <w:p>
            <w:pPr>
              <w:keepNext w:val="0"/>
              <w:keepLines w:val="0"/>
              <w:pageBreakBefore w:val="0"/>
              <w:widowControl/>
              <w:shd w:val="clear" w:color="auto" w:fill="FFFFFF"/>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2.在中标工程中不执行质量、安全生产相关规定的，造成质量或安全事故的；</w:t>
            </w:r>
          </w:p>
          <w:p>
            <w:pPr>
              <w:keepNext w:val="0"/>
              <w:keepLines w:val="0"/>
              <w:pageBreakBefore w:val="0"/>
              <w:widowControl/>
              <w:shd w:val="clear" w:color="auto" w:fill="FFFFFF"/>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3.存在围标或串标情形的；</w:t>
            </w:r>
          </w:p>
          <w:p>
            <w:pPr>
              <w:keepNext w:val="0"/>
              <w:keepLines w:val="0"/>
              <w:pageBreakBefore w:val="0"/>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6"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2160" w:type="dxa"/>
            <w:vAlign w:val="center"/>
          </w:tcPr>
          <w:p>
            <w:pPr>
              <w:keepNext w:val="0"/>
              <w:keepLines w:val="0"/>
              <w:pageBreakBefore w:val="0"/>
              <w:widowControl/>
              <w:shd w:val="clear" w:color="auto" w:fill="FFFFFF"/>
              <w:kinsoku/>
              <w:wordWrap/>
              <w:overflowPunct/>
              <w:autoSpaceDE/>
              <w:autoSpaceDN/>
              <w:bidi w:val="0"/>
              <w:adjustRightIn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招标失败情形</w:t>
            </w:r>
          </w:p>
        </w:tc>
        <w:tc>
          <w:tcPr>
            <w:tcW w:w="7200" w:type="dxa"/>
            <w:vAlign w:val="center"/>
          </w:tcPr>
          <w:p>
            <w:pPr>
              <w:keepNext w:val="0"/>
              <w:keepLines w:val="0"/>
              <w:pageBreakBefore w:val="0"/>
              <w:kinsoku/>
              <w:wordWrap/>
              <w:overflowPunct/>
              <w:autoSpaceDE/>
              <w:autoSpaceDN/>
              <w:bidi w:val="0"/>
              <w:spacing w:line="400" w:lineRule="exact"/>
              <w:ind w:left="1" w:hanging="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本项目采用资格后审方式。若投标登记或递交投标文件或通过初步评审（含形式评审、资格评审、响应性评审）的合格投标人不足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家的，</w:t>
            </w:r>
            <w:r>
              <w:rPr>
                <w:rFonts w:hint="eastAsia" w:ascii="宋体" w:hAnsi="宋体" w:eastAsia="宋体" w:cs="宋体"/>
                <w:color w:val="auto"/>
                <w:sz w:val="21"/>
                <w:szCs w:val="21"/>
                <w:highlight w:val="none"/>
                <w:u w:val="single"/>
              </w:rPr>
              <w:t>则该项目招标失败</w:t>
            </w:r>
            <w:r>
              <w:rPr>
                <w:rFonts w:hint="eastAsia" w:ascii="宋体" w:hAnsi="宋体" w:eastAsia="宋体" w:cs="宋体"/>
                <w:color w:val="auto"/>
                <w:sz w:val="21"/>
                <w:szCs w:val="21"/>
                <w:highlight w:val="none"/>
              </w:rPr>
              <w:t>。招标人分析招标失败原因，修正招标方案，重新组织招标。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trPr>
        <w:tc>
          <w:tcPr>
            <w:tcW w:w="866" w:type="dxa"/>
            <w:tcBorders>
              <w:bottom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2160" w:type="dxa"/>
            <w:tcBorders>
              <w:bottom w:val="single" w:color="auto" w:sz="4" w:space="0"/>
            </w:tcBorders>
            <w:vAlign w:val="center"/>
          </w:tcPr>
          <w:p>
            <w:pPr>
              <w:keepNext w:val="0"/>
              <w:keepLines w:val="0"/>
              <w:pageBreakBefore w:val="0"/>
              <w:kinsoku/>
              <w:wordWrap/>
              <w:overflowPunct/>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7200" w:type="dxa"/>
            <w:tcBorders>
              <w:bottom w:val="single" w:color="auto" w:sz="4" w:space="0"/>
            </w:tcBorders>
            <w:vAlign w:val="center"/>
          </w:tcPr>
          <w:p>
            <w:pPr>
              <w:pStyle w:val="127"/>
              <w:keepNext w:val="0"/>
              <w:keepLines w:val="0"/>
              <w:pageBreakBefore w:val="0"/>
              <w:tabs>
                <w:tab w:val="left" w:pos="2100"/>
              </w:tabs>
              <w:kinsoku/>
              <w:wordWrap/>
              <w:overflowPunct/>
              <w:autoSpaceDE/>
              <w:autoSpaceDN/>
              <w:bidi w:val="0"/>
              <w:spacing w:line="400" w:lineRule="exact"/>
              <w:ind w:right="92" w:rightChars="44"/>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中标人向广州交易集团有限公司（广州公共资源交易中心）缴纳交易服务费，其费用包含在中标人报价中，由广州交易集团有限公司（广州公共资源交易中心）向中标人开具发票。</w:t>
            </w:r>
          </w:p>
          <w:p>
            <w:pPr>
              <w:pStyle w:val="26"/>
              <w:keepNext w:val="0"/>
              <w:keepLines w:val="0"/>
              <w:pageBreakBefore w:val="0"/>
              <w:numPr>
                <w:ilvl w:val="0"/>
                <w:numId w:val="0"/>
              </w:numPr>
              <w:kinsoku/>
              <w:wordWrap/>
              <w:overflowPunct/>
              <w:autoSpaceDE/>
              <w:autoSpaceDN/>
              <w:bidi w:val="0"/>
              <w:spacing w:line="400" w:lineRule="exact"/>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中标人向招标代理单位缴纳代理费，其费用包含在中标人报价中，由招标代理单位向中标人开具发票。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p>
        </w:tc>
        <w:tc>
          <w:tcPr>
            <w:tcW w:w="2160" w:type="dxa"/>
            <w:tcBorders>
              <w:bottom w:val="single" w:color="auto" w:sz="4" w:space="0"/>
            </w:tcBorders>
            <w:vAlign w:val="center"/>
          </w:tcPr>
          <w:p>
            <w:pPr>
              <w:keepNext w:val="0"/>
              <w:keepLines w:val="0"/>
              <w:pageBreakBefore w:val="0"/>
              <w:kinsoku/>
              <w:wordWrap/>
              <w:overflowPunct/>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招标人拒绝接收其投标文件备用光盘情况</w:t>
            </w:r>
          </w:p>
        </w:tc>
        <w:tc>
          <w:tcPr>
            <w:tcW w:w="7200" w:type="dxa"/>
            <w:tcBorders>
              <w:bottom w:val="single" w:color="auto" w:sz="4" w:space="0"/>
            </w:tcBorders>
            <w:vAlign w:val="center"/>
          </w:tcPr>
          <w:p>
            <w:pPr>
              <w:pStyle w:val="25"/>
              <w:keepNext w:val="0"/>
              <w:keepLines w:val="0"/>
              <w:pageBreakBefore w:val="0"/>
              <w:kinsoku/>
              <w:wordWrap/>
              <w:overflowPunct/>
              <w:autoSpaceDE/>
              <w:autoSpaceDN/>
              <w:bidi w:val="0"/>
              <w:spacing w:line="400" w:lineRule="exact"/>
              <w:ind w:hanging="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1.投标人在投标截止期后逾期或未在指定地点递交备用投标文件电子光盘的；</w:t>
            </w:r>
          </w:p>
          <w:p>
            <w:pPr>
              <w:pStyle w:val="25"/>
              <w:keepNext w:val="0"/>
              <w:keepLines w:val="0"/>
              <w:pageBreakBefore w:val="0"/>
              <w:kinsoku/>
              <w:wordWrap/>
              <w:overflowPunct/>
              <w:autoSpaceDE/>
              <w:autoSpaceDN/>
              <w:bidi w:val="0"/>
              <w:spacing w:line="400" w:lineRule="exact"/>
              <w:ind w:hanging="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2.投标人递交的备用投标文件电子光盘未按招标文件要求密封或未在密封处盖章的；</w:t>
            </w:r>
          </w:p>
          <w:p>
            <w:pPr>
              <w:pStyle w:val="25"/>
              <w:keepNext w:val="0"/>
              <w:keepLines w:val="0"/>
              <w:pageBreakBefore w:val="0"/>
              <w:kinsoku/>
              <w:wordWrap/>
              <w:overflowPunct/>
              <w:autoSpaceDE/>
              <w:autoSpaceDN/>
              <w:bidi w:val="0"/>
              <w:spacing w:line="400" w:lineRule="exact"/>
              <w:ind w:hanging="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3.投标人代表未凭法定代表人证明书原件、授权委托书原件（仅限于非法定代表人）、本人身份证原件按要求递交备用投标文件电子光盘的</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2"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2160" w:type="dxa"/>
            <w:vAlign w:val="center"/>
          </w:tcPr>
          <w:p>
            <w:pPr>
              <w:keepNext w:val="0"/>
              <w:keepLines w:val="0"/>
              <w:pageBreakBefore w:val="0"/>
              <w:widowControl/>
              <w:shd w:val="clear" w:color="auto" w:fill="FFFFFF"/>
              <w:kinsoku/>
              <w:wordWrap/>
              <w:overflowPunct/>
              <w:autoSpaceDE/>
              <w:autoSpaceDN/>
              <w:bidi w:val="0"/>
              <w:adjustRightIn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1.在产生中标候选人后，招标人将中标候选人的投标文件商务部分的电子版（报价清单、方案等涉及商业秘密的内容除外）在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网站公开。</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2.招标公告、招标文件、答疑纪要（如有）、图纸（如有）等招标资料全部发布在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网站，由投标人自行下载查阅。</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3.投标截止时间、开标时间和地点：发布在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网站（具体点击“交易业务-建设工程”专栏中的“项目查询（日程安排、答疑纪要）”，输入项目编号或项目名称查询最新信息。）。</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4.中标单位在中标通知书发出后3个工作日内，补送一正两副正式书面投标文件（加盖公章）及电子文件光盘给招标人。</w:t>
            </w:r>
          </w:p>
          <w:p>
            <w:pPr>
              <w:pStyle w:val="25"/>
              <w:keepNext w:val="0"/>
              <w:keepLines w:val="0"/>
              <w:pageBreakBefore w:val="0"/>
              <w:kinsoku/>
              <w:wordWrap/>
              <w:overflowPunct/>
              <w:autoSpaceDE/>
              <w:autoSpaceDN/>
              <w:bidi w:val="0"/>
              <w:spacing w:line="400" w:lineRule="exact"/>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5.招标人将核对以下内容：</w:t>
            </w:r>
          </w:p>
          <w:p>
            <w:pPr>
              <w:pStyle w:val="25"/>
              <w:keepNext w:val="0"/>
              <w:keepLines w:val="0"/>
              <w:pageBreakBefore w:val="0"/>
              <w:kinsoku/>
              <w:wordWrap/>
              <w:overflowPunct/>
              <w:autoSpaceDE/>
              <w:autoSpaceDN/>
              <w:bidi w:val="0"/>
              <w:spacing w:line="400" w:lineRule="exact"/>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pPr>
              <w:pStyle w:val="25"/>
              <w:keepNext w:val="0"/>
              <w:keepLines w:val="0"/>
              <w:pageBreakBefore w:val="0"/>
              <w:kinsoku/>
              <w:wordWrap/>
              <w:overflowPunct/>
              <w:autoSpaceDE/>
              <w:autoSpaceDN/>
              <w:bidi w:val="0"/>
              <w:spacing w:line="400" w:lineRule="exact"/>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pPr>
              <w:pStyle w:val="25"/>
              <w:keepNext w:val="0"/>
              <w:keepLines w:val="0"/>
              <w:pageBreakBefore w:val="0"/>
              <w:kinsoku/>
              <w:wordWrap/>
              <w:overflowPunct/>
              <w:autoSpaceDE/>
              <w:autoSpaceDN/>
              <w:bidi w:val="0"/>
              <w:spacing w:line="400" w:lineRule="exact"/>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如核实存在上述任一情况，招标人有权取消中标人的中标资格或终止合同。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1" w:hRule="atLeast"/>
        </w:trPr>
        <w:tc>
          <w:tcPr>
            <w:tcW w:w="866" w:type="dxa"/>
            <w:tcBorders>
              <w:bottom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160" w:type="dxa"/>
            <w:tcBorders>
              <w:bottom w:val="single" w:color="auto" w:sz="4" w:space="0"/>
            </w:tcBorders>
            <w:vAlign w:val="center"/>
          </w:tcPr>
          <w:p>
            <w:pPr>
              <w:pStyle w:val="127"/>
              <w:keepNext w:val="0"/>
              <w:keepLines w:val="0"/>
              <w:pageBreakBefore w:val="0"/>
              <w:kinsoku/>
              <w:wordWrap/>
              <w:overflowPunct/>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投标活动的有关人员社保证明</w:t>
            </w:r>
          </w:p>
        </w:tc>
        <w:tc>
          <w:tcPr>
            <w:tcW w:w="7200" w:type="dxa"/>
            <w:tcBorders>
              <w:bottom w:val="single" w:color="auto" w:sz="4" w:space="0"/>
            </w:tcBorders>
            <w:vAlign w:val="center"/>
          </w:tcPr>
          <w:p>
            <w:pPr>
              <w:pStyle w:val="127"/>
              <w:keepNext w:val="0"/>
              <w:keepLines w:val="0"/>
              <w:pageBreakBefore w:val="0"/>
              <w:tabs>
                <w:tab w:val="left" w:pos="734"/>
                <w:tab w:val="left" w:pos="1365"/>
                <w:tab w:val="left" w:pos="1994"/>
                <w:tab w:val="left" w:pos="2623"/>
              </w:tabs>
              <w:kinsoku/>
              <w:wordWrap/>
              <w:overflowPunct/>
              <w:autoSpaceDE/>
              <w:autoSpaceDN/>
              <w:bidi w:val="0"/>
              <w:spacing w:line="400" w:lineRule="exact"/>
              <w:ind w:left="63" w:leftChars="30" w:right="92" w:rightChars="4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各投标人中参加投标活动的有关人员(包括且不限于投标文件的编制人员、递交投标文件</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递交</w:t>
            </w:r>
            <w:r>
              <w:rPr>
                <w:rFonts w:hint="eastAsia" w:ascii="宋体" w:hAnsi="宋体" w:eastAsia="宋体" w:cs="宋体"/>
                <w:color w:val="auto"/>
                <w:sz w:val="21"/>
                <w:szCs w:val="21"/>
                <w:highlight w:val="none"/>
                <w:lang w:val="en-US" w:eastAsia="zh-CN"/>
              </w:rPr>
              <w:t>备用光盘</w:t>
            </w:r>
            <w:r>
              <w:rPr>
                <w:rFonts w:hint="eastAsia" w:ascii="宋体" w:hAnsi="宋体" w:eastAsia="宋体" w:cs="宋体"/>
                <w:color w:val="auto"/>
                <w:sz w:val="21"/>
                <w:szCs w:val="21"/>
                <w:highlight w:val="none"/>
                <w:lang w:eastAsia="zh-CN"/>
              </w:rPr>
              <w:t>的被授权委托人)均须提供社保证明材料。</w:t>
            </w:r>
          </w:p>
        </w:tc>
      </w:tr>
    </w:tbl>
    <w:p>
      <w:pPr>
        <w:rPr>
          <w:rFonts w:ascii="宋体" w:hAnsi="宋体"/>
          <w:color w:val="auto"/>
          <w:highlight w:val="none"/>
        </w:rPr>
      </w:pPr>
    </w:p>
    <w:p>
      <w:pPr>
        <w:pStyle w:val="5"/>
        <w:rPr>
          <w:rFonts w:hint="eastAsia" w:ascii="宋体" w:hAnsi="宋体" w:eastAsia="宋体" w:cs="宋体"/>
          <w:color w:val="auto"/>
          <w:highlight w:val="none"/>
        </w:rPr>
      </w:pPr>
      <w:bookmarkStart w:id="39" w:name="_Toc533357308"/>
      <w:r>
        <w:rPr>
          <w:color w:val="auto"/>
          <w:highlight w:val="none"/>
        </w:rPr>
        <w:br w:type="page"/>
      </w:r>
      <w:bookmarkStart w:id="40" w:name="_Toc14632"/>
      <w:r>
        <w:rPr>
          <w:rFonts w:hint="eastAsia" w:ascii="宋体" w:hAnsi="宋体" w:eastAsia="宋体" w:cs="宋体"/>
          <w:color w:val="auto"/>
          <w:highlight w:val="none"/>
        </w:rPr>
        <w:t>1. 总则</w:t>
      </w:r>
      <w:bookmarkEnd w:id="39"/>
      <w:bookmarkEnd w:id="40"/>
    </w:p>
    <w:p>
      <w:pPr>
        <w:pStyle w:val="7"/>
        <w:rPr>
          <w:rFonts w:hint="eastAsia" w:ascii="宋体" w:hAnsi="宋体" w:eastAsia="宋体" w:cs="宋体"/>
          <w:color w:val="auto"/>
          <w:highlight w:val="none"/>
        </w:rPr>
      </w:pPr>
      <w:r>
        <w:rPr>
          <w:rFonts w:hint="eastAsia" w:ascii="宋体" w:hAnsi="宋体" w:eastAsia="宋体" w:cs="宋体"/>
          <w:color w:val="auto"/>
          <w:highlight w:val="none"/>
        </w:rPr>
        <w:t>1.1 招标项目概况</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1.1.1根据《中华人民共和国招标投标法》、《中华人民共和国招标投标法实施条例》等有关法律、法规和规章的规定，本招标项目已具备招标条件，现对检测</w:t>
      </w:r>
      <w:r>
        <w:rPr>
          <w:rFonts w:hint="eastAsia" w:ascii="宋体" w:hAnsi="宋体" w:cs="宋体"/>
          <w:color w:val="auto"/>
          <w:szCs w:val="21"/>
          <w:highlight w:val="none"/>
          <w:lang w:eastAsia="zh-CN"/>
        </w:rPr>
        <w:t>监测</w:t>
      </w:r>
      <w:r>
        <w:rPr>
          <w:rFonts w:hint="eastAsia" w:ascii="宋体" w:hAnsi="宋体" w:eastAsia="宋体" w:cs="宋体"/>
          <w:color w:val="auto"/>
          <w:szCs w:val="21"/>
          <w:highlight w:val="none"/>
        </w:rPr>
        <w:t>服务进行招标。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1.1.2招标人：见投标人须知前附表。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1.1.3招标代理机构：见投标人须知前附表。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1.1.4招标项目名称：见投标人须知前附表。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1.1.5项目建设地点：见投标人须知前附表。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1.1.6项目建设规模：见投标人须知前附表。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1.1.7工程项目施工预计开工日期和建设周期：见投标人须知前附表。</w:t>
      </w:r>
    </w:p>
    <w:p>
      <w:pPr>
        <w:pStyle w:val="25"/>
        <w:spacing w:line="288"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1.1.8建筑安装工程费/工程概算：见投标人须知前附表。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1.2 招标项目的资金来源和落实情况</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1.2.1资金来源及比例：见投标人须知前附表。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1.2.2资金落实情况：见投标人须知前附表。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1.3 招标范围、服务期限和质量标准</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1.3.1招标范围：见投标人须知前附表。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1.3.2服务期：见投标人须知前附表。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r>
        <w:rPr>
          <w:rFonts w:hint="eastAsia" w:ascii="宋体" w:hAnsi="宋体" w:eastAsia="宋体" w:cs="宋体"/>
          <w:color w:val="auto"/>
          <w:highlight w:val="none"/>
        </w:rPr>
        <w:t>质量标准</w:t>
      </w:r>
      <w:r>
        <w:rPr>
          <w:rFonts w:hint="eastAsia" w:ascii="宋体" w:hAnsi="宋体" w:eastAsia="宋体" w:cs="宋体"/>
          <w:color w:val="auto"/>
          <w:szCs w:val="21"/>
          <w:highlight w:val="none"/>
        </w:rPr>
        <w:t>：见投标人须知前附表。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1.4 投标人资格要求</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1.4.1投标人应具备承担本招标项目资质条件、能力和信誉：</w:t>
      </w:r>
      <w:r>
        <w:rPr>
          <w:rFonts w:hint="eastAsia" w:ascii="宋体" w:hAnsi="宋体" w:eastAsia="宋体" w:cs="宋体"/>
          <w:color w:val="auto"/>
          <w:szCs w:val="21"/>
          <w:highlight w:val="none"/>
          <w:u w:val="single"/>
        </w:rPr>
        <w:t>详见招标公告。</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1.4.2投标人须知前附表规定接受联合体投标的，联合体除应符合本章第1.4.2项和投标人须知前附表的要求外，还应遵守以下规定：</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（1）联合体各方应按招标文件提供的格式签订联合体协议书，明确联合体牵头人和各方权利义务，并承诺就中标项目向招标人承担连带责任；</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（2）联合体各方不得再以自己名义单独或参加其他联合体在本招标项目中投标，否则各相关投标均无效。</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1.4.3投标人不得存在下列情形之一：</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（1）为招标人不具有独立法人资格的附属机构（单位）；</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（2）与招标人存在利害关系且可能影响招标公正性；</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（3）与本招标项目的其他投标人为同一个单位负责人；</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（4）与本招标项目的其他投标人存在控股、管理关系；</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（5）为本招标项目的代建人；</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（6）为本招标项目的招标代理机构；</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（7）与本招标项目的代建人或招标代理机构同为一个法定代表人；</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（8）与本招标项目的代建人或招标代理机构存在控股或参股关系；</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（9）与本招标项目的施工承包人以及建筑材料、建筑构配件和设备供应商有隶属关系或者其他利害关系；</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（11）被责令停产停业、暂扣或者吊销许可证、暂扣或者吊销执照；（本项事实应当以根据《中华人民共和国行政处罚法》依法作出并已经生效的行政处罚决定为认定依据。）</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（12）进入清算程序，或被宣告破产，或其他丧失履约能力的情形；</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）法律法规或投标人须知前附表规定的其他情形。</w:t>
      </w: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1.5 费用承担</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投标人准备和参加投标活动发生的费用自理。</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41" w:name="bookmark26"/>
      <w:bookmarkEnd w:id="41"/>
      <w:r>
        <w:rPr>
          <w:rFonts w:hint="eastAsia" w:ascii="宋体" w:hAnsi="宋体" w:eastAsia="宋体" w:cs="宋体"/>
          <w:color w:val="auto"/>
          <w:highlight w:val="none"/>
        </w:rPr>
        <w:t>1.6 保密</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参与招标投标活动的各方应对招标文件和投标文件中的商业和技术等秘密保密，否则应承担相应的法律责任。</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42" w:name="bookmark27"/>
      <w:bookmarkEnd w:id="42"/>
      <w:r>
        <w:rPr>
          <w:rFonts w:hint="eastAsia" w:ascii="宋体" w:hAnsi="宋体" w:eastAsia="宋体" w:cs="宋体"/>
          <w:color w:val="auto"/>
          <w:highlight w:val="none"/>
        </w:rPr>
        <w:t>1.7 语言文字</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招标投标文件使用的语言文字为中文。专用术语使用外文的，应附有中文注释。</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43" w:name="bookmark28"/>
      <w:bookmarkEnd w:id="43"/>
      <w:r>
        <w:rPr>
          <w:rFonts w:hint="eastAsia" w:ascii="宋体" w:hAnsi="宋体" w:eastAsia="宋体" w:cs="宋体"/>
          <w:color w:val="auto"/>
          <w:highlight w:val="none"/>
        </w:rPr>
        <w:t>1.8 计量单位</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所有计量均采用中华人民共和国法定计量单位。</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44" w:name="bookmark29"/>
      <w:bookmarkEnd w:id="44"/>
      <w:r>
        <w:rPr>
          <w:rFonts w:hint="eastAsia" w:ascii="宋体" w:hAnsi="宋体" w:eastAsia="宋体" w:cs="宋体"/>
          <w:color w:val="auto"/>
          <w:highlight w:val="none"/>
        </w:rPr>
        <w:t>1.9 踏勘现场</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1.9.1投标人须知前附表规定组织踏勘现场的，招标人按投标人须知前附表规定的时间、地点组织投标人踏勘项目现场。部分投标人未按时参加踏勘现场的，不影响踏勘现场的正常进行。</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1.9.2投标人踏勘现场发生的费用自理。</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1.9.3除招标人的原因外，投标人自行负责在踏勘现场中所发生的人员伤亡和财产损失。</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1.9.4招标人在踏勘现场中介绍的工程场地和相关的周边环境情况，供投标人在编制投标文件时参考，招标人不对投标人据此作出的判断和决策负责。</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45" w:name="bookmark30"/>
      <w:bookmarkEnd w:id="45"/>
      <w:r>
        <w:rPr>
          <w:rFonts w:hint="eastAsia" w:ascii="宋体" w:hAnsi="宋体" w:eastAsia="宋体" w:cs="宋体"/>
          <w:color w:val="auto"/>
          <w:highlight w:val="none"/>
        </w:rPr>
        <w:t>1.10 投标预备会</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1.10.1投标人须知前附表规定召开投标预备会的，招标人按投标人须知前附表规定的时间和地点召开投标预备会，澄清投标人提出的问题。</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1.10.2投标人应按投标人须知前附表规定的时间和形式将提出的问题送达招标人，以便招标人在会议期间澄清。</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1.10.3投标预备会后，招标人将对投标人所提问题的澄清，以投标人须知前附表规定的形式通知所有潜在投标人。该澄清内容为招标文件的组成部分。</w:t>
      </w:r>
      <w:bookmarkStart w:id="46" w:name="bookmark31"/>
      <w:bookmarkEnd w:id="46"/>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1.11 分包</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1.11.1对于非主要检测工作，中标人不具备资质的，经招标人同意后可依法分包给具备相关资质的检测单位，分包的检测工作不得再次分包。</w:t>
      </w: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bookmarkStart w:id="47" w:name="bookmark32"/>
      <w:bookmarkEnd w:id="47"/>
      <w:r>
        <w:rPr>
          <w:rFonts w:hint="eastAsia" w:ascii="宋体" w:hAnsi="宋体" w:eastAsia="宋体" w:cs="宋体"/>
          <w:color w:val="auto"/>
          <w:highlight w:val="none"/>
        </w:rPr>
        <w:t>1.12 响应和偏差</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1.12.1投标文件应当对招标文件的实质性要求和条件作出满足性或更有利于招标人的响应，否则，投标人的投标将被否决。实质性要求和条件见投标人须知前附表。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1.12.2投标人应根据招标文件的要求提供技术方案等内容以对招标文件作出响应。</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1.12.3投标人须知前附表允许投标文件偏离招标文件某些要求的，偏差应当符合招标文件规定的偏差范围和幅度。</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48" w:name="_Toc533357309"/>
      <w:bookmarkStart w:id="49" w:name="_Toc30098"/>
      <w:r>
        <w:rPr>
          <w:rFonts w:hint="eastAsia" w:ascii="宋体" w:hAnsi="宋体" w:eastAsia="宋体" w:cs="宋体"/>
          <w:color w:val="auto"/>
          <w:highlight w:val="none"/>
        </w:rPr>
        <w:t>2. 招标文件</w:t>
      </w:r>
      <w:bookmarkEnd w:id="48"/>
      <w:bookmarkEnd w:id="49"/>
    </w:p>
    <w:p>
      <w:pPr>
        <w:pStyle w:val="7"/>
        <w:rPr>
          <w:rFonts w:hint="eastAsia" w:ascii="宋体" w:hAnsi="宋体" w:eastAsia="宋体" w:cs="宋体"/>
          <w:color w:val="auto"/>
          <w:highlight w:val="none"/>
        </w:rPr>
      </w:pPr>
      <w:bookmarkStart w:id="50" w:name="bookmark34"/>
      <w:bookmarkEnd w:id="50"/>
      <w:r>
        <w:rPr>
          <w:rFonts w:hint="eastAsia" w:ascii="宋体" w:hAnsi="宋体" w:eastAsia="宋体" w:cs="宋体"/>
          <w:color w:val="auto"/>
          <w:highlight w:val="none"/>
        </w:rPr>
        <w:t>2.1 招标文件的组成</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本招标文件包括：</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（3）评标办法；</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（4）合同条款及格式；</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（5）委托人要求；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（7）投标人须知前附表规定的其他资料。</w:t>
      </w:r>
    </w:p>
    <w:p>
      <w:pPr>
        <w:pStyle w:val="12"/>
        <w:kinsoku w:val="0"/>
        <w:overflowPunct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根据本章第1.10款、第2.2款和第2.3款对招标文件所作的澄清、修改，构成招标文件的组成部分。</w:t>
      </w:r>
    </w:p>
    <w:p>
      <w:pPr>
        <w:pStyle w:val="12"/>
        <w:kinsoku w:val="0"/>
        <w:overflowPunct w:val="0"/>
        <w:spacing w:line="288" w:lineRule="auto"/>
        <w:ind w:firstLine="420" w:firstLineChars="200"/>
        <w:rPr>
          <w:rFonts w:hint="eastAsia" w:ascii="宋体" w:hAnsi="宋体" w:eastAsia="宋体" w:cs="宋体"/>
          <w:color w:val="auto"/>
          <w:highlight w:val="none"/>
        </w:rPr>
      </w:pPr>
      <w:bookmarkStart w:id="51" w:name="bookmark35"/>
      <w:bookmarkEnd w:id="51"/>
    </w:p>
    <w:p>
      <w:pPr>
        <w:pStyle w:val="7"/>
        <w:rPr>
          <w:rFonts w:hint="eastAsia" w:ascii="宋体" w:hAnsi="宋体" w:eastAsia="宋体" w:cs="宋体"/>
          <w:color w:val="auto"/>
          <w:highlight w:val="none"/>
        </w:rPr>
      </w:pPr>
      <w:r>
        <w:rPr>
          <w:rFonts w:hint="eastAsia" w:ascii="宋体" w:hAnsi="宋体" w:eastAsia="宋体" w:cs="宋体"/>
          <w:color w:val="auto"/>
          <w:highlight w:val="none"/>
        </w:rPr>
        <w:t>2.2 招标文件的澄清</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投标人在收到澄清后，应按投标人须知前附表规定的时间和形式通知</w:t>
      </w:r>
      <w:r>
        <w:rPr>
          <w:rFonts w:hint="eastAsia" w:ascii="宋体" w:hAnsi="宋体" w:eastAsia="宋体" w:cs="宋体"/>
          <w:color w:val="auto"/>
          <w:sz w:val="21"/>
          <w:szCs w:val="21"/>
          <w:highlight w:val="none"/>
        </w:rPr>
        <w:t>招标人</w:t>
      </w:r>
      <w:r>
        <w:rPr>
          <w:rFonts w:hint="eastAsia" w:ascii="宋体" w:hAnsi="宋体" w:eastAsia="宋体" w:cs="宋体"/>
          <w:color w:val="auto"/>
          <w:sz w:val="24"/>
          <w:szCs w:val="24"/>
          <w:highlight w:val="none"/>
        </w:rPr>
        <w:t>，</w:t>
      </w:r>
      <w:r>
        <w:rPr>
          <w:rFonts w:hint="eastAsia" w:ascii="宋体" w:hAnsi="宋体" w:eastAsia="宋体" w:cs="宋体"/>
          <w:color w:val="auto"/>
          <w:szCs w:val="21"/>
          <w:highlight w:val="none"/>
        </w:rPr>
        <w:t>确认已收到该澄清。</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2.2.4除非招标人认为确有必要答复，否则，招标人有权拒绝回复投标人在本章第2.2.1项规定的时间后的任何澄清要求。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52" w:name="bookmark36"/>
      <w:bookmarkEnd w:id="52"/>
      <w:r>
        <w:rPr>
          <w:rFonts w:hint="eastAsia" w:ascii="宋体" w:hAnsi="宋体" w:eastAsia="宋体" w:cs="宋体"/>
          <w:color w:val="auto"/>
          <w:highlight w:val="none"/>
        </w:rPr>
        <w:t>2.3 招标文件的修改</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2.3.2投标人收到修改内容后，应按投标人须知前附表规定的时间和形式通知招标人，确认已收到该修改。</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53" w:name="bookmark37"/>
      <w:bookmarkEnd w:id="53"/>
      <w:r>
        <w:rPr>
          <w:rFonts w:hint="eastAsia" w:ascii="宋体" w:hAnsi="宋体" w:eastAsia="宋体" w:cs="宋体"/>
          <w:color w:val="auto"/>
          <w:highlight w:val="none"/>
        </w:rPr>
        <w:t>2.4 招标文件的异议</w:t>
      </w:r>
    </w:p>
    <w:p>
      <w:pPr>
        <w:pStyle w:val="12"/>
        <w:kinsoku w:val="0"/>
        <w:overflowPunct w:val="0"/>
        <w:spacing w:line="288" w:lineRule="auto"/>
        <w:ind w:firstLine="420" w:firstLineChars="200"/>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投标人或者其他利害关系人对招标文件有异议的，应当在投标截止时间10日前通过线下形式提出异议。招标人将在收到异议之日起3日内作出答复；作出答复前,将暂停招标投标活动。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5"/>
        <w:rPr>
          <w:rFonts w:hint="eastAsia" w:ascii="宋体" w:hAnsi="宋体" w:eastAsia="宋体" w:cs="宋体"/>
          <w:color w:val="auto"/>
          <w:highlight w:val="none"/>
        </w:rPr>
      </w:pPr>
      <w:bookmarkStart w:id="54" w:name="_Toc6766"/>
      <w:bookmarkStart w:id="55" w:name="_Toc533357310"/>
      <w:r>
        <w:rPr>
          <w:rFonts w:hint="eastAsia" w:ascii="宋体" w:hAnsi="宋体" w:eastAsia="宋体" w:cs="宋体"/>
          <w:color w:val="auto"/>
          <w:highlight w:val="none"/>
        </w:rPr>
        <w:t>3. 投标文件</w:t>
      </w:r>
      <w:bookmarkEnd w:id="54"/>
      <w:bookmarkEnd w:id="55"/>
    </w:p>
    <w:p>
      <w:pPr>
        <w:pStyle w:val="7"/>
        <w:ind w:firstLine="420"/>
        <w:rPr>
          <w:rFonts w:hint="eastAsia" w:ascii="宋体" w:hAnsi="宋体" w:eastAsia="宋体" w:cs="宋体"/>
          <w:color w:val="auto"/>
          <w:highlight w:val="none"/>
        </w:rPr>
      </w:pPr>
      <w:bookmarkStart w:id="56" w:name="bookmark39"/>
      <w:bookmarkEnd w:id="56"/>
      <w:r>
        <w:rPr>
          <w:rFonts w:hint="eastAsia" w:ascii="宋体" w:hAnsi="宋体" w:eastAsia="宋体" w:cs="宋体"/>
          <w:color w:val="auto"/>
          <w:highlight w:val="none"/>
        </w:rPr>
        <w:t>3.1 投标文件的组成</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3.1.1投标文件应包括下列内容：</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（1）投标函及其附表；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（2）法定代表人证明书及授权委托书；</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（3）投标保证金；</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（4）投标报价书；</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（5）资格审查资料；</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（6）类似项目业绩表；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（7）投标人信誉证明材料；</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pacing w:val="-2"/>
          <w:szCs w:val="24"/>
          <w:highlight w:val="none"/>
          <w:u w:val="none"/>
        </w:rPr>
        <w:t>投标人廉洁承诺书；</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）拟投入本项目的检测人员资格证明材料（包括“拟投入本项目的检测人员一览表”和“拟投入本项目的检测人员简历表”等资料）；</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）拟投入本项目的主要检测仪器设备一览表；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）检测</w:t>
      </w:r>
      <w:r>
        <w:rPr>
          <w:rFonts w:hint="eastAsia" w:ascii="宋体" w:hAnsi="宋体" w:cs="宋体"/>
          <w:color w:val="auto"/>
          <w:szCs w:val="21"/>
          <w:highlight w:val="none"/>
          <w:lang w:eastAsia="zh-CN"/>
        </w:rPr>
        <w:t>、监测</w:t>
      </w:r>
      <w:r>
        <w:rPr>
          <w:rFonts w:hint="eastAsia" w:ascii="宋体" w:hAnsi="宋体" w:eastAsia="宋体" w:cs="宋体"/>
          <w:color w:val="auto"/>
          <w:szCs w:val="21"/>
          <w:highlight w:val="none"/>
        </w:rPr>
        <w:t>方案；</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）其他资料。</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投标人须知前附表规定的其他资料，投标人认为有必要提交的其他资料。投标人在评标过程中作出的符合法律法规和招标文件规定的澄清确认，构成投标文件的组成部分。</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3.1.2投标人须知前附表规定不接受联合体投标的，或投标人没有组成联合体的，投标文件不包括本章第3.1.1所指的联合体协议书。</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3.1.3投标人须知前附表未要求提交投标保证金的，投标文件不包括本章第3.1.1（3）所指的投标保证金。</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57" w:name="bookmark40"/>
      <w:bookmarkEnd w:id="57"/>
      <w:r>
        <w:rPr>
          <w:rFonts w:hint="eastAsia" w:ascii="宋体" w:hAnsi="宋体" w:eastAsia="宋体" w:cs="宋体"/>
          <w:color w:val="auto"/>
          <w:highlight w:val="none"/>
        </w:rPr>
        <w:t>3.2 投标报价</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3.2.1投标报价应包括国家规定的增值税税金，除投标人须知前附表另有规定外，增值税税金按一般计税方法计算。投标人应按第六章“投标文件格式”的要求在投标函中进行报价并填写报价书。</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3.2.2投标人应充分了解该项目的总体情况以及影响投标报价的其他要素。</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3.2.3本项目的报价方式见投标人须知前附表。投标人在投标截止时间前修改投标函中的投标报价总额，应同时修改投标文件“报价书”中的相应报价。此修改须符合本章第4.3款的有关要求。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3.2.5投标报价的其他要求见投标人须知前附表。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58" w:name="bookmark41"/>
      <w:bookmarkEnd w:id="58"/>
      <w:r>
        <w:rPr>
          <w:rFonts w:hint="eastAsia" w:ascii="宋体" w:hAnsi="宋体" w:eastAsia="宋体" w:cs="宋体"/>
          <w:color w:val="auto"/>
          <w:highlight w:val="none"/>
        </w:rPr>
        <w:t>3.3 投标有效期</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3.3.1除投标人须知前附表另有规定外，投标有效期为90天。</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3.3.2在投标有效期内，投标人撤销投标文件的，应承担招标文件和法律规定的责任。</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59" w:name="bookmark42"/>
      <w:bookmarkEnd w:id="59"/>
      <w:r>
        <w:rPr>
          <w:rFonts w:hint="eastAsia" w:ascii="宋体" w:hAnsi="宋体" w:eastAsia="宋体" w:cs="宋体"/>
          <w:color w:val="auto"/>
          <w:highlight w:val="none"/>
        </w:rPr>
        <w:t>3.4 投标保证金</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3.4.2投标人不按本章第3.4.1项要求提交投标保证金的，评标委员会将否决其投标。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3.4.3招标人最迟将在与中标人签订合同后5日内，向未中标的投标人和中标人退还投标保证金。投标保证金以现金或者支票形式递交的，还应退还银行同期存款利息。</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3.4.4有下列情形之一的，投标保证金将不予退还：</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（2）中标人在收到中标通知书后，无正当理由不与招标人订立合同，在签订合同时向招标人提出附加条件，或者不按照招标文件要求提交履约保证金；</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（3）发生投标人须知前附表规定的其他可以不予退还投标保证金的情形。</w:t>
      </w:r>
    </w:p>
    <w:p>
      <w:pPr>
        <w:pStyle w:val="12"/>
        <w:kinsoku w:val="0"/>
        <w:overflowPunct w:val="0"/>
        <w:spacing w:line="288" w:lineRule="auto"/>
        <w:ind w:firstLine="420" w:firstLineChars="200"/>
        <w:rPr>
          <w:rFonts w:hint="eastAsia" w:ascii="宋体" w:hAnsi="宋体" w:eastAsia="宋体" w:cs="宋体"/>
          <w:color w:val="auto"/>
          <w:szCs w:val="21"/>
          <w:highlight w:val="none"/>
        </w:rPr>
      </w:pPr>
      <w:bookmarkStart w:id="60" w:name="bookmark43"/>
      <w:bookmarkEnd w:id="60"/>
    </w:p>
    <w:p>
      <w:pPr>
        <w:pStyle w:val="7"/>
        <w:rPr>
          <w:rFonts w:hint="eastAsia" w:ascii="宋体" w:hAnsi="宋体" w:eastAsia="宋体" w:cs="宋体"/>
          <w:color w:val="auto"/>
          <w:highlight w:val="none"/>
        </w:rPr>
      </w:pPr>
      <w:bookmarkStart w:id="61" w:name="bookmark44"/>
      <w:bookmarkEnd w:id="61"/>
      <w:r>
        <w:rPr>
          <w:rFonts w:hint="eastAsia" w:ascii="宋体" w:hAnsi="宋体" w:eastAsia="宋体" w:cs="宋体"/>
          <w:color w:val="auto"/>
          <w:highlight w:val="none"/>
        </w:rPr>
        <w:t>3.5 资格审查资料</w:t>
      </w:r>
    </w:p>
    <w:p>
      <w:pPr>
        <w:pStyle w:val="12"/>
        <w:kinsoku w:val="0"/>
        <w:overflowPunct w:val="0"/>
        <w:spacing w:line="288" w:lineRule="auto"/>
        <w:ind w:firstLine="420" w:firstLineChars="200"/>
        <w:rPr>
          <w:rFonts w:hint="eastAsia" w:ascii="宋体" w:hAnsi="宋体" w:eastAsia="宋体" w:cs="宋体"/>
          <w:color w:val="auto"/>
          <w:szCs w:val="21"/>
          <w:highlight w:val="none"/>
        </w:rPr>
      </w:pPr>
      <w:bookmarkStart w:id="62" w:name="bookmark45"/>
      <w:bookmarkEnd w:id="62"/>
      <w:r>
        <w:rPr>
          <w:rFonts w:hint="eastAsia" w:ascii="宋体" w:hAnsi="宋体" w:eastAsia="宋体" w:cs="宋体"/>
          <w:color w:val="auto"/>
          <w:szCs w:val="21"/>
          <w:highlight w:val="none"/>
        </w:rPr>
        <w:t>除投标人须知前附表另有规定外，投标人应按下列规定提供资格审查资料，以证明其满足本章第1.4款规定的资质、</w:t>
      </w:r>
      <w:r>
        <w:rPr>
          <w:rFonts w:hint="eastAsia" w:ascii="宋体" w:hAnsi="宋体" w:eastAsia="宋体" w:cs="宋体"/>
          <w:strike/>
          <w:color w:val="auto"/>
          <w:szCs w:val="21"/>
          <w:highlight w:val="none"/>
        </w:rPr>
        <w:t>财务、业绩、</w:t>
      </w:r>
      <w:r>
        <w:rPr>
          <w:rFonts w:hint="eastAsia" w:ascii="宋体" w:hAnsi="宋体" w:eastAsia="宋体" w:cs="宋体"/>
          <w:color w:val="auto"/>
          <w:szCs w:val="21"/>
          <w:highlight w:val="none"/>
        </w:rPr>
        <w:t>信誉等要求。</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3.5.1“投标人基本情况表”，并提交投标人（若为联合体投标，指联合体各方）均具有独立法人资格，持有事业单位登记管理部门核发的事业单位法人证书或工商行政管理部门核发的企业法人营业执照，且在营业期限内；提交投标人具有的质量技术监督部门颁发的CMA计量认证合格证书、建设行政主管部门颁发的建设工程质量检测机构资质证书、勘察资质证书及其他相关资料。</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3.5.2“投标申请人声明”（格式见招标</w:t>
      </w:r>
      <w:r>
        <w:rPr>
          <w:rFonts w:hint="eastAsia" w:ascii="宋体" w:hAnsi="宋体" w:eastAsia="宋体" w:cs="宋体"/>
          <w:color w:val="auto"/>
          <w:szCs w:val="21"/>
          <w:highlight w:val="none"/>
          <w:u w:val="single"/>
          <w:lang w:eastAsia="zh-CN"/>
        </w:rPr>
        <w:t>公告附件一</w:t>
      </w:r>
      <w:r>
        <w:rPr>
          <w:rFonts w:hint="eastAsia" w:ascii="宋体" w:hAnsi="宋体" w:eastAsia="宋体" w:cs="宋体"/>
          <w:color w:val="auto"/>
          <w:szCs w:val="21"/>
          <w:highlight w:val="none"/>
          <w:u w:val="single"/>
        </w:rPr>
        <w:t>；对于联合体投标人，所有成员方都要分别提交；成员方提交的“投标申请人声明”可以由本单位法代表人签字或盖章，也可以由主办方本项目投标的授权委托人签字或盖章，同时要求盖成员方投标单位公章）。</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3.5.3拟派项目负责人资格证明材料。包括居民身份证、职称证、投标人（不含子公司）为其购买的</w:t>
      </w:r>
      <w:r>
        <w:rPr>
          <w:rFonts w:hint="eastAsia" w:ascii="宋体" w:hAnsi="宋体" w:eastAsia="宋体" w:cs="宋体"/>
          <w:color w:val="auto"/>
          <w:szCs w:val="21"/>
          <w:highlight w:val="none"/>
          <w:u w:val="single"/>
          <w:lang w:eastAsia="zh-CN"/>
        </w:rPr>
        <w:t>近1个月（即扣除招标公告发布当月前一个月）</w:t>
      </w:r>
      <w:r>
        <w:rPr>
          <w:rFonts w:hint="eastAsia" w:ascii="宋体" w:hAnsi="宋体" w:eastAsia="宋体" w:cs="宋体"/>
          <w:color w:val="auto"/>
          <w:szCs w:val="21"/>
          <w:highlight w:val="none"/>
          <w:u w:val="single"/>
        </w:rPr>
        <w:t>社保缴纳证明材料。</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3.5.4投标人（若为联合体投标，指联合体各方）在广州市住建行业信用管理平台建立诚信档案，提交相关网页截图。</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3.5.5“联合体协议书”（独立投标人不需要提交；要求联合体投标人提交，格式见招标文件第六章）。</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3.5.6投标人认为应该提供的其他资审资料（如有）。</w:t>
      </w: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3.6.3投标人提供两个或两个以上投标报价，或者在投标文件中提供一个报价，但同时提供两个或两个以上服务方案的，视为提供备选方案。</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63" w:name="bookmark46"/>
      <w:bookmarkEnd w:id="63"/>
      <w:r>
        <w:rPr>
          <w:rFonts w:hint="eastAsia" w:ascii="宋体" w:hAnsi="宋体" w:eastAsia="宋体" w:cs="宋体"/>
          <w:color w:val="auto"/>
          <w:highlight w:val="none"/>
        </w:rPr>
        <w:t>3.7 投标文件的编制</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3.7.1投标文件应按第六章“投标文件格式”进行编写，如有必要，可以增加附页，作为投标文件的组成部分。</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3.7.2投标文件应当对招标文件有关服务期限、投标有效期、委托人要求、招标范围等实质性内容作出响应。</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3.7.3投标文件全部采用电子文档，除投标人须知前附表另有规定外，投标文件所附证书证件均为原件</w:t>
      </w:r>
      <w:r>
        <w:rPr>
          <w:rFonts w:hint="eastAsia" w:ascii="宋体" w:hAnsi="宋体" w:eastAsia="宋体" w:cs="宋体"/>
          <w:color w:val="auto"/>
          <w:szCs w:val="21"/>
          <w:highlight w:val="none"/>
          <w:u w:val="single"/>
        </w:rPr>
        <w:t>清晰</w:t>
      </w:r>
      <w:r>
        <w:rPr>
          <w:rFonts w:hint="eastAsia" w:ascii="宋体" w:hAnsi="宋体" w:eastAsia="宋体" w:cs="宋体"/>
          <w:color w:val="auto"/>
          <w:szCs w:val="21"/>
          <w:highlight w:val="none"/>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64" w:name="_Toc533357311"/>
      <w:bookmarkStart w:id="65" w:name="_Toc2749"/>
      <w:r>
        <w:rPr>
          <w:rFonts w:hint="eastAsia" w:ascii="宋体" w:hAnsi="宋体" w:eastAsia="宋体" w:cs="宋体"/>
          <w:color w:val="auto"/>
          <w:highlight w:val="none"/>
        </w:rPr>
        <w:t>4. 投标</w:t>
      </w:r>
      <w:bookmarkEnd w:id="64"/>
      <w:bookmarkEnd w:id="65"/>
    </w:p>
    <w:p>
      <w:pPr>
        <w:pStyle w:val="7"/>
        <w:ind w:firstLine="420"/>
        <w:rPr>
          <w:rFonts w:hint="eastAsia" w:ascii="宋体" w:hAnsi="宋体" w:eastAsia="宋体" w:cs="宋体"/>
          <w:color w:val="auto"/>
          <w:highlight w:val="none"/>
        </w:rPr>
      </w:pPr>
      <w:bookmarkStart w:id="66" w:name="bookmark48"/>
      <w:bookmarkEnd w:id="66"/>
      <w:r>
        <w:rPr>
          <w:rFonts w:hint="eastAsia" w:ascii="宋体" w:hAnsi="宋体" w:eastAsia="宋体" w:cs="宋体"/>
          <w:color w:val="auto"/>
          <w:highlight w:val="none"/>
        </w:rPr>
        <w:t>4.1 投标文件的密封和标记</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4.1.1投标人应当按照招标文件和电子招标投标交易平台的要求加密投标文件，具体要求见投标人须知前附表。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4.1.2投标文件封套上应写明的内容见投标人须知前附表。</w:t>
      </w:r>
    </w:p>
    <w:p>
      <w:pPr>
        <w:pStyle w:val="12"/>
        <w:kinsoku w:val="0"/>
        <w:overflowPunct w:val="0"/>
        <w:spacing w:line="288" w:lineRule="auto"/>
        <w:ind w:firstLine="420" w:firstLineChars="200"/>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4.1.3未按本章第4.1.1项要求密封的投标文件，招标人将予以拒收。</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67" w:name="bookmark49"/>
      <w:bookmarkEnd w:id="67"/>
      <w:r>
        <w:rPr>
          <w:rFonts w:hint="eastAsia" w:ascii="宋体" w:hAnsi="宋体" w:eastAsia="宋体" w:cs="宋体"/>
          <w:color w:val="auto"/>
          <w:highlight w:val="none"/>
        </w:rPr>
        <w:t>4.2 投标文件的递交</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4.2.1投标人应在投标人须知前附表规定的投标截止时间前递交投标文件。</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4.2.2投标人通过下载招标文件的电子招标投标交易平台递交电子投标文件。</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4.2.3除投标人须知前附表另有规定外，投标人所递交的投标文件不予退还。</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4.2.4投标人完成电子投标文件上传后，电子招标投标交易平台即时向投标人发出递交回执通知。递交时间以递交回执通知载明的传输完成时间为准。</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4.2.5逾期送达的投标文件，电子招标投标交易平台将予以拒收。</w:t>
      </w:r>
      <w:bookmarkStart w:id="68" w:name="bookmark50"/>
      <w:bookmarkEnd w:id="68"/>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4.3 投标文件的修改与撤回</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4.3.1在本章第4.2.1项规定的投标截止时间前，投标人可以修改或撤回已递交的投标文件，但应以书面形式通知招标人。</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4.3.2投标人修改或撤回已递交投标文件的通知，应按照本章第3.7.3项的要求加盖电子印章。电子招标投标交易平台收到通知后，即时向投标人发出确认回执通知。</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4.3.3投标人撤回投标文件的，招标人自收到投标人书面撤回通知之日起5日内退还已收取的投标保证金。</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4.3.4修改的内容为投标文件的组成部分。修改的投标文件应按照本章第3条、第4条的规定进行编制、密封、标记和递交，并标明“修改”字样。</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69" w:name="_Toc533357312"/>
      <w:bookmarkStart w:id="70" w:name="_Toc5527"/>
      <w:r>
        <w:rPr>
          <w:rFonts w:hint="eastAsia" w:ascii="宋体" w:hAnsi="宋体" w:eastAsia="宋体" w:cs="宋体"/>
          <w:color w:val="auto"/>
          <w:highlight w:val="none"/>
        </w:rPr>
        <w:t>5. 开标</w:t>
      </w:r>
      <w:bookmarkEnd w:id="69"/>
      <w:bookmarkEnd w:id="70"/>
    </w:p>
    <w:p>
      <w:pPr>
        <w:pStyle w:val="7"/>
        <w:ind w:firstLine="0"/>
        <w:rPr>
          <w:rFonts w:hint="eastAsia" w:ascii="宋体" w:hAnsi="宋体" w:eastAsia="宋体" w:cs="宋体"/>
          <w:color w:val="auto"/>
          <w:highlight w:val="none"/>
        </w:rPr>
      </w:pPr>
      <w:bookmarkStart w:id="71" w:name="bookmark52"/>
      <w:bookmarkEnd w:id="71"/>
      <w:bookmarkStart w:id="72" w:name="bookmark53"/>
      <w:bookmarkEnd w:id="72"/>
      <w:r>
        <w:rPr>
          <w:rFonts w:hint="eastAsia" w:ascii="宋体" w:hAnsi="宋体" w:eastAsia="宋体" w:cs="宋体"/>
          <w:color w:val="auto"/>
          <w:highlight w:val="none"/>
        </w:rPr>
        <w:t>5.1 开标时间和地点</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招标人在本章第4.2.1项规定的投标截止时间（开标时间）,通过电子招标投标交易平台公开开标。开标时，投标人代表有权出席开标会，也可以自主决定不参加开标会。</w:t>
      </w: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bookmarkStart w:id="73" w:name="bookmark54"/>
      <w:bookmarkEnd w:id="73"/>
      <w:r>
        <w:rPr>
          <w:rFonts w:hint="eastAsia" w:ascii="宋体" w:hAnsi="宋体" w:eastAsia="宋体" w:cs="宋体"/>
          <w:color w:val="auto"/>
          <w:highlight w:val="none"/>
        </w:rPr>
        <w:t>5.2 开标程序</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5.2.1主持人按下列程序进行开标：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（2）公布在投标截止时间前递交投标文件的投标人名称；</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（3）宣布开标人、唱标人、记录人、监标人等有关人员姓名；</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（4）投标人通过电子招标投标交易平台对已递交的电子投标文件进行解密，公布招标项目名称、投标人名称、投标保证金的递交情况、投标报价及其他内容，并记录在案；</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（5）投标人代表、招标人代表、监标人、记录人等有关人员在开标记录上签字确认；若有关人员不签字的，不影响开标程序；</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（6）开标结束。</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w:t>
      </w:r>
      <w:r>
        <w:rPr>
          <w:rFonts w:hint="eastAsia" w:ascii="宋体" w:hAnsi="宋体" w:eastAsia="宋体" w:cs="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小时内解密其电子投标文件。</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5.2.3开标时，两个（含两个）以上的投标人加密打包投标文件电脑机器特征码一致的，不参与下一程序，并由评标委员会否决其投标。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74" w:name="bookmark55"/>
      <w:bookmarkEnd w:id="74"/>
      <w:r>
        <w:rPr>
          <w:rFonts w:hint="eastAsia" w:ascii="宋体" w:hAnsi="宋体" w:eastAsia="宋体" w:cs="宋体"/>
          <w:color w:val="auto"/>
          <w:highlight w:val="none"/>
        </w:rPr>
        <w:t>5.3 开标异议</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投标人对开标有异议的，</w:t>
      </w:r>
      <w:r>
        <w:rPr>
          <w:rFonts w:hint="eastAsia" w:ascii="宋体" w:hAnsi="宋体" w:eastAsia="宋体" w:cs="宋体"/>
          <w:color w:val="auto"/>
          <w:szCs w:val="21"/>
          <w:highlight w:val="none"/>
          <w:lang w:val="en-US" w:eastAsia="zh-CN"/>
        </w:rPr>
        <w:t>线下</w:t>
      </w:r>
      <w:r>
        <w:rPr>
          <w:rFonts w:hint="eastAsia" w:ascii="宋体" w:hAnsi="宋体" w:eastAsia="宋体" w:cs="宋体"/>
          <w:color w:val="auto"/>
          <w:szCs w:val="21"/>
          <w:highlight w:val="none"/>
        </w:rPr>
        <w:t>应当在开标现场提出，并出示本人身份证</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rPr>
        <w:t>招标人当场作出答复，并制作记录。</w:t>
      </w:r>
      <w:r>
        <w:rPr>
          <w:rFonts w:hint="eastAsia" w:ascii="宋体" w:hAnsi="宋体" w:eastAsia="宋体" w:cs="宋体"/>
          <w:color w:val="auto"/>
          <w:szCs w:val="21"/>
          <w:highlight w:val="none"/>
          <w:lang w:val="en-US" w:eastAsia="zh-CN"/>
        </w:rPr>
        <w:t>线上应当在开标期间进行</w:t>
      </w:r>
      <w:r>
        <w:rPr>
          <w:rFonts w:hint="eastAsia" w:ascii="宋体" w:hAnsi="宋体" w:eastAsia="宋体" w:cs="宋体"/>
          <w:color w:val="auto"/>
          <w:szCs w:val="21"/>
          <w:highlight w:val="none"/>
        </w:rPr>
        <w:t>线上提交，应通过交易平台进行，招标人也应通过交易平台答复线上提交的异议。具体按照交易平台相关指南进行操作。</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75" w:name="_Toc533357313"/>
      <w:bookmarkStart w:id="76" w:name="_Toc14438"/>
      <w:r>
        <w:rPr>
          <w:rFonts w:hint="eastAsia" w:ascii="宋体" w:hAnsi="宋体" w:eastAsia="宋体" w:cs="宋体"/>
          <w:color w:val="auto"/>
          <w:highlight w:val="none"/>
        </w:rPr>
        <w:t>6. 评标</w:t>
      </w:r>
      <w:bookmarkEnd w:id="75"/>
      <w:bookmarkEnd w:id="76"/>
    </w:p>
    <w:p>
      <w:pPr>
        <w:pStyle w:val="7"/>
        <w:ind w:firstLine="0"/>
        <w:rPr>
          <w:rFonts w:hint="eastAsia" w:ascii="宋体" w:hAnsi="宋体" w:eastAsia="宋体" w:cs="宋体"/>
          <w:color w:val="auto"/>
          <w:highlight w:val="none"/>
        </w:rPr>
      </w:pPr>
      <w:bookmarkStart w:id="77" w:name="bookmark57"/>
      <w:bookmarkEnd w:id="77"/>
      <w:r>
        <w:rPr>
          <w:rFonts w:hint="eastAsia" w:ascii="宋体" w:hAnsi="宋体" w:eastAsia="宋体" w:cs="宋体"/>
          <w:color w:val="auto"/>
          <w:highlight w:val="none"/>
        </w:rPr>
        <w:t>6.1 评标委员会</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6.1.2评标委员会成员有下列情形之一的，应当回避：</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（1）投标人或投标人主要负责人的近亲属；</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（3）与投标人有经济利益关系，可能影响对投标公正评审的；</w:t>
      </w:r>
    </w:p>
    <w:p>
      <w:pPr>
        <w:pStyle w:val="12"/>
        <w:kinsoku w:val="0"/>
        <w:overflowPunct w:val="0"/>
        <w:spacing w:line="288"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（4）曾因在招标、评标以及其他与招标投标有关活动中从事违法行为而受过行政处罚或刑事处罚的</w:t>
      </w:r>
      <w:r>
        <w:rPr>
          <w:rFonts w:hint="eastAsia" w:ascii="宋体" w:hAnsi="宋体" w:eastAsia="宋体" w:cs="宋体"/>
          <w:color w:val="auto"/>
          <w:szCs w:val="21"/>
          <w:highlight w:val="none"/>
          <w:lang w:eastAsia="zh-CN"/>
        </w:rPr>
        <w:t>；</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（5）与投标人有其他利害关系。</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6.1.4评标委员会在开始评标前，应了解评标专家的职责及守则，认真阅读附件二《评标委员会成员声明》的内容并签名，签字后方可进行评标。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78" w:name="bookmark58"/>
      <w:bookmarkEnd w:id="78"/>
      <w:r>
        <w:rPr>
          <w:rFonts w:hint="eastAsia" w:ascii="宋体" w:hAnsi="宋体" w:eastAsia="宋体" w:cs="宋体"/>
          <w:color w:val="auto"/>
          <w:highlight w:val="none"/>
        </w:rPr>
        <w:t>6.2 评标原则</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评标活动遵循公平、公正、科学和择优的原则。</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79" w:name="bookmark59"/>
      <w:bookmarkEnd w:id="79"/>
      <w:r>
        <w:rPr>
          <w:rFonts w:hint="eastAsia" w:ascii="宋体" w:hAnsi="宋体" w:eastAsia="宋体" w:cs="宋体"/>
          <w:color w:val="auto"/>
          <w:highlight w:val="none"/>
        </w:rPr>
        <w:t>6.3 评标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6.3.2评标完成后，评标委员会应当向招标人提交书面评标报告和中标候选人名单。评标委员会推荐中标候选人的人数见投标人须知前附表。</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80" w:name="bookmark60"/>
      <w:bookmarkEnd w:id="80"/>
      <w:bookmarkStart w:id="81" w:name="_Toc533357314"/>
      <w:bookmarkStart w:id="82" w:name="_Toc16847"/>
      <w:r>
        <w:rPr>
          <w:rFonts w:hint="eastAsia" w:ascii="宋体" w:hAnsi="宋体" w:eastAsia="宋体" w:cs="宋体"/>
          <w:color w:val="auto"/>
          <w:highlight w:val="none"/>
        </w:rPr>
        <w:t>7. 合同授予</w:t>
      </w:r>
      <w:bookmarkEnd w:id="81"/>
      <w:bookmarkEnd w:id="82"/>
    </w:p>
    <w:p>
      <w:pPr>
        <w:pStyle w:val="7"/>
        <w:rPr>
          <w:rFonts w:hint="eastAsia" w:ascii="宋体" w:hAnsi="宋体" w:eastAsia="宋体" w:cs="宋体"/>
          <w:color w:val="auto"/>
          <w:highlight w:val="none"/>
        </w:rPr>
      </w:pPr>
      <w:bookmarkStart w:id="83" w:name="bookmark61"/>
      <w:bookmarkEnd w:id="83"/>
      <w:r>
        <w:rPr>
          <w:rFonts w:hint="eastAsia" w:ascii="宋体" w:hAnsi="宋体" w:eastAsia="宋体" w:cs="宋体"/>
          <w:color w:val="auto"/>
          <w:highlight w:val="none"/>
        </w:rPr>
        <w:t>7.1 中标候选人公示</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招标人在收到评标报告之日起3日内，按照投标人须知前附表规定的公示媒介和期限公示中标候选人，公示期不得少于3天。</w:t>
      </w: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bookmarkStart w:id="84" w:name="bookmark62"/>
      <w:bookmarkEnd w:id="84"/>
      <w:r>
        <w:rPr>
          <w:rFonts w:hint="eastAsia" w:ascii="宋体" w:hAnsi="宋体" w:eastAsia="宋体" w:cs="宋体"/>
          <w:color w:val="auto"/>
          <w:highlight w:val="none"/>
        </w:rPr>
        <w:t>7.2 评标结果异议</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85" w:name="bookmark63"/>
      <w:bookmarkEnd w:id="85"/>
      <w:r>
        <w:rPr>
          <w:rFonts w:hint="eastAsia" w:ascii="宋体" w:hAnsi="宋体" w:eastAsia="宋体" w:cs="宋体"/>
          <w:color w:val="auto"/>
          <w:highlight w:val="none"/>
        </w:rPr>
        <w:t>7.3 中标候选人履约能力审查</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86" w:name="bookmark64"/>
      <w:bookmarkEnd w:id="86"/>
      <w:r>
        <w:rPr>
          <w:rFonts w:hint="eastAsia" w:ascii="宋体" w:hAnsi="宋体" w:eastAsia="宋体" w:cs="宋体"/>
          <w:color w:val="auto"/>
          <w:highlight w:val="none"/>
        </w:rPr>
        <w:t>7.4 定标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87" w:name="bookmark65"/>
      <w:bookmarkEnd w:id="87"/>
      <w:r>
        <w:rPr>
          <w:rFonts w:hint="eastAsia" w:ascii="宋体" w:hAnsi="宋体" w:eastAsia="宋体" w:cs="宋体"/>
          <w:color w:val="auto"/>
          <w:highlight w:val="none"/>
        </w:rPr>
        <w:t>7.5 中标通知</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在本章第3.3款规定的投标有效期内，招标人以书面形式向中标人发出中标通知书，同时将中标结果通知未中标的投标人。</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88" w:name="bookmark66"/>
      <w:bookmarkEnd w:id="88"/>
      <w:r>
        <w:rPr>
          <w:rFonts w:hint="eastAsia" w:ascii="宋体" w:hAnsi="宋体" w:eastAsia="宋体" w:cs="宋体"/>
          <w:color w:val="auto"/>
          <w:highlight w:val="none"/>
        </w:rPr>
        <w:t>7.6 履约保证金</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7.6.1在签订合同</w:t>
      </w:r>
      <w:r>
        <w:rPr>
          <w:rFonts w:hint="eastAsia" w:ascii="宋体" w:hAnsi="宋体" w:eastAsia="宋体" w:cs="宋体"/>
          <w:color w:val="auto"/>
          <w:szCs w:val="21"/>
          <w:highlight w:val="none"/>
          <w:lang w:val="en-US" w:eastAsia="zh-CN"/>
        </w:rPr>
        <w:t>后的30天内</w:t>
      </w:r>
      <w:r>
        <w:rPr>
          <w:rFonts w:hint="eastAsia" w:ascii="宋体" w:hAnsi="宋体" w:eastAsia="宋体" w:cs="宋体"/>
          <w:color w:val="auto"/>
          <w:szCs w:val="21"/>
          <w:highlight w:val="none"/>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7.6.2中标人不能按本章第7.6.1项要求提交履约保证金的，视为放弃中标，其投标保证金不予退还，给招标人造成的损失超过投标保证金数额的，中标人还应当对超过部分予以赔偿。</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89" w:name="bookmark67"/>
      <w:bookmarkEnd w:id="89"/>
      <w:r>
        <w:rPr>
          <w:rFonts w:hint="eastAsia" w:ascii="宋体" w:hAnsi="宋体" w:eastAsia="宋体" w:cs="宋体"/>
          <w:color w:val="auto"/>
          <w:highlight w:val="none"/>
        </w:rPr>
        <w:t>7.7 签订合同</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7.7.2发出中标通知书后，招标人无正当理由拒签合同，或者在签订合同时向中标人提出附加条件的，招标人向中标人退还投标保证金；给中标人造成损失的，还应当赔偿损失。</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7.7.3联合体中标的，联合体各方应当共同与招标人签订合同，就中标项目向招标人承担连带责任。</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90" w:name="bookmark68"/>
      <w:bookmarkEnd w:id="90"/>
      <w:bookmarkStart w:id="91" w:name="_Toc533357315"/>
      <w:bookmarkStart w:id="92" w:name="_Toc23622"/>
      <w:r>
        <w:rPr>
          <w:rFonts w:hint="eastAsia" w:ascii="宋体" w:hAnsi="宋体" w:eastAsia="宋体" w:cs="宋体"/>
          <w:color w:val="auto"/>
          <w:highlight w:val="none"/>
        </w:rPr>
        <w:t>8. 纪律和监督</w:t>
      </w:r>
      <w:bookmarkEnd w:id="91"/>
      <w:bookmarkEnd w:id="92"/>
    </w:p>
    <w:p>
      <w:pPr>
        <w:pStyle w:val="7"/>
        <w:rPr>
          <w:rFonts w:hint="eastAsia" w:ascii="宋体" w:hAnsi="宋体" w:eastAsia="宋体" w:cs="宋体"/>
          <w:color w:val="auto"/>
          <w:highlight w:val="none"/>
        </w:rPr>
      </w:pPr>
      <w:bookmarkStart w:id="93" w:name="bookmark69"/>
      <w:bookmarkEnd w:id="93"/>
      <w:r>
        <w:rPr>
          <w:rFonts w:hint="eastAsia" w:ascii="宋体" w:hAnsi="宋体" w:eastAsia="宋体" w:cs="宋体"/>
          <w:color w:val="auto"/>
          <w:highlight w:val="none"/>
        </w:rPr>
        <w:t>8.1 对招标人的纪律要求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招标人不得泄露招标投标活动中应当保密的情况和资料，不得与投标人串通损害国家利益、社会公共利益或者他人合法权益。</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94" w:name="bookmark70"/>
      <w:bookmarkEnd w:id="94"/>
      <w:r>
        <w:rPr>
          <w:rFonts w:hint="eastAsia" w:ascii="宋体" w:hAnsi="宋体" w:eastAsia="宋体" w:cs="宋体"/>
          <w:color w:val="auto"/>
          <w:highlight w:val="none"/>
        </w:rPr>
        <w:t>8.2 对投标人的纪律要求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95" w:name="bookmark71"/>
      <w:bookmarkEnd w:id="95"/>
      <w:r>
        <w:rPr>
          <w:rFonts w:hint="eastAsia" w:ascii="宋体" w:hAnsi="宋体" w:eastAsia="宋体" w:cs="宋体"/>
          <w:color w:val="auto"/>
          <w:highlight w:val="none"/>
        </w:rPr>
        <w:t>8.3 对评标委员会成员的纪律要求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96" w:name="bookmark72"/>
      <w:bookmarkEnd w:id="96"/>
      <w:r>
        <w:rPr>
          <w:rFonts w:hint="eastAsia" w:ascii="宋体" w:hAnsi="宋体" w:eastAsia="宋体" w:cs="宋体"/>
          <w:color w:val="auto"/>
          <w:highlight w:val="none"/>
        </w:rPr>
        <w:t>8.4 对与评标活动有关的工作人员的纪律要求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97" w:name="bookmark73"/>
      <w:bookmarkEnd w:id="97"/>
      <w:r>
        <w:rPr>
          <w:rFonts w:hint="eastAsia" w:ascii="宋体" w:hAnsi="宋体" w:eastAsia="宋体" w:cs="宋体"/>
          <w:color w:val="auto"/>
          <w:highlight w:val="none"/>
        </w:rPr>
        <w:t>8.5 投诉</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8.5.1投标人或者其他利害关系人认为招标投标活动不符合法律、行政法规规定的，可以自知道或者应当知道之日起10日内向有关行政监督部门投诉。投诉应当有明确的请求和必要的证明材料。</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8.5.2投标人或者其他利害关系人对招标文件、开标和评标结果提出投诉的，应当按照投标人须知第2.4款、第5.3款和第7.2款的规定先向招标人提出异议。异议答复期间不计算在第8.5.1项规定的期限内。</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98" w:name="bookmark74"/>
      <w:bookmarkEnd w:id="98"/>
      <w:bookmarkStart w:id="99" w:name="_Toc1088"/>
      <w:r>
        <w:rPr>
          <w:rFonts w:hint="eastAsia" w:ascii="宋体" w:hAnsi="宋体" w:eastAsia="宋体" w:cs="宋体"/>
          <w:color w:val="auto"/>
          <w:highlight w:val="none"/>
        </w:rPr>
        <w:t>9. 是否采用电子招标投标</w:t>
      </w:r>
      <w:bookmarkEnd w:id="99"/>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本招标项目采用电子招标投标方式，具体要求见投标人须知前附表。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5"/>
        <w:rPr>
          <w:rFonts w:hint="eastAsia" w:ascii="宋体" w:hAnsi="宋体" w:eastAsia="宋体" w:cs="宋体"/>
          <w:color w:val="auto"/>
          <w:highlight w:val="none"/>
        </w:rPr>
      </w:pPr>
      <w:bookmarkStart w:id="100" w:name="bookmark75"/>
      <w:bookmarkEnd w:id="100"/>
      <w:bookmarkStart w:id="101" w:name="_Toc5090"/>
      <w:r>
        <w:rPr>
          <w:rFonts w:hint="eastAsia" w:ascii="宋体" w:hAnsi="宋体" w:eastAsia="宋体" w:cs="宋体"/>
          <w:color w:val="auto"/>
          <w:highlight w:val="none"/>
        </w:rPr>
        <w:t>10. 需要补充的其他内容</w:t>
      </w:r>
      <w:bookmarkEnd w:id="101"/>
    </w:p>
    <w:p>
      <w:pPr>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需要补充的其他内容：见投标人须知前附表。</w:t>
      </w:r>
    </w:p>
    <w:p>
      <w:pPr>
        <w:ind w:firstLine="424" w:firstLineChars="202"/>
        <w:rPr>
          <w:rFonts w:ascii="宋体" w:hAnsi="宋体"/>
          <w:color w:val="auto"/>
          <w:highlight w:val="none"/>
        </w:rPr>
      </w:pPr>
    </w:p>
    <w:p>
      <w:pPr>
        <w:ind w:firstLine="424" w:firstLineChars="202"/>
        <w:rPr>
          <w:rFonts w:ascii="宋体" w:hAnsi="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keepNext w:val="0"/>
        <w:keepLines w:val="0"/>
        <w:ind w:firstLine="137"/>
        <w:rPr>
          <w:rFonts w:hint="eastAsia" w:ascii="宋体" w:hAnsi="宋体" w:eastAsia="宋体" w:cs="宋体"/>
          <w:color w:val="auto"/>
          <w:highlight w:val="none"/>
        </w:rPr>
      </w:pPr>
      <w:bookmarkStart w:id="102" w:name="_Toc17721"/>
      <w:r>
        <w:rPr>
          <w:rFonts w:hint="eastAsia" w:ascii="宋体" w:hAnsi="宋体" w:eastAsia="宋体" w:cs="宋体"/>
          <w:color w:val="auto"/>
          <w:highlight w:val="none"/>
        </w:rPr>
        <w:t>附件一：开标记录表</w:t>
      </w:r>
      <w:bookmarkEnd w:id="102"/>
    </w:p>
    <w:p>
      <w:pPr>
        <w:spacing w:line="440" w:lineRule="exact"/>
        <w:jc w:val="center"/>
        <w:rPr>
          <w:rFonts w:hint="eastAsia" w:ascii="宋体" w:hAnsi="宋体" w:cs="宋体"/>
          <w:color w:val="auto"/>
          <w:sz w:val="28"/>
          <w:highlight w:val="none"/>
        </w:rPr>
      </w:pPr>
      <w:r>
        <w:rPr>
          <w:rFonts w:hint="eastAsia" w:ascii="宋体" w:hAnsi="宋体" w:cs="宋体"/>
          <w:color w:val="auto"/>
          <w:sz w:val="28"/>
          <w:highlight w:val="none"/>
        </w:rPr>
        <w:t>开标记录表</w:t>
      </w:r>
    </w:p>
    <w:p>
      <w:pPr>
        <w:spacing w:before="156" w:beforeLines="50" w:after="156" w:afterLines="50" w:line="400" w:lineRule="exact"/>
        <w:ind w:right="420"/>
        <w:jc w:val="left"/>
        <w:rPr>
          <w:rFonts w:hint="eastAsia" w:ascii="宋体" w:hAnsi="宋体" w:cs="宋体"/>
          <w:color w:val="auto"/>
          <w:highlight w:val="none"/>
        </w:rPr>
      </w:pPr>
      <w:r>
        <w:rPr>
          <w:rFonts w:hint="eastAsia" w:ascii="宋体" w:hAnsi="宋体" w:cs="宋体"/>
          <w:color w:val="auto"/>
          <w:highlight w:val="none"/>
        </w:rPr>
        <w:t>开标时间：  年  月  日  时  分</w:t>
      </w:r>
    </w:p>
    <w:tbl>
      <w:tblPr>
        <w:tblStyle w:val="27"/>
        <w:tblW w:w="8329" w:type="dxa"/>
        <w:tblInd w:w="-459" w:type="dxa"/>
        <w:tblLayout w:type="fixed"/>
        <w:tblCellMar>
          <w:top w:w="0" w:type="dxa"/>
          <w:left w:w="108" w:type="dxa"/>
          <w:bottom w:w="0" w:type="dxa"/>
          <w:right w:w="108" w:type="dxa"/>
        </w:tblCellMar>
      </w:tblPr>
      <w:tblGrid>
        <w:gridCol w:w="648"/>
        <w:gridCol w:w="1019"/>
        <w:gridCol w:w="992"/>
        <w:gridCol w:w="851"/>
        <w:gridCol w:w="992"/>
        <w:gridCol w:w="850"/>
        <w:gridCol w:w="992"/>
        <w:gridCol w:w="992"/>
        <w:gridCol w:w="993"/>
      </w:tblGrid>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序号</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投标人</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投标文件解密情况</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投标文件递交情况</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18"/>
                <w:highlight w:val="none"/>
                <w:lang w:val="en-US" w:eastAsia="zh-CN"/>
              </w:rPr>
            </w:pPr>
            <w:r>
              <w:rPr>
                <w:rFonts w:hint="eastAsia" w:ascii="宋体" w:hAnsi="宋体" w:cs="宋体"/>
                <w:color w:val="auto"/>
                <w:sz w:val="18"/>
                <w:highlight w:val="none"/>
                <w:lang w:eastAsia="zh-CN"/>
              </w:rPr>
              <w:t>投标总报价（元）</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项目负责人</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服务期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备注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投标人代表签名</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rPr>
          <w:trHeight w:val="502" w:hRule="atLeast"/>
        </w:trPr>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bookmarkStart w:id="103" w:name="_Toc17638"/>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265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最高投标限价：</w:t>
            </w: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bookmarkEnd w:id="103"/>
    </w:tbl>
    <w:p>
      <w:pPr>
        <w:spacing w:line="440" w:lineRule="exact"/>
        <w:rPr>
          <w:rFonts w:hint="eastAsia" w:ascii="宋体" w:hAnsi="宋体" w:cs="宋体"/>
          <w:color w:val="auto"/>
          <w:highlight w:val="none"/>
        </w:rPr>
      </w:pPr>
      <w:r>
        <w:rPr>
          <w:rFonts w:hint="eastAsia" w:ascii="宋体" w:hAnsi="宋体" w:cs="宋体"/>
          <w:color w:val="auto"/>
          <w:highlight w:val="none"/>
        </w:rPr>
        <w:t>　　　</w:t>
      </w:r>
    </w:p>
    <w:p>
      <w:pPr>
        <w:spacing w:line="620" w:lineRule="exact"/>
        <w:rPr>
          <w:rFonts w:hint="eastAsia" w:ascii="宋体" w:hAnsi="宋体" w:cs="宋体"/>
          <w:color w:val="auto"/>
          <w:highlight w:val="none"/>
        </w:rPr>
      </w:pPr>
      <w:r>
        <w:rPr>
          <w:rFonts w:hint="eastAsia" w:ascii="宋体" w:hAnsi="宋体" w:cs="宋体"/>
          <w:color w:val="auto"/>
          <w:highlight w:val="none"/>
        </w:rPr>
        <w:t>招标人代表：     记录人：       监标人：</w:t>
      </w:r>
    </w:p>
    <w:p>
      <w:pPr>
        <w:spacing w:line="620" w:lineRule="exact"/>
        <w:ind w:firstLine="630" w:firstLineChars="300"/>
        <w:rPr>
          <w:rFonts w:hint="eastAsia" w:ascii="宋体" w:hAnsi="宋体" w:cs="宋体"/>
          <w:color w:val="auto"/>
          <w:highlight w:val="none"/>
        </w:rPr>
      </w:pPr>
      <w:r>
        <w:rPr>
          <w:rFonts w:hint="eastAsia" w:ascii="宋体" w:hAnsi="宋体" w:cs="宋体"/>
          <w:color w:val="auto"/>
          <w:highlight w:val="none"/>
        </w:rPr>
        <w:t>年   月   日</w:t>
      </w:r>
    </w:p>
    <w:p>
      <w:pPr>
        <w:spacing w:line="620" w:lineRule="exact"/>
        <w:ind w:left="0" w:leftChars="0" w:firstLine="0" w:firstLineChars="0"/>
        <w:rPr>
          <w:rFonts w:hint="eastAsia" w:ascii="宋体" w:hAnsi="宋体" w:eastAsia="宋体" w:cs="宋体"/>
          <w:color w:val="auto"/>
          <w:position w:val="-2"/>
          <w:sz w:val="21"/>
          <w:szCs w:val="21"/>
          <w:highlight w:val="none"/>
          <w:u w:val="single"/>
        </w:rPr>
      </w:pPr>
      <w:r>
        <w:rPr>
          <w:rFonts w:hint="eastAsia" w:ascii="宋体" w:hAnsi="宋体" w:eastAsia="宋体" w:cs="宋体"/>
          <w:color w:val="auto"/>
          <w:position w:val="-2"/>
          <w:sz w:val="21"/>
          <w:szCs w:val="21"/>
          <w:highlight w:val="none"/>
          <w:u w:val="single"/>
          <w:lang w:eastAsia="zh-CN"/>
        </w:rPr>
        <w:t>注：</w:t>
      </w:r>
      <w:r>
        <w:rPr>
          <w:rFonts w:hint="eastAsia" w:ascii="宋体" w:hAnsi="宋体" w:eastAsia="宋体" w:cs="宋体"/>
          <w:color w:val="auto"/>
          <w:position w:val="-2"/>
          <w:sz w:val="21"/>
          <w:szCs w:val="21"/>
          <w:highlight w:val="none"/>
          <w:u w:val="single"/>
        </w:rPr>
        <w:t>本表仅供参考，具体以开标时的开标记录表为准。</w:t>
      </w:r>
    </w:p>
    <w:p>
      <w:pPr>
        <w:pStyle w:val="4"/>
        <w:rPr>
          <w:rFonts w:hint="eastAsia"/>
          <w:color w:val="auto"/>
          <w:highlight w:val="none"/>
        </w:rPr>
        <w:sectPr>
          <w:pgSz w:w="11905" w:h="16838"/>
          <w:pgMar w:top="1418" w:right="1701" w:bottom="1418" w:left="1701" w:header="851" w:footer="794" w:gutter="0"/>
          <w:cols w:space="720" w:num="1"/>
          <w:docGrid w:type="lines" w:linePitch="312" w:charSpace="0"/>
        </w:sectPr>
      </w:pPr>
    </w:p>
    <w:p>
      <w:pPr>
        <w:pStyle w:val="5"/>
        <w:ind w:firstLine="137"/>
        <w:rPr>
          <w:rFonts w:hint="eastAsia" w:ascii="宋体" w:hAnsi="宋体" w:eastAsia="宋体" w:cs="宋体"/>
          <w:color w:val="auto"/>
          <w:highlight w:val="none"/>
          <w:lang w:val="en-US" w:eastAsia="zh-CN"/>
        </w:rPr>
      </w:pPr>
      <w:bookmarkStart w:id="104" w:name="_Toc27565"/>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：评标委员会成员声明</w:t>
      </w:r>
      <w:bookmarkEnd w:id="104"/>
    </w:p>
    <w:p>
      <w:pPr>
        <w:spacing w:line="360" w:lineRule="auto"/>
        <w:ind w:firstLine="560" w:firstLineChars="200"/>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评标委员会成员声明</w:t>
      </w:r>
    </w:p>
    <w:p>
      <w:pPr>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广州开城梧栖城市开发投资有限公司</w:t>
      </w:r>
      <w:r>
        <w:rPr>
          <w:rFonts w:hint="eastAsia" w:ascii="仿宋_GB2312" w:eastAsia="仿宋_GB2312"/>
          <w:color w:val="auto"/>
          <w:sz w:val="28"/>
          <w:szCs w:val="28"/>
          <w:highlight w:val="none"/>
        </w:rPr>
        <w:t>：</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本人就参与</w:t>
      </w:r>
      <w:r>
        <w:rPr>
          <w:rFonts w:hint="eastAsia" w:ascii="仿宋_GB2312" w:eastAsia="仿宋_GB2312"/>
          <w:color w:val="auto"/>
          <w:sz w:val="28"/>
          <w:szCs w:val="28"/>
          <w:highlight w:val="none"/>
          <w:u w:val="single"/>
          <w:lang w:eastAsia="zh-CN"/>
        </w:rPr>
        <w:t>广州市黄埔区九佛街五村七片城中村改造项目复建地块四工程检测监测服务</w:t>
      </w:r>
      <w:r>
        <w:rPr>
          <w:rFonts w:hint="eastAsia" w:ascii="仿宋_GB2312" w:eastAsia="仿宋_GB2312"/>
          <w:color w:val="auto"/>
          <w:sz w:val="28"/>
          <w:szCs w:val="28"/>
          <w:highlight w:val="none"/>
        </w:rPr>
        <w:t>项目的评标工作，作出郑重声明：</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如果本人违反上述声明内容，造成的后果由本人自行承担。</w:t>
      </w:r>
    </w:p>
    <w:p>
      <w:pPr>
        <w:spacing w:line="360" w:lineRule="auto"/>
        <w:ind w:firstLine="560" w:firstLineChars="200"/>
        <w:rPr>
          <w:rFonts w:ascii="仿宋_GB2312" w:eastAsia="仿宋_GB2312"/>
          <w:color w:val="auto"/>
          <w:sz w:val="28"/>
          <w:szCs w:val="28"/>
          <w:highlight w:val="none"/>
        </w:rPr>
      </w:pPr>
    </w:p>
    <w:p>
      <w:pPr>
        <w:spacing w:line="360" w:lineRule="auto"/>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声明人：</w:t>
      </w:r>
      <w:r>
        <w:rPr>
          <w:rFonts w:hint="eastAsia" w:ascii="仿宋_GB2312" w:eastAsia="仿宋_GB2312"/>
          <w:color w:val="auto"/>
          <w:sz w:val="28"/>
          <w:szCs w:val="28"/>
          <w:highlight w:val="none"/>
          <w:u w:val="single"/>
        </w:rPr>
        <w:t>（签名）</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ind w:firstLine="424" w:firstLineChars="202"/>
        <w:rPr>
          <w:rFonts w:ascii="宋体" w:hAnsi="宋体"/>
          <w:color w:val="auto"/>
          <w:highlight w:val="none"/>
        </w:rPr>
      </w:pPr>
    </w:p>
    <w:p>
      <w:pPr>
        <w:pStyle w:val="3"/>
        <w:rPr>
          <w:color w:val="auto"/>
          <w:highlight w:val="none"/>
        </w:rPr>
      </w:pPr>
      <w:r>
        <w:rPr>
          <w:color w:val="auto"/>
          <w:szCs w:val="24"/>
          <w:highlight w:val="none"/>
        </w:rPr>
        <w:br w:type="page"/>
      </w:r>
      <w:bookmarkStart w:id="105" w:name="_Toc30552"/>
      <w:bookmarkStart w:id="106" w:name="_Toc533357317"/>
      <w:r>
        <w:rPr>
          <w:rFonts w:hint="eastAsia"/>
          <w:color w:val="auto"/>
          <w:highlight w:val="none"/>
        </w:rPr>
        <w:t>第三章  评标办法（综合评估法）</w:t>
      </w:r>
      <w:bookmarkEnd w:id="105"/>
      <w:bookmarkEnd w:id="106"/>
    </w:p>
    <w:p>
      <w:pPr>
        <w:pStyle w:val="4"/>
        <w:rPr>
          <w:rFonts w:ascii="宋体" w:hAnsi="宋体"/>
          <w:color w:val="auto"/>
          <w:highlight w:val="none"/>
        </w:rPr>
      </w:pPr>
      <w:bookmarkStart w:id="107" w:name="_Toc3061"/>
      <w:bookmarkStart w:id="108" w:name="_Toc533357318"/>
      <w:r>
        <w:rPr>
          <w:rFonts w:hint="eastAsia" w:ascii="宋体" w:hAnsi="宋体"/>
          <w:color w:val="auto"/>
          <w:highlight w:val="none"/>
        </w:rPr>
        <w:t>评标办法前附表</w:t>
      </w:r>
      <w:bookmarkEnd w:id="107"/>
      <w:bookmarkEnd w:id="108"/>
    </w:p>
    <w:tbl>
      <w:tblPr>
        <w:tblStyle w:val="2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1550" w:type="dxa"/>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7136" w:type="dxa"/>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400" w:lineRule="exact"/>
              <w:jc w:val="center"/>
              <w:rPr>
                <w:rFonts w:ascii="宋体" w:hAnsi="宋体"/>
                <w:color w:val="auto"/>
                <w:szCs w:val="21"/>
                <w:highlight w:val="none"/>
              </w:rPr>
            </w:pPr>
            <w:r>
              <w:rPr>
                <w:rFonts w:ascii="宋体" w:hAnsi="宋体"/>
                <w:color w:val="auto"/>
                <w:szCs w:val="21"/>
                <w:highlight w:val="none"/>
              </w:rPr>
              <w:t>1</w:t>
            </w:r>
          </w:p>
        </w:tc>
        <w:tc>
          <w:tcPr>
            <w:tcW w:w="85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评标方法</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中标候选人排序方法</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项目检测</w:t>
            </w:r>
            <w:r>
              <w:rPr>
                <w:rFonts w:hint="eastAsia" w:ascii="宋体" w:hAnsi="宋体"/>
                <w:color w:val="auto"/>
                <w:szCs w:val="21"/>
                <w:highlight w:val="none"/>
                <w:lang w:eastAsia="zh-CN"/>
              </w:rPr>
              <w:t>监测</w:t>
            </w:r>
            <w:r>
              <w:rPr>
                <w:rFonts w:hint="eastAsia" w:ascii="宋体" w:hAnsi="宋体"/>
                <w:color w:val="auto"/>
                <w:szCs w:val="21"/>
                <w:highlight w:val="none"/>
              </w:rPr>
              <w:t>方案得分高的优先；若项目检测</w:t>
            </w:r>
            <w:r>
              <w:rPr>
                <w:rFonts w:hint="eastAsia" w:ascii="宋体" w:hAnsi="宋体"/>
                <w:color w:val="auto"/>
                <w:szCs w:val="21"/>
                <w:highlight w:val="none"/>
                <w:lang w:eastAsia="zh-CN"/>
              </w:rPr>
              <w:t>监测</w:t>
            </w:r>
            <w:r>
              <w:rPr>
                <w:rFonts w:hint="eastAsia" w:ascii="宋体" w:hAnsi="宋体"/>
                <w:color w:val="auto"/>
                <w:szCs w:val="21"/>
                <w:highlight w:val="none"/>
              </w:rPr>
              <w:t>方案得分也相等，由评标委员会采用记名投票方式，以得票多的优先。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pPr>
              <w:spacing w:line="400" w:lineRule="exact"/>
              <w:jc w:val="center"/>
              <w:rPr>
                <w:rFonts w:ascii="宋体" w:hAnsi="宋体"/>
                <w:color w:val="auto"/>
                <w:szCs w:val="21"/>
                <w:highlight w:val="none"/>
              </w:rPr>
            </w:pPr>
            <w:r>
              <w:rPr>
                <w:rFonts w:ascii="宋体" w:hAnsi="宋体"/>
                <w:color w:val="auto"/>
                <w:szCs w:val="21"/>
                <w:highlight w:val="none"/>
              </w:rPr>
              <w:t>2.1.1</w:t>
            </w:r>
          </w:p>
        </w:tc>
        <w:tc>
          <w:tcPr>
            <w:tcW w:w="851"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与企业法人营业执照（或事业单位法人证书）、计量认证合格证书、资质证书一致。联合体投标的，联合体各方名称须和相应的企业法人营业执照（或事业单位法人证书）、计量认证合格证书、资质证书的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rPr>
                <w:rFonts w:ascii="宋体" w:hAnsi="宋体"/>
                <w:color w:val="auto"/>
                <w:szCs w:val="21"/>
                <w:highlight w:val="none"/>
              </w:rPr>
            </w:pPr>
          </w:p>
        </w:tc>
        <w:tc>
          <w:tcPr>
            <w:tcW w:w="851" w:type="dxa"/>
            <w:vMerge w:val="continue"/>
            <w:vAlign w:val="center"/>
          </w:tcPr>
          <w:p>
            <w:pPr>
              <w:spacing w:line="400" w:lineRule="exact"/>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投标函及其附表签字盖章</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投标函及其附表格式及签字盖章符合招标文件要求，由法定代表人签字或盖章的，应附法定代表人证明书，由代理人签字或盖章的，应附法定代表人证明书及授权委托书。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7" w:type="dxa"/>
            <w:vMerge w:val="continue"/>
            <w:vAlign w:val="center"/>
          </w:tcPr>
          <w:p>
            <w:pPr>
              <w:spacing w:line="400" w:lineRule="exact"/>
              <w:rPr>
                <w:rFonts w:ascii="宋体" w:hAnsi="宋体"/>
                <w:color w:val="auto"/>
                <w:szCs w:val="21"/>
                <w:highlight w:val="none"/>
              </w:rPr>
            </w:pPr>
          </w:p>
        </w:tc>
        <w:tc>
          <w:tcPr>
            <w:tcW w:w="851" w:type="dxa"/>
            <w:vMerge w:val="continue"/>
            <w:vAlign w:val="center"/>
          </w:tcPr>
          <w:p>
            <w:pPr>
              <w:spacing w:line="400" w:lineRule="exact"/>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符合第六章投标文件格式中“投标函”</w:t>
            </w:r>
            <w:r>
              <w:rPr>
                <w:rFonts w:hint="eastAsia" w:ascii="宋体" w:hAnsi="宋体"/>
                <w:color w:val="auto"/>
                <w:szCs w:val="21"/>
                <w:highlight w:val="none"/>
                <w:lang w:eastAsia="zh-CN"/>
              </w:rPr>
              <w:t>、</w:t>
            </w:r>
            <w:r>
              <w:rPr>
                <w:rFonts w:hint="eastAsia" w:ascii="宋体" w:hAnsi="宋体"/>
                <w:color w:val="auto"/>
                <w:szCs w:val="21"/>
                <w:highlight w:val="none"/>
              </w:rPr>
              <w:t>“投标函附表”</w:t>
            </w:r>
            <w:r>
              <w:rPr>
                <w:rFonts w:hint="eastAsia" w:ascii="宋体" w:hAnsi="宋体"/>
                <w:color w:val="auto"/>
                <w:szCs w:val="21"/>
                <w:highlight w:val="none"/>
                <w:lang w:eastAsia="zh-CN"/>
              </w:rPr>
              <w:t>、</w:t>
            </w:r>
            <w:r>
              <w:rPr>
                <w:rFonts w:hint="eastAsia" w:ascii="宋体" w:hAnsi="宋体"/>
                <w:color w:val="auto"/>
                <w:szCs w:val="21"/>
                <w:highlight w:val="none"/>
              </w:rPr>
              <w:t>“投标报价书”</w:t>
            </w:r>
            <w:r>
              <w:rPr>
                <w:rFonts w:hint="eastAsia" w:ascii="宋体" w:hAnsi="宋体"/>
                <w:color w:val="auto"/>
                <w:szCs w:val="21"/>
                <w:highlight w:val="none"/>
                <w:lang w:eastAsia="zh-CN"/>
              </w:rPr>
              <w:t>、</w:t>
            </w:r>
            <w:r>
              <w:rPr>
                <w:rFonts w:hint="eastAsia" w:ascii="宋体" w:hAnsi="宋体"/>
                <w:color w:val="auto"/>
                <w:szCs w:val="21"/>
                <w:highlight w:val="none"/>
              </w:rPr>
              <w:t>“投标申请人声明”</w:t>
            </w:r>
            <w:r>
              <w:rPr>
                <w:rFonts w:hint="eastAsia" w:ascii="宋体" w:hAnsi="宋体"/>
                <w:color w:val="auto"/>
                <w:szCs w:val="21"/>
                <w:highlight w:val="none"/>
                <w:lang w:eastAsia="zh-CN"/>
              </w:rPr>
              <w:t>、</w:t>
            </w:r>
            <w:r>
              <w:rPr>
                <w:rFonts w:hint="eastAsia" w:ascii="宋体" w:hAnsi="宋体"/>
                <w:color w:val="auto"/>
                <w:szCs w:val="21"/>
                <w:highlight w:val="none"/>
              </w:rPr>
              <w:t>“联合体协议书”（如有）的规定。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pPr>
              <w:spacing w:line="400" w:lineRule="exact"/>
              <w:rPr>
                <w:rFonts w:ascii="宋体" w:hAnsi="宋体"/>
                <w:color w:val="auto"/>
                <w:szCs w:val="21"/>
                <w:highlight w:val="none"/>
              </w:rPr>
            </w:pPr>
          </w:p>
        </w:tc>
        <w:tc>
          <w:tcPr>
            <w:tcW w:w="851" w:type="dxa"/>
            <w:vMerge w:val="continue"/>
            <w:vAlign w:val="center"/>
          </w:tcPr>
          <w:p>
            <w:pPr>
              <w:spacing w:line="400" w:lineRule="exact"/>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没有提交备选投标方案。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pPr>
              <w:spacing w:line="400" w:lineRule="exact"/>
              <w:rPr>
                <w:rFonts w:ascii="宋体" w:hAnsi="宋体"/>
                <w:color w:val="auto"/>
                <w:szCs w:val="21"/>
                <w:highlight w:val="none"/>
              </w:rPr>
            </w:pPr>
          </w:p>
        </w:tc>
        <w:tc>
          <w:tcPr>
            <w:tcW w:w="851" w:type="dxa"/>
            <w:vMerge w:val="continue"/>
            <w:vAlign w:val="center"/>
          </w:tcPr>
          <w:p>
            <w:pPr>
              <w:spacing w:line="400" w:lineRule="exact"/>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pPr>
              <w:spacing w:line="400" w:lineRule="exact"/>
              <w:jc w:val="center"/>
              <w:rPr>
                <w:rFonts w:ascii="宋体" w:hAnsi="宋体"/>
                <w:color w:val="auto"/>
                <w:szCs w:val="21"/>
                <w:highlight w:val="none"/>
              </w:rPr>
            </w:pPr>
            <w:r>
              <w:rPr>
                <w:rFonts w:ascii="宋体" w:hAnsi="宋体"/>
                <w:color w:val="auto"/>
                <w:szCs w:val="21"/>
                <w:highlight w:val="none"/>
              </w:rPr>
              <w:t>2.1.2</w:t>
            </w:r>
          </w:p>
        </w:tc>
        <w:tc>
          <w:tcPr>
            <w:tcW w:w="851"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资格评审标准</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企业法人营业执照</w:t>
            </w:r>
            <w:r>
              <w:rPr>
                <w:rFonts w:hint="eastAsia" w:ascii="宋体" w:hAnsi="宋体" w:cs="宋体"/>
                <w:color w:val="auto"/>
                <w:szCs w:val="21"/>
                <w:highlight w:val="none"/>
                <w:u w:val="single"/>
              </w:rPr>
              <w:t>（或事业单位法人证书）</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业绩要求</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其他主要人员</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试验检测仪器设备</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本项目接受联合体投标。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7136" w:type="dxa"/>
            <w:vAlign w:val="center"/>
          </w:tcPr>
          <w:p>
            <w:pPr>
              <w:spacing w:line="40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不存在第二章“投标人须知”第 1.4.3 项规定的任何一种情形（以《投标申请人声明》为准）</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vAlign w:val="center"/>
          </w:tcPr>
          <w:p>
            <w:pPr>
              <w:spacing w:line="400" w:lineRule="exact"/>
              <w:jc w:val="center"/>
              <w:rPr>
                <w:rFonts w:ascii="宋体" w:hAnsi="宋体"/>
                <w:color w:val="auto"/>
                <w:szCs w:val="21"/>
                <w:highlight w:val="none"/>
              </w:rPr>
            </w:pPr>
            <w:r>
              <w:rPr>
                <w:rFonts w:ascii="宋体" w:hAnsi="宋体"/>
                <w:color w:val="auto"/>
                <w:szCs w:val="21"/>
                <w:highlight w:val="none"/>
              </w:rPr>
              <w:t>2.1.3</w:t>
            </w:r>
          </w:p>
        </w:tc>
        <w:tc>
          <w:tcPr>
            <w:tcW w:w="851"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响应性评审标准</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7136" w:type="dxa"/>
            <w:vAlign w:val="center"/>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符合第二章“投标人须知”第3.2规定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7136" w:type="dxa"/>
            <w:vAlign w:val="center"/>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符合第二章“投标人须知”第1.3.1规定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136" w:type="dxa"/>
            <w:vAlign w:val="center"/>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符合第二章“投标人须知”第1.3.2规定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136" w:type="dxa"/>
            <w:vAlign w:val="center"/>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符合第二章“投标人须知”第1.3.3规定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136" w:type="dxa"/>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符合第二章“投标人须知”第3.3.1规定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136" w:type="dxa"/>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符合第二章“投标人须知”第3.4.1规定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7136" w:type="dxa"/>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不存在串通投标情形（串通投标情形以《中华人民共和国招标投标法实施条例》的规定为准）</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spacing w:line="400" w:lineRule="exact"/>
              <w:jc w:val="center"/>
              <w:rPr>
                <w:rFonts w:ascii="宋体" w:hAnsi="宋体"/>
                <w:color w:val="auto"/>
                <w:szCs w:val="21"/>
                <w:highlight w:val="none"/>
              </w:rPr>
            </w:pPr>
            <w:r>
              <w:rPr>
                <w:rFonts w:ascii="宋体" w:hAnsi="宋体"/>
                <w:color w:val="auto"/>
                <w:szCs w:val="21"/>
                <w:highlight w:val="none"/>
              </w:rPr>
              <w:t>2.2.1</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pPr>
              <w:spacing w:line="400" w:lineRule="exact"/>
              <w:jc w:val="center"/>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总分</w:t>
            </w:r>
            <w:r>
              <w:rPr>
                <w:rFonts w:ascii="宋体" w:hAnsi="宋体" w:cs="宋体"/>
                <w:color w:val="auto"/>
                <w:szCs w:val="21"/>
                <w:highlight w:val="none"/>
              </w:rPr>
              <w:t>100</w:t>
            </w:r>
            <w:r>
              <w:rPr>
                <w:rFonts w:hint="eastAsia" w:ascii="宋体" w:hAnsi="宋体" w:cs="宋体"/>
                <w:color w:val="auto"/>
                <w:szCs w:val="21"/>
                <w:highlight w:val="none"/>
              </w:rPr>
              <w:t>分</w:t>
            </w:r>
            <w:r>
              <w:rPr>
                <w:rFonts w:ascii="宋体" w:hAnsi="宋体" w:cs="宋体"/>
                <w:color w:val="auto"/>
                <w:szCs w:val="21"/>
                <w:highlight w:val="none"/>
              </w:rPr>
              <w:t>)</w:t>
            </w:r>
          </w:p>
        </w:tc>
        <w:tc>
          <w:tcPr>
            <w:tcW w:w="7136" w:type="dxa"/>
            <w:vAlign w:val="center"/>
          </w:tcPr>
          <w:p>
            <w:pPr>
              <w:spacing w:line="400" w:lineRule="exact"/>
              <w:jc w:val="left"/>
              <w:rPr>
                <w:rFonts w:ascii="宋体" w:hAnsi="宋体"/>
                <w:color w:val="auto"/>
                <w:szCs w:val="21"/>
                <w:highlight w:val="none"/>
              </w:rPr>
            </w:pPr>
            <w:r>
              <w:rPr>
                <w:rFonts w:hint="eastAsia" w:ascii="宋体" w:hAnsi="宋体"/>
                <w:b/>
                <w:color w:val="auto"/>
                <w:szCs w:val="21"/>
                <w:highlight w:val="none"/>
              </w:rPr>
              <w:t>A企业综合实力部分：</w:t>
            </w:r>
            <w:r>
              <w:rPr>
                <w:rFonts w:hint="eastAsia" w:ascii="宋体" w:hAnsi="宋体"/>
                <w:color w:val="auto"/>
                <w:szCs w:val="21"/>
                <w:highlight w:val="none"/>
                <w:u w:val="single"/>
                <w:lang w:val="en-US" w:eastAsia="zh-CN"/>
              </w:rPr>
              <w:t>55</w:t>
            </w:r>
            <w:r>
              <w:rPr>
                <w:rFonts w:hint="eastAsia" w:ascii="宋体" w:hAnsi="宋体"/>
                <w:color w:val="auto"/>
                <w:szCs w:val="21"/>
                <w:highlight w:val="none"/>
              </w:rPr>
              <w:t>分</w:t>
            </w:r>
          </w:p>
          <w:p>
            <w:pPr>
              <w:spacing w:line="400" w:lineRule="exact"/>
              <w:rPr>
                <w:rFonts w:ascii="宋体" w:hAnsi="宋体"/>
                <w:b/>
                <w:color w:val="auto"/>
                <w:szCs w:val="21"/>
                <w:highlight w:val="none"/>
              </w:rPr>
            </w:pPr>
            <w:r>
              <w:rPr>
                <w:rFonts w:ascii="宋体" w:hAnsi="宋体"/>
                <w:b/>
                <w:color w:val="auto"/>
                <w:szCs w:val="21"/>
                <w:highlight w:val="none"/>
              </w:rPr>
              <w:t>B技术方案部分：</w:t>
            </w:r>
            <w:r>
              <w:rPr>
                <w:rFonts w:hint="eastAsia" w:ascii="宋体" w:hAnsi="宋体"/>
                <w:bCs/>
                <w:color w:val="auto"/>
                <w:szCs w:val="21"/>
                <w:highlight w:val="none"/>
                <w:u w:val="single"/>
                <w:lang w:val="en-US" w:eastAsia="zh-CN"/>
              </w:rPr>
              <w:t>35</w:t>
            </w:r>
            <w:r>
              <w:rPr>
                <w:rFonts w:hint="eastAsia" w:ascii="宋体" w:hAnsi="宋体"/>
                <w:bCs/>
                <w:color w:val="auto"/>
                <w:szCs w:val="21"/>
                <w:highlight w:val="none"/>
              </w:rPr>
              <w:t>分</w:t>
            </w:r>
          </w:p>
          <w:p>
            <w:pPr>
              <w:spacing w:line="400" w:lineRule="exact"/>
              <w:rPr>
                <w:rFonts w:ascii="宋体" w:hAnsi="宋体"/>
                <w:color w:val="auto"/>
                <w:szCs w:val="21"/>
                <w:highlight w:val="none"/>
              </w:rPr>
            </w:pPr>
            <w:r>
              <w:rPr>
                <w:rFonts w:ascii="宋体" w:hAnsi="宋体"/>
                <w:b/>
                <w:color w:val="auto"/>
                <w:szCs w:val="21"/>
                <w:highlight w:val="none"/>
              </w:rPr>
              <w:t>C投标报价部分：</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分</w:t>
            </w:r>
          </w:p>
          <w:p>
            <w:pPr>
              <w:spacing w:line="400" w:lineRule="exact"/>
              <w:rPr>
                <w:color w:val="auto"/>
                <w:highlight w:val="none"/>
              </w:rPr>
            </w:pPr>
            <w:r>
              <w:rPr>
                <w:rFonts w:hint="eastAsia" w:ascii="宋体" w:hAnsi="宋体" w:cs="宋体"/>
                <w:color w:val="auto"/>
                <w:szCs w:val="21"/>
                <w:highlight w:val="none"/>
              </w:rPr>
              <w:t>注：投标人综合得分为各评委A+B+C的总分的算术平均分（分数出现小数点时，保留小数点后二位，第三位小数四舍五入）。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spacing w:line="400" w:lineRule="exact"/>
              <w:jc w:val="center"/>
              <w:rPr>
                <w:rFonts w:ascii="宋体" w:hAnsi="宋体"/>
                <w:color w:val="auto"/>
                <w:szCs w:val="21"/>
                <w:highlight w:val="none"/>
              </w:rPr>
            </w:pPr>
            <w:r>
              <w:rPr>
                <w:rFonts w:ascii="宋体" w:hAnsi="宋体"/>
                <w:color w:val="auto"/>
                <w:szCs w:val="21"/>
                <w:highlight w:val="none"/>
              </w:rPr>
              <w:t>2.2.2</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7136" w:type="dxa"/>
            <w:vAlign w:val="center"/>
          </w:tcPr>
          <w:p>
            <w:pPr>
              <w:spacing w:line="400" w:lineRule="exact"/>
              <w:jc w:val="left"/>
              <w:rPr>
                <w:rFonts w:ascii="宋体" w:hAnsi="宋体"/>
                <w:color w:val="auto"/>
                <w:szCs w:val="21"/>
                <w:highlight w:val="none"/>
              </w:rPr>
            </w:pPr>
            <w:r>
              <w:rPr>
                <w:rFonts w:hint="eastAsia" w:ascii="宋体" w:hAnsi="宋体" w:cs="宋体"/>
                <w:color w:val="auto"/>
                <w:szCs w:val="21"/>
                <w:highlight w:val="none"/>
              </w:rPr>
              <w:t>以通过初步评审并经算术校核的投标人有效投标报价中，若位于[最高投标限价×80%，最高投标限价]区间的有效投标报价大于5个，去一个最高价和一个最低价后，剩余报价的算术平均值为评标基准价。若位于[最高投标限价×80%，最高投标限价]区间的有效投标报价少于或等于5个，直接取区间中的报价的算术平均值为评标基准价。若没有有效投标报价位于[最高投标限价×80%，最高投标限价]区间，直接取最高投标限价×80%作为评标基准价。评标基准价保留到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pPr>
              <w:spacing w:line="400" w:lineRule="exact"/>
              <w:jc w:val="center"/>
              <w:rPr>
                <w:rFonts w:ascii="宋体" w:hAnsi="宋体"/>
                <w:color w:val="auto"/>
                <w:szCs w:val="21"/>
                <w:highlight w:val="none"/>
              </w:rPr>
            </w:pPr>
            <w:r>
              <w:rPr>
                <w:rFonts w:ascii="宋体" w:hAnsi="宋体"/>
                <w:color w:val="auto"/>
                <w:szCs w:val="21"/>
                <w:highlight w:val="none"/>
              </w:rPr>
              <w:t>2.2.3</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投标报价的偏差率=（有效投标报价-</w:t>
            </w:r>
            <w:r>
              <w:rPr>
                <w:rFonts w:hint="eastAsia" w:ascii="宋体" w:hAnsi="宋体" w:cs="宋体"/>
                <w:color w:val="auto"/>
                <w:szCs w:val="21"/>
                <w:highlight w:val="none"/>
              </w:rPr>
              <w:t>评标基准价</w:t>
            </w:r>
            <w:r>
              <w:rPr>
                <w:rFonts w:hint="eastAsia" w:ascii="宋体" w:hAnsi="宋体"/>
                <w:color w:val="auto"/>
                <w:szCs w:val="21"/>
                <w:highlight w:val="none"/>
              </w:rPr>
              <w:t>）/</w:t>
            </w:r>
            <w:r>
              <w:rPr>
                <w:rFonts w:hint="eastAsia" w:ascii="宋体" w:hAnsi="宋体" w:cs="宋体"/>
                <w:color w:val="auto"/>
                <w:szCs w:val="21"/>
                <w:highlight w:val="none"/>
              </w:rPr>
              <w:t>评标基准价</w:t>
            </w:r>
            <w:r>
              <w:rPr>
                <w:rFonts w:hint="eastAsia" w:ascii="宋体" w:hAnsi="宋体"/>
                <w:color w:val="auto"/>
                <w:szCs w:val="21"/>
                <w:highlight w:val="none"/>
              </w:rPr>
              <w:t>×100%（偏差率出现小数点时，保留小数点后2位，第三位小数四舍五入。）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7" w:type="dxa"/>
            <w:vMerge w:val="restart"/>
            <w:vAlign w:val="center"/>
          </w:tcPr>
          <w:p>
            <w:pPr>
              <w:spacing w:line="400" w:lineRule="exact"/>
              <w:jc w:val="center"/>
              <w:rPr>
                <w:rFonts w:ascii="宋体" w:hAnsi="宋体"/>
                <w:color w:val="auto"/>
                <w:szCs w:val="21"/>
                <w:highlight w:val="none"/>
              </w:rPr>
            </w:pPr>
            <w:r>
              <w:rPr>
                <w:rFonts w:hint="eastAsia" w:ascii="宋体" w:hAnsi="宋体" w:cs="宋体"/>
                <w:color w:val="auto"/>
                <w:szCs w:val="21"/>
                <w:highlight w:val="none"/>
              </w:rPr>
              <w:t>2.2.4（1）</w:t>
            </w:r>
          </w:p>
        </w:tc>
        <w:tc>
          <w:tcPr>
            <w:tcW w:w="851" w:type="dxa"/>
            <w:vMerge w:val="restart"/>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企业综合实力评分标准</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类似项目业绩</w:t>
            </w:r>
          </w:p>
        </w:tc>
        <w:tc>
          <w:tcPr>
            <w:tcW w:w="7136" w:type="dxa"/>
            <w:vAlign w:val="center"/>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投标人信誉综合评价</w:t>
            </w:r>
          </w:p>
        </w:tc>
        <w:tc>
          <w:tcPr>
            <w:tcW w:w="7136" w:type="dxa"/>
            <w:vAlign w:val="center"/>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拟投入人员综合水平</w:t>
            </w:r>
          </w:p>
        </w:tc>
        <w:tc>
          <w:tcPr>
            <w:tcW w:w="7136" w:type="dxa"/>
            <w:vAlign w:val="center"/>
          </w:tcPr>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7" w:type="dxa"/>
            <w:vMerge w:val="restart"/>
            <w:vAlign w:val="center"/>
          </w:tcPr>
          <w:p>
            <w:pPr>
              <w:spacing w:line="400" w:lineRule="exact"/>
              <w:jc w:val="center"/>
              <w:rPr>
                <w:rFonts w:ascii="宋体" w:hAnsi="宋体"/>
                <w:color w:val="auto"/>
                <w:szCs w:val="21"/>
                <w:highlight w:val="none"/>
              </w:rPr>
            </w:pPr>
            <w:r>
              <w:rPr>
                <w:rFonts w:hint="eastAsia" w:ascii="宋体" w:hAnsi="宋体" w:cs="宋体"/>
                <w:color w:val="auto"/>
                <w:szCs w:val="21"/>
                <w:highlight w:val="none"/>
              </w:rPr>
              <w:t>2.2.4（2）</w:t>
            </w:r>
          </w:p>
        </w:tc>
        <w:tc>
          <w:tcPr>
            <w:tcW w:w="851" w:type="dxa"/>
            <w:vMerge w:val="restart"/>
            <w:vAlign w:val="center"/>
          </w:tcPr>
          <w:p>
            <w:pPr>
              <w:spacing w:line="400" w:lineRule="exact"/>
              <w:ind w:lef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技术方案评分标准</w:t>
            </w:r>
          </w:p>
        </w:tc>
        <w:tc>
          <w:tcPr>
            <w:tcW w:w="1550" w:type="dxa"/>
            <w:vAlign w:val="center"/>
          </w:tcPr>
          <w:p>
            <w:pPr>
              <w:spacing w:line="400" w:lineRule="exact"/>
              <w:ind w:lef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拟投入机械设备计划</w:t>
            </w:r>
          </w:p>
        </w:tc>
        <w:tc>
          <w:tcPr>
            <w:tcW w:w="7136" w:type="dxa"/>
            <w:vAlign w:val="center"/>
          </w:tcPr>
          <w:p>
            <w:pPr>
              <w:spacing w:line="400" w:lineRule="exact"/>
              <w:ind w:left="0" w:firstLine="0" w:firstLineChars="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67" w:type="dxa"/>
            <w:vMerge w:val="continue"/>
            <w:vAlign w:val="center"/>
          </w:tcPr>
          <w:p>
            <w:pPr>
              <w:spacing w:line="400" w:lineRule="exact"/>
              <w:jc w:val="center"/>
              <w:rPr>
                <w:rFonts w:ascii="宋体" w:hAnsi="宋体" w:cs="宋体"/>
                <w:color w:val="auto"/>
                <w:szCs w:val="21"/>
                <w:highlight w:val="none"/>
              </w:rPr>
            </w:pPr>
          </w:p>
        </w:tc>
        <w:tc>
          <w:tcPr>
            <w:tcW w:w="851" w:type="dxa"/>
            <w:vMerge w:val="continue"/>
            <w:vAlign w:val="center"/>
          </w:tcPr>
          <w:p>
            <w:pPr>
              <w:spacing w:line="400" w:lineRule="exact"/>
              <w:jc w:val="center"/>
              <w:rPr>
                <w:rFonts w:ascii="宋体" w:hAnsi="宋体" w:cs="宋体"/>
                <w:color w:val="auto"/>
                <w:szCs w:val="21"/>
                <w:highlight w:val="none"/>
              </w:rPr>
            </w:pPr>
          </w:p>
        </w:tc>
        <w:tc>
          <w:tcPr>
            <w:tcW w:w="1550"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检测</w:t>
            </w:r>
            <w:r>
              <w:rPr>
                <w:rFonts w:hint="eastAsia" w:ascii="宋体" w:hAnsi="宋体"/>
                <w:color w:val="auto"/>
                <w:szCs w:val="21"/>
                <w:highlight w:val="none"/>
                <w:lang w:eastAsia="zh-CN"/>
              </w:rPr>
              <w:t>监测</w:t>
            </w:r>
            <w:r>
              <w:rPr>
                <w:rFonts w:hint="eastAsia" w:ascii="宋体" w:hAnsi="宋体"/>
                <w:color w:val="auto"/>
                <w:szCs w:val="21"/>
                <w:highlight w:val="none"/>
              </w:rPr>
              <w:t>方案</w:t>
            </w:r>
          </w:p>
        </w:tc>
        <w:tc>
          <w:tcPr>
            <w:tcW w:w="7136" w:type="dxa"/>
            <w:vAlign w:val="center"/>
          </w:tcPr>
          <w:p>
            <w:pPr>
              <w:spacing w:line="400" w:lineRule="exact"/>
              <w:ind w:left="420" w:hanging="420" w:hangingChars="20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6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851" w:type="dxa"/>
            <w:vAlign w:val="center"/>
          </w:tcPr>
          <w:p>
            <w:pPr>
              <w:spacing w:line="400" w:lineRule="exact"/>
              <w:ind w:left="-107" w:leftChars="-51" w:right="-107" w:rightChars="-51"/>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8686" w:type="dxa"/>
            <w:gridSpan w:val="2"/>
            <w:vAlign w:val="center"/>
          </w:tcPr>
          <w:p>
            <w:pPr>
              <w:widowControl/>
              <w:spacing w:line="400" w:lineRule="exact"/>
              <w:rPr>
                <w:rFonts w:ascii="宋体" w:hAnsi="宋体" w:cs="宋体"/>
                <w:color w:val="auto"/>
                <w:kern w:val="0"/>
                <w:szCs w:val="21"/>
                <w:highlight w:val="none"/>
              </w:rPr>
            </w:pPr>
            <w:r>
              <w:rPr>
                <w:rFonts w:hint="eastAsia" w:ascii="宋体" w:hAnsi="宋体"/>
                <w:color w:val="auto"/>
                <w:szCs w:val="21"/>
                <w:highlight w:val="none"/>
              </w:rPr>
              <w:t>以评标基准价作为计算各有效投标报价得分的基础，当有效投标报价等于评标基准价时得</w:t>
            </w:r>
            <w:r>
              <w:rPr>
                <w:rFonts w:hint="eastAsia" w:ascii="宋体" w:hAnsi="宋体"/>
                <w:color w:val="auto"/>
                <w:szCs w:val="21"/>
                <w:highlight w:val="none"/>
                <w:lang w:val="en-US" w:eastAsia="zh-CN"/>
              </w:rPr>
              <w:t>10</w:t>
            </w:r>
            <w:r>
              <w:rPr>
                <w:rFonts w:hint="eastAsia" w:ascii="宋体" w:hAnsi="宋体"/>
                <w:color w:val="auto"/>
                <w:szCs w:val="21"/>
                <w:highlight w:val="none"/>
              </w:rPr>
              <w:t>分；有效投标报价与评标基准价之差，每上偏1%扣</w:t>
            </w:r>
            <w:r>
              <w:rPr>
                <w:rFonts w:hint="eastAsia" w:ascii="宋体" w:hAnsi="宋体"/>
                <w:color w:val="auto"/>
                <w:szCs w:val="21"/>
                <w:highlight w:val="none"/>
                <w:lang w:val="en-US" w:eastAsia="zh-CN"/>
              </w:rPr>
              <w:t>0.75</w:t>
            </w:r>
            <w:r>
              <w:rPr>
                <w:rFonts w:hint="eastAsia" w:ascii="宋体" w:hAnsi="宋体"/>
                <w:color w:val="auto"/>
                <w:szCs w:val="21"/>
                <w:highlight w:val="none"/>
              </w:rPr>
              <w:t>分，下偏1%扣0.</w:t>
            </w:r>
            <w:r>
              <w:rPr>
                <w:rFonts w:hint="eastAsia" w:ascii="宋体" w:hAnsi="宋体"/>
                <w:color w:val="auto"/>
                <w:szCs w:val="21"/>
                <w:highlight w:val="none"/>
                <w:lang w:val="en-US" w:eastAsia="zh-CN"/>
              </w:rPr>
              <w:t>5</w:t>
            </w:r>
            <w:r>
              <w:rPr>
                <w:rFonts w:hint="eastAsia" w:ascii="宋体" w:hAnsi="宋体"/>
                <w:color w:val="auto"/>
                <w:szCs w:val="21"/>
                <w:highlight w:val="none"/>
              </w:rPr>
              <w:t>分；最多减至0分止。</w:t>
            </w:r>
            <w:r>
              <w:rPr>
                <w:rFonts w:hint="eastAsia" w:ascii="宋体" w:hAnsi="宋体"/>
                <w:b/>
                <w:color w:val="auto"/>
                <w:szCs w:val="21"/>
                <w:highlight w:val="none"/>
              </w:rPr>
              <w:t>得分精确到小数点后两位。</w:t>
            </w:r>
          </w:p>
        </w:tc>
      </w:tr>
    </w:tbl>
    <w:p>
      <w:pPr>
        <w:rPr>
          <w:rFonts w:hint="eastAsia" w:ascii="宋体" w:hAnsi="宋体" w:cs="宋体"/>
          <w:color w:val="auto"/>
          <w:szCs w:val="21"/>
          <w:highlight w:val="none"/>
        </w:rPr>
      </w:pPr>
      <w:r>
        <w:rPr>
          <w:rFonts w:cs="宋体"/>
          <w:color w:val="auto"/>
          <w:szCs w:val="21"/>
          <w:highlight w:val="none"/>
        </w:rPr>
        <w:br w:type="page"/>
      </w:r>
      <w:bookmarkStart w:id="109" w:name="_Toc2105"/>
      <w:bookmarkStart w:id="110" w:name="_Toc19098"/>
    </w:p>
    <w:p>
      <w:pPr>
        <w:pStyle w:val="5"/>
        <w:rPr>
          <w:color w:val="auto"/>
          <w:highlight w:val="none"/>
        </w:rPr>
      </w:pPr>
      <w:bookmarkStart w:id="111" w:name="_Toc118553982"/>
      <w:bookmarkStart w:id="112" w:name="_Toc18735"/>
      <w:r>
        <w:rPr>
          <w:rFonts w:hint="eastAsia"/>
          <w:color w:val="auto"/>
          <w:highlight w:val="none"/>
        </w:rPr>
        <w:t>附表一：形式评审表</w:t>
      </w:r>
      <w:bookmarkEnd w:id="111"/>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tbl>
      <w:tblPr>
        <w:tblStyle w:val="27"/>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794"/>
        <w:gridCol w:w="856"/>
        <w:gridCol w:w="857"/>
        <w:gridCol w:w="857"/>
        <w:gridCol w:w="857"/>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4794" w:type="dxa"/>
            <w:tcBorders>
              <w:tl2br w:val="single" w:color="auto" w:sz="4" w:space="0"/>
            </w:tcBorders>
            <w:vAlign w:val="center"/>
          </w:tcPr>
          <w:p>
            <w:pPr>
              <w:tabs>
                <w:tab w:val="left" w:pos="720"/>
              </w:tabs>
              <w:snapToGrid w:val="0"/>
              <w:spacing w:line="276" w:lineRule="auto"/>
              <w:ind w:firstLine="2415" w:firstLineChars="1150"/>
              <w:rPr>
                <w:rFonts w:ascii="宋体" w:hAnsi="宋体"/>
                <w:color w:val="auto"/>
                <w:szCs w:val="21"/>
                <w:highlight w:val="none"/>
              </w:rPr>
            </w:pPr>
            <w:r>
              <w:rPr>
                <w:rFonts w:hint="eastAsia" w:ascii="宋体" w:hAnsi="宋体"/>
                <w:color w:val="auto"/>
                <w:szCs w:val="21"/>
                <w:highlight w:val="none"/>
              </w:rPr>
              <w:t>投标人名称</w:t>
            </w:r>
          </w:p>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856" w:type="dxa"/>
            <w:vAlign w:val="center"/>
          </w:tcPr>
          <w:p>
            <w:pPr>
              <w:tabs>
                <w:tab w:val="left" w:pos="720"/>
              </w:tabs>
              <w:snapToGrid w:val="0"/>
              <w:spacing w:line="276" w:lineRule="auto"/>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4794"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名称：与企业法人营业执照（或事业单位法人证书）、计量认证合格证书、资质证书一致。联合体投标的，联合体各方名称须和相应的企业法人营业执照（或事业单位法人证书）、计量认证合格证书、资质证书的名称一致。</w:t>
            </w:r>
          </w:p>
        </w:tc>
        <w:tc>
          <w:tcPr>
            <w:tcW w:w="856"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4794"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s="宋体"/>
                <w:color w:val="auto"/>
                <w:szCs w:val="21"/>
                <w:highlight w:val="none"/>
              </w:rPr>
              <w:t>投标函及其附表签字盖章</w:t>
            </w:r>
            <w:r>
              <w:rPr>
                <w:rFonts w:hint="eastAsia" w:ascii="宋体" w:hAnsi="宋体" w:cs="宋体"/>
                <w:color w:val="auto"/>
                <w:szCs w:val="21"/>
                <w:highlight w:val="none"/>
                <w:lang w:eastAsia="zh-CN"/>
              </w:rPr>
              <w:t>：</w:t>
            </w:r>
            <w:r>
              <w:rPr>
                <w:rFonts w:hint="eastAsia" w:ascii="宋体" w:hAnsi="宋体"/>
                <w:color w:val="auto"/>
                <w:szCs w:val="21"/>
                <w:highlight w:val="none"/>
              </w:rPr>
              <w:t>投标函及其附表格式及签字盖章符合招标文件要求，由法定代表人签字或盖章的，应附法定代表人证明书，由代理人签字或盖章的，应附法定代表人证明书及授权委托书。</w:t>
            </w:r>
          </w:p>
        </w:tc>
        <w:tc>
          <w:tcPr>
            <w:tcW w:w="856"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4794"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s="宋体"/>
                <w:color w:val="auto"/>
                <w:szCs w:val="21"/>
                <w:highlight w:val="none"/>
              </w:rPr>
              <w:t>投标文件格式</w:t>
            </w:r>
            <w:r>
              <w:rPr>
                <w:rFonts w:hint="eastAsia" w:ascii="宋体" w:hAnsi="宋体" w:cs="宋体"/>
                <w:color w:val="auto"/>
                <w:szCs w:val="21"/>
                <w:highlight w:val="none"/>
                <w:lang w:eastAsia="zh-CN"/>
              </w:rPr>
              <w:t>：</w:t>
            </w:r>
            <w:r>
              <w:rPr>
                <w:rFonts w:hint="eastAsia" w:ascii="宋体" w:hAnsi="宋体"/>
                <w:color w:val="auto"/>
                <w:szCs w:val="21"/>
                <w:highlight w:val="none"/>
              </w:rPr>
              <w:t>符合第六章投标文件格式中“投标函”</w:t>
            </w:r>
            <w:r>
              <w:rPr>
                <w:rFonts w:hint="eastAsia" w:ascii="宋体" w:hAnsi="宋体"/>
                <w:color w:val="auto"/>
                <w:szCs w:val="21"/>
                <w:highlight w:val="none"/>
                <w:lang w:eastAsia="zh-CN"/>
              </w:rPr>
              <w:t>、</w:t>
            </w:r>
            <w:r>
              <w:rPr>
                <w:rFonts w:hint="eastAsia" w:ascii="宋体" w:hAnsi="宋体"/>
                <w:color w:val="auto"/>
                <w:szCs w:val="21"/>
                <w:highlight w:val="none"/>
              </w:rPr>
              <w:t>“投标函附表”</w:t>
            </w:r>
            <w:r>
              <w:rPr>
                <w:rFonts w:hint="eastAsia" w:ascii="宋体" w:hAnsi="宋体"/>
                <w:color w:val="auto"/>
                <w:szCs w:val="21"/>
                <w:highlight w:val="none"/>
                <w:lang w:eastAsia="zh-CN"/>
              </w:rPr>
              <w:t>、</w:t>
            </w:r>
            <w:r>
              <w:rPr>
                <w:rFonts w:hint="eastAsia" w:ascii="宋体" w:hAnsi="宋体"/>
                <w:color w:val="auto"/>
                <w:szCs w:val="21"/>
                <w:highlight w:val="none"/>
              </w:rPr>
              <w:t>“投标报价书”</w:t>
            </w:r>
            <w:r>
              <w:rPr>
                <w:rFonts w:hint="eastAsia" w:ascii="宋体" w:hAnsi="宋体"/>
                <w:color w:val="auto"/>
                <w:szCs w:val="21"/>
                <w:highlight w:val="none"/>
                <w:lang w:eastAsia="zh-CN"/>
              </w:rPr>
              <w:t>、</w:t>
            </w:r>
            <w:r>
              <w:rPr>
                <w:rFonts w:hint="eastAsia" w:ascii="宋体" w:hAnsi="宋体"/>
                <w:color w:val="auto"/>
                <w:szCs w:val="21"/>
                <w:highlight w:val="none"/>
              </w:rPr>
              <w:t>“投标申请人声明”</w:t>
            </w:r>
            <w:r>
              <w:rPr>
                <w:rFonts w:hint="eastAsia" w:ascii="宋体" w:hAnsi="宋体"/>
                <w:color w:val="auto"/>
                <w:szCs w:val="21"/>
                <w:highlight w:val="none"/>
                <w:lang w:eastAsia="zh-CN"/>
              </w:rPr>
              <w:t>、</w:t>
            </w:r>
            <w:r>
              <w:rPr>
                <w:rFonts w:hint="eastAsia" w:ascii="宋体" w:hAnsi="宋体"/>
                <w:color w:val="auto"/>
                <w:szCs w:val="21"/>
                <w:highlight w:val="none"/>
              </w:rPr>
              <w:t>“联合体协议书”（如有）的规定。</w:t>
            </w:r>
          </w:p>
        </w:tc>
        <w:tc>
          <w:tcPr>
            <w:tcW w:w="856"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4794"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s="宋体"/>
                <w:color w:val="auto"/>
                <w:szCs w:val="21"/>
                <w:highlight w:val="none"/>
              </w:rPr>
              <w:t>备选投标方案</w:t>
            </w:r>
            <w:r>
              <w:rPr>
                <w:rFonts w:hint="eastAsia" w:ascii="宋体" w:hAnsi="宋体"/>
                <w:color w:val="auto"/>
                <w:szCs w:val="21"/>
                <w:highlight w:val="none"/>
              </w:rPr>
              <w:t>：没有提交备选投标方案。</w:t>
            </w:r>
          </w:p>
        </w:tc>
        <w:tc>
          <w:tcPr>
            <w:tcW w:w="856"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4794"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s="宋体"/>
                <w:color w:val="auto"/>
                <w:szCs w:val="21"/>
                <w:highlight w:val="none"/>
              </w:rPr>
              <w:t>投标人机器码</w:t>
            </w: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评标系统的检索信息为准)，其投标将被否决。</w:t>
            </w:r>
          </w:p>
        </w:tc>
        <w:tc>
          <w:tcPr>
            <w:tcW w:w="856"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4794"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856"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bl>
    <w:p>
      <w:pPr>
        <w:rPr>
          <w:rFonts w:ascii="宋体" w:hAnsi="宋体"/>
          <w:color w:val="auto"/>
          <w:sz w:val="18"/>
          <w:szCs w:val="18"/>
          <w:highlight w:val="none"/>
        </w:rPr>
      </w:pPr>
    </w:p>
    <w:p>
      <w:pPr>
        <w:pStyle w:val="5"/>
        <w:spacing w:line="360" w:lineRule="auto"/>
        <w:jc w:val="left"/>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pPr>
        <w:pStyle w:val="5"/>
        <w:spacing w:line="360" w:lineRule="auto"/>
        <w:jc w:val="left"/>
        <w:rPr>
          <w:rFonts w:hint="eastAsia" w:cs="宋体"/>
          <w:color w:val="auto"/>
          <w:sz w:val="28"/>
          <w:szCs w:val="28"/>
          <w:highlight w:val="none"/>
          <w:lang w:val="en-US" w:eastAsia="zh-CN"/>
        </w:rPr>
      </w:pPr>
      <w:r>
        <w:rPr>
          <w:rFonts w:hint="eastAsia"/>
          <w:b w:val="0"/>
          <w:color w:val="auto"/>
          <w:sz w:val="21"/>
          <w:szCs w:val="21"/>
          <w:highlight w:val="none"/>
        </w:rPr>
        <w:t>评委签名：                                            日期：</w:t>
      </w:r>
      <w:r>
        <w:rPr>
          <w:color w:val="auto"/>
          <w:highlight w:val="none"/>
        </w:rPr>
        <w:br w:type="page"/>
      </w:r>
      <w:bookmarkStart w:id="113" w:name="_Toc118553983"/>
      <w:r>
        <w:rPr>
          <w:rFonts w:hint="eastAsia"/>
          <w:color w:val="auto"/>
          <w:highlight w:val="none"/>
        </w:rPr>
        <w:t>附表二：资格评审表</w:t>
      </w:r>
      <w:bookmarkEnd w:id="113"/>
      <w:r>
        <w:rPr>
          <w:rFonts w:hint="eastAsia" w:cs="宋体"/>
          <w:color w:val="auto"/>
          <w:sz w:val="28"/>
          <w:szCs w:val="28"/>
          <w:highlight w:val="none"/>
          <w:lang w:val="en-US" w:eastAsia="zh-CN"/>
        </w:rPr>
        <w:t xml:space="preserve">                 </w:t>
      </w:r>
    </w:p>
    <w:p>
      <w:pPr>
        <w:pStyle w:val="5"/>
        <w:spacing w:line="360" w:lineRule="auto"/>
        <w:jc w:val="center"/>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资格评审表</w:t>
      </w:r>
    </w:p>
    <w:tbl>
      <w:tblPr>
        <w:tblStyle w:val="27"/>
        <w:tblpPr w:leftFromText="180" w:rightFromText="180" w:vertAnchor="text" w:horzAnchor="margin" w:tblpXSpec="center" w:tblpY="121"/>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295"/>
        <w:gridCol w:w="553"/>
        <w:gridCol w:w="553"/>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1" w:type="dxa"/>
            <w:vAlign w:val="center"/>
          </w:tcPr>
          <w:p>
            <w:pPr>
              <w:pStyle w:val="5"/>
              <w:spacing w:line="360" w:lineRule="auto"/>
              <w:jc w:val="left"/>
              <w:rPr>
                <w:rFonts w:ascii="宋体" w:hAnsi="宋体"/>
                <w:color w:val="auto"/>
                <w:sz w:val="21"/>
                <w:szCs w:val="21"/>
                <w:highlight w:val="none"/>
              </w:rPr>
            </w:pPr>
            <w:r>
              <w:rPr>
                <w:rFonts w:hint="eastAsia" w:ascii="宋体" w:hAnsi="宋体"/>
                <w:color w:val="auto"/>
                <w:sz w:val="21"/>
                <w:szCs w:val="21"/>
                <w:highlight w:val="none"/>
              </w:rPr>
              <w:t>编号</w:t>
            </w:r>
          </w:p>
        </w:tc>
        <w:tc>
          <w:tcPr>
            <w:tcW w:w="7295" w:type="dxa"/>
            <w:tcBorders>
              <w:tl2br w:val="single" w:color="auto" w:sz="4" w:space="0"/>
            </w:tcBorders>
            <w:vAlign w:val="center"/>
          </w:tcPr>
          <w:p>
            <w:pPr>
              <w:pStyle w:val="5"/>
              <w:spacing w:line="360" w:lineRule="auto"/>
              <w:jc w:val="left"/>
              <w:rPr>
                <w:rFonts w:ascii="宋体" w:hAnsi="宋体"/>
                <w:color w:val="auto"/>
                <w:sz w:val="21"/>
                <w:szCs w:val="21"/>
                <w:highlight w:val="none"/>
              </w:rPr>
            </w:pPr>
            <w:r>
              <w:rPr>
                <w:rFonts w:hint="eastAsia" w:ascii="宋体" w:hAnsi="宋体"/>
                <w:color w:val="auto"/>
                <w:sz w:val="21"/>
                <w:szCs w:val="21"/>
                <w:highlight w:val="none"/>
              </w:rPr>
              <w:t>投标人名称</w:t>
            </w:r>
          </w:p>
          <w:p>
            <w:pPr>
              <w:pStyle w:val="5"/>
              <w:spacing w:line="360" w:lineRule="auto"/>
              <w:jc w:val="left"/>
              <w:rPr>
                <w:rFonts w:ascii="宋体" w:hAnsi="宋体"/>
                <w:color w:val="auto"/>
                <w:sz w:val="21"/>
                <w:szCs w:val="21"/>
                <w:highlight w:val="none"/>
              </w:rPr>
            </w:pPr>
            <w:r>
              <w:rPr>
                <w:rFonts w:hint="eastAsia" w:ascii="宋体" w:hAnsi="宋体"/>
                <w:color w:val="auto"/>
                <w:sz w:val="21"/>
                <w:szCs w:val="21"/>
                <w:highlight w:val="none"/>
              </w:rPr>
              <w:t>审查项目</w:t>
            </w:r>
          </w:p>
        </w:tc>
        <w:tc>
          <w:tcPr>
            <w:tcW w:w="553" w:type="dxa"/>
            <w:vAlign w:val="center"/>
          </w:tcPr>
          <w:p>
            <w:pPr>
              <w:pStyle w:val="5"/>
              <w:spacing w:line="360" w:lineRule="auto"/>
              <w:jc w:val="left"/>
              <w:rPr>
                <w:rFonts w:ascii="宋体" w:hAnsi="宋体"/>
                <w:color w:val="auto"/>
                <w:sz w:val="21"/>
                <w:szCs w:val="21"/>
                <w:highlight w:val="none"/>
              </w:rPr>
            </w:pPr>
          </w:p>
        </w:tc>
        <w:tc>
          <w:tcPr>
            <w:tcW w:w="553" w:type="dxa"/>
            <w:vAlign w:val="center"/>
          </w:tcPr>
          <w:p>
            <w:pPr>
              <w:pStyle w:val="5"/>
              <w:spacing w:line="360" w:lineRule="auto"/>
              <w:jc w:val="left"/>
              <w:rPr>
                <w:rFonts w:ascii="宋体" w:hAnsi="宋体"/>
                <w:color w:val="auto"/>
                <w:sz w:val="21"/>
                <w:szCs w:val="21"/>
                <w:highlight w:val="none"/>
              </w:rPr>
            </w:pPr>
          </w:p>
        </w:tc>
        <w:tc>
          <w:tcPr>
            <w:tcW w:w="554" w:type="dxa"/>
            <w:vAlign w:val="center"/>
          </w:tcPr>
          <w:p>
            <w:pPr>
              <w:pStyle w:val="5"/>
              <w:spacing w:line="360" w:lineRule="auto"/>
              <w:jc w:val="lef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295" w:type="dxa"/>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企业法人营业执照（或事业单位法人证书）</w:t>
            </w:r>
            <w:r>
              <w:rPr>
                <w:rFonts w:hint="eastAsia" w:ascii="宋体" w:hAnsi="宋体"/>
                <w:color w:val="auto"/>
                <w:sz w:val="21"/>
                <w:szCs w:val="21"/>
                <w:highlight w:val="none"/>
                <w:lang w:eastAsia="zh-CN"/>
              </w:rPr>
              <w:t>：</w:t>
            </w:r>
            <w:r>
              <w:rPr>
                <w:rFonts w:hint="eastAsia" w:ascii="宋体" w:hAnsi="宋体" w:cs="宋体"/>
                <w:color w:val="auto"/>
                <w:szCs w:val="21"/>
                <w:highlight w:val="none"/>
              </w:rPr>
              <w:t>符合第二章“投标人须知”第3.5.1项规定。</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295" w:type="dxa"/>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s="宋体"/>
                <w:color w:val="auto"/>
                <w:szCs w:val="21"/>
                <w:highlight w:val="none"/>
              </w:rPr>
              <w:t>资质要求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符合第二章“投标人须知”第1.4.1项规定。</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7295" w:type="dxa"/>
            <w:vAlign w:val="center"/>
          </w:tcPr>
          <w:p>
            <w:pPr>
              <w:tabs>
                <w:tab w:val="left" w:pos="720"/>
              </w:tabs>
              <w:snapToGrid w:val="0"/>
              <w:spacing w:line="276" w:lineRule="auto"/>
              <w:rPr>
                <w:rFonts w:hint="eastAsia" w:ascii="宋体" w:hAnsi="宋体" w:eastAsia="宋体"/>
                <w:color w:val="auto"/>
                <w:sz w:val="21"/>
                <w:szCs w:val="21"/>
                <w:highlight w:val="none"/>
                <w:lang w:val="en-US" w:eastAsia="zh-CN"/>
              </w:rPr>
            </w:pP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符合第二章“投标人须知”第1.4.1项规定。</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7295" w:type="dxa"/>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s="宋体"/>
                <w:color w:val="auto"/>
                <w:szCs w:val="21"/>
                <w:highlight w:val="none"/>
              </w:rPr>
              <w:t>其他要求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符合第二章“投标人须知”第1.4.1项规定。</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7295" w:type="dxa"/>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s="宋体"/>
                <w:color w:val="auto"/>
                <w:szCs w:val="21"/>
                <w:highlight w:val="none"/>
              </w:rPr>
              <w:t>联合体投标人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本项目接受联合体投标。</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6</w:t>
            </w:r>
          </w:p>
        </w:tc>
        <w:tc>
          <w:tcPr>
            <w:tcW w:w="7295" w:type="dxa"/>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s="宋体"/>
                <w:color w:val="auto"/>
                <w:szCs w:val="21"/>
                <w:highlight w:val="none"/>
              </w:rPr>
              <w:t>不存在禁止投标的情形</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不存在第二章“投标人须知”第 1.4.3 项规定的任何一种情形（以《投标申请人声明》为准）</w:t>
            </w:r>
            <w:r>
              <w:rPr>
                <w:rFonts w:hint="eastAsia" w:ascii="宋体" w:hAnsi="宋体" w:cs="宋体"/>
                <w:color w:val="auto"/>
                <w:szCs w:val="21"/>
                <w:highlight w:val="none"/>
                <w:lang w:eastAsia="zh-CN"/>
              </w:rPr>
              <w:t>。</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结论</w:t>
            </w:r>
          </w:p>
        </w:tc>
        <w:tc>
          <w:tcPr>
            <w:tcW w:w="7295" w:type="dxa"/>
            <w:vAlign w:val="center"/>
          </w:tcPr>
          <w:p>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是否通过并进入下一阶段评审</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bl>
    <w:p>
      <w:pPr>
        <w:pStyle w:val="5"/>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pPr>
        <w:pStyle w:val="5"/>
        <w:rPr>
          <w:rFonts w:cs="宋体"/>
          <w:color w:val="auto"/>
          <w:szCs w:val="21"/>
          <w:highlight w:val="none"/>
        </w:rPr>
      </w:pPr>
      <w:r>
        <w:rPr>
          <w:rFonts w:hint="eastAsia"/>
          <w:b w:val="0"/>
          <w:color w:val="auto"/>
          <w:sz w:val="21"/>
          <w:szCs w:val="21"/>
          <w:highlight w:val="none"/>
        </w:rPr>
        <w:t>评委签名：                                            日期：</w:t>
      </w:r>
      <w:r>
        <w:rPr>
          <w:color w:val="auto"/>
          <w:highlight w:val="none"/>
        </w:rPr>
        <w:br w:type="page"/>
      </w:r>
      <w:bookmarkStart w:id="114" w:name="_Toc118553984"/>
      <w:r>
        <w:rPr>
          <w:rFonts w:hint="eastAsia"/>
          <w:color w:val="auto"/>
          <w:highlight w:val="none"/>
        </w:rPr>
        <w:t>附表三：响应性评审表</w:t>
      </w:r>
      <w:bookmarkEnd w:id="114"/>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响应性评审表</w:t>
      </w:r>
    </w:p>
    <w:p>
      <w:pPr>
        <w:rPr>
          <w:rFonts w:ascii="宋体" w:hAnsi="宋体"/>
          <w:color w:val="auto"/>
          <w:sz w:val="18"/>
          <w:szCs w:val="18"/>
          <w:highlight w:val="none"/>
        </w:rPr>
      </w:pPr>
    </w:p>
    <w:tbl>
      <w:tblPr>
        <w:tblStyle w:val="27"/>
        <w:tblpPr w:leftFromText="180" w:rightFromText="180" w:vertAnchor="text" w:horzAnchor="margin"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173"/>
        <w:gridCol w:w="676"/>
        <w:gridCol w:w="677"/>
        <w:gridCol w:w="677"/>
        <w:gridCol w:w="677"/>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5173" w:type="dxa"/>
            <w:tcBorders>
              <w:tl2br w:val="single" w:color="auto" w:sz="4" w:space="0"/>
            </w:tcBorders>
            <w:vAlign w:val="center"/>
          </w:tcPr>
          <w:p>
            <w:pPr>
              <w:tabs>
                <w:tab w:val="left" w:pos="720"/>
              </w:tabs>
              <w:snapToGrid w:val="0"/>
              <w:spacing w:line="276" w:lineRule="auto"/>
              <w:ind w:firstLine="3780" w:firstLineChars="1800"/>
              <w:rPr>
                <w:rFonts w:ascii="宋体" w:hAnsi="宋体"/>
                <w:color w:val="auto"/>
                <w:szCs w:val="21"/>
                <w:highlight w:val="none"/>
              </w:rPr>
            </w:pPr>
            <w:r>
              <w:rPr>
                <w:rFonts w:hint="eastAsia" w:ascii="宋体" w:hAnsi="宋体"/>
                <w:color w:val="auto"/>
                <w:szCs w:val="21"/>
                <w:highlight w:val="none"/>
              </w:rPr>
              <w:t>投标人名称</w:t>
            </w:r>
          </w:p>
          <w:p>
            <w:pPr>
              <w:tabs>
                <w:tab w:val="left" w:pos="720"/>
              </w:tabs>
              <w:snapToGrid w:val="0"/>
              <w:spacing w:line="276" w:lineRule="auto"/>
              <w:rPr>
                <w:rFonts w:ascii="宋体" w:hAnsi="宋体"/>
                <w:color w:val="auto"/>
                <w:szCs w:val="21"/>
                <w:highlight w:val="none"/>
              </w:rPr>
            </w:pPr>
          </w:p>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676" w:type="dxa"/>
            <w:vAlign w:val="center"/>
          </w:tcPr>
          <w:p>
            <w:pPr>
              <w:tabs>
                <w:tab w:val="left" w:pos="720"/>
              </w:tabs>
              <w:snapToGrid w:val="0"/>
              <w:spacing w:line="276" w:lineRule="auto"/>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投标报价：符合第二章“投标人须知”第</w:t>
            </w:r>
            <w:r>
              <w:rPr>
                <w:rFonts w:ascii="宋体" w:hAnsi="宋体" w:cs="宋体"/>
                <w:color w:val="auto"/>
                <w:szCs w:val="21"/>
                <w:highlight w:val="none"/>
              </w:rPr>
              <w:t>3.2款规定；</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投标内容：符合第二章“投标人须知”第</w:t>
            </w:r>
            <w:r>
              <w:rPr>
                <w:rFonts w:ascii="宋体" w:hAnsi="宋体" w:cs="宋体"/>
                <w:color w:val="auto"/>
                <w:szCs w:val="21"/>
                <w:highlight w:val="none"/>
              </w:rPr>
              <w:t>1.3.1规定；</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服务期限：符合第二章“投标人须知”第</w:t>
            </w:r>
            <w:r>
              <w:rPr>
                <w:rFonts w:ascii="宋体" w:hAnsi="宋体" w:cs="宋体"/>
                <w:color w:val="auto"/>
                <w:szCs w:val="21"/>
                <w:highlight w:val="none"/>
              </w:rPr>
              <w:t>1.3.2规定；</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质量标准：符合第二章“投标人须知”第</w:t>
            </w:r>
            <w:r>
              <w:rPr>
                <w:rFonts w:ascii="宋体" w:hAnsi="宋体" w:cs="宋体"/>
                <w:color w:val="auto"/>
                <w:szCs w:val="21"/>
                <w:highlight w:val="none"/>
              </w:rPr>
              <w:t>1.3.3规定；</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投标有效期：符合第二章“投标人须知”第</w:t>
            </w:r>
            <w:r>
              <w:rPr>
                <w:rFonts w:ascii="宋体" w:hAnsi="宋体" w:cs="宋体"/>
                <w:color w:val="auto"/>
                <w:szCs w:val="21"/>
                <w:highlight w:val="none"/>
              </w:rPr>
              <w:t>3.3.1规定；</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6</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投标保证金：符合第二章“投标人须知”第</w:t>
            </w:r>
            <w:r>
              <w:rPr>
                <w:rFonts w:ascii="宋体" w:hAnsi="宋体" w:cs="宋体"/>
                <w:color w:val="auto"/>
                <w:szCs w:val="21"/>
                <w:highlight w:val="none"/>
              </w:rPr>
              <w:t>3.4.1规定；</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7</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串通投标情形：不存在串通投标情形（串通投标情形以《中华人民共和国招标投标法实施条例》的规定为准）；</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5173"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bl>
    <w:p>
      <w:pPr>
        <w:pStyle w:val="5"/>
        <w:rPr>
          <w:rFonts w:hint="eastAsia" w:cs="宋体"/>
          <w:b w:val="0"/>
          <w:color w:val="auto"/>
          <w:sz w:val="20"/>
          <w:szCs w:val="20"/>
          <w:highlight w:val="none"/>
        </w:rPr>
      </w:pPr>
      <w:r>
        <w:rPr>
          <w:rFonts w:hint="eastAsia" w:cs="宋体"/>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pPr>
        <w:jc w:val="left"/>
        <w:rPr>
          <w:rFonts w:hint="eastAsia" w:ascii="宋体" w:hAnsi="宋体" w:cs="宋体"/>
          <w:color w:val="auto"/>
          <w:szCs w:val="21"/>
          <w:highlight w:val="none"/>
        </w:rPr>
      </w:pPr>
      <w:r>
        <w:rPr>
          <w:rFonts w:hint="eastAsia" w:ascii="宋体" w:hAnsi="宋体" w:cs="宋体"/>
          <w:color w:val="auto"/>
          <w:szCs w:val="21"/>
          <w:highlight w:val="none"/>
        </w:rPr>
        <w:t>评委签名：                                            日期：</w:t>
      </w:r>
    </w:p>
    <w:p>
      <w:pPr>
        <w:pStyle w:val="5"/>
        <w:rPr>
          <w:color w:val="auto"/>
          <w:highlight w:val="none"/>
        </w:rPr>
      </w:pPr>
    </w:p>
    <w:p>
      <w:pPr>
        <w:rPr>
          <w:color w:val="auto"/>
          <w:highlight w:val="none"/>
        </w:rPr>
      </w:pPr>
      <w:r>
        <w:rPr>
          <w:color w:val="auto"/>
          <w:highlight w:val="none"/>
        </w:rPr>
        <w:br w:type="page"/>
      </w:r>
    </w:p>
    <w:p>
      <w:pPr>
        <w:pStyle w:val="5"/>
        <w:rPr>
          <w:color w:val="auto"/>
          <w:highlight w:val="none"/>
        </w:rPr>
      </w:pPr>
      <w:r>
        <w:rPr>
          <w:rFonts w:hint="eastAsia"/>
          <w:color w:val="auto"/>
          <w:highlight w:val="none"/>
        </w:rPr>
        <w:t>附表</w:t>
      </w:r>
      <w:r>
        <w:rPr>
          <w:rFonts w:hint="eastAsia"/>
          <w:color w:val="auto"/>
          <w:highlight w:val="none"/>
          <w:lang w:eastAsia="zh-CN"/>
        </w:rPr>
        <w:t>四</w:t>
      </w:r>
      <w:r>
        <w:rPr>
          <w:rFonts w:hint="eastAsia"/>
          <w:color w:val="auto"/>
          <w:highlight w:val="none"/>
        </w:rPr>
        <w:t>：综合评分表</w:t>
      </w:r>
      <w:bookmarkEnd w:id="109"/>
      <w:bookmarkEnd w:id="110"/>
      <w:bookmarkEnd w:id="112"/>
    </w:p>
    <w:tbl>
      <w:tblPr>
        <w:tblStyle w:val="27"/>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35"/>
        <w:gridCol w:w="977"/>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60" w:lineRule="auto"/>
              <w:jc w:val="center"/>
              <w:rPr>
                <w:rFonts w:hint="eastAsia" w:ascii="宋体" w:hAnsi="宋体" w:eastAsia="宋体" w:cs="宋体"/>
                <w:b/>
                <w:bCs/>
                <w:color w:val="auto"/>
                <w:sz w:val="21"/>
                <w:szCs w:val="21"/>
                <w:highlight w:val="none"/>
              </w:rPr>
            </w:pP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6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ind w:left="181" w:right="-20"/>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ind w:left="136" w:right="59"/>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企业综合实力部分评分标准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55</w:t>
            </w:r>
            <w:r>
              <w:rPr>
                <w:rFonts w:hint="eastAsia" w:ascii="宋体" w:hAnsi="宋体" w:eastAsia="宋体" w:cs="宋体"/>
                <w:b/>
                <w:bCs/>
                <w:color w:val="auto"/>
                <w:sz w:val="21"/>
                <w:szCs w:val="21"/>
                <w:highlight w:val="none"/>
              </w:rPr>
              <w:t>分）</w:t>
            </w:r>
          </w:p>
        </w:tc>
        <w:tc>
          <w:tcPr>
            <w:tcW w:w="2012"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企业资信</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自2020年1月1日至投标截止时间止，投标人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如为联合体，指联合体主办方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承接过的合同金额</w:t>
            </w:r>
            <w:r>
              <w:rPr>
                <w:rFonts w:hint="eastAsia" w:ascii="宋体" w:hAnsi="宋体" w:cs="宋体"/>
                <w:color w:val="auto"/>
                <w:sz w:val="21"/>
                <w:szCs w:val="21"/>
                <w:highlight w:val="none"/>
                <w:lang w:val="en-US" w:eastAsia="zh-CN"/>
              </w:rPr>
              <w:t>600</w:t>
            </w:r>
            <w:r>
              <w:rPr>
                <w:rFonts w:hint="eastAsia" w:ascii="宋体" w:hAnsi="宋体" w:eastAsia="宋体" w:cs="宋体"/>
                <w:color w:val="auto"/>
                <w:sz w:val="21"/>
                <w:szCs w:val="21"/>
                <w:highlight w:val="none"/>
              </w:rPr>
              <w:t>万元或以上类似</w:t>
            </w:r>
            <w:r>
              <w:rPr>
                <w:rFonts w:hint="eastAsia" w:ascii="宋体" w:hAnsi="宋体" w:eastAsia="宋体" w:cs="宋体"/>
                <w:color w:val="auto"/>
                <w:sz w:val="21"/>
                <w:szCs w:val="21"/>
                <w:highlight w:val="none"/>
                <w:lang w:eastAsia="zh-CN"/>
              </w:rPr>
              <w:t>检测</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检测监测</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项目业绩，每项得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rPr>
              <w:t>类似</w:t>
            </w:r>
            <w:r>
              <w:rPr>
                <w:rFonts w:hint="eastAsia" w:ascii="宋体" w:hAnsi="宋体" w:eastAsia="宋体" w:cs="宋体"/>
                <w:b/>
                <w:bCs/>
                <w:color w:val="auto"/>
                <w:sz w:val="21"/>
                <w:szCs w:val="21"/>
                <w:highlight w:val="none"/>
                <w:lang w:eastAsia="zh-CN"/>
              </w:rPr>
              <w:t>检测</w:t>
            </w:r>
            <w:r>
              <w:rPr>
                <w:rFonts w:hint="eastAsia" w:ascii="宋体" w:hAnsi="宋体" w:cs="宋体"/>
                <w:b/>
                <w:bCs/>
                <w:color w:val="auto"/>
                <w:sz w:val="21"/>
                <w:szCs w:val="21"/>
                <w:highlight w:val="none"/>
                <w:lang w:eastAsia="zh-CN"/>
              </w:rPr>
              <w:t>（或</w:t>
            </w:r>
            <w:r>
              <w:rPr>
                <w:rFonts w:hint="eastAsia" w:ascii="宋体" w:hAnsi="宋体" w:eastAsia="宋体" w:cs="宋体"/>
                <w:b/>
                <w:bCs/>
                <w:color w:val="auto"/>
                <w:sz w:val="21"/>
                <w:szCs w:val="21"/>
                <w:highlight w:val="none"/>
              </w:rPr>
              <w:t>检测监测</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业绩是指包含本次招标内容中的一项或多项的建设工程质量</w:t>
            </w:r>
            <w:r>
              <w:rPr>
                <w:rFonts w:hint="eastAsia" w:ascii="宋体" w:hAnsi="宋体" w:eastAsia="宋体" w:cs="宋体"/>
                <w:b/>
                <w:bCs/>
                <w:color w:val="auto"/>
                <w:sz w:val="21"/>
                <w:szCs w:val="21"/>
                <w:highlight w:val="none"/>
                <w:lang w:eastAsia="zh-CN"/>
              </w:rPr>
              <w:t>检测</w:t>
            </w:r>
            <w:r>
              <w:rPr>
                <w:rFonts w:hint="eastAsia" w:ascii="宋体" w:hAnsi="宋体" w:cs="宋体"/>
                <w:b/>
                <w:bCs/>
                <w:color w:val="auto"/>
                <w:sz w:val="21"/>
                <w:szCs w:val="21"/>
                <w:highlight w:val="none"/>
                <w:lang w:eastAsia="zh-CN"/>
              </w:rPr>
              <w:t>（或</w:t>
            </w:r>
            <w:r>
              <w:rPr>
                <w:rFonts w:hint="eastAsia" w:ascii="宋体" w:hAnsi="宋体" w:eastAsia="宋体" w:cs="宋体"/>
                <w:b/>
                <w:bCs/>
                <w:color w:val="auto"/>
                <w:sz w:val="21"/>
                <w:szCs w:val="21"/>
                <w:highlight w:val="none"/>
              </w:rPr>
              <w:t>检测监测</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业绩。需提供中标通知书（或免招标证明）、服务合同关键页、检测报告(最少提供一份检测报告）等清晰的证明材料扫描件，并加盖</w:t>
            </w:r>
            <w:r>
              <w:rPr>
                <w:rFonts w:hint="eastAsia" w:ascii="宋体" w:hAnsi="宋体" w:cs="宋体"/>
                <w:b/>
                <w:bCs/>
                <w:color w:val="auto"/>
                <w:sz w:val="21"/>
                <w:szCs w:val="21"/>
                <w:highlight w:val="none"/>
                <w:lang w:eastAsia="zh-CN"/>
              </w:rPr>
              <w:t>单位公章</w:t>
            </w:r>
            <w:r>
              <w:rPr>
                <w:rFonts w:hint="eastAsia" w:ascii="宋体" w:hAnsi="宋体" w:eastAsia="宋体" w:cs="宋体"/>
                <w:b/>
                <w:bCs/>
                <w:color w:val="auto"/>
                <w:sz w:val="21"/>
                <w:szCs w:val="21"/>
                <w:highlight w:val="none"/>
              </w:rPr>
              <w:t>。业绩时间以合同签订时间为准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金额以中标通知书为准（免招标的项目以合同金额为准）。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lang w:val="en-US"/>
              </w:rPr>
              <w:t>若以联合体方式投标的，本项评分内容</w:t>
            </w:r>
            <w:r>
              <w:rPr>
                <w:rFonts w:hint="eastAsia" w:ascii="宋体" w:hAnsi="宋体" w:eastAsia="宋体" w:cs="宋体"/>
                <w:b/>
                <w:bCs/>
                <w:color w:val="auto"/>
                <w:sz w:val="21"/>
                <w:szCs w:val="21"/>
                <w:highlight w:val="none"/>
              </w:rPr>
              <w:t>以</w:t>
            </w:r>
            <w:r>
              <w:rPr>
                <w:rFonts w:hint="eastAsia" w:ascii="宋体" w:hAnsi="宋体" w:eastAsia="宋体" w:cs="宋体"/>
                <w:b/>
                <w:bCs/>
                <w:color w:val="auto"/>
                <w:sz w:val="21"/>
                <w:szCs w:val="21"/>
                <w:highlight w:val="none"/>
                <w:lang w:eastAsia="zh-CN"/>
              </w:rPr>
              <w:t>主办方</w:t>
            </w:r>
            <w:r>
              <w:rPr>
                <w:rFonts w:hint="eastAsia" w:ascii="宋体" w:hAnsi="宋体" w:eastAsia="宋体" w:cs="宋体"/>
                <w:b/>
                <w:bCs/>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pPr>
              <w:pStyle w:val="25"/>
              <w:adjustRightInd w:val="0"/>
              <w:snapToGrid w:val="0"/>
              <w:spacing w:line="276"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如为联合体，指联合体主办方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具有有效期内的中国合格评定国家认可委员会检验机构证书和实验室认可证书（CNAS），每个证书得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spacing w:line="240" w:lineRule="auto"/>
              <w:jc w:val="left"/>
              <w:rPr>
                <w:rFonts w:hint="eastAsia" w:ascii="宋体" w:hAnsi="宋体" w:eastAsia="宋体" w:cs="宋体"/>
                <w:b w:val="0"/>
                <w:color w:val="auto"/>
                <w:sz w:val="21"/>
                <w:szCs w:val="21"/>
                <w:highlight w:val="none"/>
              </w:rPr>
            </w:pP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eastAsia="zh-CN"/>
              </w:rPr>
              <w:t>①</w:t>
            </w:r>
            <w:r>
              <w:rPr>
                <w:rFonts w:hint="eastAsia" w:ascii="宋体" w:hAnsi="宋体" w:eastAsia="宋体" w:cs="宋体"/>
                <w:b/>
                <w:bCs w:val="0"/>
                <w:color w:val="auto"/>
                <w:sz w:val="21"/>
                <w:szCs w:val="21"/>
                <w:highlight w:val="none"/>
              </w:rPr>
              <w:t>须提供相关证书</w:t>
            </w:r>
            <w:r>
              <w:rPr>
                <w:rFonts w:hint="eastAsia" w:ascii="宋体" w:hAnsi="宋体" w:eastAsia="宋体" w:cs="宋体"/>
                <w:b/>
                <w:bCs w:val="0"/>
                <w:color w:val="auto"/>
                <w:sz w:val="21"/>
                <w:szCs w:val="21"/>
                <w:highlight w:val="none"/>
                <w:lang w:eastAsia="zh-CN"/>
              </w:rPr>
              <w:t>原件</w:t>
            </w:r>
            <w:r>
              <w:rPr>
                <w:rFonts w:hint="eastAsia" w:ascii="宋体" w:hAnsi="宋体" w:eastAsia="宋体" w:cs="宋体"/>
                <w:b/>
                <w:bCs w:val="0"/>
                <w:color w:val="auto"/>
                <w:sz w:val="21"/>
                <w:szCs w:val="21"/>
                <w:highlight w:val="none"/>
              </w:rPr>
              <w:t>清晰扫描件</w:t>
            </w:r>
            <w:r>
              <w:rPr>
                <w:rFonts w:hint="eastAsia" w:ascii="宋体" w:hAnsi="宋体" w:cs="宋体"/>
                <w:b/>
                <w:bCs w:val="0"/>
                <w:color w:val="auto"/>
                <w:sz w:val="21"/>
                <w:szCs w:val="21"/>
                <w:highlight w:val="none"/>
                <w:lang w:eastAsia="zh-CN"/>
              </w:rPr>
              <w:t>并加盖单位公章，</w:t>
            </w:r>
            <w:r>
              <w:rPr>
                <w:rFonts w:hint="eastAsia" w:ascii="宋体" w:hAnsi="宋体" w:eastAsia="宋体" w:cs="宋体"/>
                <w:b/>
                <w:bCs w:val="0"/>
                <w:color w:val="auto"/>
                <w:sz w:val="21"/>
                <w:szCs w:val="21"/>
                <w:highlight w:val="none"/>
              </w:rPr>
              <w:t>证书须在有效期内</w:t>
            </w:r>
            <w:r>
              <w:rPr>
                <w:rFonts w:hint="eastAsia" w:ascii="宋体" w:hAnsi="宋体" w:eastAsia="宋体" w:cs="宋体"/>
                <w:b/>
                <w:bCs w:val="0"/>
                <w:color w:val="auto"/>
                <w:sz w:val="21"/>
                <w:szCs w:val="21"/>
                <w:highlight w:val="none"/>
                <w:lang w:eastAsia="zh-CN"/>
              </w:rPr>
              <w:t>，不提供不得分</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如为联合体，指联合体主办方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具有有效期内的 “环境管理体系、职业健康安全管理体系、质量管理体系、信息安全管理体系、信息技术服务管理体系、知识产权管理体系、履约能力评价体系”认证证书的，每个证书得1分，本项最高得7分。</w:t>
            </w:r>
          </w:p>
          <w:p>
            <w:pPr>
              <w:pStyle w:val="34"/>
              <w:jc w:val="left"/>
              <w:rPr>
                <w:rFonts w:hint="eastAsia" w:ascii="宋体" w:hAnsi="宋体" w:eastAsia="宋体" w:cs="宋体"/>
                <w:b w:val="0"/>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①</w:t>
            </w:r>
            <w:r>
              <w:rPr>
                <w:rFonts w:hint="eastAsia" w:ascii="宋体" w:hAnsi="宋体" w:cs="宋体"/>
                <w:b/>
                <w:bCs/>
                <w:color w:val="auto"/>
                <w:sz w:val="21"/>
                <w:szCs w:val="21"/>
                <w:highlight w:val="none"/>
                <w:lang w:eastAsia="zh-CN"/>
              </w:rPr>
              <w:t>须</w:t>
            </w: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eastAsia="zh-CN"/>
              </w:rPr>
              <w:t>证书原件清晰扫描件并加盖单位公章，同时提供</w:t>
            </w:r>
            <w:r>
              <w:rPr>
                <w:rFonts w:hint="eastAsia" w:ascii="宋体" w:hAnsi="宋体" w:eastAsia="宋体" w:cs="宋体"/>
                <w:b/>
                <w:bCs/>
                <w:color w:val="auto"/>
                <w:sz w:val="21"/>
                <w:szCs w:val="21"/>
                <w:highlight w:val="none"/>
              </w:rPr>
              <w:t>国家市场监督管理局“全国认证认可信息公告服务平台”此网址（http://cx.cnca.cn/）查询截图结果，没有的或证书不在有效期内的不得分，没有提供此网址查询结果截图和证书扫描件的不得分。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投标人（如为联合体，指联合体主办方）获得过企业信用等级证书：</w:t>
            </w:r>
          </w:p>
          <w:p>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获得国家级企业信用AAA级证书的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得5分；</w:t>
            </w:r>
          </w:p>
          <w:p>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获得省级企业信用AA级证书的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得2分</w:t>
            </w:r>
            <w:r>
              <w:rPr>
                <w:rFonts w:hint="eastAsia" w:ascii="宋体" w:hAnsi="宋体" w:cs="宋体"/>
                <w:color w:val="auto"/>
                <w:sz w:val="21"/>
                <w:szCs w:val="21"/>
                <w:highlight w:val="none"/>
                <w:lang w:eastAsia="zh-CN"/>
              </w:rPr>
              <w:t>；</w:t>
            </w:r>
          </w:p>
          <w:p>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获得省级企业信用A级证书的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本项最高得5分。</w:t>
            </w:r>
          </w:p>
          <w:p>
            <w:pPr>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w:t>
            </w:r>
            <w:r>
              <w:rPr>
                <w:rFonts w:hint="eastAsia" w:ascii="宋体" w:hAnsi="宋体" w:eastAsia="宋体" w:cs="宋体"/>
                <w:b/>
                <w:bCs/>
                <w:color w:val="auto"/>
                <w:sz w:val="21"/>
                <w:szCs w:val="21"/>
                <w:highlight w:val="none"/>
                <w:lang w:val="en-US" w:eastAsia="zh-CN"/>
              </w:rPr>
              <w:t>①</w:t>
            </w:r>
            <w:r>
              <w:rPr>
                <w:rFonts w:hint="eastAsia" w:ascii="宋体" w:hAnsi="宋体" w:cs="宋体"/>
                <w:b/>
                <w:bCs/>
                <w:color w:val="auto"/>
                <w:kern w:val="2"/>
                <w:sz w:val="21"/>
                <w:szCs w:val="21"/>
                <w:highlight w:val="none"/>
                <w:lang w:val="en-US" w:eastAsia="zh-CN" w:bidi="ar-SA"/>
              </w:rPr>
              <w:t>须提供证书原件清晰扫描件并加盖单位公章，</w:t>
            </w:r>
            <w:r>
              <w:rPr>
                <w:rFonts w:hint="eastAsia" w:ascii="宋体" w:hAnsi="宋体" w:eastAsia="宋体" w:cs="宋体"/>
                <w:b/>
                <w:bCs/>
                <w:color w:val="auto"/>
                <w:kern w:val="2"/>
                <w:sz w:val="21"/>
                <w:szCs w:val="21"/>
                <w:highlight w:val="none"/>
                <w:lang w:val="en-US" w:eastAsia="zh-CN" w:bidi="ar-SA"/>
              </w:rPr>
              <w:t>证书须在有效期内。</w:t>
            </w:r>
            <w:r>
              <w:rPr>
                <w:rFonts w:hint="eastAsia" w:ascii="宋体" w:hAnsi="宋体" w:cs="宋体"/>
                <w:b/>
                <w:color w:val="auto"/>
                <w:szCs w:val="21"/>
                <w:highlight w:val="none"/>
                <w:lang w:bidi="ar"/>
              </w:rPr>
              <w:t>国家级企业信用证书以中国建筑业协会颁发的为准，省级企业信用证书以省级行业协会颁发的证书为准。</w:t>
            </w:r>
            <w:r>
              <w:rPr>
                <w:rFonts w:hint="eastAsia" w:ascii="宋体" w:hAnsi="宋体" w:eastAsia="宋体" w:cs="宋体"/>
                <w:b/>
                <w:bCs/>
                <w:color w:val="auto"/>
                <w:sz w:val="21"/>
                <w:szCs w:val="21"/>
                <w:highlight w:val="none"/>
              </w:rPr>
              <w:t>若为行业协会颁发的证书，还需提供该机构（行业协会）在“中国社会组织政务服务平台(全国社会组织信用信息公示平台)”（https://xxgs.chinanpo.mca.gov.cn/gsxt/newList）有登记的网页查询截图，同时须提供其在査询结果“状态”栏必须为“正常”，查询结果截图加盖投标单位公章，否则不予计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2"/>
                <w:sz w:val="21"/>
                <w:szCs w:val="21"/>
                <w:highlight w:val="none"/>
                <w:lang w:val="en-US" w:eastAsia="zh-CN" w:bidi="ar-SA"/>
              </w:rPr>
              <w:t>没有提供的不得分</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kern w:val="2"/>
                <w:sz w:val="21"/>
                <w:szCs w:val="21"/>
                <w:highlight w:val="none"/>
                <w:lang w:val="en-US" w:eastAsia="zh-CN" w:bidi="ar-SA"/>
              </w:rPr>
              <w:t>多次获得或获得多个级别不重复累加得分，按获得的最高奖项计算一次得分。</w:t>
            </w:r>
          </w:p>
          <w:p>
            <w:pPr>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如为联合体，指联合体主办方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自2020年1月1日至投标截止时间止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获得过“科学技术奖励</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科技进步奖”证书的：</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（1）获得省级或以上科学技术奖励</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科技进步奖证书的，每项得2分；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（2）获得市级（含副省级市）科学技术奖励</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科技进步奖证书的，每项得1分。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无则不得分。本项最高得4分。</w:t>
            </w: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须提供相关证书</w:t>
            </w:r>
            <w:r>
              <w:rPr>
                <w:rFonts w:hint="eastAsia" w:ascii="宋体" w:hAnsi="宋体" w:eastAsia="宋体" w:cs="宋体"/>
                <w:b/>
                <w:bCs w:val="0"/>
                <w:color w:val="auto"/>
                <w:sz w:val="21"/>
                <w:szCs w:val="21"/>
                <w:highlight w:val="none"/>
                <w:lang w:eastAsia="zh-CN"/>
              </w:rPr>
              <w:t>原件</w:t>
            </w:r>
            <w:r>
              <w:rPr>
                <w:rFonts w:hint="eastAsia" w:ascii="宋体" w:hAnsi="宋体" w:eastAsia="宋体" w:cs="宋体"/>
                <w:b/>
                <w:bCs w:val="0"/>
                <w:color w:val="auto"/>
                <w:sz w:val="21"/>
                <w:szCs w:val="21"/>
                <w:highlight w:val="none"/>
              </w:rPr>
              <w:t>清晰扫描件</w:t>
            </w:r>
            <w:r>
              <w:rPr>
                <w:rFonts w:hint="eastAsia" w:ascii="宋体" w:hAnsi="宋体" w:eastAsia="宋体" w:cs="宋体"/>
                <w:b/>
                <w:bCs/>
                <w:color w:val="auto"/>
                <w:sz w:val="21"/>
                <w:szCs w:val="21"/>
                <w:highlight w:val="none"/>
              </w:rPr>
              <w:t>并加盖单位</w:t>
            </w:r>
            <w:r>
              <w:rPr>
                <w:rFonts w:hint="eastAsia" w:ascii="宋体" w:hAnsi="宋体" w:cs="宋体"/>
                <w:b/>
                <w:bCs/>
                <w:color w:val="auto"/>
                <w:sz w:val="21"/>
                <w:szCs w:val="21"/>
                <w:highlight w:val="none"/>
                <w:lang w:eastAsia="zh-CN"/>
              </w:rPr>
              <w:t>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同一项目获得多个奖项的，按最高奖项计取，不重复计算。获奖时间以证书中载明的发证时间为准。</w:t>
            </w:r>
          </w:p>
          <w:p>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科学技术奖励证书颁发部门为国家或地方人民政府或行业社会组织机构（行业协会）。若为行业社会组织机构（行业协会）颁发的证书，还需提供该机构（行业协会）在“中国社会组织政务服务平台(全国社会组织信用信息公示平台)”（https://xxgs.chinanpo.mca.gov.cn/gsxt/newList）有登记的网页查询截图，同时须提供其在査询结果“状态”栏必须为“正常”，查询结果截图加盖投标单位公章，否则不得分。</w:t>
            </w:r>
          </w:p>
          <w:p>
            <w:pPr>
              <w:spacing w:line="360" w:lineRule="exac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③</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pPr>
              <w:numPr>
                <w:ilvl w:val="255"/>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投标人（如为联合体，指联合体主办方）自2020年1月1日至投标截止时间止（含最近评审年份）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获得国家税务局“A级纳税人”称号的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每个得1分，</w:t>
            </w:r>
            <w:r>
              <w:rPr>
                <w:rFonts w:hint="eastAsia" w:ascii="宋体" w:hAnsi="宋体" w:cs="宋体"/>
                <w:color w:val="auto"/>
                <w:sz w:val="21"/>
                <w:szCs w:val="21"/>
                <w:highlight w:val="none"/>
                <w:lang w:eastAsia="zh-CN"/>
              </w:rPr>
              <w:t>本项</w:t>
            </w:r>
            <w:r>
              <w:rPr>
                <w:rFonts w:hint="eastAsia" w:ascii="宋体" w:hAnsi="宋体" w:eastAsia="宋体" w:cs="宋体"/>
                <w:color w:val="auto"/>
                <w:sz w:val="21"/>
                <w:szCs w:val="21"/>
                <w:highlight w:val="none"/>
              </w:rPr>
              <w:t>最高得5分。</w:t>
            </w:r>
          </w:p>
          <w:p>
            <w:pPr>
              <w:numPr>
                <w:ilvl w:val="0"/>
                <w:numId w:val="0"/>
              </w:numPr>
              <w:spacing w:line="288"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A级纳税人”称号以国家税务总局查询网页或省级（含直辖市、计划单列市）税务局查询网页信息查询结果截图为准，纳税人等级只计算投标人自身（不计算投标人的分公司和子公司）。投标人须提供在上述网站的查询结果网页截图并加盖单位</w:t>
            </w:r>
            <w:r>
              <w:rPr>
                <w:rFonts w:hint="eastAsia" w:ascii="宋体" w:hAnsi="宋体" w:cs="宋体"/>
                <w:b/>
                <w:bCs/>
                <w:color w:val="auto"/>
                <w:sz w:val="21"/>
                <w:szCs w:val="21"/>
                <w:highlight w:val="none"/>
                <w:lang w:eastAsia="zh-CN"/>
              </w:rPr>
              <w:t>公章</w:t>
            </w:r>
            <w:r>
              <w:rPr>
                <w:rFonts w:hint="eastAsia" w:ascii="宋体" w:hAnsi="宋体" w:eastAsia="宋体" w:cs="宋体"/>
                <w:b/>
                <w:bCs/>
                <w:color w:val="auto"/>
                <w:sz w:val="21"/>
                <w:szCs w:val="21"/>
                <w:highlight w:val="none"/>
              </w:rPr>
              <w:t>（不符合条件或未提交截图的不计分）。时间以税务局官网公布的获奖年度（评价年度）为准。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2012" w:type="dxa"/>
            <w:gridSpan w:val="2"/>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2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投标人（如为联合体，指联合体主办方）自2020年1月1日至投标截止时间止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获得省级或以上行业协会颁发的行业协会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先进单位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称号的，每一年得1分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获得</w:t>
            </w:r>
            <w:r>
              <w:rPr>
                <w:rFonts w:hint="eastAsia" w:ascii="宋体" w:hAnsi="宋体" w:cs="宋体"/>
                <w:color w:val="auto"/>
                <w:sz w:val="21"/>
                <w:szCs w:val="21"/>
                <w:highlight w:val="none"/>
                <w:lang w:eastAsia="zh-CN"/>
              </w:rPr>
              <w:t>市级</w:t>
            </w:r>
            <w:r>
              <w:rPr>
                <w:rFonts w:hint="eastAsia" w:ascii="宋体" w:hAnsi="宋体" w:eastAsia="宋体" w:cs="宋体"/>
                <w:color w:val="auto"/>
                <w:sz w:val="21"/>
                <w:szCs w:val="21"/>
                <w:highlight w:val="none"/>
              </w:rPr>
              <w:t>行业协会颁发的行业协会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先进单位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称号的，每一年得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；本项</w:t>
            </w:r>
            <w:r>
              <w:rPr>
                <w:rFonts w:hint="eastAsia" w:ascii="宋体" w:hAnsi="宋体" w:eastAsia="宋体" w:cs="宋体"/>
                <w:color w:val="auto"/>
                <w:sz w:val="21"/>
                <w:szCs w:val="21"/>
                <w:highlight w:val="none"/>
              </w:rPr>
              <w:t>最高得5分。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kern w:val="2"/>
                <w:sz w:val="21"/>
                <w:szCs w:val="21"/>
                <w:highlight w:val="none"/>
                <w:lang w:val="en-US" w:eastAsia="zh-CN" w:bidi="ar-SA"/>
              </w:rPr>
              <w:t>①</w:t>
            </w:r>
            <w:r>
              <w:rPr>
                <w:rFonts w:hint="eastAsia" w:ascii="宋体" w:hAnsi="宋体" w:eastAsia="宋体" w:cs="宋体"/>
                <w:b/>
                <w:bCs/>
                <w:color w:val="auto"/>
                <w:sz w:val="21"/>
                <w:szCs w:val="21"/>
                <w:highlight w:val="none"/>
              </w:rPr>
              <w:t>需提供近五年截止至最近评审年度（2024年）的证书清晰扫描件及查询结果网页截图证明材料，没有提供的不得分。同一年度获得多次的只计算一次，如提供相关行业协会颁发的证书，则须同时提供该行业协会在“中国社会组织政务服务平台(全国社会组织信用信息公示平台)”（https://xxgs.chinanpo.mca.gov.cn/gsxt/newList）有登记的网页查询截图，同时须提供其在査询结果“状态”栏必须为“正常”，查询结果截图加盖投标单位公章，否则不予计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2"/>
                <w:sz w:val="21"/>
                <w:szCs w:val="21"/>
                <w:highlight w:val="none"/>
                <w:lang w:val="en-US" w:eastAsia="zh-CN" w:bidi="ar-SA"/>
              </w:rPr>
              <w:t>没有提供的不得分。</w:t>
            </w:r>
            <w:r>
              <w:rPr>
                <w:rFonts w:hint="eastAsia" w:ascii="宋体" w:hAnsi="宋体" w:eastAsia="宋体" w:cs="宋体"/>
                <w:b/>
                <w:bCs w:val="0"/>
                <w:color w:val="auto"/>
                <w:sz w:val="21"/>
                <w:szCs w:val="21"/>
                <w:highlight w:val="none"/>
                <w:lang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035"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ind w:right="12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拟投入本项目的管理班子</w:t>
            </w:r>
          </w:p>
          <w:p>
            <w:pPr>
              <w:ind w:right="12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p>
            <w:pPr>
              <w:ind w:right="12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（1）具有工程类</w:t>
            </w:r>
            <w:r>
              <w:rPr>
                <w:rFonts w:hint="eastAsia" w:ascii="宋体" w:hAnsi="宋体" w:eastAsia="宋体" w:cs="宋体"/>
                <w:color w:val="auto"/>
                <w:sz w:val="21"/>
                <w:szCs w:val="21"/>
                <w:highlight w:val="none"/>
                <w:lang w:eastAsia="zh-CN"/>
              </w:rPr>
              <w:t>副</w:t>
            </w:r>
            <w:r>
              <w:rPr>
                <w:rFonts w:hint="eastAsia" w:ascii="宋体" w:hAnsi="宋体" w:eastAsia="宋体" w:cs="宋体"/>
                <w:color w:val="auto"/>
                <w:sz w:val="21"/>
                <w:szCs w:val="21"/>
                <w:highlight w:val="none"/>
              </w:rPr>
              <w:t>高级</w:t>
            </w:r>
            <w:r>
              <w:rPr>
                <w:rFonts w:hint="eastAsia" w:ascii="宋体" w:hAnsi="宋体" w:eastAsia="宋体" w:cs="宋体"/>
                <w:color w:val="auto"/>
                <w:sz w:val="21"/>
                <w:szCs w:val="21"/>
                <w:highlight w:val="none"/>
                <w:lang w:eastAsia="zh-CN"/>
              </w:rPr>
              <w:t>或以上</w:t>
            </w:r>
            <w:r>
              <w:rPr>
                <w:rFonts w:hint="eastAsia" w:ascii="宋体" w:hAnsi="宋体" w:eastAsia="宋体" w:cs="宋体"/>
                <w:color w:val="auto"/>
                <w:sz w:val="21"/>
                <w:szCs w:val="21"/>
                <w:highlight w:val="none"/>
              </w:rPr>
              <w:t>工程师职称的，得2分；具有工程类</w:t>
            </w:r>
            <w:r>
              <w:rPr>
                <w:rFonts w:hint="eastAsia" w:ascii="宋体" w:hAnsi="宋体" w:eastAsia="宋体" w:cs="宋体"/>
                <w:color w:val="auto"/>
                <w:sz w:val="21"/>
                <w:szCs w:val="21"/>
                <w:highlight w:val="none"/>
                <w:lang w:eastAsia="zh-CN"/>
              </w:rPr>
              <w:t>中级</w:t>
            </w:r>
            <w:r>
              <w:rPr>
                <w:rFonts w:hint="eastAsia" w:ascii="宋体" w:hAnsi="宋体" w:eastAsia="宋体" w:cs="宋体"/>
                <w:color w:val="auto"/>
                <w:sz w:val="21"/>
                <w:szCs w:val="21"/>
                <w:highlight w:val="none"/>
              </w:rPr>
              <w:t>工程师职称的，得1分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本小项最高得2分；</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（2）具有注册土木工程师（岩土）执业资格证书且注册单位为投标单位的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得1.5分</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（3）具有一级注册结构工程师执业资格证书且注册单位为投标单位的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得1.5分；</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（4）具有省级或以上建设主管部门或其委托的机构、行业协会颁发的相关检测员证书或检测鉴定培训合格证的，得1分</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其余不得分，本项最多得6分。</w:t>
            </w:r>
          </w:p>
          <w:p>
            <w:pPr>
              <w:spacing w:line="360" w:lineRule="exact"/>
              <w:ind w:right="126"/>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项目负责人与技术负责人不可兼任。须提供身份证、职称证书、注册证</w:t>
            </w:r>
            <w:r>
              <w:rPr>
                <w:rFonts w:hint="eastAsia" w:ascii="宋体" w:hAnsi="宋体" w:eastAsia="宋体" w:cs="宋体"/>
                <w:b/>
                <w:bCs/>
                <w:color w:val="auto"/>
                <w:sz w:val="21"/>
                <w:szCs w:val="21"/>
                <w:highlight w:val="none"/>
                <w:lang w:eastAsia="zh-CN"/>
              </w:rPr>
              <w:t>（</w:t>
            </w:r>
            <w:r>
              <w:rPr>
                <w:rFonts w:hint="eastAsia"/>
                <w:b/>
                <w:bCs/>
                <w:color w:val="auto"/>
                <w:highlight w:val="none"/>
              </w:rPr>
              <w:t>注册证需提供全国建筑市场监管公共服务平台（四库一平台）截图</w:t>
            </w:r>
            <w:r>
              <w:rPr>
                <w:rFonts w:hint="eastAsia"/>
                <w:b/>
                <w:bCs/>
                <w:color w:val="auto"/>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检测员证或合格证</w:t>
            </w:r>
            <w:r>
              <w:rPr>
                <w:rFonts w:hint="eastAsia" w:ascii="宋体" w:hAnsi="宋体" w:cs="宋体"/>
                <w:b/>
                <w:bCs/>
                <w:color w:val="auto"/>
                <w:sz w:val="21"/>
                <w:szCs w:val="21"/>
                <w:highlight w:val="none"/>
                <w:lang w:eastAsia="zh-CN"/>
              </w:rPr>
              <w:t>等</w:t>
            </w:r>
            <w:r>
              <w:rPr>
                <w:rFonts w:hint="eastAsia" w:ascii="宋体" w:hAnsi="宋体" w:eastAsia="宋体" w:cs="宋体"/>
                <w:b/>
                <w:bCs/>
                <w:color w:val="auto"/>
                <w:sz w:val="21"/>
                <w:szCs w:val="21"/>
                <w:highlight w:val="none"/>
              </w:rPr>
              <w:t>扫描件，提供近1月（即扣除招标公告发布当月前一个月）在本单位参保的社保缴纳证明材料，并加盖</w:t>
            </w:r>
            <w:r>
              <w:rPr>
                <w:rFonts w:hint="eastAsia" w:ascii="宋体" w:hAnsi="宋体" w:eastAsia="宋体" w:cs="宋体"/>
                <w:b/>
                <w:bCs/>
                <w:color w:val="auto"/>
                <w:sz w:val="21"/>
                <w:szCs w:val="21"/>
                <w:highlight w:val="none"/>
                <w:lang w:eastAsia="zh-CN"/>
              </w:rPr>
              <w:t>单位</w:t>
            </w:r>
            <w:r>
              <w:rPr>
                <w:rFonts w:hint="eastAsia" w:ascii="宋体" w:hAnsi="宋体" w:eastAsia="宋体" w:cs="宋体"/>
                <w:b/>
                <w:bCs/>
                <w:color w:val="auto"/>
                <w:sz w:val="21"/>
                <w:szCs w:val="21"/>
                <w:highlight w:val="none"/>
              </w:rPr>
              <w:t>公章，否则不得分。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tcMar>
              <w:top w:w="0" w:type="dxa"/>
              <w:left w:w="57" w:type="dxa"/>
              <w:bottom w:w="0" w:type="dxa"/>
              <w:right w:w="57" w:type="dxa"/>
            </w:tcMar>
            <w:vAlign w:val="center"/>
          </w:tcPr>
          <w:p>
            <w:pPr>
              <w:ind w:right="126"/>
              <w:jc w:val="center"/>
              <w:rPr>
                <w:rFonts w:hint="eastAsia" w:ascii="宋体" w:hAnsi="宋体" w:eastAsia="宋体" w:cs="宋体"/>
                <w:color w:val="auto"/>
                <w:sz w:val="21"/>
                <w:szCs w:val="21"/>
                <w:highlight w:val="none"/>
              </w:rPr>
            </w:pP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p>
            <w:pPr>
              <w:ind w:right="12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技术负责人</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（1）具有工程类</w:t>
            </w:r>
            <w:r>
              <w:rPr>
                <w:rFonts w:hint="eastAsia" w:ascii="宋体" w:hAnsi="宋体" w:eastAsia="宋体" w:cs="宋体"/>
                <w:color w:val="auto"/>
                <w:sz w:val="21"/>
                <w:szCs w:val="21"/>
                <w:highlight w:val="none"/>
                <w:lang w:eastAsia="zh-CN"/>
              </w:rPr>
              <w:t>副</w:t>
            </w:r>
            <w:r>
              <w:rPr>
                <w:rFonts w:hint="eastAsia" w:ascii="宋体" w:hAnsi="宋体" w:eastAsia="宋体" w:cs="宋体"/>
                <w:color w:val="auto"/>
                <w:sz w:val="21"/>
                <w:szCs w:val="21"/>
                <w:highlight w:val="none"/>
              </w:rPr>
              <w:t>高级</w:t>
            </w:r>
            <w:r>
              <w:rPr>
                <w:rFonts w:hint="eastAsia" w:ascii="宋体" w:hAnsi="宋体" w:eastAsia="宋体" w:cs="宋体"/>
                <w:color w:val="auto"/>
                <w:sz w:val="21"/>
                <w:szCs w:val="21"/>
                <w:highlight w:val="none"/>
                <w:lang w:eastAsia="zh-CN"/>
              </w:rPr>
              <w:t>或以上</w:t>
            </w:r>
            <w:r>
              <w:rPr>
                <w:rFonts w:hint="eastAsia" w:ascii="宋体" w:hAnsi="宋体" w:eastAsia="宋体" w:cs="宋体"/>
                <w:color w:val="auto"/>
                <w:sz w:val="21"/>
                <w:szCs w:val="21"/>
                <w:highlight w:val="none"/>
              </w:rPr>
              <w:t>工程师职称的，得2分；具有工程类中级工程师职称的，得1分。本小项最高得2分；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）具有省级或以上建设主管部门或其委托的机构、行业协会颁发的相关检测员证书或检测鉴定培训合格证的：</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1.检测项目（方法）具备20项或以上的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得3分；</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2.检测项目（方法）具备11-19项的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得2分；</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3.检测项目（方法）具备6-10项的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得1分；</w:t>
            </w:r>
          </w:p>
          <w:p>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4.检测项目（方法）具备1-5项的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得0.5分</w:t>
            </w:r>
            <w:r>
              <w:rPr>
                <w:rFonts w:hint="eastAsia" w:ascii="宋体" w:hAnsi="宋体" w:eastAsia="宋体" w:cs="宋体"/>
                <w:color w:val="auto"/>
                <w:sz w:val="21"/>
                <w:szCs w:val="21"/>
                <w:highlight w:val="none"/>
                <w:lang w:eastAsia="zh-CN"/>
              </w:rPr>
              <w:t>。</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5.没有不得分。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其余不得分，本项最多得5分。</w:t>
            </w:r>
          </w:p>
          <w:p>
            <w:pPr>
              <w:spacing w:line="360" w:lineRule="exact"/>
              <w:ind w:right="126"/>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项目负责人与技术负责人不可兼任。须提供身份证、职称证书、检测员证或合格证等扫描件，提供近1月（即扣除招标公告发布当月前一个月）在本单位参保的社保缴纳证明材料，并加盖</w:t>
            </w:r>
            <w:r>
              <w:rPr>
                <w:rFonts w:hint="eastAsia" w:ascii="宋体" w:hAnsi="宋体" w:eastAsia="宋体" w:cs="宋体"/>
                <w:b/>
                <w:bCs/>
                <w:color w:val="auto"/>
                <w:sz w:val="21"/>
                <w:szCs w:val="21"/>
                <w:highlight w:val="none"/>
                <w:lang w:eastAsia="zh-CN"/>
              </w:rPr>
              <w:t>单位</w:t>
            </w:r>
            <w:r>
              <w:rPr>
                <w:rFonts w:hint="eastAsia" w:ascii="宋体" w:hAnsi="宋体" w:eastAsia="宋体" w:cs="宋体"/>
                <w:b/>
                <w:bCs/>
                <w:color w:val="auto"/>
                <w:sz w:val="21"/>
                <w:szCs w:val="21"/>
                <w:highlight w:val="none"/>
              </w:rPr>
              <w:t>公章，否则不得分。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8"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035" w:type="dxa"/>
            <w:vMerge w:val="continue"/>
            <w:tcBorders>
              <w:left w:val="single" w:color="auto" w:sz="4" w:space="0"/>
              <w:bottom w:val="single" w:color="auto" w:sz="4" w:space="0"/>
              <w:right w:val="single" w:color="auto" w:sz="4" w:space="0"/>
            </w:tcBorders>
            <w:tcMar>
              <w:top w:w="0" w:type="dxa"/>
              <w:left w:w="57" w:type="dxa"/>
              <w:bottom w:w="0" w:type="dxa"/>
              <w:right w:w="57" w:type="dxa"/>
            </w:tcMar>
          </w:tcPr>
          <w:p>
            <w:pPr>
              <w:jc w:val="center"/>
              <w:rPr>
                <w:rFonts w:hint="eastAsia" w:ascii="宋体" w:hAnsi="宋体" w:eastAsia="宋体" w:cs="宋体"/>
                <w:color w:val="auto"/>
                <w:sz w:val="21"/>
                <w:szCs w:val="21"/>
                <w:highlight w:val="none"/>
              </w:rPr>
            </w:pPr>
          </w:p>
        </w:tc>
        <w:tc>
          <w:tcPr>
            <w:tcW w:w="9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60" w:lineRule="auto"/>
              <w:ind w:right="126"/>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其他人员（</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分）</w:t>
            </w:r>
          </w:p>
        </w:tc>
        <w:tc>
          <w:tcPr>
            <w:tcW w:w="6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如为联合体，指联合体各方提供均可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配备的其他人员（不含项目负责人及技术负责人）：</w:t>
            </w:r>
          </w:p>
          <w:p>
            <w:pPr>
              <w:rPr>
                <w:rFonts w:ascii="宋体" w:hAnsi="宋体" w:cs="宋体"/>
                <w:color w:val="auto"/>
                <w:szCs w:val="21"/>
                <w:highlight w:val="none"/>
              </w:rPr>
            </w:pPr>
            <w:r>
              <w:rPr>
                <w:rFonts w:hint="eastAsia" w:ascii="宋体" w:hAnsi="宋体" w:cs="宋体"/>
                <w:color w:val="auto"/>
                <w:szCs w:val="21"/>
                <w:highlight w:val="none"/>
              </w:rPr>
              <w:t>（1）投标人具有建设行政主管部门或其委托的机构、行业协会颁发的相关检测员证书或检测鉴定培训合格证的，每人得</w:t>
            </w:r>
            <w:r>
              <w:rPr>
                <w:rFonts w:ascii="宋体" w:hAnsi="宋体" w:cs="宋体"/>
                <w:color w:val="auto"/>
                <w:szCs w:val="21"/>
                <w:highlight w:val="none"/>
              </w:rPr>
              <w:t>0.5</w:t>
            </w:r>
            <w:r>
              <w:rPr>
                <w:rFonts w:hint="eastAsia" w:ascii="宋体" w:hAnsi="宋体" w:cs="宋体"/>
                <w:color w:val="auto"/>
                <w:szCs w:val="21"/>
                <w:highlight w:val="none"/>
              </w:rPr>
              <w:t>分，本小项最高得</w:t>
            </w:r>
            <w:r>
              <w:rPr>
                <w:rFonts w:ascii="宋体" w:hAnsi="宋体" w:cs="宋体"/>
                <w:color w:val="auto"/>
                <w:szCs w:val="21"/>
                <w:highlight w:val="none"/>
              </w:rPr>
              <w:t>3</w:t>
            </w:r>
            <w:r>
              <w:rPr>
                <w:rFonts w:hint="eastAsia" w:ascii="宋体" w:hAnsi="宋体" w:cs="宋体"/>
                <w:color w:val="auto"/>
                <w:szCs w:val="21"/>
                <w:highlight w:val="none"/>
              </w:rPr>
              <w:t>分；</w:t>
            </w:r>
          </w:p>
          <w:p>
            <w:pPr>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上述持有相关检测员证书或检测鉴定培训合格证的人员中，具有</w:t>
            </w:r>
            <w:r>
              <w:rPr>
                <w:rFonts w:hint="eastAsia" w:ascii="宋体" w:hAnsi="宋体" w:cs="宋体"/>
                <w:color w:val="auto"/>
                <w:szCs w:val="21"/>
                <w:highlight w:val="none"/>
                <w:lang w:eastAsia="zh-CN"/>
              </w:rPr>
              <w:t>副</w:t>
            </w:r>
            <w:r>
              <w:rPr>
                <w:rFonts w:hint="eastAsia" w:ascii="宋体" w:hAnsi="宋体" w:cs="宋体"/>
                <w:color w:val="auto"/>
                <w:szCs w:val="21"/>
                <w:highlight w:val="none"/>
              </w:rPr>
              <w:t>高级工程师或以上职称的，每人得</w:t>
            </w:r>
            <w:r>
              <w:rPr>
                <w:rFonts w:ascii="宋体" w:hAnsi="宋体" w:cs="宋体"/>
                <w:color w:val="auto"/>
                <w:szCs w:val="21"/>
                <w:highlight w:val="none"/>
              </w:rPr>
              <w:t>1</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w:t>
            </w:r>
            <w:r>
              <w:rPr>
                <w:rFonts w:hint="eastAsia" w:ascii="宋体" w:hAnsi="宋体" w:cs="宋体"/>
                <w:color w:val="auto"/>
                <w:szCs w:val="21"/>
                <w:highlight w:val="none"/>
                <w:lang w:eastAsia="zh-CN"/>
              </w:rPr>
              <w:t>中级</w:t>
            </w:r>
            <w:r>
              <w:rPr>
                <w:rFonts w:hint="eastAsia" w:ascii="宋体" w:hAnsi="宋体" w:cs="宋体"/>
                <w:color w:val="auto"/>
                <w:szCs w:val="21"/>
                <w:highlight w:val="none"/>
              </w:rPr>
              <w:t>职称的，每人得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分，本小项最高得</w:t>
            </w:r>
            <w:r>
              <w:rPr>
                <w:rFonts w:ascii="宋体" w:hAnsi="宋体" w:cs="宋体"/>
                <w:color w:val="auto"/>
                <w:szCs w:val="21"/>
                <w:highlight w:val="none"/>
              </w:rPr>
              <w:t>6</w:t>
            </w:r>
            <w:r>
              <w:rPr>
                <w:rFonts w:hint="eastAsia" w:ascii="宋体" w:hAnsi="宋体" w:cs="宋体"/>
                <w:color w:val="auto"/>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其余不得分，本项最多得9分。</w:t>
            </w:r>
          </w:p>
          <w:p>
            <w:pPr>
              <w:spacing w:line="360" w:lineRule="exact"/>
              <w:ind w:right="125"/>
              <w:rPr>
                <w:rFonts w:hint="eastAsia" w:ascii="宋体" w:hAnsi="宋体" w:eastAsia="宋体" w:cs="宋体"/>
                <w:color w:val="auto"/>
                <w:sz w:val="21"/>
                <w:szCs w:val="21"/>
                <w:highlight w:val="none"/>
                <w:lang w:val="zh-CN" w:eastAsia="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须提供身份证、检测员证或合格证</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职称证</w:t>
            </w:r>
            <w:r>
              <w:rPr>
                <w:rFonts w:hint="eastAsia" w:ascii="宋体" w:hAnsi="宋体" w:eastAsia="宋体" w:cs="宋体"/>
                <w:b/>
                <w:bCs/>
                <w:color w:val="auto"/>
                <w:sz w:val="21"/>
                <w:szCs w:val="21"/>
                <w:highlight w:val="none"/>
                <w:lang w:eastAsia="zh-CN"/>
              </w:rPr>
              <w:t>等</w:t>
            </w:r>
            <w:r>
              <w:rPr>
                <w:rFonts w:hint="eastAsia" w:ascii="宋体" w:hAnsi="宋体" w:eastAsia="宋体" w:cs="宋体"/>
                <w:b/>
                <w:bCs/>
                <w:color w:val="auto"/>
                <w:sz w:val="21"/>
                <w:szCs w:val="21"/>
                <w:highlight w:val="none"/>
              </w:rPr>
              <w:t>扫描件，提供近1月（即扣除招标公告发布当月前一个月）在本单位连续参保的社保缴纳证明材料，并加盖</w:t>
            </w:r>
            <w:r>
              <w:rPr>
                <w:rFonts w:hint="eastAsia" w:ascii="宋体" w:hAnsi="宋体" w:eastAsia="宋体" w:cs="宋体"/>
                <w:b/>
                <w:bCs/>
                <w:color w:val="auto"/>
                <w:sz w:val="21"/>
                <w:szCs w:val="21"/>
                <w:highlight w:val="none"/>
                <w:lang w:eastAsia="zh-CN"/>
              </w:rPr>
              <w:t>单位</w:t>
            </w:r>
            <w:r>
              <w:rPr>
                <w:rFonts w:hint="eastAsia" w:ascii="宋体" w:hAnsi="宋体" w:eastAsia="宋体" w:cs="宋体"/>
                <w:b/>
                <w:bCs/>
                <w:color w:val="auto"/>
                <w:sz w:val="21"/>
                <w:szCs w:val="21"/>
                <w:highlight w:val="none"/>
              </w:rPr>
              <w:t>公章，否则不得分。</w:t>
            </w:r>
            <w:r>
              <w:rPr>
                <w:rFonts w:hint="eastAsia" w:ascii="宋体" w:hAnsi="宋体" w:cs="宋体"/>
                <w:b/>
                <w:bCs/>
                <w:color w:val="auto"/>
                <w:sz w:val="21"/>
                <w:szCs w:val="21"/>
                <w:highlight w:val="none"/>
                <w:lang w:eastAsia="zh-CN"/>
              </w:rPr>
              <w:t>同一人员的</w:t>
            </w:r>
            <w:r>
              <w:rPr>
                <w:rFonts w:hint="eastAsia" w:ascii="宋体" w:hAnsi="宋体" w:eastAsia="宋体" w:cs="宋体"/>
                <w:b/>
                <w:bCs/>
                <w:color w:val="auto"/>
                <w:sz w:val="21"/>
                <w:szCs w:val="21"/>
                <w:highlight w:val="none"/>
              </w:rPr>
              <w:t>职称证书按最高级别计分，不累计计算</w:t>
            </w:r>
            <w:r>
              <w:rPr>
                <w:rFonts w:hint="eastAsia" w:ascii="宋体" w:hAnsi="宋体" w:eastAsia="宋体" w:cs="宋体"/>
                <w:b/>
                <w:bCs/>
                <w:color w:val="auto"/>
                <w:sz w:val="21"/>
                <w:szCs w:val="21"/>
                <w:highlight w:val="none"/>
                <w:lang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lang w:val="en-US" w:eastAsia="zh-CN"/>
              </w:rPr>
              <w:t>由联合体各方提供均可</w:t>
            </w:r>
            <w:r>
              <w:rPr>
                <w:rFonts w:hint="eastAsia" w:ascii="宋体" w:hAnsi="宋体" w:eastAsia="宋体" w:cs="宋体"/>
                <w:b/>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技术方案部分评分标准（</w:t>
            </w: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分）</w:t>
            </w:r>
          </w:p>
        </w:tc>
        <w:tc>
          <w:tcPr>
            <w:tcW w:w="2012"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检测监测方案</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1、优：检测监测方案详细、具体，内容齐全，能满足本工程所有项目要求，有合理可行的保证通过相关验收、满足工程进度确保措施，得20-25分；</w:t>
            </w:r>
          </w:p>
          <w:p>
            <w:pPr>
              <w:rPr>
                <w:rFonts w:hint="eastAsia" w:ascii="宋体" w:hAnsi="宋体" w:cs="宋体"/>
                <w:color w:val="auto"/>
                <w:szCs w:val="21"/>
                <w:highlight w:val="none"/>
              </w:rPr>
            </w:pPr>
            <w:r>
              <w:rPr>
                <w:rFonts w:hint="eastAsia" w:ascii="宋体" w:hAnsi="宋体" w:cs="宋体"/>
                <w:color w:val="auto"/>
                <w:szCs w:val="21"/>
                <w:highlight w:val="none"/>
              </w:rPr>
              <w:t>2、良：检测监测方案较详细、较具体，内容较齐全，有比较可行的保证通过相关验收、满足工程进度确保措施，得10-19分；</w:t>
            </w:r>
          </w:p>
          <w:p>
            <w:pPr>
              <w:rPr>
                <w:rFonts w:hint="eastAsia" w:ascii="宋体" w:hAnsi="宋体" w:cs="宋体"/>
                <w:color w:val="auto"/>
                <w:szCs w:val="21"/>
                <w:highlight w:val="none"/>
              </w:rPr>
            </w:pPr>
            <w:r>
              <w:rPr>
                <w:rFonts w:hint="eastAsia" w:ascii="宋体" w:hAnsi="宋体" w:cs="宋体"/>
                <w:color w:val="auto"/>
                <w:szCs w:val="21"/>
                <w:highlight w:val="none"/>
              </w:rPr>
              <w:t>3、中：检测监测方案内容基本满足要求，方法基本符合规范要求，基本能通过相关验收、满足工程进度的确保措施，得1-9分；</w:t>
            </w:r>
          </w:p>
          <w:p>
            <w:pPr>
              <w:rPr>
                <w:rFonts w:hint="eastAsia" w:ascii="宋体" w:hAnsi="宋体" w:eastAsia="宋体" w:cs="宋体"/>
                <w:b/>
                <w:color w:val="auto"/>
                <w:sz w:val="21"/>
                <w:szCs w:val="21"/>
                <w:highlight w:val="none"/>
              </w:rPr>
            </w:pPr>
            <w:r>
              <w:rPr>
                <w:rFonts w:hint="eastAsia" w:ascii="宋体" w:hAnsi="宋体" w:cs="宋体"/>
                <w:color w:val="auto"/>
                <w:szCs w:val="21"/>
                <w:highlight w:val="none"/>
              </w:rPr>
              <w:t>4、差：检测监测方案基本内容阐述缺项，不能满足检测或监测要求的，得0分。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13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2012"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拟投入的检测、监测设备（</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93" w:type="dxa"/>
            <w:tcBorders>
              <w:top w:val="single" w:color="auto" w:sz="4" w:space="0"/>
              <w:left w:val="single" w:color="auto" w:sz="4" w:space="0"/>
              <w:right w:val="single" w:color="auto" w:sz="4" w:space="0"/>
            </w:tcBorders>
            <w:vAlign w:val="top"/>
          </w:tcPr>
          <w:p>
            <w:pPr>
              <w:rPr>
                <w:rFonts w:hint="eastAsia" w:ascii="宋体" w:hAnsi="宋体" w:cs="宋体"/>
                <w:color w:val="auto"/>
                <w:szCs w:val="21"/>
                <w:highlight w:val="none"/>
              </w:rPr>
            </w:pPr>
            <w:r>
              <w:rPr>
                <w:rFonts w:hint="eastAsia" w:ascii="宋体" w:hAnsi="宋体" w:cs="宋体"/>
                <w:color w:val="auto"/>
                <w:szCs w:val="21"/>
                <w:highlight w:val="none"/>
              </w:rPr>
              <w:t>优：设备齐全、先进、现代化，满足检测和工期需要，设备年检合格，并且全部设备属于自有，得</w:t>
            </w:r>
            <w:r>
              <w:rPr>
                <w:rFonts w:hint="eastAsia" w:ascii="宋体" w:hAnsi="宋体" w:cs="宋体"/>
                <w:color w:val="auto"/>
                <w:szCs w:val="21"/>
                <w:highlight w:val="none"/>
                <w:lang w:val="en-US" w:eastAsia="zh-CN"/>
              </w:rPr>
              <w:t>8-10</w:t>
            </w:r>
            <w:r>
              <w:rPr>
                <w:rFonts w:hint="eastAsia" w:ascii="宋体" w:hAnsi="宋体" w:cs="宋体"/>
                <w:color w:val="auto"/>
                <w:szCs w:val="21"/>
                <w:highlight w:val="none"/>
              </w:rPr>
              <w:t>分；</w:t>
            </w:r>
          </w:p>
          <w:p>
            <w:pPr>
              <w:rPr>
                <w:rFonts w:hint="eastAsia" w:ascii="宋体" w:hAnsi="宋体" w:cs="宋体"/>
                <w:color w:val="auto"/>
                <w:szCs w:val="21"/>
                <w:highlight w:val="none"/>
              </w:rPr>
            </w:pPr>
            <w:r>
              <w:rPr>
                <w:rFonts w:hint="eastAsia" w:ascii="宋体" w:hAnsi="宋体" w:cs="宋体"/>
                <w:color w:val="auto"/>
                <w:szCs w:val="21"/>
                <w:highlight w:val="none"/>
              </w:rPr>
              <w:t>良：设备齐全，满足检测和工期需要，设备年检合格，80％～100％（不含100％）以上设备属于自有，得</w:t>
            </w:r>
            <w:r>
              <w:rPr>
                <w:rFonts w:hint="eastAsia" w:ascii="宋体" w:hAnsi="宋体" w:cs="宋体"/>
                <w:color w:val="auto"/>
                <w:szCs w:val="21"/>
                <w:highlight w:val="none"/>
                <w:lang w:val="en-US" w:eastAsia="zh-CN"/>
              </w:rPr>
              <w:t>5-7</w:t>
            </w:r>
            <w:r>
              <w:rPr>
                <w:rFonts w:hint="eastAsia" w:ascii="宋体" w:hAnsi="宋体" w:cs="宋体"/>
                <w:color w:val="auto"/>
                <w:szCs w:val="21"/>
                <w:highlight w:val="none"/>
              </w:rPr>
              <w:t>分；</w:t>
            </w:r>
          </w:p>
          <w:p>
            <w:pPr>
              <w:rPr>
                <w:rFonts w:hint="eastAsia" w:ascii="宋体" w:hAnsi="宋体" w:cs="宋体"/>
                <w:color w:val="auto"/>
                <w:szCs w:val="21"/>
                <w:highlight w:val="none"/>
              </w:rPr>
            </w:pPr>
            <w:r>
              <w:rPr>
                <w:rFonts w:hint="eastAsia" w:ascii="宋体" w:hAnsi="宋体" w:cs="宋体"/>
                <w:color w:val="auto"/>
                <w:szCs w:val="21"/>
                <w:highlight w:val="none"/>
              </w:rPr>
              <w:t>中：设备齐全，设备年检合格，基本满足检测和工期要求，60％～80％（不含80％）设备属于自有，得</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分；</w:t>
            </w:r>
          </w:p>
          <w:p>
            <w:pPr>
              <w:rPr>
                <w:rFonts w:hint="eastAsia" w:ascii="宋体" w:hAnsi="宋体" w:cs="宋体"/>
                <w:color w:val="auto"/>
                <w:szCs w:val="21"/>
                <w:highlight w:val="none"/>
              </w:rPr>
            </w:pPr>
            <w:r>
              <w:rPr>
                <w:rFonts w:hint="eastAsia" w:ascii="宋体" w:hAnsi="宋体" w:cs="宋体"/>
                <w:color w:val="auto"/>
                <w:szCs w:val="21"/>
                <w:highlight w:val="none"/>
              </w:rPr>
              <w:t>差：设备不能满足检测和工期需要，60％（不含60％）以下设备属于自有，不得分。</w:t>
            </w:r>
          </w:p>
          <w:p>
            <w:pPr>
              <w:pStyle w:val="12"/>
              <w:rPr>
                <w:rFonts w:hint="eastAsia" w:ascii="宋体" w:hAnsi="宋体" w:eastAsia="宋体" w:cs="宋体"/>
                <w:color w:val="auto"/>
                <w:sz w:val="21"/>
                <w:szCs w:val="21"/>
                <w:highlight w:val="none"/>
                <w:lang w:eastAsia="zh-CN"/>
              </w:rPr>
            </w:pPr>
            <w:r>
              <w:rPr>
                <w:rFonts w:hint="eastAsia" w:ascii="宋体" w:hAnsi="宋体" w:cs="宋体"/>
                <w:b/>
                <w:bCs/>
                <w:color w:val="auto"/>
                <w:szCs w:val="21"/>
                <w:highlight w:val="none"/>
              </w:rPr>
              <w:t>注：</w:t>
            </w:r>
            <w:r>
              <w:rPr>
                <w:rFonts w:hint="eastAsia" w:ascii="宋体" w:hAnsi="宋体" w:cs="宋体"/>
                <w:b/>
                <w:bCs/>
                <w:color w:val="auto"/>
                <w:kern w:val="0"/>
                <w:szCs w:val="21"/>
                <w:highlight w:val="none"/>
                <w:lang w:bidi="ar"/>
              </w:rPr>
              <w:t>①</w:t>
            </w:r>
            <w:r>
              <w:rPr>
                <w:rFonts w:hint="eastAsia" w:ascii="宋体" w:hAnsi="宋体" w:cs="宋体"/>
                <w:b/>
                <w:bCs/>
                <w:color w:val="auto"/>
                <w:szCs w:val="21"/>
                <w:highlight w:val="none"/>
              </w:rPr>
              <w:t>检测监测设备需提交权属证明，如仪器检定证书或仪器设备购置发票等，且检定证书在有效期内。检测监测设备的权属应在投标人名下（不含子公司或分公司），否则不计算得分。②</w:t>
            </w:r>
            <w:r>
              <w:rPr>
                <w:rFonts w:hint="eastAsia" w:ascii="宋体" w:hAnsi="宋体" w:cs="宋体"/>
                <w:b/>
                <w:color w:val="auto"/>
                <w:szCs w:val="21"/>
                <w:highlight w:val="none"/>
              </w:rPr>
              <w:t>若以联合体方式投标的，本项评分内容由联合体各方提供均可。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投标报价部分评分标准</w:t>
            </w:r>
          </w:p>
          <w:p>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pPr>
              <w:pStyle w:val="25"/>
              <w:spacing w:line="360" w:lineRule="exact"/>
              <w:ind w:firstLine="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zh-CN"/>
              </w:rPr>
              <w:t>以评标基准价作为计算各有效投标报价得分的基础，当有效投标报价等于评标基准价时得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分；投标有效报价与评标基准价相比，每上偏1%扣</w:t>
            </w:r>
            <w:r>
              <w:rPr>
                <w:rFonts w:hint="eastAsia" w:ascii="宋体" w:hAnsi="宋体" w:eastAsia="宋体" w:cs="宋体"/>
                <w:color w:val="auto"/>
                <w:sz w:val="21"/>
                <w:szCs w:val="21"/>
                <w:highlight w:val="none"/>
                <w:lang w:val="en-US" w:eastAsia="zh-CN"/>
              </w:rPr>
              <w:t>0.75</w:t>
            </w:r>
            <w:r>
              <w:rPr>
                <w:rFonts w:hint="eastAsia" w:ascii="宋体" w:hAnsi="宋体" w:eastAsia="宋体" w:cs="宋体"/>
                <w:color w:val="auto"/>
                <w:sz w:val="21"/>
                <w:szCs w:val="21"/>
                <w:highlight w:val="none"/>
                <w:lang w:val="zh-CN"/>
              </w:rPr>
              <w:t>分，每下偏1%扣0.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分；最多减至0分止。得出投标人的投标报价得分。</w:t>
            </w:r>
          </w:p>
        </w:tc>
      </w:tr>
    </w:tbl>
    <w:p>
      <w:pPr>
        <w:spacing w:before="156" w:beforeLines="50" w:line="360" w:lineRule="exact"/>
        <w:ind w:firstLine="420" w:firstLineChars="200"/>
        <w:rPr>
          <w:rFonts w:hint="eastAsia" w:ascii="宋体" w:hAnsi="宋体"/>
          <w:b/>
          <w:bCs/>
          <w:color w:val="auto"/>
          <w:sz w:val="28"/>
          <w:szCs w:val="28"/>
          <w:highlight w:val="none"/>
        </w:rPr>
      </w:pPr>
      <w:r>
        <w:rPr>
          <w:rFonts w:hint="eastAsia" w:ascii="宋体" w:hAnsi="宋体" w:cs="宋体"/>
          <w:color w:val="auto"/>
          <w:szCs w:val="21"/>
          <w:highlight w:val="none"/>
        </w:rPr>
        <w:t>说明</w:t>
      </w:r>
      <w:r>
        <w:rPr>
          <w:rFonts w:hint="eastAsia" w:ascii="宋体" w:hAnsi="宋体" w:cs="宋体"/>
          <w:color w:val="auto"/>
          <w:szCs w:val="21"/>
          <w:highlight w:val="none"/>
          <w:lang w:val="zh-CN"/>
        </w:rPr>
        <w:t>：1、投标人的总得分为各评委的评分的算术平均分（分数出现小数点时，保留小数点后二位，第三位小数四舍五入）。</w:t>
      </w:r>
      <w:r>
        <w:rPr>
          <w:rFonts w:hint="eastAsia"/>
          <w:color w:val="auto"/>
          <w:highlight w:val="none"/>
        </w:rPr>
        <w:br w:type="page"/>
      </w:r>
      <w:bookmarkStart w:id="115" w:name="_Toc31360"/>
      <w:r>
        <w:rPr>
          <w:rFonts w:hint="eastAsia" w:ascii="宋体" w:hAnsi="宋体"/>
          <w:b/>
          <w:bCs/>
          <w:color w:val="auto"/>
          <w:sz w:val="28"/>
          <w:szCs w:val="28"/>
          <w:highlight w:val="none"/>
        </w:rPr>
        <w:t>附表</w:t>
      </w:r>
      <w:r>
        <w:rPr>
          <w:rFonts w:hint="eastAsia" w:ascii="宋体" w:hAnsi="宋体"/>
          <w:b/>
          <w:bCs/>
          <w:color w:val="auto"/>
          <w:sz w:val="28"/>
          <w:szCs w:val="28"/>
          <w:highlight w:val="none"/>
          <w:lang w:eastAsia="zh-CN"/>
        </w:rPr>
        <w:t>五</w:t>
      </w:r>
      <w:r>
        <w:rPr>
          <w:rFonts w:hint="eastAsia" w:ascii="宋体" w:hAnsi="宋体"/>
          <w:b/>
          <w:bCs/>
          <w:color w:val="auto"/>
          <w:sz w:val="28"/>
          <w:szCs w:val="28"/>
          <w:highlight w:val="none"/>
        </w:rPr>
        <w:t>：算术复核表</w:t>
      </w:r>
      <w:bookmarkEnd w:id="115"/>
    </w:p>
    <w:p>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算术复核表</w:t>
      </w:r>
    </w:p>
    <w:p>
      <w:pPr>
        <w:adjustRightInd w:val="0"/>
        <w:snapToGrid w:val="0"/>
        <w:spacing w:line="360" w:lineRule="auto"/>
        <w:rPr>
          <w:rFonts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jc w:val="center"/>
        <w:tblLayout w:type="fixed"/>
        <w:tblCellMar>
          <w:top w:w="0" w:type="dxa"/>
          <w:left w:w="108" w:type="dxa"/>
          <w:bottom w:w="0" w:type="dxa"/>
          <w:right w:w="108" w:type="dxa"/>
        </w:tblCellMar>
      </w:tblPr>
      <w:tblGrid>
        <w:gridCol w:w="727"/>
        <w:gridCol w:w="2057"/>
        <w:gridCol w:w="1701"/>
        <w:gridCol w:w="2410"/>
        <w:gridCol w:w="2866"/>
      </w:tblGrid>
      <w:tr>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原投标报价</w:t>
            </w:r>
            <w:r>
              <w:rPr>
                <w:rFonts w:ascii="宋体" w:hAnsi="宋体"/>
                <w:color w:val="auto"/>
                <w:szCs w:val="21"/>
                <w:highlight w:val="none"/>
              </w:rPr>
              <w:t>A</w:t>
            </w:r>
          </w:p>
        </w:tc>
        <w:tc>
          <w:tcPr>
            <w:tcW w:w="241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算术复核后投标报价</w:t>
            </w:r>
            <w:r>
              <w:rPr>
                <w:rFonts w:ascii="宋体" w:hAnsi="宋体"/>
                <w:color w:val="auto"/>
                <w:szCs w:val="21"/>
                <w:highlight w:val="none"/>
              </w:rPr>
              <w:t>B</w:t>
            </w:r>
          </w:p>
        </w:tc>
        <w:tc>
          <w:tcPr>
            <w:tcW w:w="286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bl>
    <w:p>
      <w:pPr>
        <w:snapToGrid w:val="0"/>
        <w:spacing w:line="240" w:lineRule="atLeast"/>
        <w:jc w:val="center"/>
        <w:rPr>
          <w:rFonts w:ascii="宋体" w:hAnsi="宋体"/>
          <w:color w:val="auto"/>
          <w:szCs w:val="21"/>
          <w:highlight w:val="none"/>
        </w:rPr>
      </w:pPr>
    </w:p>
    <w:p>
      <w:pPr>
        <w:pStyle w:val="25"/>
        <w:adjustRightInd w:val="0"/>
        <w:snapToGrid w:val="0"/>
        <w:spacing w:line="360" w:lineRule="auto"/>
        <w:ind w:firstLine="0"/>
        <w:rPr>
          <w:rFonts w:ascii="宋体" w:hAnsi="宋体"/>
          <w:color w:val="auto"/>
          <w:highlight w:val="none"/>
        </w:rPr>
      </w:pPr>
    </w:p>
    <w:p>
      <w:pPr>
        <w:pStyle w:val="5"/>
        <w:rPr>
          <w:color w:val="auto"/>
          <w:highlight w:val="none"/>
        </w:rPr>
      </w:pPr>
      <w:r>
        <w:rPr>
          <w:bCs/>
          <w:color w:val="auto"/>
          <w:highlight w:val="none"/>
        </w:rPr>
        <w:br w:type="page"/>
      </w:r>
      <w:bookmarkStart w:id="116" w:name="_Toc23812"/>
      <w:r>
        <w:rPr>
          <w:rFonts w:hint="eastAsia"/>
          <w:bCs/>
          <w:color w:val="auto"/>
          <w:highlight w:val="none"/>
        </w:rPr>
        <w:t>附表</w:t>
      </w:r>
      <w:r>
        <w:rPr>
          <w:rFonts w:hint="eastAsia"/>
          <w:bCs/>
          <w:color w:val="auto"/>
          <w:highlight w:val="none"/>
          <w:lang w:eastAsia="zh-CN"/>
        </w:rPr>
        <w:t>六</w:t>
      </w:r>
      <w:r>
        <w:rPr>
          <w:rFonts w:hint="eastAsia"/>
          <w:bCs/>
          <w:color w:val="auto"/>
          <w:highlight w:val="none"/>
        </w:rPr>
        <w:t>：</w:t>
      </w:r>
      <w:r>
        <w:rPr>
          <w:rFonts w:hint="eastAsia"/>
          <w:color w:val="auto"/>
          <w:highlight w:val="none"/>
        </w:rPr>
        <w:t>报价得分计算表</w:t>
      </w:r>
      <w:bookmarkEnd w:id="116"/>
    </w:p>
    <w:p>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报价得分计算表</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71"/>
        <w:gridCol w:w="671"/>
        <w:gridCol w:w="671"/>
        <w:gridCol w:w="671"/>
        <w:gridCol w:w="671"/>
        <w:gridCol w:w="671"/>
        <w:gridCol w:w="671"/>
        <w:gridCol w:w="671"/>
        <w:gridCol w:w="671"/>
        <w:gridCol w:w="671"/>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2" w:type="dxa"/>
            <w:vAlign w:val="center"/>
          </w:tcPr>
          <w:p>
            <w:pPr>
              <w:snapToGrid w:val="0"/>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cs="宋体"/>
                <w:color w:val="auto"/>
                <w:sz w:val="21"/>
                <w:szCs w:val="21"/>
                <w:highlight w:val="none"/>
                <w:lang w:eastAsia="zh-CN"/>
              </w:rPr>
              <w:t>总</w:t>
            </w:r>
            <w:r>
              <w:rPr>
                <w:rFonts w:hint="eastAsia" w:ascii="宋体" w:hAnsi="宋体" w:eastAsia="宋体" w:cs="宋体"/>
                <w:color w:val="auto"/>
                <w:sz w:val="21"/>
                <w:szCs w:val="21"/>
                <w:highlight w:val="none"/>
              </w:rPr>
              <w:t>报价</w:t>
            </w:r>
          </w:p>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2" w:type="dxa"/>
            <w:vAlign w:val="center"/>
          </w:tcPr>
          <w:p>
            <w:pPr>
              <w:snapToGrid w:val="0"/>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w:t>
            </w:r>
          </w:p>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7382" w:type="dxa"/>
            <w:gridSpan w:val="11"/>
            <w:vAlign w:val="center"/>
          </w:tcPr>
          <w:p>
            <w:pPr>
              <w:snapToGrid w:val="0"/>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2" w:type="dxa"/>
            <w:vAlign w:val="center"/>
          </w:tcPr>
          <w:p>
            <w:pPr>
              <w:snapToGrid w:val="0"/>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减分</w:t>
            </w: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2" w:type="dxa"/>
            <w:vAlign w:val="center"/>
          </w:tcPr>
          <w:p>
            <w:pPr>
              <w:snapToGrid w:val="0"/>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2" w:type="dxa"/>
            <w:vAlign w:val="center"/>
          </w:tcPr>
          <w:p>
            <w:pPr>
              <w:snapToGrid w:val="0"/>
              <w:spacing w:line="240" w:lineRule="atLeast"/>
              <w:jc w:val="center"/>
              <w:rPr>
                <w:rFonts w:hint="eastAsia" w:ascii="宋体" w:hAnsi="宋体" w:eastAsia="宋体" w:cs="宋体"/>
                <w:color w:val="auto"/>
                <w:sz w:val="21"/>
                <w:szCs w:val="21"/>
                <w:highlight w:val="none"/>
              </w:rPr>
            </w:pPr>
          </w:p>
        </w:tc>
      </w:tr>
    </w:tbl>
    <w:p>
      <w:pPr>
        <w:pStyle w:val="2"/>
        <w:adjustRightInd w:val="0"/>
        <w:snapToGrid w:val="0"/>
        <w:rPr>
          <w:rFonts w:ascii="宋体" w:hAnsi="宋体" w:cs="宋体"/>
          <w:color w:val="auto"/>
          <w:kern w:val="0"/>
          <w:szCs w:val="21"/>
          <w:highlight w:val="none"/>
        </w:rPr>
      </w:pPr>
    </w:p>
    <w:p>
      <w:pPr>
        <w:pStyle w:val="2"/>
        <w:adjustRightInd w:val="0"/>
        <w:snapToGrid w:val="0"/>
        <w:spacing w:line="360" w:lineRule="auto"/>
        <w:ind w:firstLine="0"/>
        <w:rPr>
          <w:rFonts w:ascii="宋体" w:hAnsi="宋体"/>
          <w:color w:val="auto"/>
          <w:szCs w:val="36"/>
          <w:highlight w:val="none"/>
        </w:rPr>
      </w:pPr>
    </w:p>
    <w:p>
      <w:pPr>
        <w:pStyle w:val="2"/>
        <w:adjustRightInd w:val="0"/>
        <w:snapToGrid w:val="0"/>
        <w:spacing w:line="360" w:lineRule="auto"/>
        <w:ind w:firstLine="0"/>
        <w:rPr>
          <w:rFonts w:ascii="宋体" w:hAnsi="宋体"/>
          <w:color w:val="auto"/>
          <w:szCs w:val="21"/>
          <w:highlight w:val="none"/>
        </w:rPr>
      </w:pPr>
      <w:r>
        <w:rPr>
          <w:rFonts w:hint="eastAsia" w:ascii="宋体" w:hAnsi="宋体"/>
          <w:color w:val="auto"/>
          <w:szCs w:val="21"/>
          <w:highlight w:val="none"/>
        </w:rPr>
        <w:t xml:space="preserve"> 评委签名：                                                 日期：</w:t>
      </w:r>
    </w:p>
    <w:p>
      <w:pPr>
        <w:pStyle w:val="5"/>
        <w:numPr>
          <w:ilvl w:val="0"/>
          <w:numId w:val="1"/>
        </w:numPr>
        <w:rPr>
          <w:color w:val="auto"/>
          <w:highlight w:val="none"/>
        </w:rPr>
      </w:pPr>
      <w:r>
        <w:rPr>
          <w:b w:val="0"/>
          <w:color w:val="auto"/>
          <w:spacing w:val="20"/>
          <w:highlight w:val="none"/>
        </w:rPr>
        <w:br w:type="page"/>
      </w:r>
      <w:bookmarkStart w:id="117" w:name="_Toc533357319"/>
      <w:bookmarkStart w:id="118" w:name="_Toc32194"/>
      <w:r>
        <w:rPr>
          <w:rFonts w:hint="eastAsia"/>
          <w:color w:val="auto"/>
          <w:highlight w:val="none"/>
        </w:rPr>
        <w:t>评标方法</w:t>
      </w:r>
      <w:bookmarkEnd w:id="117"/>
      <w:bookmarkEnd w:id="118"/>
    </w:p>
    <w:p>
      <w:pPr>
        <w:rPr>
          <w:rFonts w:ascii="宋体" w:hAnsi="宋体"/>
          <w:color w:val="auto"/>
          <w:highlight w:val="none"/>
        </w:rPr>
      </w:pP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检测</w:t>
      </w:r>
      <w:r>
        <w:rPr>
          <w:rFonts w:hint="eastAsia" w:ascii="宋体" w:hAnsi="宋体"/>
          <w:color w:val="auto"/>
          <w:sz w:val="24"/>
          <w:szCs w:val="24"/>
          <w:highlight w:val="none"/>
          <w:lang w:eastAsia="zh-CN"/>
        </w:rPr>
        <w:t>监测</w:t>
      </w:r>
      <w:r>
        <w:rPr>
          <w:rFonts w:hint="eastAsia" w:ascii="宋体" w:hAnsi="宋体"/>
          <w:color w:val="auto"/>
          <w:sz w:val="24"/>
          <w:szCs w:val="24"/>
          <w:highlight w:val="none"/>
        </w:rPr>
        <w:t>方案得分高的优先；若检测</w:t>
      </w:r>
      <w:r>
        <w:rPr>
          <w:rFonts w:hint="eastAsia" w:ascii="宋体" w:hAnsi="宋体"/>
          <w:color w:val="auto"/>
          <w:sz w:val="24"/>
          <w:szCs w:val="24"/>
          <w:highlight w:val="none"/>
          <w:lang w:eastAsia="zh-CN"/>
        </w:rPr>
        <w:t>监测</w:t>
      </w:r>
      <w:r>
        <w:rPr>
          <w:rFonts w:hint="eastAsia" w:ascii="宋体" w:hAnsi="宋体"/>
          <w:color w:val="auto"/>
          <w:sz w:val="24"/>
          <w:szCs w:val="24"/>
          <w:highlight w:val="none"/>
        </w:rPr>
        <w:t>方案得分也相等，由评标委员会采用记名投票方式，以得票多的优先。</w:t>
      </w:r>
    </w:p>
    <w:p>
      <w:pPr>
        <w:rPr>
          <w:rFonts w:ascii="宋体" w:hAnsi="宋体"/>
          <w:color w:val="auto"/>
          <w:highlight w:val="none"/>
        </w:rPr>
      </w:pPr>
    </w:p>
    <w:p>
      <w:pPr>
        <w:pStyle w:val="5"/>
        <w:rPr>
          <w:color w:val="auto"/>
          <w:highlight w:val="none"/>
        </w:rPr>
      </w:pPr>
      <w:bookmarkStart w:id="119" w:name="bookmark85"/>
      <w:bookmarkEnd w:id="119"/>
      <w:bookmarkStart w:id="120" w:name="_Toc32665"/>
      <w:bookmarkStart w:id="121" w:name="_Toc533357320"/>
      <w:r>
        <w:rPr>
          <w:color w:val="auto"/>
          <w:highlight w:val="none"/>
        </w:rPr>
        <w:t xml:space="preserve">2. </w:t>
      </w:r>
      <w:r>
        <w:rPr>
          <w:rFonts w:hint="eastAsia"/>
          <w:color w:val="auto"/>
          <w:highlight w:val="none"/>
        </w:rPr>
        <w:t>评审标准</w:t>
      </w:r>
      <w:bookmarkEnd w:id="120"/>
      <w:bookmarkEnd w:id="121"/>
    </w:p>
    <w:p>
      <w:pPr>
        <w:rPr>
          <w:rFonts w:ascii="宋体" w:hAnsi="宋体"/>
          <w:color w:val="auto"/>
          <w:highlight w:val="none"/>
        </w:rPr>
      </w:pPr>
    </w:p>
    <w:p>
      <w:pPr>
        <w:pStyle w:val="7"/>
        <w:ind w:firstLine="420"/>
        <w:rPr>
          <w:color w:val="auto"/>
          <w:highlight w:val="none"/>
        </w:rPr>
      </w:pPr>
      <w:bookmarkStart w:id="122" w:name="bookmark86"/>
      <w:bookmarkEnd w:id="122"/>
      <w:r>
        <w:rPr>
          <w:color w:val="auto"/>
          <w:highlight w:val="none"/>
        </w:rPr>
        <w:t xml:space="preserve">2.1 </w:t>
      </w:r>
      <w:r>
        <w:rPr>
          <w:rFonts w:hint="eastAsia"/>
          <w:color w:val="auto"/>
          <w:highlight w:val="none"/>
        </w:rPr>
        <w:t>初步评审标准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pPr>
        <w:rPr>
          <w:rFonts w:ascii="宋体" w:hAnsi="宋体"/>
          <w:color w:val="auto"/>
          <w:highlight w:val="none"/>
        </w:rPr>
      </w:pPr>
    </w:p>
    <w:p>
      <w:pPr>
        <w:pStyle w:val="7"/>
        <w:rPr>
          <w:color w:val="auto"/>
          <w:highlight w:val="none"/>
        </w:rPr>
      </w:pPr>
      <w:bookmarkStart w:id="123" w:name="bookmark87"/>
      <w:bookmarkEnd w:id="123"/>
      <w:r>
        <w:rPr>
          <w:color w:val="auto"/>
          <w:highlight w:val="none"/>
        </w:rPr>
        <w:t xml:space="preserve">2.2 </w:t>
      </w:r>
      <w:r>
        <w:rPr>
          <w:rFonts w:hint="eastAsia"/>
          <w:color w:val="auto"/>
          <w:highlight w:val="none"/>
        </w:rPr>
        <w:t>分值构成与评分标准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4</w:t>
      </w:r>
      <w:r>
        <w:rPr>
          <w:rFonts w:hint="eastAsia" w:ascii="宋体" w:hAnsi="宋体"/>
          <w:strike/>
          <w:color w:val="auto"/>
          <w:sz w:val="24"/>
          <w:szCs w:val="24"/>
          <w:highlight w:val="none"/>
        </w:rPr>
        <w:t>）其他因素部分：见评标办法前附表。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评标基准价计算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评标基准价计算方法：见评标办法前附表。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pPr>
        <w:pStyle w:val="5"/>
        <w:rPr>
          <w:color w:val="auto"/>
          <w:highlight w:val="none"/>
        </w:rPr>
      </w:pPr>
      <w:bookmarkStart w:id="124" w:name="bookmark88"/>
      <w:bookmarkEnd w:id="124"/>
      <w:bookmarkStart w:id="125" w:name="_Toc533357321"/>
      <w:bookmarkStart w:id="126" w:name="_Toc22290"/>
      <w:r>
        <w:rPr>
          <w:color w:val="auto"/>
          <w:highlight w:val="none"/>
        </w:rPr>
        <w:t xml:space="preserve">3. </w:t>
      </w:r>
      <w:r>
        <w:rPr>
          <w:rFonts w:hint="eastAsia"/>
          <w:color w:val="auto"/>
          <w:highlight w:val="none"/>
        </w:rPr>
        <w:t>评标程序</w:t>
      </w:r>
      <w:bookmarkEnd w:id="125"/>
      <w:bookmarkEnd w:id="126"/>
    </w:p>
    <w:p>
      <w:pPr>
        <w:rPr>
          <w:rFonts w:ascii="宋体" w:hAnsi="宋体"/>
          <w:color w:val="auto"/>
          <w:highlight w:val="none"/>
        </w:rPr>
      </w:pPr>
    </w:p>
    <w:p>
      <w:pPr>
        <w:pStyle w:val="7"/>
        <w:rPr>
          <w:color w:val="auto"/>
          <w:highlight w:val="none"/>
        </w:rPr>
      </w:pPr>
      <w:bookmarkStart w:id="127" w:name="bookmark89"/>
      <w:bookmarkEnd w:id="127"/>
      <w:r>
        <w:rPr>
          <w:color w:val="auto"/>
          <w:highlight w:val="none"/>
        </w:rPr>
        <w:t xml:space="preserve">3.1 </w:t>
      </w:r>
      <w:r>
        <w:rPr>
          <w:rFonts w:hint="eastAsia"/>
          <w:color w:val="auto"/>
          <w:highlight w:val="none"/>
        </w:rPr>
        <w:t>初步评审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（2）总价金额与单价金额不一致的，以单价金额为准，但单价金额小数点有明显错误的除外。</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3.1.4 只有通过初步评审的投标人才能进入下一阶段详细评审。当通过初步评审的有效投标人不足四名时，招标人应当依法重新组织招标。在进行形式评审、资格评审、响应性评审过程中，若评委意见不一致时，则按少数服从多数的原则，决定该投标人是否通过相应阶段的评审，进入下一阶段评审。</w:t>
      </w:r>
    </w:p>
    <w:p>
      <w:pPr>
        <w:rPr>
          <w:rFonts w:ascii="宋体" w:hAnsi="宋体"/>
          <w:color w:val="auto"/>
          <w:highlight w:val="none"/>
        </w:rPr>
      </w:pPr>
    </w:p>
    <w:p>
      <w:pPr>
        <w:pStyle w:val="7"/>
        <w:rPr>
          <w:color w:val="auto"/>
          <w:highlight w:val="none"/>
        </w:rPr>
      </w:pPr>
      <w:bookmarkStart w:id="128" w:name="bookmark90"/>
      <w:bookmarkEnd w:id="128"/>
      <w:r>
        <w:rPr>
          <w:color w:val="auto"/>
          <w:highlight w:val="none"/>
        </w:rPr>
        <w:t xml:space="preserve">3.2 </w:t>
      </w:r>
      <w:r>
        <w:rPr>
          <w:rFonts w:hint="eastAsia"/>
          <w:color w:val="auto"/>
          <w:highlight w:val="none"/>
        </w:rPr>
        <w:t>详细评审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rPr>
        <w:t>投标人总得分=</w:t>
      </w:r>
      <w:r>
        <w:rPr>
          <w:rFonts w:hint="eastAsia" w:ascii="宋体" w:hAnsi="宋体"/>
          <w:color w:val="auto"/>
          <w:sz w:val="24"/>
          <w:szCs w:val="24"/>
          <w:highlight w:val="none"/>
          <w:u w:val="single"/>
        </w:rPr>
        <w:t xml:space="preserve"> A+B+C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rPr>
          <w:rFonts w:ascii="宋体" w:hAnsi="宋体"/>
          <w:color w:val="auto"/>
          <w:highlight w:val="none"/>
        </w:rPr>
      </w:pPr>
    </w:p>
    <w:p>
      <w:pPr>
        <w:pStyle w:val="7"/>
        <w:rPr>
          <w:color w:val="auto"/>
          <w:highlight w:val="none"/>
        </w:rPr>
      </w:pPr>
      <w:bookmarkStart w:id="129" w:name="bookmark91"/>
      <w:bookmarkEnd w:id="129"/>
      <w:r>
        <w:rPr>
          <w:color w:val="auto"/>
          <w:highlight w:val="none"/>
        </w:rPr>
        <w:t xml:space="preserve">3.3 </w:t>
      </w:r>
      <w:r>
        <w:rPr>
          <w:rFonts w:hint="eastAsia"/>
          <w:color w:val="auto"/>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pPr>
        <w:rPr>
          <w:rFonts w:ascii="宋体" w:hAnsi="宋体"/>
          <w:color w:val="auto"/>
          <w:highlight w:val="none"/>
        </w:rPr>
      </w:pPr>
    </w:p>
    <w:p>
      <w:pPr>
        <w:pStyle w:val="7"/>
        <w:rPr>
          <w:color w:val="auto"/>
          <w:highlight w:val="none"/>
        </w:rPr>
      </w:pPr>
      <w:bookmarkStart w:id="130" w:name="bookmark92"/>
      <w:bookmarkEnd w:id="130"/>
      <w:r>
        <w:rPr>
          <w:color w:val="auto"/>
          <w:highlight w:val="none"/>
        </w:rPr>
        <w:t xml:space="preserve">3.4 </w:t>
      </w:r>
      <w:r>
        <w:rPr>
          <w:rFonts w:hint="eastAsia"/>
          <w:color w:val="auto"/>
          <w:highlight w:val="none"/>
        </w:rPr>
        <w:t>评标结果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pPr>
        <w:ind w:firstLine="540" w:firstLineChars="225"/>
        <w:rPr>
          <w:rFonts w:ascii="宋体" w:hAnsi="宋体"/>
          <w:color w:val="auto"/>
          <w:sz w:val="24"/>
          <w:szCs w:val="24"/>
          <w:highlight w:val="none"/>
        </w:rPr>
      </w:pPr>
      <w:r>
        <w:rPr>
          <w:rFonts w:ascii="宋体" w:hAnsi="宋体"/>
          <w:color w:val="auto"/>
          <w:sz w:val="24"/>
          <w:szCs w:val="24"/>
          <w:highlight w:val="none"/>
        </w:rPr>
        <w:t>3.4.2</w:t>
      </w:r>
      <w:r>
        <w:rPr>
          <w:rFonts w:hint="eastAsia" w:ascii="宋体" w:hAnsi="宋体"/>
          <w:color w:val="auto"/>
          <w:sz w:val="24"/>
          <w:szCs w:val="24"/>
          <w:highlight w:val="none"/>
        </w:rPr>
        <w:t>评标委员会完成评标后，应当向招标人提交书面评标报告和中标候选人名单。</w:t>
      </w:r>
    </w:p>
    <w:p>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 xml:space="preserve"> </w:t>
      </w:r>
    </w:p>
    <w:p>
      <w:pPr>
        <w:outlineLvl w:val="9"/>
        <w:rPr>
          <w:color w:val="auto"/>
          <w:sz w:val="24"/>
          <w:szCs w:val="24"/>
          <w:highlight w:val="none"/>
        </w:rPr>
      </w:pPr>
      <w:bookmarkStart w:id="131" w:name="_Toc533357322"/>
      <w:r>
        <w:rPr>
          <w:rFonts w:hint="eastAsia"/>
          <w:color w:val="auto"/>
          <w:sz w:val="24"/>
          <w:szCs w:val="24"/>
          <w:highlight w:val="none"/>
        </w:rPr>
        <w:t xml:space="preserve">       </w:t>
      </w:r>
    </w:p>
    <w:p>
      <w:pPr>
        <w:rPr>
          <w:color w:val="auto"/>
          <w:sz w:val="24"/>
          <w:szCs w:val="24"/>
          <w:highlight w:val="none"/>
        </w:rPr>
      </w:pPr>
      <w:r>
        <w:rPr>
          <w:rFonts w:hint="eastAsia"/>
          <w:color w:val="auto"/>
          <w:sz w:val="24"/>
          <w:szCs w:val="24"/>
          <w:highlight w:val="none"/>
        </w:rPr>
        <w:br w:type="page"/>
      </w:r>
    </w:p>
    <w:p>
      <w:pPr>
        <w:outlineLvl w:val="9"/>
        <w:rPr>
          <w:color w:val="auto"/>
          <w:sz w:val="24"/>
          <w:szCs w:val="24"/>
          <w:highlight w:val="none"/>
        </w:rPr>
      </w:pPr>
    </w:p>
    <w:p>
      <w:pPr>
        <w:pStyle w:val="3"/>
        <w:rPr>
          <w:color w:val="auto"/>
          <w:highlight w:val="none"/>
        </w:rPr>
      </w:pPr>
      <w:bookmarkStart w:id="132" w:name="_Toc24092"/>
      <w:r>
        <w:rPr>
          <w:rFonts w:hint="eastAsia"/>
          <w:color w:val="auto"/>
          <w:highlight w:val="none"/>
        </w:rPr>
        <w:t>第四章  合同条款及格式</w:t>
      </w:r>
      <w:bookmarkEnd w:id="131"/>
      <w:bookmarkEnd w:id="132"/>
      <w:bookmarkStart w:id="133" w:name="_Toc533357324"/>
    </w:p>
    <w:p>
      <w:pPr>
        <w:jc w:val="center"/>
        <w:rPr>
          <w:rFonts w:hint="eastAsia" w:eastAsia="宋体"/>
          <w:color w:val="auto"/>
          <w:sz w:val="52"/>
          <w:szCs w:val="56"/>
          <w:highlight w:val="none"/>
          <w:lang w:eastAsia="zh-CN"/>
        </w:rPr>
      </w:pPr>
      <w:bookmarkStart w:id="134" w:name="_Toc8835"/>
      <w:bookmarkEnd w:id="134"/>
      <w:bookmarkStart w:id="135" w:name="_Toc1562"/>
      <w:bookmarkEnd w:id="135"/>
      <w:bookmarkStart w:id="136" w:name="_Toc19059"/>
      <w:bookmarkEnd w:id="136"/>
      <w:r>
        <w:rPr>
          <w:rFonts w:hint="eastAsia"/>
          <w:color w:val="auto"/>
          <w:sz w:val="52"/>
          <w:szCs w:val="56"/>
          <w:highlight w:val="none"/>
          <w:lang w:eastAsia="zh-CN"/>
        </w:rPr>
        <w:t>（</w:t>
      </w:r>
      <w:r>
        <w:rPr>
          <w:rFonts w:hint="eastAsia"/>
          <w:color w:val="auto"/>
          <w:sz w:val="52"/>
          <w:szCs w:val="56"/>
          <w:highlight w:val="none"/>
          <w:lang w:val="en-US" w:eastAsia="zh-CN"/>
        </w:rPr>
        <w:t>另册</w:t>
      </w:r>
      <w:r>
        <w:rPr>
          <w:rFonts w:hint="eastAsia"/>
          <w:color w:val="auto"/>
          <w:sz w:val="52"/>
          <w:szCs w:val="56"/>
          <w:highlight w:val="none"/>
          <w:lang w:eastAsia="zh-CN"/>
        </w:rPr>
        <w:t>）</w:t>
      </w:r>
    </w:p>
    <w:p>
      <w:pPr>
        <w:rPr>
          <w:rFonts w:hint="eastAsia"/>
          <w:color w:val="auto"/>
          <w:highlight w:val="none"/>
        </w:rPr>
      </w:pPr>
      <w:r>
        <w:rPr>
          <w:rFonts w:hint="eastAsia"/>
          <w:color w:val="auto"/>
          <w:highlight w:val="none"/>
        </w:rPr>
        <w:br w:type="page"/>
      </w:r>
    </w:p>
    <w:p>
      <w:pPr>
        <w:pStyle w:val="3"/>
        <w:rPr>
          <w:color w:val="auto"/>
          <w:highlight w:val="none"/>
        </w:rPr>
      </w:pPr>
      <w:bookmarkStart w:id="137" w:name="_Toc29520"/>
      <w:r>
        <w:rPr>
          <w:rFonts w:hint="eastAsia"/>
          <w:color w:val="auto"/>
          <w:highlight w:val="none"/>
        </w:rPr>
        <w:t>第二卷</w:t>
      </w:r>
      <w:bookmarkEnd w:id="137"/>
    </w:p>
    <w:p>
      <w:pPr>
        <w:pStyle w:val="3"/>
        <w:numPr>
          <w:ilvl w:val="0"/>
          <w:numId w:val="2"/>
        </w:numPr>
        <w:rPr>
          <w:color w:val="auto"/>
          <w:highlight w:val="none"/>
        </w:rPr>
      </w:pPr>
      <w:r>
        <w:rPr>
          <w:rFonts w:hint="eastAsia"/>
          <w:color w:val="auto"/>
          <w:highlight w:val="none"/>
        </w:rPr>
        <w:t xml:space="preserve"> </w:t>
      </w:r>
      <w:bookmarkStart w:id="138" w:name="_Toc31919"/>
      <w:r>
        <w:rPr>
          <w:rFonts w:hint="eastAsia"/>
          <w:color w:val="auto"/>
          <w:highlight w:val="none"/>
        </w:rPr>
        <w:t>委托人要求</w:t>
      </w:r>
      <w:bookmarkEnd w:id="138"/>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pPr>
        <w:spacing w:line="360" w:lineRule="auto"/>
        <w:ind w:firstLine="420" w:firstLineChars="175"/>
        <w:rPr>
          <w:rFonts w:hint="eastAsia" w:ascii="宋体" w:hAnsi="宋体"/>
          <w:color w:val="auto"/>
          <w:sz w:val="24"/>
          <w:szCs w:val="24"/>
          <w:highlight w:val="none"/>
          <w:u w:val="none"/>
          <w:lang w:eastAsia="zh-CN"/>
        </w:rPr>
      </w:pPr>
      <w:r>
        <w:rPr>
          <w:rFonts w:hint="eastAsia" w:ascii="宋体" w:hAnsi="宋体"/>
          <w:color w:val="auto"/>
          <w:sz w:val="24"/>
          <w:szCs w:val="24"/>
          <w:highlight w:val="none"/>
        </w:rPr>
        <w:t>1.1项目名称：</w:t>
      </w:r>
      <w:r>
        <w:rPr>
          <w:rFonts w:hint="eastAsia" w:ascii="宋体" w:hAnsi="宋体"/>
          <w:color w:val="auto"/>
          <w:sz w:val="24"/>
          <w:szCs w:val="24"/>
          <w:highlight w:val="none"/>
          <w:u w:val="none"/>
          <w:lang w:eastAsia="zh-CN"/>
        </w:rPr>
        <w:t xml:space="preserve"> 广州市黄埔区九佛街五村七片城中村改造项目复建地块四工程检测监测服务。</w:t>
      </w:r>
    </w:p>
    <w:p>
      <w:pPr>
        <w:spacing w:line="360" w:lineRule="auto"/>
        <w:ind w:firstLine="420" w:firstLineChars="175"/>
        <w:rPr>
          <w:rFonts w:hint="eastAsia" w:ascii="宋体" w:hAnsi="宋体" w:cs="宋体"/>
          <w:color w:val="auto"/>
          <w:sz w:val="24"/>
          <w:szCs w:val="24"/>
          <w:highlight w:val="none"/>
          <w:u w:val="single"/>
        </w:rPr>
      </w:pPr>
      <w:r>
        <w:rPr>
          <w:rFonts w:hint="eastAsia" w:ascii="宋体" w:hAnsi="宋体"/>
          <w:color w:val="auto"/>
          <w:sz w:val="24"/>
          <w:szCs w:val="24"/>
          <w:highlight w:val="none"/>
        </w:rPr>
        <w:t>1.2建设规模：</w:t>
      </w:r>
      <w:r>
        <w:rPr>
          <w:rFonts w:hint="eastAsia" w:ascii="宋体" w:hAnsi="宋体" w:cs="宋体"/>
          <w:color w:val="auto"/>
          <w:sz w:val="24"/>
          <w:szCs w:val="24"/>
          <w:highlight w:val="none"/>
        </w:rPr>
        <w:t>本项目总用地面积约22593平方米（详见建设用地规划红线图），用地性质为R2二类居住用地，容积率3.0，总建筑面积约为97079平方米，计容总建筑面积约67779平方米，建筑密度≤28%，绿地率≥35%，住宅建筑高度83~100米。建设内容包括住宅、地下车库、配套商业、公建配套等(具体以政府批复的规划条件为准)。</w:t>
      </w:r>
    </w:p>
    <w:p>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1.3建设地点：</w:t>
      </w:r>
      <w:r>
        <w:rPr>
          <w:rFonts w:hint="eastAsia" w:ascii="宋体" w:hAnsi="宋体"/>
          <w:color w:val="auto"/>
          <w:sz w:val="24"/>
          <w:szCs w:val="24"/>
          <w:highlight w:val="none"/>
          <w:lang w:eastAsia="zh-CN"/>
        </w:rPr>
        <w:t>本项目位于</w:t>
      </w:r>
      <w:r>
        <w:rPr>
          <w:rFonts w:hint="eastAsia" w:ascii="宋体" w:hAnsi="宋体" w:cs="宋体"/>
          <w:color w:val="auto"/>
          <w:sz w:val="24"/>
          <w:szCs w:val="24"/>
          <w:highlight w:val="none"/>
          <w:u w:val="none"/>
          <w:lang w:val="en-US" w:eastAsia="zh-CN"/>
        </w:rPr>
        <w:t>广州市黄埔区九佛街道，西临永九快速路，南临凤德一路，北临凤德二路，东临远励路。</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1.4工程投资：</w:t>
      </w:r>
      <w:r>
        <w:rPr>
          <w:rFonts w:hint="eastAsia" w:ascii="宋体" w:hAnsi="宋体"/>
          <w:color w:val="auto"/>
          <w:sz w:val="24"/>
          <w:szCs w:val="24"/>
          <w:highlight w:val="none"/>
          <w:lang w:eastAsia="zh-CN"/>
        </w:rPr>
        <w:t>本项目</w:t>
      </w:r>
      <w:r>
        <w:rPr>
          <w:rFonts w:hint="eastAsia" w:ascii="宋体" w:hAnsi="宋体" w:cs="宋体"/>
          <w:color w:val="auto"/>
          <w:sz w:val="24"/>
          <w:szCs w:val="24"/>
          <w:highlight w:val="none"/>
        </w:rPr>
        <w:t>投资总额暂定52334.03万元，其中建安费暂定36901.06万元。</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1.5本次招标服务期：</w:t>
      </w:r>
    </w:p>
    <w:p>
      <w:pPr>
        <w:adjustRightInd/>
        <w:snapToGrid/>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Times New Roman" w:hAnsi="宋体" w:eastAsia="宋体" w:cs="宋体"/>
          <w:color w:val="auto"/>
          <w:sz w:val="24"/>
          <w:szCs w:val="24"/>
          <w:highlight w:val="none"/>
        </w:rPr>
        <w:t>签订</w:t>
      </w:r>
      <w:r>
        <w:rPr>
          <w:rFonts w:hint="eastAsia" w:ascii="宋体" w:hAnsi="宋体" w:eastAsia="宋体" w:cs="宋体"/>
          <w:color w:val="auto"/>
          <w:sz w:val="24"/>
          <w:szCs w:val="24"/>
          <w:highlight w:val="none"/>
        </w:rPr>
        <w:t>合同之日起，至</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所有服务项目完成并竣工验收备案为止（建筑</w:t>
      </w:r>
      <w:r>
        <w:rPr>
          <w:rFonts w:hint="eastAsia" w:ascii="宋体" w:hAnsi="宋体" w:cs="宋体"/>
          <w:color w:val="auto"/>
          <w:sz w:val="24"/>
          <w:szCs w:val="24"/>
          <w:highlight w:val="none"/>
          <w:lang w:eastAsia="zh-CN"/>
        </w:rPr>
        <w:t>主体沉降观测</w:t>
      </w:r>
      <w:r>
        <w:rPr>
          <w:rFonts w:hint="eastAsia" w:ascii="宋体" w:hAnsi="宋体" w:eastAsia="宋体" w:cs="宋体"/>
          <w:color w:val="auto"/>
          <w:sz w:val="24"/>
          <w:szCs w:val="24"/>
          <w:highlight w:val="none"/>
        </w:rPr>
        <w:t>除外，服务期限按国家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省、市、区相关</w:t>
      </w:r>
      <w:r>
        <w:rPr>
          <w:rFonts w:hint="eastAsia" w:ascii="宋体" w:hAnsi="宋体" w:eastAsia="宋体" w:cs="宋体"/>
          <w:color w:val="auto"/>
          <w:sz w:val="24"/>
          <w:szCs w:val="24"/>
          <w:highlight w:val="none"/>
        </w:rPr>
        <w:t>规范执行），具体开工日期以甲方发出要求开始的日期为准，服务周期必须满足实际施工要求，包括但不限于施工准备阶段、施工全过程及竣工验收需完成的相关服务。</w:t>
      </w:r>
    </w:p>
    <w:p>
      <w:pPr>
        <w:adjustRightInd/>
        <w:snapToGrid/>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另外，在项目竣工验收备案后，需定期进行建筑沉降</w:t>
      </w:r>
      <w:r>
        <w:rPr>
          <w:rFonts w:hint="eastAsia" w:ascii="宋体" w:hAnsi="宋体" w:cs="宋体"/>
          <w:color w:val="auto"/>
          <w:sz w:val="24"/>
          <w:szCs w:val="24"/>
          <w:highlight w:val="none"/>
          <w:lang w:val="en-US" w:eastAsia="zh-CN"/>
        </w:rPr>
        <w:t>监</w:t>
      </w:r>
      <w:r>
        <w:rPr>
          <w:rFonts w:hint="eastAsia" w:ascii="宋体" w:hAnsi="宋体" w:eastAsia="宋体" w:cs="宋体"/>
          <w:color w:val="auto"/>
          <w:sz w:val="24"/>
          <w:szCs w:val="24"/>
          <w:highlight w:val="none"/>
        </w:rPr>
        <w:t>测，直至建筑沉降达到稳定状态为止。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w:t>
      </w:r>
      <w:r>
        <w:rPr>
          <w:rFonts w:hint="eastAsia" w:ascii="宋体" w:hAnsi="宋体" w:eastAsia="宋体" w:cs="宋体"/>
          <w:color w:val="auto"/>
          <w:sz w:val="24"/>
          <w:szCs w:val="24"/>
          <w:highlight w:val="none"/>
        </w:rPr>
        <w:t>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省、市、区</w:t>
      </w:r>
      <w:r>
        <w:rPr>
          <w:rFonts w:hint="eastAsia" w:ascii="宋体" w:hAnsi="宋体" w:eastAsia="宋体" w:cs="宋体"/>
          <w:color w:val="auto"/>
          <w:sz w:val="24"/>
          <w:szCs w:val="24"/>
          <w:highlight w:val="none"/>
          <w:lang w:val="en-US" w:eastAsia="zh-CN"/>
        </w:rPr>
        <w:t>相关规范及设计要求为准</w:t>
      </w:r>
      <w:r>
        <w:rPr>
          <w:rFonts w:hint="eastAsia" w:ascii="宋体" w:hAnsi="宋体" w:cs="宋体"/>
          <w:color w:val="auto"/>
          <w:sz w:val="24"/>
          <w:szCs w:val="24"/>
          <w:highlight w:val="none"/>
          <w:lang w:eastAsia="zh-CN"/>
        </w:rPr>
        <w:t>）</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olor w:val="auto"/>
          <w:sz w:val="24"/>
          <w:szCs w:val="24"/>
          <w:highlight w:val="none"/>
          <w:u w:val="none"/>
        </w:rPr>
        <w:t>符合国家及省、市</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区</w:t>
      </w:r>
      <w:r>
        <w:rPr>
          <w:rFonts w:hint="eastAsia" w:ascii="宋体" w:hAnsi="宋体"/>
          <w:color w:val="auto"/>
          <w:sz w:val="24"/>
          <w:szCs w:val="24"/>
          <w:highlight w:val="none"/>
          <w:u w:val="none"/>
        </w:rPr>
        <w:t>有关检测</w:t>
      </w:r>
      <w:r>
        <w:rPr>
          <w:rFonts w:hint="eastAsia" w:ascii="宋体" w:hAnsi="宋体"/>
          <w:color w:val="auto"/>
          <w:sz w:val="24"/>
          <w:szCs w:val="24"/>
          <w:highlight w:val="none"/>
          <w:u w:val="none"/>
          <w:lang w:val="en-US" w:eastAsia="zh-CN"/>
        </w:rPr>
        <w:t>监测</w:t>
      </w:r>
      <w:r>
        <w:rPr>
          <w:rFonts w:hint="eastAsia" w:ascii="宋体" w:hAnsi="宋体"/>
          <w:color w:val="auto"/>
          <w:sz w:val="24"/>
          <w:szCs w:val="24"/>
          <w:highlight w:val="none"/>
          <w:u w:val="none"/>
        </w:rPr>
        <w:t>标准</w:t>
      </w:r>
      <w:r>
        <w:rPr>
          <w:rFonts w:hint="eastAsia" w:ascii="宋体" w:hAnsi="宋体"/>
          <w:color w:val="auto"/>
          <w:sz w:val="24"/>
          <w:szCs w:val="24"/>
          <w:highlight w:val="none"/>
          <w:u w:val="none"/>
          <w:lang w:val="en-US" w:eastAsia="zh-CN"/>
        </w:rPr>
        <w:t>及相关监管或主管部门要求</w:t>
      </w:r>
      <w:r>
        <w:rPr>
          <w:rFonts w:hint="eastAsia" w:ascii="宋体" w:hAnsi="宋体"/>
          <w:color w:val="auto"/>
          <w:sz w:val="24"/>
          <w:szCs w:val="24"/>
          <w:highlight w:val="none"/>
          <w:u w:val="none"/>
        </w:rPr>
        <w:t>。</w:t>
      </w:r>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2.检测范围及内容：</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本项目提供基坑支护监测、高支模监测、水土保持监测（含验收）、主体沉降观测、地基基础检测、支护结构检测、建筑工程材料检测、主体结构实体检测、人防结构实体及人防设备安装质量检测、消防检测、防雷检测、发电机组负载检测、智能建筑检测（含光纤入户）、室内环境检测、土壤氡检测、钢结构检测、园区道路及管道检测、建筑节能及绿色建筑检测、幕墙与门窗工程检测、结构安全鉴定等本项目施工及验收阶段相关的第三方检测及监测项目并提供合格的检测/监测报告，以及相关申报检测技术成果审批服务。具体以发包人最终实施的方案为准。</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具体工作内容及要求包括但不限于：</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（1）具体检测/监测项目及工程量以清单报价表、设计图纸、甲方要求及有关规范要求为准。检测/监测工作须满足需满足本项目施工过程需要、竣工验收要求及相关主管监督部门的要求。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设计文件、施工组织设计、相关规范和相关行政职能部门及甲方要求，结合本项目实际情况，编制检测/监测方案，并确保检测/监测方案符合有关规范要求及通过工程所在行政区域的相关建设行政主管部门和监督部门的审批，同时负责协调相关工作，申报检测/监测技术成果的审批，保证技术成果能够通过相关部门认可，确保不因检测/监测工作影响本项目的建设进度和竣工验收，由此产生的费用已包含在综合单价中。</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（3）在进行检测/监测服务过程中，与本项目相关的施工、监理、设计、咨询、甲方等相关单位及建设行政主管部门和监督部门协调工作，由此产生的费用已包含在综合单价中。</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（4）本工程已包含监督抽检的工作内容，监督抽检数量按建设行政主管部门要求实施，由此产生的费用已包含在综合单价中。</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检测/监测数据的有关信息（包括但不限于：合同、计划、方案等）须按当地政府规定上传至广州市建设工程质量检测监管平台及其他政府指定的信息管理系统（如有），根据《广州市城乡建设委员会关于启用地下工程及深基坑安全监测信息管理系统的通知》《广州市住房和城乡建设委员会关于启用高大模板实时监测管理平台的通知》等要求，需做好信息化管理工作（含电子数据上传）确保不因传输报送工作影响本项目的建设进度和竣工验收，由此产生的费用已包含在综合单价中。</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用于完成本工程检测/监测的仪器、设备和材料由乙方自行配备、运输、存管。仪器、设备和材料应有产品出厂合格证、检定/校准证书等合格证明，同时符合相关技术标准和检定要求，该费用已包含在综合单价中。</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乙方提交的检测/监测报告在甲方项目实施竣工验收备案时发现因乙方原因有遗漏或错误或需补充提供的，乙方应无条件进行补充或修订直至完成竣工验收备案相应工作，由此产生的费用已包含在综合单价中。</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监测/观测后，监测/观测数据报警或由于其他客观情况需要，甲方要求乙方进行复检时，乙方应负责进行监测/观测，由此发生的费用已包含在综合单价中，不再另行计取，基坑监测清单中观测费为传统监测费用，自动化监测费用已在观测点埋设中综合考虑，不再另行计取。</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（9）乙方应向甲方提供非驻场式的技术咨询、支持服务，包括参加本项目相关会议、安排技术人员到现场解决相关问题等服务，人员办公住宿等由乙方自行负责。</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乙方应具备自行完成约定项目的检测监测工作的能力，除另有约定外，原则上不得转包和分包；如乙方检测、监测资质不能涵盖的项目，或根据建设主管部门的要求，需要由不同工程质量检测(监测)机构进行检测(监测)的，由乙方报甲方书面批准后，乙方方可委托有资质的相应单位实施，并按相关要求取得相应管理部门确认，确保不影响项目验收。乙方须对该第三方出具的结果负责，此部分工作产生的费用由乙方自行承担并已包含于综合单价中，不再另行计取。</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本项目实施期间，如因本项目验收需要，经甲方确认需增加《工程量清单》中没有的其他检测、监测项目，且乙方也具备相应资质，则乙方不得以任何理由拒绝为甲方提供检测、监测，并出具符合验收要求的检测、监测报告。若乙方资质不能涵盖的项目，由乙方报甲方批准后委托有资质的相应单位实施，乙方应对该第三方出具的结果负责，并按相关要求取得相应管理部门确认，确保不影响项目验收。甲方亦可另行委托。</w:t>
      </w:r>
    </w:p>
    <w:p>
      <w:pPr>
        <w:spacing w:line="360" w:lineRule="auto"/>
        <w:ind w:firstLine="424" w:firstLineChars="177"/>
        <w:rPr>
          <w:rFonts w:ascii="宋体" w:hAnsi="宋体"/>
          <w:bCs/>
          <w:color w:val="auto"/>
          <w:sz w:val="24"/>
          <w:szCs w:val="24"/>
          <w:highlight w:val="none"/>
          <w:u w:val="none"/>
        </w:rPr>
      </w:pPr>
      <w:r>
        <w:rPr>
          <w:rFonts w:hint="eastAsia" w:ascii="宋体" w:hAnsi="宋体"/>
          <w:bCs/>
          <w:color w:val="auto"/>
          <w:sz w:val="24"/>
          <w:szCs w:val="24"/>
          <w:highlight w:val="none"/>
          <w:u w:val="none"/>
        </w:rPr>
        <w:t>具体以</w:t>
      </w:r>
      <w:r>
        <w:rPr>
          <w:rFonts w:hint="eastAsia" w:ascii="宋体" w:hAnsi="宋体"/>
          <w:bCs/>
          <w:color w:val="auto"/>
          <w:sz w:val="24"/>
          <w:szCs w:val="24"/>
          <w:highlight w:val="none"/>
          <w:u w:val="none"/>
          <w:lang w:val="en-US" w:eastAsia="zh-CN"/>
        </w:rPr>
        <w:t>合同约定</w:t>
      </w:r>
      <w:r>
        <w:rPr>
          <w:rFonts w:hint="eastAsia" w:ascii="宋体" w:hAnsi="宋体"/>
          <w:bCs/>
          <w:color w:val="auto"/>
          <w:sz w:val="24"/>
          <w:szCs w:val="24"/>
          <w:highlight w:val="none"/>
          <w:u w:val="none"/>
        </w:rPr>
        <w:t>为准。</w:t>
      </w:r>
    </w:p>
    <w:p>
      <w:pPr>
        <w:spacing w:line="360" w:lineRule="auto"/>
        <w:ind w:firstLine="426" w:firstLineChars="177"/>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rPr>
        <w:t>3.检测及监测标准：</w:t>
      </w:r>
      <w:r>
        <w:rPr>
          <w:rFonts w:hint="eastAsia" w:ascii="宋体" w:hAnsi="宋体"/>
          <w:b w:val="0"/>
          <w:bCs/>
          <w:color w:val="auto"/>
          <w:sz w:val="24"/>
          <w:szCs w:val="24"/>
          <w:highlight w:val="none"/>
        </w:rPr>
        <w:t>按照国家、地方政府以及行业主管部门现行有效的规范、标准、规程和文件，本合同约定的质量检测/监测服务适用的技术标准、规范等依据必须符合相关监督管理部门的规范标准。</w:t>
      </w:r>
      <w:r>
        <w:rPr>
          <w:rFonts w:hint="eastAsia" w:ascii="宋体" w:hAnsi="宋体"/>
          <w:b w:val="0"/>
          <w:bCs/>
          <w:color w:val="auto"/>
          <w:sz w:val="24"/>
          <w:szCs w:val="24"/>
          <w:highlight w:val="none"/>
          <w:lang w:val="en-US" w:eastAsia="zh-CN"/>
        </w:rPr>
        <w:t>标准包括但不限于：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（1）《建筑工程施工质量验收统一标准》（GB50300-2013）；</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（2）《建筑装饰装修工程质量验收规范》（GB50300-2018）；</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（3）《广东省建筑节能与绿色建筑工程施工质量验收规范》DBJ 15-65-2021；</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（4）《广东省公共建筑节能设计标准》DBJ 15-51-2020；</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（5）《建筑节能工程施工质量验收规范》GB50411；</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（6）《民用建筑工程室内环境污染控制标准》GB50325-2020；</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（7）《通风与空调工程施工质量验收规范》GB50243；</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（8）《建筑电气工程施工质量验收规范》GB50303；</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（9）《公共建筑节能检测标准》JGJ/T177；</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（10）《居住建筑节能检测标准》JGJ/T132；</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（11）《照明测量方法》GB/T5700；</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（12）《风机盘管机组》GB/T19232；</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（13）《建筑玻璃可见光透射比、太阳光直接透射比、太阳能总透射比、紫外线透射比及有关窗玻璃参数的测定》GB/T2680；</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（14）《建筑门窗玻璃幕墙热工计算规程》JGJ/T151；</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（15）《中空玻璃》GB/T11944；</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（16）《绝热材料稳态热阻及有关特性的测定防护热板法》GB/T10294；</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（17）《绝热稳态传热性质的测定标定和防护热箱法》GB/T13475；</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（18）《建筑外门窗保温性能分级及其检测方法》GB/T8484；</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（19）《建筑材料及制品燃烧性能分级》GB8624；</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（20）《建筑材料可燃性试验方法》GB/T8626；</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（21）《建筑材料不燃性试验方法》GB/T5646；</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（22）《建筑外门窗气密、水密、抗风压性能分级及检测方法》GB/T7106；</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（23）《泡沫塑料和橡胶表观密度的测定》GB/T6343；</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（24）《硬质泡沫塑料吸水率的测定》GB/T8810；</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（25）《硬质泡沫塑料压缩性能的测定》GB/T8813；</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（26）《无机硬质绝热制品试验方法》GB/T5486；</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（27）《矿物棉及其制品试验方法》GB/T5480；</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（28）广州市地方标准《园林绿化植物材料》DB4401T37 -2019</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（29）广东省标准《广东城市绿化工程施工和验收规范》DB44/T581-2009</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（30）广东省标准《园林绿化木本苗》CJ/T24-2018</w:t>
      </w:r>
      <w:r>
        <w:rPr>
          <w:rFonts w:hint="eastAsia" w:ascii="宋体" w:hAnsi="宋体" w:cs="宋体"/>
          <w:color w:val="auto"/>
          <w:sz w:val="24"/>
          <w:szCs w:val="24"/>
          <w:highlight w:val="none"/>
          <w:lang w:eastAsia="zh-CN"/>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（31）其它国家和广东省、广州市的有关的法律、法规、规章、规范及标准，及本项目施工图纸及其会审、变更记录。</w:t>
      </w:r>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4.</w:t>
      </w:r>
      <w:bookmarkStart w:id="139" w:name="_Toc24882"/>
      <w:bookmarkStart w:id="140" w:name="_Toc9843"/>
      <w:bookmarkStart w:id="141" w:name="_Toc511557119"/>
      <w:r>
        <w:rPr>
          <w:rFonts w:hint="eastAsia" w:ascii="宋体" w:hAnsi="宋体"/>
          <w:b/>
          <w:color w:val="auto"/>
          <w:sz w:val="24"/>
          <w:szCs w:val="24"/>
          <w:highlight w:val="none"/>
        </w:rPr>
        <w:t>委托人的其他要求</w:t>
      </w:r>
      <w:bookmarkEnd w:id="139"/>
      <w:bookmarkEnd w:id="140"/>
      <w:bookmarkEnd w:id="141"/>
      <w:r>
        <w:rPr>
          <w:rFonts w:hint="eastAsia" w:ascii="宋体" w:hAnsi="宋体"/>
          <w:b/>
          <w:color w:val="auto"/>
          <w:sz w:val="24"/>
          <w:szCs w:val="24"/>
          <w:highlight w:val="none"/>
        </w:rPr>
        <w:t>：</w:t>
      </w:r>
    </w:p>
    <w:p>
      <w:pPr>
        <w:pStyle w:val="26"/>
        <w:spacing w:line="360" w:lineRule="auto"/>
        <w:ind w:left="0" w:leftChars="0" w:firstLine="480"/>
        <w:rPr>
          <w:rFonts w:hint="eastAsia" w:ascii="宋体" w:hAnsi="宋体"/>
          <w:color w:val="auto"/>
          <w:sz w:val="24"/>
          <w:highlight w:val="none"/>
        </w:rPr>
      </w:pPr>
      <w:r>
        <w:rPr>
          <w:rFonts w:hint="eastAsia" w:ascii="宋体" w:hAnsi="宋体"/>
          <w:color w:val="auto"/>
          <w:sz w:val="24"/>
          <w:highlight w:val="none"/>
        </w:rPr>
        <w:t>详见本招标文件的第一章投标人须知和本工程委托检测监测合同的相关约定。</w:t>
      </w:r>
    </w:p>
    <w:p>
      <w:pPr>
        <w:numPr>
          <w:ilvl w:val="0"/>
          <w:numId w:val="0"/>
        </w:numPr>
        <w:spacing w:line="360" w:lineRule="auto"/>
        <w:ind w:left="0" w:leftChars="0" w:firstLine="426" w:firstLineChars="177"/>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5.招标控制价（含检测监测清单）</w:t>
      </w:r>
      <w:r>
        <w:rPr>
          <w:rFonts w:hint="eastAsia" w:ascii="宋体" w:hAnsi="宋体" w:cs="宋体"/>
          <w:b/>
          <w:bCs/>
          <w:color w:val="auto"/>
          <w:sz w:val="24"/>
          <w:szCs w:val="24"/>
          <w:highlight w:val="none"/>
        </w:rPr>
        <w:t>（另册）</w:t>
      </w:r>
    </w:p>
    <w:p>
      <w:pPr>
        <w:numPr>
          <w:ilvl w:val="0"/>
          <w:numId w:val="0"/>
        </w:numPr>
        <w:spacing w:line="360" w:lineRule="auto"/>
        <w:ind w:left="0" w:leftChars="0" w:firstLine="426" w:firstLineChars="177"/>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6.检测监测设备要求</w:t>
      </w:r>
    </w:p>
    <w:p>
      <w:pPr>
        <w:spacing w:line="360" w:lineRule="auto"/>
        <w:ind w:firstLine="480" w:firstLineChars="200"/>
        <w:rPr>
          <w:color w:val="auto"/>
          <w:sz w:val="24"/>
          <w:szCs w:val="24"/>
          <w:highlight w:val="none"/>
          <w:lang w:bidi="ar"/>
        </w:rPr>
      </w:pPr>
      <w:r>
        <w:rPr>
          <w:rFonts w:hint="eastAsia"/>
          <w:color w:val="auto"/>
          <w:sz w:val="24"/>
          <w:szCs w:val="24"/>
          <w:highlight w:val="none"/>
          <w:lang w:bidi="ar"/>
        </w:rPr>
        <w:t>用于完成本项目检测</w:t>
      </w:r>
      <w:r>
        <w:rPr>
          <w:rFonts w:hint="eastAsia"/>
          <w:color w:val="auto"/>
          <w:sz w:val="24"/>
          <w:szCs w:val="24"/>
          <w:highlight w:val="none"/>
          <w:lang w:eastAsia="zh-CN" w:bidi="ar"/>
        </w:rPr>
        <w:t>监测</w:t>
      </w:r>
      <w:r>
        <w:rPr>
          <w:rFonts w:hint="eastAsia"/>
          <w:color w:val="auto"/>
          <w:sz w:val="24"/>
          <w:szCs w:val="24"/>
          <w:highlight w:val="none"/>
          <w:lang w:bidi="ar"/>
        </w:rPr>
        <w:t>的仪器、设备和材料由乙方自行运输，存管。仪器、设备和材料应有产品出厂合格证，检定</w:t>
      </w:r>
      <w:r>
        <w:rPr>
          <w:color w:val="auto"/>
          <w:sz w:val="24"/>
          <w:szCs w:val="24"/>
          <w:highlight w:val="none"/>
          <w:lang w:bidi="ar"/>
        </w:rPr>
        <w:t>/</w:t>
      </w:r>
      <w:r>
        <w:rPr>
          <w:rFonts w:hint="eastAsia"/>
          <w:color w:val="auto"/>
          <w:sz w:val="24"/>
          <w:szCs w:val="24"/>
          <w:highlight w:val="none"/>
          <w:lang w:bidi="ar"/>
        </w:rPr>
        <w:t>校准证书，同时符合相关技术标准和检定要求。本项目应遵守广州市建设科学技术委员会等相关部门对本工程的相关批示及指导意见执行。</w:t>
      </w:r>
    </w:p>
    <w:p>
      <w:pPr>
        <w:pStyle w:val="12"/>
        <w:spacing w:afterLines="50"/>
        <w:jc w:val="center"/>
        <w:rPr>
          <w:rFonts w:hint="eastAsia"/>
          <w:b/>
          <w:color w:val="auto"/>
          <w:sz w:val="28"/>
          <w:highlight w:val="none"/>
          <w:lang w:bidi="ar"/>
        </w:rPr>
      </w:pPr>
    </w:p>
    <w:p>
      <w:pPr>
        <w:pStyle w:val="12"/>
        <w:spacing w:afterLines="50"/>
        <w:jc w:val="center"/>
        <w:rPr>
          <w:b/>
          <w:color w:val="auto"/>
          <w:sz w:val="28"/>
          <w:highlight w:val="none"/>
          <w:lang w:bidi="ar"/>
        </w:rPr>
      </w:pPr>
      <w:r>
        <w:rPr>
          <w:rFonts w:hint="eastAsia"/>
          <w:b/>
          <w:color w:val="auto"/>
          <w:sz w:val="28"/>
          <w:highlight w:val="none"/>
          <w:lang w:bidi="ar"/>
        </w:rPr>
        <w:t>拟投入本项目的检测、监测设备要求表</w:t>
      </w:r>
    </w:p>
    <w:tbl>
      <w:tblPr>
        <w:tblStyle w:val="27"/>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52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vMerge w:val="restart"/>
            <w:tcBorders>
              <w:top w:val="single" w:color="auto" w:sz="12" w:space="0"/>
              <w:left w:val="single" w:color="auto" w:sz="12" w:space="0"/>
            </w:tcBorders>
            <w:vAlign w:val="center"/>
          </w:tcPr>
          <w:p>
            <w:pPr>
              <w:pStyle w:val="12"/>
              <w:adjustRightInd w:val="0"/>
              <w:snapToGrid w:val="0"/>
              <w:spacing w:after="0"/>
              <w:jc w:val="center"/>
              <w:rPr>
                <w:b/>
                <w:color w:val="auto"/>
                <w:highlight w:val="none"/>
                <w:lang w:bidi="ar"/>
              </w:rPr>
            </w:pPr>
            <w:r>
              <w:rPr>
                <w:rFonts w:hint="eastAsia"/>
                <w:b/>
                <w:color w:val="auto"/>
                <w:highlight w:val="none"/>
                <w:lang w:bidi="ar"/>
              </w:rPr>
              <w:t>序号</w:t>
            </w:r>
          </w:p>
        </w:tc>
        <w:tc>
          <w:tcPr>
            <w:tcW w:w="4520" w:type="dxa"/>
            <w:vMerge w:val="restart"/>
            <w:tcBorders>
              <w:top w:val="single" w:color="auto" w:sz="12" w:space="0"/>
            </w:tcBorders>
            <w:vAlign w:val="center"/>
          </w:tcPr>
          <w:p>
            <w:pPr>
              <w:pStyle w:val="12"/>
              <w:adjustRightInd w:val="0"/>
              <w:snapToGrid w:val="0"/>
              <w:spacing w:after="0"/>
              <w:jc w:val="center"/>
              <w:rPr>
                <w:b/>
                <w:color w:val="auto"/>
                <w:highlight w:val="none"/>
                <w:lang w:bidi="ar"/>
              </w:rPr>
            </w:pPr>
            <w:r>
              <w:rPr>
                <w:rFonts w:hint="eastAsia"/>
                <w:b/>
                <w:color w:val="auto"/>
                <w:highlight w:val="none"/>
                <w:lang w:bidi="ar"/>
              </w:rPr>
              <w:t>设备名称</w:t>
            </w:r>
          </w:p>
        </w:tc>
        <w:tc>
          <w:tcPr>
            <w:tcW w:w="2268" w:type="dxa"/>
            <w:vMerge w:val="restart"/>
            <w:tcBorders>
              <w:top w:val="single" w:color="auto" w:sz="12" w:space="0"/>
            </w:tcBorders>
            <w:vAlign w:val="center"/>
          </w:tcPr>
          <w:p>
            <w:pPr>
              <w:pStyle w:val="12"/>
              <w:adjustRightInd w:val="0"/>
              <w:snapToGrid w:val="0"/>
              <w:spacing w:after="0"/>
              <w:jc w:val="center"/>
              <w:rPr>
                <w:b/>
                <w:color w:val="auto"/>
                <w:highlight w:val="none"/>
                <w:lang w:bidi="ar"/>
              </w:rPr>
            </w:pPr>
            <w:r>
              <w:rPr>
                <w:rFonts w:hint="eastAsia"/>
                <w:b/>
                <w:color w:val="auto"/>
                <w:highlight w:val="none"/>
                <w:lang w:bidi="ar"/>
              </w:rPr>
              <w:t>本项目数量基本要求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261" w:type="dxa"/>
            <w:vMerge w:val="continue"/>
            <w:tcBorders>
              <w:left w:val="single" w:color="auto" w:sz="12" w:space="0"/>
              <w:bottom w:val="single" w:color="auto" w:sz="12" w:space="0"/>
            </w:tcBorders>
            <w:vAlign w:val="center"/>
          </w:tcPr>
          <w:p>
            <w:pPr>
              <w:pStyle w:val="12"/>
              <w:adjustRightInd w:val="0"/>
              <w:snapToGrid w:val="0"/>
              <w:spacing w:after="0"/>
              <w:jc w:val="center"/>
              <w:rPr>
                <w:color w:val="auto"/>
                <w:highlight w:val="none"/>
                <w:lang w:bidi="ar"/>
              </w:rPr>
            </w:pPr>
          </w:p>
        </w:tc>
        <w:tc>
          <w:tcPr>
            <w:tcW w:w="4520" w:type="dxa"/>
            <w:vMerge w:val="continue"/>
            <w:tcBorders>
              <w:bottom w:val="single" w:color="auto" w:sz="12" w:space="0"/>
            </w:tcBorders>
            <w:vAlign w:val="center"/>
          </w:tcPr>
          <w:p>
            <w:pPr>
              <w:pStyle w:val="12"/>
              <w:adjustRightInd w:val="0"/>
              <w:snapToGrid w:val="0"/>
              <w:spacing w:after="0"/>
              <w:jc w:val="center"/>
              <w:rPr>
                <w:color w:val="auto"/>
                <w:highlight w:val="none"/>
                <w:lang w:bidi="ar"/>
              </w:rPr>
            </w:pPr>
          </w:p>
        </w:tc>
        <w:tc>
          <w:tcPr>
            <w:tcW w:w="2268" w:type="dxa"/>
            <w:vMerge w:val="continue"/>
            <w:tcBorders>
              <w:bottom w:val="single" w:color="auto" w:sz="12" w:space="0"/>
            </w:tcBorders>
            <w:vAlign w:val="center"/>
          </w:tcPr>
          <w:p>
            <w:pPr>
              <w:pStyle w:val="12"/>
              <w:adjustRightInd w:val="0"/>
              <w:snapToGrid w:val="0"/>
              <w:spacing w:after="0"/>
              <w:jc w:val="center"/>
              <w:rPr>
                <w:color w:val="auto"/>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top w:val="single" w:color="auto" w:sz="12" w:space="0"/>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1</w:t>
            </w:r>
          </w:p>
        </w:tc>
        <w:tc>
          <w:tcPr>
            <w:tcW w:w="4520" w:type="dxa"/>
            <w:tcBorders>
              <w:top w:val="single" w:color="auto" w:sz="12" w:space="0"/>
            </w:tcBorders>
            <w:vAlign w:val="center"/>
          </w:tcPr>
          <w:p>
            <w:pPr>
              <w:pStyle w:val="12"/>
              <w:adjustRightInd w:val="0"/>
              <w:snapToGrid w:val="0"/>
              <w:spacing w:after="0"/>
              <w:jc w:val="center"/>
              <w:rPr>
                <w:color w:val="auto"/>
                <w:highlight w:val="none"/>
                <w:lang w:bidi="ar"/>
              </w:rPr>
            </w:pPr>
            <w:r>
              <w:rPr>
                <w:rFonts w:hint="eastAsia"/>
                <w:color w:val="auto"/>
                <w:highlight w:val="none"/>
                <w:lang w:bidi="ar"/>
              </w:rPr>
              <w:t>电子天平</w:t>
            </w:r>
          </w:p>
        </w:tc>
        <w:tc>
          <w:tcPr>
            <w:tcW w:w="2268" w:type="dxa"/>
            <w:tcBorders>
              <w:top w:val="single" w:color="auto" w:sz="12" w:space="0"/>
            </w:tcBorders>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2</w:t>
            </w:r>
          </w:p>
        </w:tc>
        <w:tc>
          <w:tcPr>
            <w:tcW w:w="4520"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震击式标准振筛机</w:t>
            </w:r>
          </w:p>
        </w:tc>
        <w:tc>
          <w:tcPr>
            <w:tcW w:w="2268"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3</w:t>
            </w:r>
          </w:p>
        </w:tc>
        <w:tc>
          <w:tcPr>
            <w:tcW w:w="4520"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微机控制电液伺服压力试验机</w:t>
            </w:r>
          </w:p>
        </w:tc>
        <w:tc>
          <w:tcPr>
            <w:tcW w:w="2268"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4</w:t>
            </w:r>
          </w:p>
        </w:tc>
        <w:tc>
          <w:tcPr>
            <w:tcW w:w="4520"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微机控制电子万能试验机</w:t>
            </w:r>
          </w:p>
        </w:tc>
        <w:tc>
          <w:tcPr>
            <w:tcW w:w="2268"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5</w:t>
            </w:r>
          </w:p>
        </w:tc>
        <w:tc>
          <w:tcPr>
            <w:tcW w:w="4520"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一体式电位滴定仪</w:t>
            </w:r>
          </w:p>
        </w:tc>
        <w:tc>
          <w:tcPr>
            <w:tcW w:w="2268"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6</w:t>
            </w:r>
          </w:p>
        </w:tc>
        <w:tc>
          <w:tcPr>
            <w:tcW w:w="4520"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沸煮箱</w:t>
            </w:r>
          </w:p>
        </w:tc>
        <w:tc>
          <w:tcPr>
            <w:tcW w:w="2268"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7</w:t>
            </w:r>
          </w:p>
        </w:tc>
        <w:tc>
          <w:tcPr>
            <w:tcW w:w="4520"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雷氏夹测定仪</w:t>
            </w:r>
          </w:p>
        </w:tc>
        <w:tc>
          <w:tcPr>
            <w:tcW w:w="2268"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8</w:t>
            </w:r>
          </w:p>
        </w:tc>
        <w:tc>
          <w:tcPr>
            <w:tcW w:w="4520"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雷氏夹膨胀</w:t>
            </w:r>
          </w:p>
          <w:p>
            <w:pPr>
              <w:pStyle w:val="12"/>
              <w:adjustRightInd w:val="0"/>
              <w:snapToGrid w:val="0"/>
              <w:spacing w:after="0"/>
              <w:jc w:val="center"/>
              <w:rPr>
                <w:color w:val="auto"/>
                <w:highlight w:val="none"/>
                <w:lang w:bidi="ar"/>
              </w:rPr>
            </w:pPr>
            <w:r>
              <w:rPr>
                <w:rFonts w:hint="eastAsia"/>
                <w:color w:val="auto"/>
                <w:highlight w:val="none"/>
                <w:lang w:bidi="ar"/>
              </w:rPr>
              <w:t>测定仪</w:t>
            </w:r>
          </w:p>
        </w:tc>
        <w:tc>
          <w:tcPr>
            <w:tcW w:w="2268"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9</w:t>
            </w:r>
          </w:p>
        </w:tc>
        <w:tc>
          <w:tcPr>
            <w:tcW w:w="4520"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电热鼓风干燥箱</w:t>
            </w:r>
          </w:p>
        </w:tc>
        <w:tc>
          <w:tcPr>
            <w:tcW w:w="2268"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10</w:t>
            </w:r>
          </w:p>
        </w:tc>
        <w:tc>
          <w:tcPr>
            <w:tcW w:w="4520"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微机控制压折试验机</w:t>
            </w:r>
          </w:p>
        </w:tc>
        <w:tc>
          <w:tcPr>
            <w:tcW w:w="2268"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11</w:t>
            </w:r>
          </w:p>
        </w:tc>
        <w:tc>
          <w:tcPr>
            <w:tcW w:w="4520"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钢筋正反弯曲试验机</w:t>
            </w:r>
          </w:p>
        </w:tc>
        <w:tc>
          <w:tcPr>
            <w:tcW w:w="2268"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12</w:t>
            </w:r>
          </w:p>
        </w:tc>
        <w:tc>
          <w:tcPr>
            <w:tcW w:w="4520"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钢筋称重测长仪</w:t>
            </w:r>
          </w:p>
        </w:tc>
        <w:tc>
          <w:tcPr>
            <w:tcW w:w="2268"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13</w:t>
            </w:r>
          </w:p>
        </w:tc>
        <w:tc>
          <w:tcPr>
            <w:tcW w:w="4520"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裂缝测宽仪</w:t>
            </w:r>
          </w:p>
        </w:tc>
        <w:tc>
          <w:tcPr>
            <w:tcW w:w="2268" w:type="dxa"/>
            <w:vAlign w:val="center"/>
          </w:tcPr>
          <w:p>
            <w:pPr>
              <w:pStyle w:val="12"/>
              <w:adjustRightInd w:val="0"/>
              <w:snapToGrid w:val="0"/>
              <w:spacing w:after="0"/>
              <w:jc w:val="center"/>
              <w:rPr>
                <w:color w:val="auto"/>
                <w:highlight w:val="none"/>
                <w:lang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14</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水泥胶砂震实台</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15</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水泥细度负压筛析仪</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16</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抗渗仪</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17</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高强螺栓检测仪</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18</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激光测距仪</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19</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箱式电阻炉</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20</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低温试验箱</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21</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涂层测厚仪</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22</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数字回弹仪</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23</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基桩动测仪</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24</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基桩静载仪</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25</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桩基静载荷测试分析仪</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26</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全站仪</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27</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测斜仪</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28</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振弦读数仪</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color w:val="auto"/>
                <w:highlight w:val="none"/>
                <w:lang w:bidi="ar"/>
              </w:rPr>
            </w:pPr>
            <w:r>
              <w:rPr>
                <w:color w:val="auto"/>
                <w:highlight w:val="none"/>
                <w:lang w:bidi="ar"/>
              </w:rPr>
              <w:t>29</w:t>
            </w:r>
          </w:p>
        </w:tc>
        <w:tc>
          <w:tcPr>
            <w:tcW w:w="4520"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水位计</w:t>
            </w:r>
          </w:p>
        </w:tc>
        <w:tc>
          <w:tcPr>
            <w:tcW w:w="2268" w:type="dxa"/>
            <w:vAlign w:val="center"/>
          </w:tcPr>
          <w:p>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bl>
    <w:p>
      <w:pPr>
        <w:pStyle w:val="23"/>
        <w:numPr>
          <w:ilvl w:val="0"/>
          <w:numId w:val="0"/>
        </w:numPr>
        <w:rPr>
          <w:rFonts w:hint="eastAsia"/>
          <w:color w:val="auto"/>
          <w:highlight w:val="none"/>
        </w:rPr>
      </w:pPr>
    </w:p>
    <w:p>
      <w:pPr>
        <w:pStyle w:val="3"/>
        <w:ind w:firstLine="482" w:firstLineChars="200"/>
        <w:jc w:val="center"/>
        <w:rPr>
          <w:color w:val="auto"/>
          <w:highlight w:val="none"/>
        </w:rPr>
      </w:pPr>
      <w:r>
        <w:rPr>
          <w:rFonts w:hint="eastAsia" w:cs="宋体"/>
          <w:bCs/>
          <w:color w:val="auto"/>
          <w:sz w:val="24"/>
          <w:szCs w:val="24"/>
          <w:highlight w:val="none"/>
        </w:rPr>
        <w:br w:type="page"/>
      </w:r>
      <w:bookmarkStart w:id="142" w:name="_Toc28110"/>
      <w:r>
        <w:rPr>
          <w:rFonts w:hint="eastAsia"/>
          <w:color w:val="auto"/>
          <w:highlight w:val="none"/>
        </w:rPr>
        <w:t>第三卷</w:t>
      </w:r>
      <w:bookmarkEnd w:id="133"/>
      <w:bookmarkEnd w:id="142"/>
    </w:p>
    <w:p>
      <w:pPr>
        <w:pStyle w:val="3"/>
        <w:rPr>
          <w:color w:val="auto"/>
          <w:highlight w:val="none"/>
        </w:rPr>
      </w:pPr>
      <w:bookmarkStart w:id="143" w:name="_Toc31278"/>
      <w:bookmarkStart w:id="144" w:name="_Toc533357327"/>
      <w:r>
        <w:rPr>
          <w:rFonts w:hint="eastAsia"/>
          <w:color w:val="auto"/>
          <w:highlight w:val="none"/>
        </w:rPr>
        <w:t>第六章  投标文件格式</w:t>
      </w:r>
      <w:bookmarkEnd w:id="143"/>
      <w:bookmarkEnd w:id="144"/>
    </w:p>
    <w:p>
      <w:pPr>
        <w:spacing w:line="360" w:lineRule="auto"/>
        <w:jc w:val="center"/>
        <w:rPr>
          <w:rFonts w:ascii="宋体" w:hAnsi="宋体"/>
          <w:color w:val="auto"/>
          <w:sz w:val="20"/>
          <w:szCs w:val="24"/>
          <w:highlight w:val="none"/>
        </w:rPr>
      </w:pPr>
      <w:r>
        <w:rPr>
          <w:color w:val="auto"/>
          <w:highlight w:val="none"/>
        </w:rPr>
        <w:br w:type="page"/>
      </w:r>
      <w:r>
        <w:rPr>
          <w:rFonts w:hint="eastAsia" w:ascii="宋体" w:hAnsi="宋体" w:cs="宋体"/>
          <w:color w:val="auto"/>
          <w:sz w:val="44"/>
          <w:szCs w:val="44"/>
          <w:highlight w:val="none"/>
          <w:lang w:eastAsia="zh-CN"/>
        </w:rPr>
        <w:t xml:space="preserve"> 广州市黄埔区九佛街五村七片城中村改造项目复建地块四工程检测监测服务</w:t>
      </w:r>
    </w:p>
    <w:p>
      <w:pPr>
        <w:tabs>
          <w:tab w:val="left" w:pos="3780"/>
          <w:tab w:val="left" w:pos="4440"/>
          <w:tab w:val="left" w:pos="5100"/>
        </w:tabs>
        <w:spacing w:line="549" w:lineRule="exact"/>
        <w:ind w:left="3138" w:right="2659"/>
        <w:jc w:val="center"/>
        <w:rPr>
          <w:rFonts w:ascii="宋体" w:hAnsi="宋体"/>
          <w:color w:val="auto"/>
          <w:sz w:val="44"/>
          <w:szCs w:val="24"/>
          <w:highlight w:val="none"/>
        </w:rPr>
      </w:pPr>
    </w:p>
    <w:p>
      <w:pPr>
        <w:pStyle w:val="26"/>
        <w:rPr>
          <w:rFonts w:ascii="宋体" w:hAnsi="宋体"/>
          <w:color w:val="auto"/>
          <w:sz w:val="44"/>
          <w:szCs w:val="24"/>
          <w:highlight w:val="none"/>
        </w:rPr>
      </w:pPr>
    </w:p>
    <w:p>
      <w:pPr>
        <w:pStyle w:val="26"/>
        <w:rPr>
          <w:rFonts w:ascii="宋体" w:hAnsi="宋体"/>
          <w:color w:val="auto"/>
          <w:sz w:val="44"/>
          <w:szCs w:val="24"/>
          <w:highlight w:val="none"/>
        </w:rPr>
      </w:pPr>
    </w:p>
    <w:p>
      <w:pPr>
        <w:pStyle w:val="26"/>
        <w:rPr>
          <w:rFonts w:ascii="宋体" w:hAnsi="宋体"/>
          <w:color w:val="auto"/>
          <w:sz w:val="44"/>
          <w:szCs w:val="24"/>
          <w:highlight w:val="none"/>
        </w:rPr>
      </w:pPr>
    </w:p>
    <w:p>
      <w:pPr>
        <w:pStyle w:val="26"/>
        <w:rPr>
          <w:rFonts w:ascii="宋体" w:hAnsi="宋体"/>
          <w:color w:val="auto"/>
          <w:sz w:val="44"/>
          <w:szCs w:val="24"/>
          <w:highlight w:val="none"/>
        </w:rPr>
      </w:pPr>
    </w:p>
    <w:p>
      <w:pPr>
        <w:pStyle w:val="34"/>
        <w:rPr>
          <w:color w:val="auto"/>
          <w:highlight w:val="none"/>
        </w:rPr>
      </w:pPr>
    </w:p>
    <w:p>
      <w:pPr>
        <w:pStyle w:val="34"/>
        <w:rPr>
          <w:color w:val="auto"/>
          <w:highlight w:val="none"/>
        </w:rPr>
      </w:pPr>
    </w:p>
    <w:p>
      <w:pPr>
        <w:tabs>
          <w:tab w:val="left" w:pos="3780"/>
          <w:tab w:val="left" w:pos="4440"/>
          <w:tab w:val="left" w:pos="5100"/>
        </w:tabs>
        <w:spacing w:line="549" w:lineRule="exact"/>
        <w:ind w:left="3138" w:right="2659"/>
        <w:jc w:val="center"/>
        <w:rPr>
          <w:rFonts w:ascii="宋体" w:hAnsi="宋体"/>
          <w:color w:val="auto"/>
          <w:sz w:val="44"/>
          <w:szCs w:val="24"/>
          <w:highlight w:val="none"/>
        </w:rPr>
      </w:pPr>
      <w:r>
        <w:rPr>
          <w:rFonts w:ascii="宋体" w:hAnsi="宋体"/>
          <w:color w:val="auto"/>
          <w:sz w:val="44"/>
          <w:szCs w:val="24"/>
          <w:highlight w:val="none"/>
        </w:rPr>
        <w:t>投标文</w:t>
      </w:r>
      <w:r>
        <w:rPr>
          <w:rFonts w:ascii="宋体" w:hAnsi="宋体"/>
          <w:color w:val="auto"/>
          <w:w w:val="99"/>
          <w:sz w:val="44"/>
          <w:szCs w:val="24"/>
          <w:highlight w:val="none"/>
        </w:rPr>
        <w:t>件</w:t>
      </w: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before="17" w:line="240" w:lineRule="exact"/>
        <w:jc w:val="left"/>
        <w:rPr>
          <w:rFonts w:ascii="宋体" w:hAnsi="宋体"/>
          <w:color w:val="auto"/>
          <w:sz w:val="24"/>
          <w:szCs w:val="24"/>
          <w:highlight w:val="none"/>
        </w:rPr>
      </w:pPr>
    </w:p>
    <w:p>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投标人：</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（盖</w:t>
      </w:r>
      <w:r>
        <w:rPr>
          <w:rFonts w:ascii="宋体" w:hAnsi="宋体"/>
          <w:color w:val="auto"/>
          <w:spacing w:val="-3"/>
          <w:sz w:val="28"/>
          <w:szCs w:val="24"/>
          <w:highlight w:val="none"/>
        </w:rPr>
        <w:t>单</w:t>
      </w:r>
      <w:r>
        <w:rPr>
          <w:rFonts w:ascii="宋体" w:hAnsi="宋体"/>
          <w:color w:val="auto"/>
          <w:sz w:val="28"/>
          <w:szCs w:val="24"/>
          <w:highlight w:val="none"/>
        </w:rPr>
        <w:t>位</w:t>
      </w:r>
      <w:r>
        <w:rPr>
          <w:rFonts w:ascii="宋体" w:hAnsi="宋体"/>
          <w:color w:val="auto"/>
          <w:spacing w:val="-3"/>
          <w:sz w:val="28"/>
          <w:szCs w:val="24"/>
          <w:highlight w:val="none"/>
        </w:rPr>
        <w:t>章</w:t>
      </w:r>
      <w:r>
        <w:rPr>
          <w:rFonts w:ascii="宋体" w:hAnsi="宋体"/>
          <w:color w:val="auto"/>
          <w:sz w:val="28"/>
          <w:szCs w:val="24"/>
          <w:highlight w:val="none"/>
        </w:rPr>
        <w:t xml:space="preserve">） </w:t>
      </w:r>
    </w:p>
    <w:p>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法定代</w:t>
      </w:r>
      <w:r>
        <w:rPr>
          <w:rFonts w:ascii="宋体" w:hAnsi="宋体"/>
          <w:color w:val="auto"/>
          <w:spacing w:val="-3"/>
          <w:sz w:val="28"/>
          <w:szCs w:val="24"/>
          <w:highlight w:val="none"/>
        </w:rPr>
        <w:t>表</w:t>
      </w:r>
      <w:r>
        <w:rPr>
          <w:rFonts w:ascii="宋体" w:hAnsi="宋体"/>
          <w:color w:val="auto"/>
          <w:sz w:val="28"/>
          <w:szCs w:val="24"/>
          <w:highlight w:val="none"/>
        </w:rPr>
        <w:t>人或</w:t>
      </w:r>
      <w:r>
        <w:rPr>
          <w:rFonts w:ascii="宋体" w:hAnsi="宋体"/>
          <w:color w:val="auto"/>
          <w:spacing w:val="-3"/>
          <w:sz w:val="28"/>
          <w:szCs w:val="24"/>
          <w:highlight w:val="none"/>
        </w:rPr>
        <w:t>其委</w:t>
      </w:r>
      <w:r>
        <w:rPr>
          <w:rFonts w:ascii="宋体" w:hAnsi="宋体"/>
          <w:color w:val="auto"/>
          <w:sz w:val="28"/>
          <w:szCs w:val="24"/>
          <w:highlight w:val="none"/>
        </w:rPr>
        <w:t>托代理</w:t>
      </w:r>
      <w:r>
        <w:rPr>
          <w:rFonts w:ascii="宋体" w:hAnsi="宋体"/>
          <w:color w:val="auto"/>
          <w:spacing w:val="-3"/>
          <w:sz w:val="28"/>
          <w:szCs w:val="24"/>
          <w:highlight w:val="none"/>
        </w:rPr>
        <w:t>人</w:t>
      </w:r>
      <w:r>
        <w:rPr>
          <w:rFonts w:ascii="宋体" w:hAnsi="宋体"/>
          <w:color w:val="auto"/>
          <w:spacing w:val="1"/>
          <w:sz w:val="28"/>
          <w:szCs w:val="24"/>
          <w:highlight w:val="none"/>
        </w:rPr>
        <w:t>：</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 xml:space="preserve"> </w:t>
      </w:r>
      <w:r>
        <w:rPr>
          <w:rFonts w:ascii="宋体" w:hAnsi="宋体"/>
          <w:color w:val="auto"/>
          <w:spacing w:val="-3"/>
          <w:sz w:val="28"/>
          <w:szCs w:val="24"/>
          <w:highlight w:val="none"/>
        </w:rPr>
        <w:t>（</w:t>
      </w:r>
      <w:r>
        <w:rPr>
          <w:rFonts w:ascii="宋体" w:hAnsi="宋体"/>
          <w:color w:val="auto"/>
          <w:sz w:val="28"/>
          <w:szCs w:val="24"/>
          <w:highlight w:val="none"/>
        </w:rPr>
        <w:t>签字</w:t>
      </w:r>
      <w:r>
        <w:rPr>
          <w:rFonts w:hint="eastAsia" w:ascii="宋体" w:hAnsi="宋体"/>
          <w:color w:val="auto"/>
          <w:sz w:val="28"/>
          <w:szCs w:val="24"/>
          <w:highlight w:val="none"/>
        </w:rPr>
        <w:t>或盖章</w:t>
      </w:r>
      <w:r>
        <w:rPr>
          <w:rFonts w:ascii="宋体" w:hAnsi="宋体"/>
          <w:color w:val="auto"/>
          <w:sz w:val="28"/>
          <w:szCs w:val="24"/>
          <w:highlight w:val="none"/>
        </w:rPr>
        <w:t>）</w:t>
      </w:r>
    </w:p>
    <w:p>
      <w:pPr>
        <w:spacing w:before="5" w:line="130" w:lineRule="exact"/>
        <w:jc w:val="left"/>
        <w:rPr>
          <w:rFonts w:ascii="宋体" w:hAnsi="宋体"/>
          <w:color w:val="auto"/>
          <w:sz w:val="13"/>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widowControl/>
        <w:jc w:val="center"/>
        <w:rPr>
          <w:color w:val="auto"/>
          <w:highlight w:val="none"/>
        </w:rPr>
      </w:pPr>
      <w:r>
        <w:rPr>
          <w:rFonts w:ascii="宋体" w:hAnsi="宋体"/>
          <w:color w:val="auto"/>
          <w:sz w:val="28"/>
          <w:szCs w:val="24"/>
          <w:highlight w:val="none"/>
          <w:u w:val="single"/>
        </w:rPr>
        <w:tab/>
      </w:r>
      <w:r>
        <w:rPr>
          <w:rFonts w:hint="eastAsia" w:ascii="宋体" w:hAnsi="宋体"/>
          <w:color w:val="auto"/>
          <w:sz w:val="28"/>
          <w:szCs w:val="24"/>
          <w:highlight w:val="none"/>
          <w:u w:val="single"/>
        </w:rPr>
        <w:t xml:space="preserve"> </w:t>
      </w:r>
      <w:r>
        <w:rPr>
          <w:rFonts w:ascii="宋体" w:hAnsi="宋体"/>
          <w:color w:val="auto"/>
          <w:spacing w:val="2"/>
          <w:sz w:val="28"/>
          <w:szCs w:val="24"/>
          <w:highlight w:val="none"/>
        </w:rPr>
        <w:t>年</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pacing w:val="2"/>
          <w:sz w:val="28"/>
          <w:szCs w:val="24"/>
          <w:highlight w:val="none"/>
        </w:rPr>
        <w:t>月</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日</w:t>
      </w:r>
    </w:p>
    <w:p>
      <w:pPr>
        <w:widowControl/>
        <w:jc w:val="left"/>
        <w:rPr>
          <w:color w:val="auto"/>
          <w:highlight w:val="none"/>
        </w:rPr>
      </w:pPr>
      <w:r>
        <w:rPr>
          <w:color w:val="auto"/>
          <w:highlight w:val="none"/>
        </w:rPr>
        <w:br w:type="page"/>
      </w:r>
    </w:p>
    <w:p>
      <w:pPr>
        <w:rPr>
          <w:color w:val="auto"/>
          <w:highlight w:val="none"/>
        </w:rPr>
      </w:pPr>
    </w:p>
    <w:p>
      <w:pPr>
        <w:pStyle w:val="26"/>
        <w:rPr>
          <w:rFonts w:ascii="Calibri" w:hAnsi="Calibri"/>
          <w:color w:val="auto"/>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目  录</w:t>
      </w:r>
    </w:p>
    <w:p>
      <w:pPr>
        <w:pStyle w:val="25"/>
        <w:tabs>
          <w:tab w:val="left" w:pos="960"/>
        </w:tabs>
        <w:spacing w:line="440" w:lineRule="exact"/>
        <w:ind w:left="960"/>
        <w:rPr>
          <w:rFonts w:ascii="宋体" w:hAnsi="宋体"/>
          <w:color w:val="auto"/>
          <w:sz w:val="24"/>
          <w:highlight w:val="none"/>
        </w:rPr>
      </w:pPr>
      <w:bookmarkStart w:id="145" w:name="_Toc390704763"/>
      <w:bookmarkStart w:id="146" w:name="_Toc266373528"/>
      <w:r>
        <w:rPr>
          <w:rFonts w:hint="eastAsia" w:ascii="宋体" w:hAnsi="宋体"/>
          <w:color w:val="auto"/>
          <w:sz w:val="24"/>
          <w:highlight w:val="none"/>
        </w:rPr>
        <w:t>一、投标函及其附表</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二、法定代表人证明书及授权委托书</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三、投标保证金</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四、投标报价书</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五、资格审查资料</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六、类似项目业绩表</w:t>
      </w:r>
    </w:p>
    <w:p>
      <w:pPr>
        <w:pStyle w:val="25"/>
        <w:tabs>
          <w:tab w:val="left" w:pos="960"/>
        </w:tabs>
        <w:spacing w:line="440" w:lineRule="exact"/>
        <w:ind w:left="960"/>
        <w:rPr>
          <w:rFonts w:hint="eastAsia" w:ascii="宋体" w:hAnsi="宋体"/>
          <w:color w:val="auto"/>
          <w:sz w:val="24"/>
          <w:highlight w:val="none"/>
        </w:rPr>
      </w:pPr>
      <w:r>
        <w:rPr>
          <w:rFonts w:hint="eastAsia" w:ascii="宋体" w:hAnsi="宋体"/>
          <w:color w:val="auto"/>
          <w:sz w:val="24"/>
          <w:highlight w:val="none"/>
        </w:rPr>
        <w:t>七、投标人信誉证明材料</w:t>
      </w:r>
    </w:p>
    <w:p>
      <w:pPr>
        <w:pStyle w:val="25"/>
        <w:tabs>
          <w:tab w:val="left" w:pos="960"/>
        </w:tabs>
        <w:spacing w:line="440" w:lineRule="exact"/>
        <w:ind w:left="960"/>
        <w:rPr>
          <w:rFonts w:hint="default" w:ascii="宋体" w:hAnsi="宋体"/>
          <w:color w:val="auto"/>
          <w:sz w:val="24"/>
          <w:highlight w:val="none"/>
          <w:lang w:val="en-US"/>
        </w:rPr>
      </w:pPr>
      <w:r>
        <w:rPr>
          <w:rFonts w:hint="eastAsia" w:ascii="宋体" w:hAnsi="宋体" w:cs="Times New Roman"/>
          <w:b w:val="0"/>
          <w:bCs w:val="0"/>
          <w:color w:val="auto"/>
          <w:sz w:val="24"/>
          <w:szCs w:val="24"/>
          <w:highlight w:val="none"/>
          <w:lang w:val="en-US" w:eastAsia="zh-CN"/>
        </w:rPr>
        <w:t>八</w:t>
      </w:r>
      <w:r>
        <w:rPr>
          <w:rFonts w:hint="eastAsia" w:ascii="宋体" w:hAnsi="宋体" w:cs="Times New Roman"/>
          <w:b w:val="0"/>
          <w:bCs w:val="0"/>
          <w:color w:val="auto"/>
          <w:sz w:val="24"/>
          <w:szCs w:val="24"/>
          <w:highlight w:val="none"/>
        </w:rPr>
        <w:t>、投标人廉洁承诺书</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、拟投入本项目的检测、监测人员资格证明材料</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十</w:t>
      </w:r>
      <w:r>
        <w:rPr>
          <w:rFonts w:hint="eastAsia" w:ascii="宋体" w:hAnsi="宋体"/>
          <w:color w:val="auto"/>
          <w:sz w:val="24"/>
          <w:highlight w:val="none"/>
        </w:rPr>
        <w:t>、拟投入本项目的主要检测、监测仪器设备一览表</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一</w:t>
      </w:r>
      <w:r>
        <w:rPr>
          <w:rFonts w:hint="eastAsia" w:ascii="宋体" w:hAnsi="宋体"/>
          <w:color w:val="auto"/>
          <w:sz w:val="24"/>
          <w:highlight w:val="none"/>
        </w:rPr>
        <w:t>、检测、监测方案</w:t>
      </w:r>
    </w:p>
    <w:p>
      <w:pPr>
        <w:pStyle w:val="25"/>
        <w:tabs>
          <w:tab w:val="left" w:pos="960"/>
        </w:tabs>
        <w:spacing w:line="440" w:lineRule="exact"/>
        <w:ind w:left="960"/>
        <w:rPr>
          <w:rFonts w:ascii="宋体" w:hAnsi="宋体"/>
          <w:color w:val="auto"/>
          <w:kern w:val="0"/>
          <w:sz w:val="18"/>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二</w:t>
      </w:r>
      <w:r>
        <w:rPr>
          <w:rFonts w:hint="eastAsia" w:ascii="宋体" w:hAnsi="宋体"/>
          <w:color w:val="auto"/>
          <w:sz w:val="24"/>
          <w:highlight w:val="none"/>
        </w:rPr>
        <w:t>、其他资料</w:t>
      </w:r>
      <w:r>
        <w:rPr>
          <w:rFonts w:ascii="宋体" w:hAnsi="宋体"/>
          <w:color w:val="auto"/>
          <w:sz w:val="24"/>
          <w:highlight w:val="none"/>
        </w:rPr>
        <w:br w:type="page"/>
      </w:r>
      <w:bookmarkEnd w:id="145"/>
    </w:p>
    <w:p>
      <w:pPr>
        <w:pStyle w:val="5"/>
        <w:jc w:val="center"/>
        <w:rPr>
          <w:color w:val="auto"/>
          <w:highlight w:val="none"/>
        </w:rPr>
      </w:pPr>
      <w:bookmarkStart w:id="147" w:name="_Toc24451"/>
      <w:bookmarkStart w:id="148" w:name="_Toc533334219"/>
      <w:bookmarkStart w:id="149" w:name="_Toc533357328"/>
      <w:bookmarkStart w:id="150" w:name="_Toc11434"/>
      <w:bookmarkStart w:id="151" w:name="_Toc390704764"/>
      <w:r>
        <w:rPr>
          <w:rFonts w:hint="eastAsia"/>
          <w:color w:val="auto"/>
          <w:highlight w:val="none"/>
        </w:rPr>
        <w:t>一、</w:t>
      </w:r>
      <w:bookmarkStart w:id="152" w:name="_Toc6931"/>
      <w:bookmarkStart w:id="153" w:name="_Toc352691656"/>
      <w:bookmarkStart w:id="154" w:name="_Toc369531692"/>
      <w:r>
        <w:rPr>
          <w:rFonts w:hint="eastAsia"/>
          <w:color w:val="auto"/>
          <w:highlight w:val="none"/>
        </w:rPr>
        <w:t>投标函及其附表</w:t>
      </w:r>
      <w:bookmarkEnd w:id="147"/>
      <w:bookmarkEnd w:id="148"/>
    </w:p>
    <w:bookmarkEnd w:id="152"/>
    <w:bookmarkEnd w:id="153"/>
    <w:bookmarkEnd w:id="154"/>
    <w:p>
      <w:pPr>
        <w:spacing w:line="360" w:lineRule="auto"/>
        <w:jc w:val="center"/>
        <w:rPr>
          <w:rFonts w:ascii="宋体" w:hAnsi="宋体"/>
          <w:color w:val="auto"/>
          <w:sz w:val="28"/>
          <w:szCs w:val="28"/>
          <w:highlight w:val="none"/>
        </w:rPr>
      </w:pPr>
      <w:r>
        <w:rPr>
          <w:rFonts w:hint="eastAsia" w:ascii="宋体" w:hAnsi="宋体"/>
          <w:b/>
          <w:bCs/>
          <w:color w:val="auto"/>
          <w:sz w:val="28"/>
          <w:szCs w:val="28"/>
          <w:highlight w:val="none"/>
        </w:rPr>
        <w:t>（一）投标函</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pPr>
        <w:pStyle w:val="12"/>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如果贵单位接受我方的投标，我方保证按合同规定的期限内开始本工程的检测工作并按投标书中规定的期限内完成合同规定的全部任务。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pPr>
        <w:rPr>
          <w:rFonts w:ascii="宋体" w:hAnsi="宋体"/>
          <w:color w:val="auto"/>
          <w:highlight w:val="none"/>
        </w:rPr>
      </w:pPr>
    </w:p>
    <w:p>
      <w:pPr>
        <w:spacing w:line="440" w:lineRule="exact"/>
        <w:ind w:firstLine="2520" w:firstLineChars="1200"/>
        <w:jc w:val="left"/>
        <w:rPr>
          <w:rFonts w:ascii="宋体" w:hAnsi="宋体"/>
          <w:color w:val="auto"/>
          <w:szCs w:val="21"/>
          <w:highlight w:val="none"/>
        </w:rPr>
      </w:pPr>
    </w:p>
    <w:p>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pPr>
        <w:spacing w:before="13"/>
        <w:rPr>
          <w:rFonts w:ascii="宋体" w:hAnsi="宋体" w:cs="宋体"/>
          <w:color w:val="auto"/>
          <w:sz w:val="24"/>
          <w:szCs w:val="24"/>
          <w:highlight w:val="none"/>
        </w:rPr>
      </w:pPr>
    </w:p>
    <w:p>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pPr>
        <w:spacing w:before="10"/>
        <w:rPr>
          <w:rFonts w:ascii="宋体" w:hAnsi="宋体" w:cs="宋体"/>
          <w:color w:val="auto"/>
          <w:sz w:val="24"/>
          <w:szCs w:val="24"/>
          <w:highlight w:val="none"/>
        </w:rPr>
      </w:pPr>
    </w:p>
    <w:p>
      <w:pPr>
        <w:spacing w:line="440" w:lineRule="exact"/>
        <w:ind w:firstLine="5400" w:firstLineChars="2250"/>
        <w:jc w:val="right"/>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pPr>
        <w:spacing w:line="360" w:lineRule="auto"/>
        <w:jc w:val="center"/>
        <w:rPr>
          <w:rFonts w:ascii="宋体" w:hAnsi="宋体"/>
          <w:b/>
          <w:bCs/>
          <w:color w:val="auto"/>
          <w:sz w:val="28"/>
          <w:szCs w:val="28"/>
          <w:highlight w:val="none"/>
        </w:rPr>
      </w:pPr>
      <w:bookmarkStart w:id="155" w:name="_Toc391394112"/>
      <w:bookmarkStart w:id="156" w:name="_Toc359594236"/>
      <w:bookmarkStart w:id="157" w:name="_Toc13516"/>
      <w:bookmarkStart w:id="158" w:name="_Toc385943066"/>
      <w:bookmarkStart w:id="159" w:name="_Toc528170356"/>
      <w:bookmarkStart w:id="160" w:name="_Toc482188652"/>
      <w:bookmarkStart w:id="161" w:name="_Toc533334220"/>
      <w:bookmarkStart w:id="162" w:name="_Toc532390635"/>
      <w:bookmarkStart w:id="163" w:name="_Toc370676427"/>
      <w:r>
        <w:rPr>
          <w:rFonts w:ascii="宋体" w:hAnsi="宋体"/>
          <w:b/>
          <w:color w:val="auto"/>
          <w:szCs w:val="21"/>
          <w:highlight w:val="none"/>
        </w:rPr>
        <w:br w:type="page"/>
      </w:r>
      <w:r>
        <w:rPr>
          <w:rFonts w:hint="eastAsia" w:ascii="宋体" w:hAnsi="宋体"/>
          <w:b/>
          <w:bCs/>
          <w:color w:val="auto"/>
          <w:sz w:val="28"/>
          <w:szCs w:val="28"/>
          <w:highlight w:val="none"/>
        </w:rPr>
        <w:t>（二）投标函附</w:t>
      </w:r>
      <w:bookmarkEnd w:id="155"/>
      <w:bookmarkEnd w:id="156"/>
      <w:bookmarkEnd w:id="157"/>
      <w:bookmarkEnd w:id="158"/>
      <w:bookmarkEnd w:id="159"/>
      <w:bookmarkEnd w:id="160"/>
      <w:bookmarkEnd w:id="161"/>
      <w:bookmarkEnd w:id="162"/>
      <w:bookmarkEnd w:id="163"/>
      <w:r>
        <w:rPr>
          <w:rFonts w:hint="eastAsia" w:ascii="宋体" w:hAnsi="宋体"/>
          <w:b/>
          <w:bCs/>
          <w:color w:val="auto"/>
          <w:sz w:val="28"/>
          <w:szCs w:val="28"/>
          <w:highlight w:val="none"/>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p>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确定方式</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符合国家及省、市</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区</w:t>
            </w:r>
            <w:r>
              <w:rPr>
                <w:rFonts w:hint="eastAsia" w:ascii="宋体" w:hAnsi="宋体" w:cs="宋体"/>
                <w:bCs/>
                <w:color w:val="auto"/>
                <w:sz w:val="24"/>
                <w:szCs w:val="24"/>
                <w:highlight w:val="none"/>
              </w:rPr>
              <w:t>有关检测标准。</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69"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889"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总</w:t>
            </w:r>
            <w:r>
              <w:rPr>
                <w:rFonts w:hint="eastAsia" w:ascii="宋体" w:hAnsi="宋体" w:cs="宋体"/>
                <w:color w:val="auto"/>
                <w:sz w:val="24"/>
                <w:szCs w:val="24"/>
                <w:highlight w:val="none"/>
              </w:rPr>
              <w:t>报价</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889"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（1-投标报价/</w:t>
            </w:r>
            <w:r>
              <w:rPr>
                <w:rFonts w:hint="eastAsia" w:ascii="Calibri" w:hAnsi="Calibri"/>
                <w:b/>
                <w:bCs w:val="0"/>
                <w:color w:val="auto"/>
                <w:highlight w:val="none"/>
                <w:u w:val="none"/>
                <w:lang w:val="en-US" w:eastAsia="zh-CN"/>
              </w:rPr>
              <w:t>投标基准价</w:t>
            </w:r>
            <w:r>
              <w:rPr>
                <w:rFonts w:hint="eastAsia" w:ascii="宋体" w:hAnsi="宋体"/>
                <w:b/>
                <w:color w:val="auto"/>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bl>
    <w:p>
      <w:pPr>
        <w:spacing w:line="440" w:lineRule="exact"/>
        <w:ind w:firstLine="2520" w:firstLineChars="1200"/>
        <w:jc w:val="left"/>
        <w:rPr>
          <w:rFonts w:ascii="宋体" w:hAnsi="宋体"/>
          <w:color w:val="auto"/>
          <w:szCs w:val="21"/>
          <w:highlight w:val="none"/>
        </w:rPr>
      </w:pPr>
    </w:p>
    <w:p>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pPr>
        <w:spacing w:before="13"/>
        <w:rPr>
          <w:rFonts w:ascii="宋体" w:hAnsi="宋体" w:cs="宋体"/>
          <w:color w:val="auto"/>
          <w:sz w:val="24"/>
          <w:szCs w:val="24"/>
          <w:highlight w:val="none"/>
        </w:rPr>
      </w:pPr>
    </w:p>
    <w:p>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pPr>
        <w:spacing w:before="10"/>
        <w:rPr>
          <w:rFonts w:ascii="宋体" w:hAnsi="宋体" w:cs="宋体"/>
          <w:color w:val="auto"/>
          <w:sz w:val="24"/>
          <w:szCs w:val="24"/>
          <w:highlight w:val="none"/>
        </w:rPr>
      </w:pPr>
    </w:p>
    <w:p>
      <w:pPr>
        <w:spacing w:line="440" w:lineRule="exact"/>
        <w:ind w:firstLine="5280" w:firstLineChars="2200"/>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pPr>
        <w:spacing w:line="440" w:lineRule="exact"/>
        <w:ind w:firstLine="4620" w:firstLineChars="2200"/>
        <w:rPr>
          <w:rFonts w:ascii="宋体" w:hAnsi="宋体"/>
          <w:color w:val="auto"/>
          <w:sz w:val="24"/>
          <w:highlight w:val="none"/>
        </w:rPr>
      </w:pPr>
      <w:r>
        <w:rPr>
          <w:rFonts w:ascii="宋体" w:hAnsi="宋体"/>
          <w:color w:val="auto"/>
          <w:highlight w:val="none"/>
        </w:rPr>
        <w:br w:type="page"/>
      </w:r>
      <w:bookmarkEnd w:id="149"/>
      <w:bookmarkEnd w:id="150"/>
      <w:bookmarkEnd w:id="151"/>
      <w:bookmarkStart w:id="164" w:name="_Toc533357330"/>
      <w:bookmarkStart w:id="165" w:name="_Toc374536213"/>
      <w:bookmarkStart w:id="166" w:name="_Toc333829918"/>
      <w:bookmarkStart w:id="167" w:name="_Toc21863"/>
      <w:bookmarkStart w:id="168" w:name="_Toc390704765"/>
    </w:p>
    <w:bookmarkEnd w:id="146"/>
    <w:bookmarkEnd w:id="164"/>
    <w:bookmarkEnd w:id="165"/>
    <w:bookmarkEnd w:id="166"/>
    <w:bookmarkEnd w:id="167"/>
    <w:bookmarkEnd w:id="168"/>
    <w:p>
      <w:pPr>
        <w:pStyle w:val="5"/>
        <w:jc w:val="center"/>
        <w:rPr>
          <w:color w:val="auto"/>
          <w:highlight w:val="none"/>
        </w:rPr>
      </w:pPr>
      <w:bookmarkStart w:id="169" w:name="_Toc21272"/>
      <w:r>
        <w:rPr>
          <w:rFonts w:hint="eastAsia"/>
          <w:color w:val="auto"/>
          <w:highlight w:val="none"/>
        </w:rPr>
        <w:t>二、法定代表人证明书及授权委托书</w:t>
      </w:r>
      <w:bookmarkEnd w:id="169"/>
    </w:p>
    <w:p>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pPr>
        <w:spacing w:line="360" w:lineRule="auto"/>
        <w:jc w:val="center"/>
        <w:rPr>
          <w:rFonts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pPr>
        <w:spacing w:before="156" w:beforeLines="50"/>
        <w:ind w:firstLine="482" w:firstLineChars="200"/>
        <w:jc w:val="center"/>
        <w:rPr>
          <w:rFonts w:ascii="宋体" w:hAnsi="宋体" w:cs="宋体"/>
          <w:b/>
          <w:color w:val="auto"/>
          <w:sz w:val="24"/>
          <w:szCs w:val="24"/>
          <w:highlight w:val="none"/>
        </w:rPr>
      </w:pPr>
    </w:p>
    <w:p>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pPr>
        <w:widowControl/>
        <w:spacing w:before="260" w:after="260"/>
        <w:ind w:right="1542"/>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按提供的该表格格式填写，或使用工商管理（市场监督）部门的格式填写。</w:t>
      </w:r>
    </w:p>
    <w:p>
      <w:pPr>
        <w:numPr>
          <w:ilvl w:val="0"/>
          <w:numId w:val="0"/>
        </w:numPr>
        <w:spacing w:line="360" w:lineRule="auto"/>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t>2、附：法定代表人及授权委托人（如有）身份证原件正反面清晰扫描件。</w:t>
      </w:r>
    </w:p>
    <w:p>
      <w:pPr>
        <w:numPr>
          <w:ilvl w:val="0"/>
          <w:numId w:val="0"/>
        </w:numPr>
        <w:spacing w:line="360" w:lineRule="auto"/>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t>3、如联合体投标的，由联合体主办方出具（其中“单位”一栏可只填写联合体主办方名称）。</w:t>
      </w:r>
    </w:p>
    <w:p>
      <w:pPr>
        <w:pStyle w:val="5"/>
        <w:jc w:val="center"/>
        <w:rPr>
          <w:color w:val="auto"/>
          <w:highlight w:val="none"/>
        </w:rPr>
      </w:pPr>
      <w:r>
        <w:rPr>
          <w:color w:val="auto"/>
          <w:highlight w:val="none"/>
        </w:rPr>
        <w:br w:type="page"/>
      </w:r>
      <w:bookmarkStart w:id="170" w:name="_Toc1228"/>
      <w:bookmarkStart w:id="171" w:name="_Toc533334223"/>
      <w:r>
        <w:rPr>
          <w:rFonts w:hint="eastAsia"/>
          <w:color w:val="auto"/>
          <w:highlight w:val="none"/>
        </w:rPr>
        <w:t>三、</w:t>
      </w:r>
      <w:bookmarkStart w:id="172" w:name="_Toc247514284"/>
      <w:bookmarkStart w:id="173" w:name="_Toc152042581"/>
      <w:bookmarkStart w:id="174" w:name="_Toc384308381"/>
      <w:bookmarkStart w:id="175" w:name="_Toc13469"/>
      <w:bookmarkStart w:id="176" w:name="_Toc144974861"/>
      <w:bookmarkStart w:id="177" w:name="_Toc361508757"/>
      <w:bookmarkStart w:id="178" w:name="_Toc152045792"/>
      <w:bookmarkStart w:id="179" w:name="_Toc247527832"/>
      <w:bookmarkStart w:id="180" w:name="_Toc352691666"/>
      <w:bookmarkStart w:id="181" w:name="_Toc300835214"/>
      <w:bookmarkStart w:id="182" w:name="_Toc369531702"/>
      <w:r>
        <w:rPr>
          <w:rFonts w:hint="eastAsia"/>
          <w:color w:val="auto"/>
          <w:highlight w:val="none"/>
        </w:rPr>
        <w:t>投标保证金</w:t>
      </w:r>
      <w:bookmarkEnd w:id="170"/>
    </w:p>
    <w:bookmarkEnd w:id="171"/>
    <w:bookmarkEnd w:id="172"/>
    <w:bookmarkEnd w:id="173"/>
    <w:bookmarkEnd w:id="174"/>
    <w:bookmarkEnd w:id="175"/>
    <w:bookmarkEnd w:id="176"/>
    <w:bookmarkEnd w:id="177"/>
    <w:bookmarkEnd w:id="178"/>
    <w:bookmarkEnd w:id="179"/>
    <w:bookmarkEnd w:id="180"/>
    <w:bookmarkEnd w:id="181"/>
    <w:bookmarkEnd w:id="182"/>
    <w:p>
      <w:pPr>
        <w:spacing w:line="360" w:lineRule="auto"/>
        <w:ind w:firstLine="420" w:firstLineChars="200"/>
        <w:rPr>
          <w:rFonts w:ascii="宋体" w:hAnsi="宋体"/>
          <w:color w:val="auto"/>
          <w:highlight w:val="none"/>
        </w:rPr>
      </w:pPr>
      <w:r>
        <w:rPr>
          <w:rFonts w:hint="eastAsia" w:ascii="宋体" w:hAnsi="宋体"/>
          <w:color w:val="auto"/>
          <w:highlight w:val="none"/>
        </w:rPr>
        <w:t>注：如采用现金或者支票方式提交的，由</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代收。保证金从投标人基本账户转账至</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。其缴纳情况以开标时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数据库查询信息为准。缴纳时间：递交投标文件开始时至递交投标文件截止时间前。具体操作步骤参见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最新的投标保证金缴纳操作流程。</w:t>
      </w:r>
    </w:p>
    <w:p>
      <w:pPr>
        <w:spacing w:line="360" w:lineRule="auto"/>
        <w:ind w:firstLine="420" w:firstLineChars="200"/>
        <w:rPr>
          <w:rFonts w:ascii="宋体" w:hAnsi="宋体"/>
          <w:color w:val="auto"/>
          <w:highlight w:val="none"/>
        </w:rPr>
      </w:pPr>
      <w:r>
        <w:rPr>
          <w:rFonts w:hint="eastAsia" w:ascii="宋体" w:hAnsi="宋体"/>
          <w:color w:val="auto"/>
          <w:highlight w:val="none"/>
        </w:rPr>
        <w:t>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最新的建设工程电子投标保函操作指引。</w:t>
      </w:r>
    </w:p>
    <w:p>
      <w:pPr>
        <w:spacing w:line="360" w:lineRule="auto"/>
        <w:rPr>
          <w:rFonts w:ascii="宋体" w:hAnsi="宋体"/>
          <w:color w:val="auto"/>
          <w:highlight w:val="none"/>
        </w:rPr>
      </w:pPr>
      <w:r>
        <w:rPr>
          <w:rFonts w:hint="eastAsia" w:ascii="宋体" w:hAnsi="宋体"/>
          <w:color w:val="auto"/>
          <w:highlight w:val="none"/>
        </w:rPr>
        <w:t xml:space="preserve">   </w:t>
      </w:r>
    </w:p>
    <w:p>
      <w:pPr>
        <w:outlineLvl w:val="9"/>
        <w:rPr>
          <w:color w:val="auto"/>
          <w:highlight w:val="none"/>
        </w:rPr>
      </w:pPr>
    </w:p>
    <w:p>
      <w:pPr>
        <w:spacing w:line="360" w:lineRule="auto"/>
        <w:rPr>
          <w:rFonts w:ascii="宋体" w:hAnsi="宋体"/>
          <w:color w:val="auto"/>
          <w:highlight w:val="none"/>
        </w:rPr>
      </w:pPr>
    </w:p>
    <w:p>
      <w:pPr>
        <w:pStyle w:val="5"/>
        <w:jc w:val="center"/>
        <w:rPr>
          <w:color w:val="auto"/>
          <w:highlight w:val="none"/>
        </w:rPr>
      </w:pPr>
      <w:r>
        <w:rPr>
          <w:color w:val="auto"/>
          <w:highlight w:val="none"/>
        </w:rPr>
        <w:br w:type="page"/>
      </w:r>
      <w:bookmarkStart w:id="183" w:name="_Toc390704766"/>
      <w:bookmarkStart w:id="184" w:name="_Toc374536214"/>
      <w:bookmarkStart w:id="185" w:name="_Toc533357333"/>
      <w:bookmarkStart w:id="186" w:name="_Toc9414"/>
      <w:bookmarkStart w:id="187" w:name="_Toc11199"/>
      <w:r>
        <w:rPr>
          <w:rFonts w:hint="eastAsia"/>
          <w:color w:val="auto"/>
          <w:szCs w:val="32"/>
          <w:highlight w:val="none"/>
        </w:rPr>
        <w:t>四</w:t>
      </w:r>
      <w:bookmarkEnd w:id="183"/>
      <w:bookmarkEnd w:id="184"/>
      <w:r>
        <w:rPr>
          <w:rFonts w:hint="eastAsia"/>
          <w:color w:val="auto"/>
          <w:szCs w:val="32"/>
          <w:highlight w:val="none"/>
        </w:rPr>
        <w:t>、</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185"/>
      <w:bookmarkEnd w:id="186"/>
      <w:bookmarkEnd w:id="187"/>
    </w:p>
    <w:p>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p>
    <w:p>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r>
        <w:rPr>
          <w:rFonts w:hint="eastAsia" w:ascii="宋体" w:hAnsi="宋体"/>
          <w:b/>
          <w:bCs/>
          <w:color w:val="auto"/>
          <w:sz w:val="30"/>
          <w:highlight w:val="none"/>
          <w:lang w:eastAsia="zh-CN"/>
        </w:rPr>
        <w:t xml:space="preserve"> 广州市黄埔区九佛街五村七片城中村改造项目复建地块四工程检测监测服务</w:t>
      </w:r>
    </w:p>
    <w:p>
      <w:pPr>
        <w:pStyle w:val="34"/>
        <w:rPr>
          <w:rFonts w:ascii="宋体" w:hAnsi="宋体"/>
          <w:bCs/>
          <w:color w:val="auto"/>
          <w:sz w:val="30"/>
          <w:highlight w:val="none"/>
        </w:rPr>
      </w:pPr>
    </w:p>
    <w:p>
      <w:pPr>
        <w:pStyle w:val="34"/>
        <w:rPr>
          <w:rFonts w:ascii="宋体" w:hAnsi="宋体"/>
          <w:bCs/>
          <w:color w:val="auto"/>
          <w:sz w:val="30"/>
          <w:highlight w:val="none"/>
        </w:rPr>
      </w:pPr>
    </w:p>
    <w:p>
      <w:pPr>
        <w:pStyle w:val="34"/>
        <w:rPr>
          <w:rFonts w:ascii="宋体" w:hAnsi="宋体"/>
          <w:bCs/>
          <w:color w:val="auto"/>
          <w:sz w:val="30"/>
          <w:highlight w:val="none"/>
        </w:rPr>
      </w:pPr>
    </w:p>
    <w:p>
      <w:pPr>
        <w:spacing w:line="500" w:lineRule="exact"/>
        <w:jc w:val="center"/>
        <w:rPr>
          <w:rFonts w:ascii="宋体" w:hAnsi="宋体"/>
          <w:b/>
          <w:bCs/>
          <w:color w:val="auto"/>
          <w:sz w:val="30"/>
          <w:highlight w:val="none"/>
        </w:rPr>
      </w:pPr>
    </w:p>
    <w:p>
      <w:pPr>
        <w:spacing w:line="600" w:lineRule="exact"/>
        <w:jc w:val="center"/>
        <w:rPr>
          <w:rFonts w:ascii="宋体" w:hAnsi="宋体"/>
          <w:b/>
          <w:bCs/>
          <w:color w:val="auto"/>
          <w:sz w:val="52"/>
          <w:highlight w:val="none"/>
        </w:rPr>
      </w:pPr>
      <w:r>
        <w:rPr>
          <w:rFonts w:hint="eastAsia" w:ascii="宋体" w:hAnsi="宋体"/>
          <w:b/>
          <w:bCs/>
          <w:color w:val="auto"/>
          <w:sz w:val="52"/>
          <w:highlight w:val="none"/>
        </w:rPr>
        <w:t>投标报价书</w:t>
      </w: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rPr>
          <w:rFonts w:ascii="宋体" w:hAnsi="宋体"/>
          <w:b/>
          <w:bCs/>
          <w:color w:val="auto"/>
          <w:sz w:val="30"/>
          <w:highlight w:val="none"/>
        </w:rPr>
      </w:pPr>
    </w:p>
    <w:p>
      <w:pPr>
        <w:spacing w:line="500" w:lineRule="exact"/>
        <w:ind w:firstLine="2125" w:firstLineChars="756"/>
        <w:rPr>
          <w:rFonts w:ascii="宋体" w:hAnsi="宋体"/>
          <w:b/>
          <w:bCs/>
          <w:color w:val="auto"/>
          <w:sz w:val="28"/>
          <w:highlight w:val="none"/>
        </w:rPr>
      </w:pPr>
      <w:r>
        <w:rPr>
          <w:rFonts w:hint="eastAsia" w:ascii="宋体" w:hAnsi="宋体"/>
          <w:b/>
          <w:bCs/>
          <w:color w:val="auto"/>
          <w:sz w:val="28"/>
          <w:highlight w:val="none"/>
        </w:rPr>
        <w:t>投标人：（公章）</w:t>
      </w:r>
      <w:r>
        <w:rPr>
          <w:rFonts w:ascii="宋体" w:hAnsi="宋体"/>
          <w:b/>
          <w:bCs/>
          <w:color w:val="auto"/>
          <w:sz w:val="28"/>
          <w:highlight w:val="none"/>
        </w:rPr>
        <w:t xml:space="preserve"> </w:t>
      </w:r>
    </w:p>
    <w:p>
      <w:pPr>
        <w:spacing w:line="500" w:lineRule="exact"/>
        <w:ind w:firstLine="2125" w:firstLineChars="756"/>
        <w:jc w:val="left"/>
        <w:rPr>
          <w:rFonts w:ascii="宋体" w:hAnsi="宋体"/>
          <w:b/>
          <w:bCs/>
          <w:color w:val="auto"/>
          <w:sz w:val="28"/>
          <w:highlight w:val="none"/>
        </w:rPr>
      </w:pPr>
      <w:r>
        <w:rPr>
          <w:rFonts w:hint="eastAsia" w:ascii="宋体" w:hAnsi="宋体"/>
          <w:b/>
          <w:bCs/>
          <w:color w:val="auto"/>
          <w:sz w:val="28"/>
          <w:highlight w:val="none"/>
        </w:rPr>
        <w:t>法定代表人(签字或盖章)：</w:t>
      </w:r>
    </w:p>
    <w:p>
      <w:pPr>
        <w:spacing w:line="500" w:lineRule="exact"/>
        <w:jc w:val="center"/>
        <w:rPr>
          <w:rFonts w:ascii="宋体" w:hAnsi="宋体"/>
          <w:b/>
          <w:bCs/>
          <w:color w:val="auto"/>
          <w:sz w:val="28"/>
          <w:highlight w:val="none"/>
        </w:rPr>
      </w:pPr>
      <w:r>
        <w:rPr>
          <w:rFonts w:hint="eastAsia" w:ascii="宋体" w:hAnsi="宋体"/>
          <w:b/>
          <w:bCs/>
          <w:color w:val="auto"/>
          <w:sz w:val="28"/>
          <w:highlight w:val="none"/>
        </w:rPr>
        <w:t>年</w:t>
      </w:r>
      <w:r>
        <w:rPr>
          <w:rFonts w:ascii="宋体" w:hAnsi="宋体"/>
          <w:b/>
          <w:bCs/>
          <w:color w:val="auto"/>
          <w:sz w:val="28"/>
          <w:highlight w:val="none"/>
        </w:rPr>
        <w:t xml:space="preserve">   </w:t>
      </w:r>
      <w:r>
        <w:rPr>
          <w:rFonts w:hint="eastAsia" w:ascii="宋体" w:hAnsi="宋体"/>
          <w:b/>
          <w:bCs/>
          <w:color w:val="auto"/>
          <w:sz w:val="28"/>
          <w:highlight w:val="none"/>
        </w:rPr>
        <w:t>月</w:t>
      </w:r>
      <w:r>
        <w:rPr>
          <w:rFonts w:ascii="宋体" w:hAnsi="宋体"/>
          <w:b/>
          <w:bCs/>
          <w:color w:val="auto"/>
          <w:sz w:val="28"/>
          <w:highlight w:val="none"/>
        </w:rPr>
        <w:t xml:space="preserve">   </w:t>
      </w:r>
      <w:r>
        <w:rPr>
          <w:rFonts w:hint="eastAsia" w:ascii="宋体" w:hAnsi="宋体"/>
          <w:b/>
          <w:bCs/>
          <w:color w:val="auto"/>
          <w:sz w:val="28"/>
          <w:highlight w:val="none"/>
        </w:rPr>
        <w:t>日</w:t>
      </w: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rPr>
          <w:rFonts w:ascii="宋体" w:hAnsi="宋体"/>
          <w:color w:val="auto"/>
          <w:szCs w:val="21"/>
          <w:highlight w:val="none"/>
        </w:rPr>
        <w:sectPr>
          <w:headerReference r:id="rId5" w:type="default"/>
          <w:footerReference r:id="rId6"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pPr>
        <w:tabs>
          <w:tab w:val="left" w:pos="5560"/>
          <w:tab w:val="left" w:pos="6940"/>
        </w:tabs>
        <w:spacing w:line="480" w:lineRule="auto"/>
        <w:ind w:right="85"/>
        <w:jc w:val="center"/>
        <w:rPr>
          <w:rFonts w:ascii="宋体" w:hAnsi="宋体"/>
          <w:b/>
          <w:color w:val="auto"/>
          <w:sz w:val="32"/>
          <w:szCs w:val="28"/>
          <w:highlight w:val="none"/>
        </w:rPr>
      </w:pPr>
      <w:bookmarkStart w:id="188" w:name="_Toc333829923"/>
      <w:bookmarkStart w:id="189" w:name="_Toc374536218"/>
      <w:bookmarkStart w:id="190" w:name="_Toc374610687"/>
      <w:bookmarkStart w:id="191" w:name="_Toc266373531"/>
      <w:bookmarkStart w:id="192" w:name="_Toc390704770"/>
      <w:bookmarkStart w:id="193" w:name="_Toc31556"/>
      <w:r>
        <w:rPr>
          <w:rFonts w:hint="eastAsia" w:ascii="宋体" w:hAnsi="宋体"/>
          <w:b/>
          <w:color w:val="auto"/>
          <w:sz w:val="32"/>
          <w:szCs w:val="28"/>
          <w:highlight w:val="none"/>
        </w:rPr>
        <w:t>投标报价汇总表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4"/>
        <w:gridCol w:w="2415"/>
        <w:gridCol w:w="2366"/>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074" w:type="dxa"/>
            <w:vAlign w:val="center"/>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项目</w:t>
            </w:r>
            <w:r>
              <w:rPr>
                <w:rFonts w:hint="eastAsia" w:ascii="宋体" w:hAnsi="宋体" w:cs="华文楷体"/>
                <w:b/>
                <w:color w:val="auto"/>
                <w:kern w:val="0"/>
                <w:sz w:val="24"/>
                <w:szCs w:val="24"/>
                <w:highlight w:val="none"/>
                <w:lang w:bidi="ar"/>
              </w:rPr>
              <w:t>名称</w:t>
            </w:r>
          </w:p>
        </w:tc>
        <w:tc>
          <w:tcPr>
            <w:tcW w:w="2415" w:type="dxa"/>
            <w:vAlign w:val="center"/>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最高投标限价</w:t>
            </w:r>
            <w:r>
              <w:rPr>
                <w:rFonts w:hint="eastAsia" w:ascii="宋体" w:hAnsi="宋体" w:cs="华文楷体"/>
                <w:b/>
                <w:color w:val="auto"/>
                <w:kern w:val="0"/>
                <w:sz w:val="24"/>
                <w:szCs w:val="24"/>
                <w:highlight w:val="none"/>
                <w:lang w:bidi="ar"/>
              </w:rPr>
              <w:t>（含税）</w:t>
            </w:r>
          </w:p>
          <w:p>
            <w:pPr>
              <w:jc w:val="center"/>
              <w:rPr>
                <w:rFonts w:ascii="宋体" w:hAnsi="宋体" w:cs="华文楷体"/>
                <w:bCs/>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2366" w:type="dxa"/>
            <w:vAlign w:val="center"/>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w:t>
            </w:r>
            <w:r>
              <w:rPr>
                <w:rFonts w:hint="eastAsia" w:ascii="宋体" w:hAnsi="宋体" w:cs="华文楷体"/>
                <w:b/>
                <w:color w:val="auto"/>
                <w:kern w:val="0"/>
                <w:sz w:val="24"/>
                <w:szCs w:val="24"/>
                <w:highlight w:val="none"/>
                <w:lang w:eastAsia="zh-CN" w:bidi="ar"/>
              </w:rPr>
              <w:t>总</w:t>
            </w:r>
            <w:r>
              <w:rPr>
                <w:rFonts w:hint="eastAsia" w:ascii="宋体" w:hAnsi="宋体" w:cs="华文楷体"/>
                <w:b/>
                <w:color w:val="auto"/>
                <w:kern w:val="0"/>
                <w:sz w:val="24"/>
                <w:szCs w:val="24"/>
                <w:highlight w:val="none"/>
                <w:lang w:bidi="ar"/>
              </w:rPr>
              <w:t>报价（含税）</w:t>
            </w:r>
          </w:p>
          <w:p>
            <w:pPr>
              <w:jc w:val="center"/>
              <w:rPr>
                <w:rFonts w:hint="eastAsia"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1107" w:type="dxa"/>
            <w:vAlign w:val="center"/>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投标下浮率</w:t>
            </w:r>
          </w:p>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4074" w:type="dxa"/>
            <w:vAlign w:val="center"/>
          </w:tcPr>
          <w:p>
            <w:pPr>
              <w:jc w:val="center"/>
              <w:rPr>
                <w:rFonts w:ascii="宋体" w:hAnsi="宋体" w:cs="华文楷体"/>
                <w:bCs/>
                <w:color w:val="auto"/>
                <w:kern w:val="0"/>
                <w:sz w:val="24"/>
                <w:szCs w:val="24"/>
                <w:highlight w:val="none"/>
                <w:lang w:bidi="ar"/>
              </w:rPr>
            </w:pPr>
            <w:r>
              <w:rPr>
                <w:rFonts w:hint="eastAsia" w:ascii="宋体" w:hAnsi="宋体" w:cs="华文楷体"/>
                <w:bCs/>
                <w:color w:val="auto"/>
                <w:kern w:val="0"/>
                <w:sz w:val="24"/>
                <w:szCs w:val="24"/>
                <w:highlight w:val="none"/>
                <w:lang w:eastAsia="zh-CN" w:bidi="ar"/>
              </w:rPr>
              <w:t xml:space="preserve"> 广州市黄埔区九佛街五村七片城中村改造项目复建地块四工程检测监测服务</w:t>
            </w:r>
          </w:p>
        </w:tc>
        <w:tc>
          <w:tcPr>
            <w:tcW w:w="2415" w:type="dxa"/>
            <w:vAlign w:val="center"/>
          </w:tcPr>
          <w:p>
            <w:pPr>
              <w:jc w:val="center"/>
              <w:textAlignment w:val="center"/>
              <w:rPr>
                <w:rFonts w:hint="default" w:ascii="宋体" w:hAnsi="宋体" w:eastAsia="宋体" w:cs="华文楷体"/>
                <w:b/>
                <w:color w:val="auto"/>
                <w:kern w:val="0"/>
                <w:sz w:val="24"/>
                <w:szCs w:val="24"/>
                <w:highlight w:val="none"/>
                <w:u w:val="none"/>
                <w:lang w:val="en-US" w:eastAsia="zh-CN" w:bidi="ar"/>
              </w:rPr>
            </w:pPr>
            <w:r>
              <w:rPr>
                <w:rFonts w:hint="eastAsia" w:ascii="宋体" w:hAnsi="宋体"/>
                <w:color w:val="auto"/>
                <w:sz w:val="24"/>
                <w:szCs w:val="24"/>
                <w:highlight w:val="none"/>
                <w:u w:val="none"/>
                <w:lang w:val="en-US" w:eastAsia="zh-CN"/>
              </w:rPr>
              <w:t xml:space="preserve"> 6,118,138.65</w:t>
            </w:r>
          </w:p>
        </w:tc>
        <w:tc>
          <w:tcPr>
            <w:tcW w:w="2366" w:type="dxa"/>
            <w:vAlign w:val="center"/>
          </w:tcPr>
          <w:p>
            <w:pPr>
              <w:jc w:val="center"/>
              <w:textAlignment w:val="center"/>
              <w:rPr>
                <w:rFonts w:ascii="宋体" w:hAnsi="宋体" w:cs="华文楷体"/>
                <w:b/>
                <w:color w:val="auto"/>
                <w:kern w:val="0"/>
                <w:sz w:val="24"/>
                <w:szCs w:val="24"/>
                <w:highlight w:val="none"/>
                <w:u w:val="none"/>
                <w:lang w:bidi="ar"/>
              </w:rPr>
            </w:pPr>
          </w:p>
        </w:tc>
        <w:tc>
          <w:tcPr>
            <w:tcW w:w="1107" w:type="dxa"/>
            <w:vAlign w:val="center"/>
          </w:tcPr>
          <w:p>
            <w:pPr>
              <w:jc w:val="center"/>
              <w:rPr>
                <w:rFonts w:ascii="宋体" w:hAnsi="宋体" w:cs="华文楷体"/>
                <w:b/>
                <w:color w:val="auto"/>
                <w:kern w:val="0"/>
                <w:sz w:val="24"/>
                <w:szCs w:val="24"/>
                <w:highlight w:val="none"/>
                <w:u w:val="none"/>
                <w:lang w:bidi="ar"/>
              </w:rPr>
            </w:pPr>
          </w:p>
        </w:tc>
      </w:tr>
    </w:tbl>
    <w:p>
      <w:pPr>
        <w:pStyle w:val="26"/>
        <w:ind w:firstLine="422"/>
        <w:rPr>
          <w:rFonts w:hint="eastAsia" w:ascii="宋体" w:hAnsi="宋体" w:eastAsia="宋体" w:cs="宋体"/>
          <w:b w:val="0"/>
          <w:bCs/>
          <w:color w:val="auto"/>
          <w:highlight w:val="none"/>
          <w:u w:val="single"/>
        </w:rPr>
      </w:pPr>
      <w:r>
        <w:rPr>
          <w:rFonts w:hint="eastAsia" w:ascii="宋体" w:hAnsi="宋体" w:eastAsia="宋体" w:cs="宋体"/>
          <w:b w:val="0"/>
          <w:bCs/>
          <w:color w:val="auto"/>
          <w:highlight w:val="none"/>
          <w:u w:val="single"/>
        </w:rPr>
        <w:t>注：</w:t>
      </w:r>
    </w:p>
    <w:p>
      <w:pPr>
        <w:pStyle w:val="26"/>
        <w:numPr>
          <w:ilvl w:val="0"/>
          <w:numId w:val="3"/>
        </w:numPr>
        <w:ind w:firstLine="422"/>
        <w:rPr>
          <w:rFonts w:hint="eastAsia" w:ascii="宋体" w:hAnsi="宋体" w:eastAsia="宋体" w:cs="宋体"/>
          <w:b w:val="0"/>
          <w:bCs/>
          <w:color w:val="auto"/>
          <w:highlight w:val="none"/>
          <w:u w:val="single"/>
          <w:lang w:val="en-US" w:eastAsia="zh-CN"/>
        </w:rPr>
      </w:pPr>
      <w:r>
        <w:rPr>
          <w:rFonts w:hint="eastAsia" w:ascii="宋体" w:hAnsi="宋体" w:eastAsia="宋体" w:cs="宋体"/>
          <w:b w:val="0"/>
          <w:bCs/>
          <w:color w:val="auto"/>
          <w:highlight w:val="none"/>
          <w:u w:val="single"/>
          <w:lang w:val="en-US" w:eastAsia="zh-CN"/>
        </w:rPr>
        <w:t>投标基准价为本项目检测监测清单根据相关计费文件计取，即8,157,518.20元；最高投标限价计取为投标基准价下浮</w:t>
      </w:r>
      <w:r>
        <w:rPr>
          <w:rFonts w:hint="eastAsia" w:ascii="宋体" w:hAnsi="宋体" w:cs="宋体"/>
          <w:b w:val="0"/>
          <w:bCs/>
          <w:color w:val="auto"/>
          <w:highlight w:val="none"/>
          <w:u w:val="single"/>
          <w:lang w:val="en-US" w:eastAsia="zh-CN"/>
        </w:rPr>
        <w:t>25</w:t>
      </w:r>
      <w:r>
        <w:rPr>
          <w:rFonts w:hint="eastAsia" w:ascii="宋体" w:hAnsi="宋体" w:eastAsia="宋体" w:cs="宋体"/>
          <w:b w:val="0"/>
          <w:bCs/>
          <w:color w:val="auto"/>
          <w:highlight w:val="none"/>
          <w:u w:val="single"/>
          <w:lang w:val="en-US" w:eastAsia="zh-CN"/>
        </w:rPr>
        <w:t>%，即6,118,138.65元。</w:t>
      </w:r>
    </w:p>
    <w:p>
      <w:pPr>
        <w:pStyle w:val="26"/>
        <w:ind w:firstLine="422"/>
        <w:rPr>
          <w:rFonts w:hint="eastAsia" w:ascii="宋体" w:hAnsi="宋体" w:eastAsia="宋体" w:cs="宋体"/>
          <w:b w:val="0"/>
          <w:bCs/>
          <w:color w:val="auto"/>
          <w:szCs w:val="21"/>
          <w:highlight w:val="none"/>
          <w:u w:val="single"/>
        </w:rPr>
      </w:pPr>
      <w:r>
        <w:rPr>
          <w:rFonts w:hint="eastAsia" w:ascii="宋体" w:hAnsi="宋体" w:eastAsia="宋体" w:cs="宋体"/>
          <w:b w:val="0"/>
          <w:bCs/>
          <w:color w:val="auto"/>
          <w:highlight w:val="none"/>
          <w:u w:val="single"/>
          <w:lang w:val="en-US" w:eastAsia="zh-CN"/>
        </w:rPr>
        <w:t>2</w:t>
      </w:r>
      <w:r>
        <w:rPr>
          <w:rFonts w:hint="eastAsia" w:ascii="宋体" w:hAnsi="宋体" w:eastAsia="宋体" w:cs="宋体"/>
          <w:b w:val="0"/>
          <w:bCs/>
          <w:color w:val="auto"/>
          <w:highlight w:val="none"/>
          <w:u w:val="single"/>
        </w:rPr>
        <w:t>、</w:t>
      </w:r>
      <w:r>
        <w:rPr>
          <w:rFonts w:hint="eastAsia" w:ascii="宋体" w:hAnsi="宋体" w:eastAsia="宋体" w:cs="宋体"/>
          <w:bCs/>
          <w:color w:val="auto"/>
          <w:highlight w:val="none"/>
          <w:u w:val="single"/>
        </w:rPr>
        <w:t>投标下浮率以</w:t>
      </w:r>
      <w:r>
        <w:rPr>
          <w:rFonts w:hint="eastAsia" w:ascii="宋体" w:hAnsi="宋体" w:eastAsia="宋体" w:cs="宋体"/>
          <w:bCs/>
          <w:color w:val="auto"/>
          <w:highlight w:val="none"/>
          <w:u w:val="single"/>
          <w:lang w:val="en-US" w:eastAsia="zh-CN"/>
        </w:rPr>
        <w:t>投标基准价</w:t>
      </w:r>
      <w:r>
        <w:rPr>
          <w:rFonts w:hint="eastAsia" w:ascii="宋体" w:hAnsi="宋体" w:eastAsia="宋体" w:cs="宋体"/>
          <w:bCs/>
          <w:color w:val="auto"/>
          <w:highlight w:val="none"/>
          <w:u w:val="single"/>
        </w:rPr>
        <w:t>为下浮基数。投标报价=</w:t>
      </w:r>
      <w:r>
        <w:rPr>
          <w:rFonts w:hint="eastAsia" w:ascii="宋体" w:hAnsi="宋体" w:eastAsia="宋体" w:cs="宋体"/>
          <w:b w:val="0"/>
          <w:bCs/>
          <w:color w:val="auto"/>
          <w:highlight w:val="none"/>
          <w:u w:val="single"/>
          <w:lang w:val="en-US" w:eastAsia="zh-CN"/>
        </w:rPr>
        <w:t>投标基准价</w:t>
      </w:r>
      <w:r>
        <w:rPr>
          <w:rFonts w:hint="eastAsia" w:ascii="宋体" w:hAnsi="宋体" w:eastAsia="宋体" w:cs="宋体"/>
          <w:bCs/>
          <w:color w:val="auto"/>
          <w:highlight w:val="none"/>
          <w:u w:val="single"/>
        </w:rPr>
        <w:t>*（1-投标下浮率）。</w:t>
      </w:r>
      <w:r>
        <w:rPr>
          <w:rFonts w:hint="eastAsia" w:ascii="宋体" w:hAnsi="宋体" w:eastAsia="宋体" w:cs="宋体"/>
          <w:bCs/>
          <w:color w:val="auto"/>
          <w:highlight w:val="none"/>
          <w:u w:val="single"/>
          <w:lang w:val="en-US" w:eastAsia="zh-CN"/>
        </w:rPr>
        <w:t>投标</w:t>
      </w:r>
      <w:r>
        <w:rPr>
          <w:rFonts w:hint="eastAsia" w:ascii="宋体" w:hAnsi="宋体" w:eastAsia="宋体" w:cs="宋体"/>
          <w:bCs/>
          <w:color w:val="auto"/>
          <w:szCs w:val="21"/>
          <w:highlight w:val="none"/>
          <w:u w:val="single"/>
          <w:lang w:val="zh-CN"/>
        </w:rPr>
        <w:t>下浮率=【1-（投标报价/</w:t>
      </w:r>
      <w:r>
        <w:rPr>
          <w:rFonts w:hint="eastAsia" w:ascii="宋体" w:hAnsi="宋体" w:eastAsia="宋体" w:cs="宋体"/>
          <w:b w:val="0"/>
          <w:bCs/>
          <w:color w:val="auto"/>
          <w:highlight w:val="none"/>
          <w:u w:val="single"/>
          <w:lang w:val="en-US" w:eastAsia="zh-CN"/>
        </w:rPr>
        <w:t>投标基准价</w:t>
      </w:r>
      <w:r>
        <w:rPr>
          <w:rFonts w:hint="eastAsia" w:ascii="宋体" w:hAnsi="宋体" w:eastAsia="宋体" w:cs="宋体"/>
          <w:bCs/>
          <w:color w:val="auto"/>
          <w:szCs w:val="21"/>
          <w:highlight w:val="none"/>
          <w:u w:val="single"/>
          <w:lang w:val="zh-CN"/>
        </w:rPr>
        <w:t>）】×100%，</w:t>
      </w:r>
      <w:r>
        <w:rPr>
          <w:rFonts w:hint="eastAsia" w:ascii="宋体" w:hAnsi="宋体" w:eastAsia="宋体" w:cs="宋体"/>
          <w:bCs/>
          <w:color w:val="auto"/>
          <w:highlight w:val="none"/>
          <w:u w:val="single"/>
        </w:rPr>
        <w:t>（1-投标下浮率）</w:t>
      </w:r>
      <w:r>
        <w:rPr>
          <w:rFonts w:hint="eastAsia" w:ascii="宋体" w:hAnsi="宋体" w:eastAsia="宋体" w:cs="宋体"/>
          <w:bCs/>
          <w:color w:val="auto"/>
          <w:szCs w:val="21"/>
          <w:highlight w:val="none"/>
          <w:u w:val="single"/>
        </w:rPr>
        <w:t>与</w:t>
      </w:r>
      <w:r>
        <w:rPr>
          <w:rFonts w:hint="eastAsia" w:ascii="宋体" w:hAnsi="宋体" w:eastAsia="宋体" w:cs="宋体"/>
          <w:b w:val="0"/>
          <w:bCs/>
          <w:color w:val="auto"/>
          <w:highlight w:val="none"/>
          <w:u w:val="single"/>
          <w:lang w:val="en-US" w:eastAsia="zh-CN"/>
        </w:rPr>
        <w:t>投标基准价</w:t>
      </w:r>
      <w:r>
        <w:rPr>
          <w:rFonts w:hint="eastAsia" w:ascii="宋体" w:hAnsi="宋体" w:eastAsia="宋体" w:cs="宋体"/>
          <w:bCs/>
          <w:color w:val="auto"/>
          <w:szCs w:val="21"/>
          <w:highlight w:val="none"/>
          <w:u w:val="single"/>
        </w:rPr>
        <w:t>乘积不等于投标报价的，</w:t>
      </w:r>
      <w:r>
        <w:rPr>
          <w:rFonts w:hint="eastAsia" w:ascii="宋体" w:hAnsi="宋体" w:eastAsia="宋体" w:cs="宋体"/>
          <w:bCs/>
          <w:color w:val="auto"/>
          <w:highlight w:val="none"/>
          <w:u w:val="single"/>
        </w:rPr>
        <w:t>按</w:t>
      </w:r>
      <w:r>
        <w:rPr>
          <w:rFonts w:hint="eastAsia" w:ascii="宋体" w:hAnsi="宋体" w:eastAsia="宋体" w:cs="宋体"/>
          <w:b w:val="0"/>
          <w:bCs/>
          <w:color w:val="auto"/>
          <w:highlight w:val="none"/>
          <w:u w:val="single"/>
          <w:lang w:val="en-US" w:eastAsia="zh-CN"/>
        </w:rPr>
        <w:t>投标基准价</w:t>
      </w:r>
      <w:r>
        <w:rPr>
          <w:rFonts w:hint="eastAsia" w:ascii="宋体" w:hAnsi="宋体" w:eastAsia="宋体" w:cs="宋体"/>
          <w:bCs/>
          <w:color w:val="auto"/>
          <w:highlight w:val="none"/>
          <w:u w:val="single"/>
        </w:rPr>
        <w:t>*（1-投标下浮率）修正投标报价。</w:t>
      </w:r>
      <w:r>
        <w:rPr>
          <w:rFonts w:hint="eastAsia" w:ascii="宋体" w:hAnsi="宋体" w:eastAsia="宋体" w:cs="宋体"/>
          <w:bCs/>
          <w:color w:val="auto"/>
          <w:highlight w:val="none"/>
          <w:u w:val="single"/>
          <w:lang w:val="en-US" w:eastAsia="zh-CN"/>
        </w:rPr>
        <w:t>投标总价及</w:t>
      </w:r>
      <w:r>
        <w:rPr>
          <w:rFonts w:hint="eastAsia" w:ascii="宋体" w:hAnsi="宋体" w:eastAsia="宋体" w:cs="宋体"/>
          <w:bCs/>
          <w:color w:val="auto"/>
          <w:sz w:val="21"/>
          <w:szCs w:val="21"/>
          <w:highlight w:val="none"/>
          <w:u w:val="single"/>
        </w:rPr>
        <w:t>各项综合单价</w:t>
      </w:r>
      <w:r>
        <w:rPr>
          <w:rFonts w:hint="eastAsia" w:ascii="宋体" w:hAnsi="宋体" w:eastAsia="宋体" w:cs="宋体"/>
          <w:bCs/>
          <w:color w:val="auto"/>
          <w:szCs w:val="21"/>
          <w:highlight w:val="none"/>
          <w:u w:val="single"/>
          <w:lang w:val="en-US" w:eastAsia="zh-CN"/>
        </w:rPr>
        <w:t>均按同等</w:t>
      </w:r>
      <w:r>
        <w:rPr>
          <w:rFonts w:hint="eastAsia" w:ascii="宋体" w:hAnsi="宋体" w:eastAsia="宋体" w:cs="宋体"/>
          <w:bCs/>
          <w:color w:val="auto"/>
          <w:highlight w:val="none"/>
          <w:u w:val="single"/>
        </w:rPr>
        <w:t>投标</w:t>
      </w:r>
      <w:r>
        <w:rPr>
          <w:rFonts w:hint="eastAsia" w:ascii="宋体" w:hAnsi="宋体" w:eastAsia="宋体" w:cs="宋体"/>
          <w:bCs/>
          <w:color w:val="auto"/>
          <w:szCs w:val="21"/>
          <w:highlight w:val="none"/>
          <w:u w:val="single"/>
          <w:lang w:val="en-US" w:eastAsia="zh-CN"/>
        </w:rPr>
        <w:t>下浮率执行，</w:t>
      </w:r>
      <w:r>
        <w:rPr>
          <w:rFonts w:hint="eastAsia" w:ascii="宋体" w:hAnsi="宋体" w:eastAsia="宋体" w:cs="宋体"/>
          <w:bCs/>
          <w:color w:val="auto"/>
          <w:szCs w:val="21"/>
          <w:highlight w:val="none"/>
          <w:u w:val="single"/>
        </w:rPr>
        <w:t>投标报价（含下浮率）精确到小数点后两位。</w:t>
      </w:r>
    </w:p>
    <w:p>
      <w:pPr>
        <w:pStyle w:val="26"/>
        <w:ind w:firstLine="422"/>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 w:val="21"/>
          <w:szCs w:val="21"/>
          <w:highlight w:val="none"/>
          <w:u w:val="single"/>
        </w:rPr>
        <w:t>各项综合单价包括但不限于人工费、材料费、设备使用费、设备进出场费（综合考虑按现场实际可能存在多次进出场情况）、措施费、基准点及观测点埋设和损坏修复费（并且包括在建筑物全过程中观测频率不得少于设计文件和规范要求所规定的频率）、检（监）测试验费、报告编写费、各项管理费及所有因工程质量检（监）测应交纳的政府规费、利润、税金等，包括完成对应检（监）测项目所需发生的全部费用以及本合同明示或暗示的所有风险而进一步产生的费用，结算时综合单价不作调整。本合同工程量为暂定数量，不作为结算的依据, 以经甲方确认的实际工程量为结算依据。</w:t>
      </w:r>
    </w:p>
    <w:p>
      <w:pPr>
        <w:pStyle w:val="26"/>
        <w:rPr>
          <w:rFonts w:ascii="Calibri" w:hAnsi="Calibri"/>
          <w:color w:val="auto"/>
          <w:highlight w:val="none"/>
        </w:rPr>
      </w:pPr>
    </w:p>
    <w:p>
      <w:pPr>
        <w:pStyle w:val="26"/>
        <w:rPr>
          <w:rFonts w:ascii="Calibri" w:hAnsi="Calibri"/>
          <w:color w:val="auto"/>
          <w:highlight w:val="none"/>
        </w:rPr>
      </w:pPr>
    </w:p>
    <w:p>
      <w:pPr>
        <w:pStyle w:val="12"/>
        <w:tabs>
          <w:tab w:val="left" w:pos="7321"/>
        </w:tabs>
        <w:spacing w:before="36"/>
        <w:ind w:left="2701"/>
        <w:jc w:val="right"/>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pPr>
        <w:spacing w:before="13"/>
        <w:jc w:val="right"/>
        <w:rPr>
          <w:rFonts w:ascii="宋体" w:hAnsi="宋体" w:cs="宋体"/>
          <w:color w:val="auto"/>
          <w:sz w:val="9"/>
          <w:szCs w:val="9"/>
          <w:highlight w:val="none"/>
        </w:rPr>
      </w:pPr>
    </w:p>
    <w:p>
      <w:pPr>
        <w:pStyle w:val="12"/>
        <w:tabs>
          <w:tab w:val="left" w:pos="6481"/>
        </w:tabs>
        <w:spacing w:before="36"/>
        <w:ind w:left="2701"/>
        <w:jc w:val="right"/>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pPr>
        <w:spacing w:before="10"/>
        <w:jc w:val="right"/>
        <w:rPr>
          <w:rFonts w:ascii="宋体" w:hAnsi="宋体" w:cs="宋体"/>
          <w:color w:val="auto"/>
          <w:sz w:val="9"/>
          <w:szCs w:val="9"/>
          <w:highlight w:val="none"/>
        </w:rPr>
      </w:pPr>
    </w:p>
    <w:p>
      <w:pPr>
        <w:pStyle w:val="26"/>
        <w:jc w:val="right"/>
        <w:rPr>
          <w:rFonts w:ascii="Calibri" w:hAnsi="Calibri"/>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pPr>
        <w:widowControl/>
        <w:jc w:val="left"/>
        <w:rPr>
          <w:rFonts w:ascii="宋体" w:hAnsi="宋体"/>
          <w:color w:val="auto"/>
          <w:szCs w:val="24"/>
          <w:highlight w:val="none"/>
        </w:rPr>
      </w:pPr>
      <w:r>
        <w:rPr>
          <w:rFonts w:ascii="宋体" w:hAnsi="宋体"/>
          <w:color w:val="auto"/>
          <w:highlight w:val="none"/>
        </w:rPr>
        <w:br w:type="page"/>
      </w:r>
    </w:p>
    <w:bookmarkEnd w:id="188"/>
    <w:bookmarkEnd w:id="189"/>
    <w:bookmarkEnd w:id="190"/>
    <w:bookmarkEnd w:id="191"/>
    <w:bookmarkEnd w:id="192"/>
    <w:bookmarkEnd w:id="193"/>
    <w:p>
      <w:pPr>
        <w:pStyle w:val="5"/>
        <w:jc w:val="center"/>
        <w:rPr>
          <w:color w:val="auto"/>
          <w:highlight w:val="none"/>
        </w:rPr>
      </w:pPr>
      <w:bookmarkStart w:id="194" w:name="_Toc22091"/>
      <w:r>
        <w:rPr>
          <w:rFonts w:hint="eastAsia"/>
          <w:color w:val="auto"/>
          <w:highlight w:val="none"/>
        </w:rPr>
        <w:t>五、资格审查资料</w:t>
      </w:r>
      <w:bookmarkEnd w:id="194"/>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bl>
    <w:p>
      <w:pPr>
        <w:snapToGrid w:val="0"/>
        <w:rPr>
          <w:rFonts w:ascii="宋体" w:hAnsi="宋体"/>
          <w:color w:val="auto"/>
          <w:spacing w:val="-5"/>
          <w:szCs w:val="21"/>
          <w:highlight w:val="none"/>
        </w:rPr>
      </w:pPr>
    </w:p>
    <w:p>
      <w:pPr>
        <w:snapToGrid w:val="0"/>
        <w:rPr>
          <w:rFonts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pPr>
        <w:snapToGrid w:val="0"/>
        <w:ind w:firstLine="420" w:firstLineChars="200"/>
        <w:rPr>
          <w:rFonts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、本表后附证明材料要求详见招标文件第二章第3.5.1款规定。</w:t>
      </w:r>
    </w:p>
    <w:p>
      <w:pPr>
        <w:widowControl/>
        <w:jc w:val="center"/>
        <w:rPr>
          <w:rFonts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pPr>
        <w:widowControl/>
        <w:jc w:val="center"/>
        <w:rPr>
          <w:rFonts w:ascii="宋体" w:hAnsi="宋体" w:cs="宋体"/>
          <w:b/>
          <w:bCs/>
          <w:color w:val="auto"/>
          <w:kern w:val="0"/>
          <w:szCs w:val="21"/>
          <w:highlight w:val="none"/>
        </w:rPr>
      </w:pPr>
      <w:r>
        <w:rPr>
          <w:rFonts w:hint="eastAsia"/>
          <w:color w:val="auto"/>
          <w:highlight w:val="none"/>
          <w:lang w:val="en-US" w:eastAsia="zh-CN"/>
        </w:rPr>
        <w:t>格式详见招标公告附件一</w:t>
      </w:r>
    </w:p>
    <w:p>
      <w:pPr>
        <w:widowControl/>
        <w:jc w:val="center"/>
        <w:rPr>
          <w:rFonts w:ascii="宋体" w:hAnsi="宋体" w:cs="宋体"/>
          <w:b/>
          <w:bCs/>
          <w:color w:val="auto"/>
          <w:kern w:val="0"/>
          <w:szCs w:val="21"/>
          <w:highlight w:val="none"/>
        </w:rPr>
      </w:pPr>
    </w:p>
    <w:p>
      <w:pPr>
        <w:widowControl/>
        <w:rPr>
          <w:rFonts w:ascii="宋体" w:hAnsi="宋体" w:cs="宋体"/>
          <w:b/>
          <w:bCs/>
          <w:color w:val="auto"/>
          <w:kern w:val="0"/>
          <w:szCs w:val="21"/>
          <w:highlight w:val="none"/>
        </w:rPr>
      </w:pPr>
    </w:p>
    <w:p>
      <w:pPr>
        <w:widowControl/>
        <w:jc w:val="center"/>
        <w:rPr>
          <w:color w:val="auto"/>
          <w:highlight w:val="none"/>
        </w:rPr>
      </w:pPr>
      <w:r>
        <w:rPr>
          <w:color w:val="auto"/>
          <w:highlight w:val="none"/>
        </w:rPr>
        <w:br w:type="page"/>
      </w:r>
    </w:p>
    <w:p>
      <w:pPr>
        <w:widowControl/>
        <w:jc w:val="center"/>
        <w:rPr>
          <w:rFonts w:ascii="宋体" w:hAnsi="宋体" w:cs="宋体"/>
          <w:b/>
          <w:bCs/>
          <w:color w:val="auto"/>
          <w:kern w:val="0"/>
          <w:sz w:val="28"/>
          <w:szCs w:val="28"/>
          <w:highlight w:val="none"/>
        </w:rPr>
      </w:pPr>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（三）拟派项目负责人资格证明材料</w:t>
      </w:r>
    </w:p>
    <w:p>
      <w:pPr>
        <w:widowControl/>
        <w:jc w:val="center"/>
        <w:rPr>
          <w:rFonts w:ascii="宋体" w:hAnsi="宋体"/>
          <w:color w:val="auto"/>
          <w:sz w:val="24"/>
          <w:szCs w:val="24"/>
          <w:highlight w:val="none"/>
        </w:rPr>
      </w:pPr>
    </w:p>
    <w:p>
      <w:pPr>
        <w:widowControl/>
        <w:jc w:val="center"/>
        <w:rPr>
          <w:rFonts w:ascii="宋体" w:hAnsi="宋体"/>
          <w:color w:val="auto"/>
          <w:sz w:val="24"/>
          <w:szCs w:val="24"/>
          <w:highlight w:val="none"/>
        </w:rPr>
      </w:pPr>
      <w:r>
        <w:rPr>
          <w:rFonts w:hint="eastAsia" w:ascii="宋体" w:hAnsi="宋体"/>
          <w:color w:val="auto"/>
          <w:sz w:val="24"/>
          <w:szCs w:val="24"/>
          <w:highlight w:val="none"/>
        </w:rPr>
        <w:t>按招标文件第二章第</w:t>
      </w:r>
      <w:r>
        <w:rPr>
          <w:rFonts w:ascii="宋体" w:hAnsi="宋体"/>
          <w:color w:val="auto"/>
          <w:sz w:val="24"/>
          <w:szCs w:val="24"/>
          <w:highlight w:val="none"/>
        </w:rPr>
        <w:t>3.5款规定提交证明材料，格式自定</w:t>
      </w:r>
      <w:r>
        <w:rPr>
          <w:rFonts w:hint="eastAsia" w:ascii="宋体" w:hAnsi="宋体"/>
          <w:color w:val="auto"/>
          <w:sz w:val="24"/>
          <w:szCs w:val="24"/>
          <w:highlight w:val="none"/>
        </w:rPr>
        <w:t>。</w:t>
      </w:r>
    </w:p>
    <w:p>
      <w:pPr>
        <w:widowControl/>
        <w:jc w:val="center"/>
        <w:rPr>
          <w:rFonts w:ascii="宋体" w:hAnsi="宋体" w:cs="宋体"/>
          <w:b/>
          <w:bCs/>
          <w:color w:val="auto"/>
          <w:kern w:val="0"/>
          <w:sz w:val="24"/>
          <w:szCs w:val="24"/>
          <w:highlight w:val="none"/>
        </w:rPr>
      </w:pPr>
    </w:p>
    <w:p>
      <w:pPr>
        <w:widowControl/>
        <w:jc w:val="center"/>
        <w:rPr>
          <w:rFonts w:ascii="宋体" w:hAnsi="宋体" w:cs="宋体"/>
          <w:b/>
          <w:bCs/>
          <w:color w:val="auto"/>
          <w:kern w:val="0"/>
          <w:sz w:val="28"/>
          <w:szCs w:val="28"/>
          <w:highlight w:val="none"/>
        </w:rPr>
      </w:pPr>
    </w:p>
    <w:p>
      <w:pPr>
        <w:widowControl/>
        <w:jc w:val="center"/>
        <w:rPr>
          <w:rFonts w:ascii="宋体" w:hAnsi="宋体" w:cs="宋体"/>
          <w:b/>
          <w:bCs/>
          <w:color w:val="auto"/>
          <w:kern w:val="0"/>
          <w:sz w:val="28"/>
          <w:szCs w:val="28"/>
          <w:highlight w:val="none"/>
        </w:rPr>
      </w:pPr>
    </w:p>
    <w:p>
      <w:pP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（四）广州市住房和城乡建设局企业信用档案相关网页截图</w:t>
      </w:r>
    </w:p>
    <w:p>
      <w:pPr>
        <w:widowControl/>
        <w:jc w:val="center"/>
        <w:rPr>
          <w:rFonts w:ascii="宋体" w:hAnsi="宋体"/>
          <w:color w:val="auto"/>
          <w:sz w:val="24"/>
          <w:szCs w:val="24"/>
          <w:highlight w:val="none"/>
        </w:rPr>
      </w:pPr>
    </w:p>
    <w:p>
      <w:pPr>
        <w:widowControl/>
        <w:jc w:val="center"/>
        <w:rPr>
          <w:rFonts w:ascii="宋体" w:hAnsi="宋体" w:cs="宋体"/>
          <w:b/>
          <w:bCs/>
          <w:color w:val="auto"/>
          <w:kern w:val="0"/>
          <w:sz w:val="28"/>
          <w:szCs w:val="28"/>
          <w:highlight w:val="none"/>
        </w:rPr>
      </w:pPr>
      <w:r>
        <w:rPr>
          <w:rFonts w:hint="eastAsia" w:ascii="宋体" w:hAnsi="宋体"/>
          <w:color w:val="auto"/>
          <w:sz w:val="24"/>
          <w:szCs w:val="24"/>
          <w:highlight w:val="none"/>
        </w:rPr>
        <w:t>按招标文件第二章第3.5款规定提交资料。</w:t>
      </w:r>
    </w:p>
    <w:p>
      <w:pPr>
        <w:widowControl/>
        <w:jc w:val="center"/>
        <w:rPr>
          <w:rFonts w:ascii="宋体" w:hAnsi="宋体" w:cs="宋体"/>
          <w:b/>
          <w:bCs/>
          <w:color w:val="auto"/>
          <w:kern w:val="0"/>
          <w:sz w:val="28"/>
          <w:szCs w:val="28"/>
          <w:highlight w:val="none"/>
        </w:rPr>
      </w:pPr>
    </w:p>
    <w:p>
      <w:pPr>
        <w:widowControl/>
        <w:jc w:val="center"/>
        <w:rPr>
          <w:color w:val="auto"/>
          <w:highlight w:val="none"/>
        </w:rPr>
      </w:pPr>
    </w:p>
    <w:p>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（五）联合体协议书</w:t>
      </w:r>
    </w:p>
    <w:p>
      <w:pPr>
        <w:tabs>
          <w:tab w:val="left" w:pos="2200"/>
          <w:tab w:val="left" w:pos="6000"/>
        </w:tabs>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（所</w:t>
      </w:r>
      <w:r>
        <w:rPr>
          <w:rFonts w:hint="eastAsia" w:ascii="宋体" w:hAnsi="宋体" w:cs="华文楷体"/>
          <w:color w:val="auto"/>
          <w:spacing w:val="-2"/>
          <w:position w:val="-4"/>
          <w:sz w:val="24"/>
          <w:szCs w:val="24"/>
          <w:highlight w:val="none"/>
        </w:rPr>
        <w:t>有</w:t>
      </w:r>
      <w:r>
        <w:rPr>
          <w:rFonts w:hint="eastAsia" w:ascii="宋体" w:hAnsi="宋体" w:cs="华文楷体"/>
          <w:color w:val="auto"/>
          <w:position w:val="-4"/>
          <w:sz w:val="24"/>
          <w:szCs w:val="24"/>
          <w:highlight w:val="none"/>
        </w:rPr>
        <w:t>成员单位名称）自愿组</w:t>
      </w:r>
      <w:r>
        <w:rPr>
          <w:rFonts w:hint="eastAsia" w:ascii="宋体" w:hAnsi="宋体" w:cs="华文楷体"/>
          <w:color w:val="auto"/>
          <w:spacing w:val="1"/>
          <w:position w:val="-4"/>
          <w:sz w:val="24"/>
          <w:szCs w:val="24"/>
          <w:highlight w:val="none"/>
        </w:rPr>
        <w:t>成</w:t>
      </w:r>
      <w:r>
        <w:rPr>
          <w:rFonts w:hint="eastAsia" w:ascii="宋体" w:hAnsi="宋体" w:cs="华文楷体"/>
          <w:color w:val="auto"/>
          <w:position w:val="-4"/>
          <w:sz w:val="24"/>
          <w:szCs w:val="24"/>
          <w:highlight w:val="none"/>
        </w:rPr>
        <w:t>联合体，共同参加</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项目</w:t>
      </w:r>
      <w:r>
        <w:rPr>
          <w:rFonts w:hint="eastAsia" w:ascii="宋体" w:hAnsi="宋体" w:cs="华文楷体"/>
          <w:color w:val="auto"/>
          <w:spacing w:val="-2"/>
          <w:position w:val="-2"/>
          <w:sz w:val="24"/>
          <w:szCs w:val="24"/>
          <w:highlight w:val="none"/>
        </w:rPr>
        <w:t>名</w:t>
      </w:r>
      <w:r>
        <w:rPr>
          <w:rFonts w:hint="eastAsia" w:ascii="宋体" w:hAnsi="宋体" w:cs="华文楷体"/>
          <w:color w:val="auto"/>
          <w:position w:val="-2"/>
          <w:sz w:val="24"/>
          <w:szCs w:val="24"/>
          <w:highlight w:val="none"/>
        </w:rPr>
        <w:t>称</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招</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项</w:t>
      </w:r>
      <w:r>
        <w:rPr>
          <w:rFonts w:hint="eastAsia" w:ascii="宋体" w:hAnsi="宋体" w:cs="华文楷体"/>
          <w:color w:val="auto"/>
          <w:spacing w:val="-2"/>
          <w:position w:val="-2"/>
          <w:sz w:val="24"/>
          <w:szCs w:val="24"/>
          <w:highlight w:val="none"/>
        </w:rPr>
        <w:t>目</w:t>
      </w:r>
      <w:r>
        <w:rPr>
          <w:rFonts w:hint="eastAsia" w:ascii="宋体" w:hAnsi="宋体" w:cs="华文楷体"/>
          <w:color w:val="auto"/>
          <w:position w:val="-2"/>
          <w:sz w:val="24"/>
          <w:szCs w:val="24"/>
          <w:highlight w:val="none"/>
        </w:rPr>
        <w:t>投标</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现</w:t>
      </w:r>
      <w:r>
        <w:rPr>
          <w:rFonts w:hint="eastAsia" w:ascii="宋体" w:hAnsi="宋体" w:cs="华文楷体"/>
          <w:color w:val="auto"/>
          <w:spacing w:val="-2"/>
          <w:position w:val="-2"/>
          <w:sz w:val="24"/>
          <w:szCs w:val="24"/>
          <w:highlight w:val="none"/>
        </w:rPr>
        <w:t>就</w:t>
      </w:r>
      <w:r>
        <w:rPr>
          <w:rFonts w:hint="eastAsia" w:ascii="宋体" w:hAnsi="宋体" w:cs="华文楷体"/>
          <w:color w:val="auto"/>
          <w:position w:val="-2"/>
          <w:sz w:val="24"/>
          <w:szCs w:val="24"/>
          <w:highlight w:val="none"/>
        </w:rPr>
        <w:t>联</w:t>
      </w:r>
      <w:r>
        <w:rPr>
          <w:rFonts w:hint="eastAsia" w:ascii="宋体" w:hAnsi="宋体" w:cs="华文楷体"/>
          <w:color w:val="auto"/>
          <w:spacing w:val="-2"/>
          <w:position w:val="-2"/>
          <w:sz w:val="24"/>
          <w:szCs w:val="24"/>
          <w:highlight w:val="none"/>
        </w:rPr>
        <w:t>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投</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事</w:t>
      </w:r>
      <w:r>
        <w:rPr>
          <w:rFonts w:hint="eastAsia" w:ascii="宋体" w:hAnsi="宋体" w:cs="华文楷体"/>
          <w:color w:val="auto"/>
          <w:spacing w:val="2"/>
          <w:position w:val="-2"/>
          <w:sz w:val="24"/>
          <w:szCs w:val="24"/>
          <w:highlight w:val="none"/>
        </w:rPr>
        <w:t>宜订</w:t>
      </w:r>
      <w:r>
        <w:rPr>
          <w:rFonts w:hint="eastAsia" w:ascii="宋体" w:hAnsi="宋体" w:cs="华文楷体"/>
          <w:color w:val="auto"/>
          <w:position w:val="-2"/>
          <w:sz w:val="24"/>
          <w:szCs w:val="24"/>
          <w:highlight w:val="none"/>
        </w:rPr>
        <w:t>立</w:t>
      </w:r>
      <w:r>
        <w:rPr>
          <w:rFonts w:hint="eastAsia" w:ascii="宋体" w:hAnsi="宋体" w:cs="华文楷体"/>
          <w:color w:val="auto"/>
          <w:spacing w:val="2"/>
          <w:position w:val="-2"/>
          <w:sz w:val="24"/>
          <w:szCs w:val="24"/>
          <w:highlight w:val="none"/>
        </w:rPr>
        <w:t>如</w:t>
      </w:r>
      <w:r>
        <w:rPr>
          <w:rFonts w:hint="eastAsia" w:ascii="宋体" w:hAnsi="宋体" w:cs="华文楷体"/>
          <w:color w:val="auto"/>
          <w:position w:val="-2"/>
          <w:sz w:val="24"/>
          <w:szCs w:val="24"/>
          <w:highlight w:val="none"/>
        </w:rPr>
        <w:t>下</w:t>
      </w:r>
      <w:r>
        <w:rPr>
          <w:rFonts w:hint="eastAsia" w:ascii="宋体" w:hAnsi="宋体" w:cs="华文楷体"/>
          <w:color w:val="auto"/>
          <w:spacing w:val="2"/>
          <w:position w:val="-2"/>
          <w:sz w:val="24"/>
          <w:szCs w:val="24"/>
          <w:highlight w:val="none"/>
        </w:rPr>
        <w:t>协</w:t>
      </w:r>
      <w:r>
        <w:rPr>
          <w:rFonts w:hint="eastAsia" w:ascii="宋体" w:hAnsi="宋体" w:cs="华文楷体"/>
          <w:color w:val="auto"/>
          <w:position w:val="-2"/>
          <w:sz w:val="24"/>
          <w:szCs w:val="24"/>
          <w:highlight w:val="none"/>
        </w:rPr>
        <w:t>议。</w:t>
      </w:r>
    </w:p>
    <w:p>
      <w:pPr>
        <w:tabs>
          <w:tab w:val="left" w:pos="2660"/>
          <w:tab w:val="left" w:pos="5600"/>
        </w:tabs>
        <w:spacing w:line="360" w:lineRule="auto"/>
        <w:ind w:right="-23"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 xml:space="preserve">1. </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某成</w:t>
      </w:r>
      <w:r>
        <w:rPr>
          <w:rFonts w:hint="eastAsia" w:ascii="宋体" w:hAnsi="宋体" w:cs="华文楷体"/>
          <w:color w:val="auto"/>
          <w:spacing w:val="-2"/>
          <w:position w:val="-1"/>
          <w:sz w:val="24"/>
          <w:szCs w:val="24"/>
          <w:highlight w:val="none"/>
        </w:rPr>
        <w:t>员</w:t>
      </w:r>
      <w:r>
        <w:rPr>
          <w:rFonts w:hint="eastAsia" w:ascii="宋体" w:hAnsi="宋体" w:cs="华文楷体"/>
          <w:color w:val="auto"/>
          <w:position w:val="-1"/>
          <w:sz w:val="24"/>
          <w:szCs w:val="24"/>
          <w:highlight w:val="none"/>
        </w:rPr>
        <w:t>单</w:t>
      </w:r>
      <w:r>
        <w:rPr>
          <w:rFonts w:hint="eastAsia" w:ascii="宋体" w:hAnsi="宋体" w:cs="华文楷体"/>
          <w:color w:val="auto"/>
          <w:spacing w:val="-2"/>
          <w:position w:val="-1"/>
          <w:sz w:val="24"/>
          <w:szCs w:val="24"/>
          <w:highlight w:val="none"/>
        </w:rPr>
        <w:t>位</w:t>
      </w:r>
      <w:r>
        <w:rPr>
          <w:rFonts w:hint="eastAsia" w:ascii="宋体" w:hAnsi="宋体" w:cs="华文楷体"/>
          <w:color w:val="auto"/>
          <w:position w:val="-1"/>
          <w:sz w:val="24"/>
          <w:szCs w:val="24"/>
          <w:highlight w:val="none"/>
        </w:rPr>
        <w:t>名</w:t>
      </w:r>
      <w:r>
        <w:rPr>
          <w:rFonts w:hint="eastAsia" w:ascii="宋体" w:hAnsi="宋体" w:cs="华文楷体"/>
          <w:color w:val="auto"/>
          <w:spacing w:val="-2"/>
          <w:position w:val="-1"/>
          <w:sz w:val="24"/>
          <w:szCs w:val="24"/>
          <w:highlight w:val="none"/>
        </w:rPr>
        <w:t>称</w:t>
      </w:r>
      <w:r>
        <w:rPr>
          <w:rFonts w:hint="eastAsia" w:ascii="宋体" w:hAnsi="宋体" w:cs="华文楷体"/>
          <w:color w:val="auto"/>
          <w:position w:val="-1"/>
          <w:sz w:val="24"/>
          <w:szCs w:val="24"/>
          <w:highlight w:val="none"/>
        </w:rPr>
        <w:t>）</w:t>
      </w:r>
      <w:r>
        <w:rPr>
          <w:rFonts w:hint="eastAsia" w:ascii="宋体" w:hAnsi="宋体" w:cs="华文楷体"/>
          <w:color w:val="auto"/>
          <w:spacing w:val="-3"/>
          <w:position w:val="-1"/>
          <w:sz w:val="24"/>
          <w:szCs w:val="24"/>
          <w:highlight w:val="none"/>
        </w:rPr>
        <w:t>为</w:t>
      </w:r>
      <w:r>
        <w:rPr>
          <w:rFonts w:hint="eastAsia" w:ascii="宋体" w:hAnsi="宋体" w:cs="华文楷体"/>
          <w:color w:val="auto"/>
          <w:position w:val="-1"/>
          <w:sz w:val="24"/>
          <w:szCs w:val="24"/>
          <w:highlight w:val="none"/>
          <w:u w:val="none"/>
          <w:lang w:eastAsia="zh-CN"/>
        </w:rPr>
        <w:t>联合体</w:t>
      </w:r>
      <w:r>
        <w:rPr>
          <w:rFonts w:hint="eastAsia" w:ascii="宋体" w:hAnsi="宋体" w:cs="华文楷体"/>
          <w:color w:val="auto"/>
          <w:position w:val="-1"/>
          <w:sz w:val="24"/>
          <w:szCs w:val="24"/>
          <w:highlight w:val="none"/>
        </w:rPr>
        <w:t>牵</w:t>
      </w:r>
      <w:r>
        <w:rPr>
          <w:rFonts w:hint="eastAsia" w:ascii="宋体" w:hAnsi="宋体" w:cs="华文楷体"/>
          <w:color w:val="auto"/>
          <w:spacing w:val="-2"/>
          <w:position w:val="-1"/>
          <w:sz w:val="24"/>
          <w:szCs w:val="24"/>
          <w:highlight w:val="none"/>
        </w:rPr>
        <w:t>头人</w:t>
      </w:r>
      <w:r>
        <w:rPr>
          <w:rFonts w:hint="eastAsia" w:ascii="宋体" w:hAnsi="宋体" w:cs="华文楷体"/>
          <w:color w:val="auto"/>
          <w:position w:val="-1"/>
          <w:sz w:val="24"/>
          <w:szCs w:val="24"/>
          <w:highlight w:val="none"/>
        </w:rPr>
        <w:t>。</w:t>
      </w:r>
    </w:p>
    <w:p>
      <w:pPr>
        <w:spacing w:before="78"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2.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授</w:t>
      </w:r>
      <w:r>
        <w:rPr>
          <w:rFonts w:hint="eastAsia" w:ascii="宋体" w:hAnsi="宋体" w:cs="华文楷体"/>
          <w:color w:val="auto"/>
          <w:sz w:val="24"/>
          <w:szCs w:val="24"/>
          <w:highlight w:val="none"/>
        </w:rPr>
        <w:t>权</w:t>
      </w:r>
      <w:r>
        <w:rPr>
          <w:rFonts w:hint="eastAsia" w:ascii="宋体" w:hAnsi="宋体" w:cs="华文楷体"/>
          <w:color w:val="auto"/>
          <w:spacing w:val="-2"/>
          <w:sz w:val="24"/>
          <w:szCs w:val="24"/>
          <w:highlight w:val="none"/>
        </w:rPr>
        <w:t>牵头</w:t>
      </w:r>
      <w:r>
        <w:rPr>
          <w:rFonts w:hint="eastAsia" w:ascii="宋体" w:hAnsi="宋体" w:cs="华文楷体"/>
          <w:color w:val="auto"/>
          <w:sz w:val="24"/>
          <w:szCs w:val="24"/>
          <w:highlight w:val="none"/>
        </w:rPr>
        <w:t>人（即主办方）代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参</w:t>
      </w:r>
      <w:r>
        <w:rPr>
          <w:rFonts w:hint="eastAsia" w:ascii="宋体" w:hAnsi="宋体" w:cs="华文楷体"/>
          <w:color w:val="auto"/>
          <w:sz w:val="24"/>
          <w:szCs w:val="24"/>
          <w:highlight w:val="none"/>
        </w:rPr>
        <w:t>加</w:t>
      </w:r>
      <w:r>
        <w:rPr>
          <w:rFonts w:hint="eastAsia" w:ascii="宋体" w:hAnsi="宋体" w:cs="华文楷体"/>
          <w:color w:val="auto"/>
          <w:spacing w:val="-2"/>
          <w:sz w:val="24"/>
          <w:szCs w:val="24"/>
          <w:highlight w:val="none"/>
        </w:rPr>
        <w:t>投</w:t>
      </w:r>
      <w:r>
        <w:rPr>
          <w:rFonts w:hint="eastAsia" w:ascii="宋体" w:hAnsi="宋体" w:cs="华文楷体"/>
          <w:color w:val="auto"/>
          <w:sz w:val="24"/>
          <w:szCs w:val="24"/>
          <w:highlight w:val="none"/>
        </w:rPr>
        <w:t>标</w:t>
      </w:r>
      <w:r>
        <w:rPr>
          <w:rFonts w:hint="eastAsia" w:ascii="宋体" w:hAnsi="宋体" w:cs="华文楷体"/>
          <w:color w:val="auto"/>
          <w:spacing w:val="-2"/>
          <w:sz w:val="24"/>
          <w:szCs w:val="24"/>
          <w:highlight w:val="none"/>
        </w:rPr>
        <w:t>活</w:t>
      </w:r>
      <w:r>
        <w:rPr>
          <w:rFonts w:hint="eastAsia" w:ascii="宋体" w:hAnsi="宋体" w:cs="华文楷体"/>
          <w:color w:val="auto"/>
          <w:sz w:val="24"/>
          <w:szCs w:val="24"/>
          <w:highlight w:val="none"/>
        </w:rPr>
        <w:t>动</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署</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提</w:t>
      </w:r>
      <w:r>
        <w:rPr>
          <w:rFonts w:hint="eastAsia" w:ascii="宋体" w:hAnsi="宋体" w:cs="华文楷体"/>
          <w:color w:val="auto"/>
          <w:sz w:val="24"/>
          <w:szCs w:val="24"/>
          <w:highlight w:val="none"/>
        </w:rPr>
        <w:t>交</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接</w:t>
      </w:r>
      <w:r>
        <w:rPr>
          <w:rFonts w:hint="eastAsia" w:ascii="宋体" w:hAnsi="宋体" w:cs="华文楷体"/>
          <w:color w:val="auto"/>
          <w:spacing w:val="-2"/>
          <w:sz w:val="24"/>
          <w:szCs w:val="24"/>
          <w:highlight w:val="none"/>
        </w:rPr>
        <w:t>收</w:t>
      </w:r>
      <w:r>
        <w:rPr>
          <w:rFonts w:hint="eastAsia" w:ascii="宋体" w:hAnsi="宋体" w:cs="华文楷体"/>
          <w:color w:val="auto"/>
          <w:sz w:val="24"/>
          <w:szCs w:val="24"/>
          <w:highlight w:val="none"/>
        </w:rPr>
        <w:t>相关</w:t>
      </w:r>
      <w:r>
        <w:rPr>
          <w:rFonts w:hint="eastAsia" w:ascii="宋体" w:hAnsi="宋体" w:cs="华文楷体"/>
          <w:color w:val="auto"/>
          <w:spacing w:val="-2"/>
          <w:sz w:val="24"/>
          <w:szCs w:val="24"/>
          <w:highlight w:val="none"/>
        </w:rPr>
        <w:t>的</w:t>
      </w:r>
      <w:r>
        <w:rPr>
          <w:rFonts w:hint="eastAsia" w:ascii="宋体" w:hAnsi="宋体" w:cs="华文楷体"/>
          <w:color w:val="auto"/>
          <w:sz w:val="24"/>
          <w:szCs w:val="24"/>
          <w:highlight w:val="none"/>
        </w:rPr>
        <w:t>资</w:t>
      </w:r>
      <w:r>
        <w:rPr>
          <w:rFonts w:hint="eastAsia" w:ascii="宋体" w:hAnsi="宋体" w:cs="华文楷体"/>
          <w:color w:val="auto"/>
          <w:spacing w:val="-2"/>
          <w:sz w:val="24"/>
          <w:szCs w:val="24"/>
          <w:highlight w:val="none"/>
        </w:rPr>
        <w:t>料</w:t>
      </w:r>
      <w:r>
        <w:rPr>
          <w:rFonts w:hint="eastAsia" w:ascii="宋体" w:hAnsi="宋体" w:cs="华文楷体"/>
          <w:color w:val="auto"/>
          <w:sz w:val="24"/>
          <w:szCs w:val="24"/>
          <w:highlight w:val="none"/>
        </w:rPr>
        <w:t>、信息及指示，进</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合同</w:t>
      </w:r>
      <w:r>
        <w:rPr>
          <w:rFonts w:hint="eastAsia" w:ascii="宋体" w:hAnsi="宋体" w:cs="华文楷体"/>
          <w:color w:val="auto"/>
          <w:spacing w:val="-2"/>
          <w:sz w:val="24"/>
          <w:szCs w:val="24"/>
          <w:highlight w:val="none"/>
        </w:rPr>
        <w:t>谈</w:t>
      </w:r>
      <w:r>
        <w:rPr>
          <w:rFonts w:hint="eastAsia" w:ascii="宋体" w:hAnsi="宋体" w:cs="华文楷体"/>
          <w:color w:val="auto"/>
          <w:sz w:val="24"/>
          <w:szCs w:val="24"/>
          <w:highlight w:val="none"/>
        </w:rPr>
        <w:t>判活动，负责合</w:t>
      </w:r>
      <w:r>
        <w:rPr>
          <w:rFonts w:hint="eastAsia" w:ascii="宋体" w:hAnsi="宋体" w:cs="华文楷体"/>
          <w:color w:val="auto"/>
          <w:spacing w:val="-2"/>
          <w:sz w:val="24"/>
          <w:szCs w:val="24"/>
          <w:highlight w:val="none"/>
        </w:rPr>
        <w:t>同</w:t>
      </w:r>
      <w:r>
        <w:rPr>
          <w:rFonts w:hint="eastAsia" w:ascii="宋体" w:hAnsi="宋体" w:cs="华文楷体"/>
          <w:color w:val="auto"/>
          <w:sz w:val="24"/>
          <w:szCs w:val="24"/>
          <w:highlight w:val="none"/>
        </w:rPr>
        <w:t>实施</w:t>
      </w:r>
      <w:r>
        <w:rPr>
          <w:rFonts w:hint="eastAsia" w:ascii="宋体" w:hAnsi="宋体" w:cs="华文楷体"/>
          <w:color w:val="auto"/>
          <w:spacing w:val="-2"/>
          <w:sz w:val="24"/>
          <w:szCs w:val="24"/>
          <w:highlight w:val="none"/>
        </w:rPr>
        <w:t>阶</w:t>
      </w:r>
      <w:r>
        <w:rPr>
          <w:rFonts w:hint="eastAsia" w:ascii="宋体" w:hAnsi="宋体" w:cs="华文楷体"/>
          <w:color w:val="auto"/>
          <w:sz w:val="24"/>
          <w:szCs w:val="24"/>
          <w:highlight w:val="none"/>
        </w:rPr>
        <w:t>段的组织和协调</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作，</w:t>
      </w:r>
      <w:r>
        <w:rPr>
          <w:rFonts w:hint="eastAsia" w:ascii="宋体" w:hAnsi="宋体" w:cs="华文楷体"/>
          <w:color w:val="auto"/>
          <w:spacing w:val="-2"/>
          <w:sz w:val="24"/>
          <w:szCs w:val="24"/>
          <w:highlight w:val="none"/>
        </w:rPr>
        <w:t>以</w:t>
      </w:r>
      <w:r>
        <w:rPr>
          <w:rFonts w:hint="eastAsia" w:ascii="宋体" w:hAnsi="宋体" w:cs="华文楷体"/>
          <w:color w:val="auto"/>
          <w:sz w:val="24"/>
          <w:szCs w:val="24"/>
          <w:highlight w:val="none"/>
        </w:rPr>
        <w:t>及处理与本招</w:t>
      </w:r>
      <w:r>
        <w:rPr>
          <w:rFonts w:hint="eastAsia" w:ascii="宋体" w:hAnsi="宋体" w:cs="华文楷体"/>
          <w:color w:val="auto"/>
          <w:spacing w:val="-2"/>
          <w:sz w:val="24"/>
          <w:szCs w:val="24"/>
          <w:highlight w:val="none"/>
        </w:rPr>
        <w:t>标</w:t>
      </w:r>
      <w:r>
        <w:rPr>
          <w:rFonts w:hint="eastAsia" w:ascii="宋体" w:hAnsi="宋体" w:cs="华文楷体"/>
          <w:color w:val="auto"/>
          <w:sz w:val="24"/>
          <w:szCs w:val="24"/>
          <w:highlight w:val="none"/>
        </w:rPr>
        <w:t>项目有</w:t>
      </w:r>
      <w:r>
        <w:rPr>
          <w:rFonts w:hint="eastAsia" w:ascii="宋体" w:hAnsi="宋体" w:cs="华文楷体"/>
          <w:color w:val="auto"/>
          <w:spacing w:val="-2"/>
          <w:sz w:val="24"/>
          <w:szCs w:val="24"/>
          <w:highlight w:val="none"/>
        </w:rPr>
        <w:t>关</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事</w:t>
      </w:r>
      <w:r>
        <w:rPr>
          <w:rFonts w:hint="eastAsia" w:ascii="宋体" w:hAnsi="宋体" w:cs="华文楷体"/>
          <w:color w:val="auto"/>
          <w:sz w:val="24"/>
          <w:szCs w:val="24"/>
          <w:highlight w:val="none"/>
        </w:rPr>
        <w:t>宜。</w:t>
      </w:r>
    </w:p>
    <w:p>
      <w:pPr>
        <w:spacing w:before="16"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3.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牵</w:t>
      </w:r>
      <w:r>
        <w:rPr>
          <w:rFonts w:hint="eastAsia" w:ascii="宋体" w:hAnsi="宋体" w:cs="华文楷体"/>
          <w:color w:val="auto"/>
          <w:spacing w:val="-2"/>
          <w:sz w:val="24"/>
          <w:szCs w:val="24"/>
          <w:highlight w:val="none"/>
        </w:rPr>
        <w:t>头</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在</w:t>
      </w:r>
      <w:r>
        <w:rPr>
          <w:rFonts w:hint="eastAsia" w:ascii="宋体" w:hAnsi="宋体" w:cs="华文楷体"/>
          <w:color w:val="auto"/>
          <w:sz w:val="24"/>
          <w:szCs w:val="24"/>
          <w:highlight w:val="none"/>
        </w:rPr>
        <w:t>本</w:t>
      </w:r>
      <w:r>
        <w:rPr>
          <w:rFonts w:hint="eastAsia" w:ascii="宋体" w:hAnsi="宋体" w:cs="华文楷体"/>
          <w:color w:val="auto"/>
          <w:spacing w:val="-2"/>
          <w:sz w:val="24"/>
          <w:szCs w:val="24"/>
          <w:highlight w:val="none"/>
        </w:rPr>
        <w:t>项目</w:t>
      </w:r>
      <w:r>
        <w:rPr>
          <w:rFonts w:hint="eastAsia" w:ascii="宋体" w:hAnsi="宋体" w:cs="华文楷体"/>
          <w:color w:val="auto"/>
          <w:sz w:val="24"/>
          <w:szCs w:val="24"/>
          <w:highlight w:val="none"/>
        </w:rPr>
        <w:t>中签</w:t>
      </w:r>
      <w:r>
        <w:rPr>
          <w:rFonts w:hint="eastAsia" w:ascii="宋体" w:hAnsi="宋体" w:cs="华文楷体"/>
          <w:color w:val="auto"/>
          <w:spacing w:val="-2"/>
          <w:sz w:val="24"/>
          <w:szCs w:val="24"/>
          <w:highlight w:val="none"/>
        </w:rPr>
        <w:t>署</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处</w:t>
      </w:r>
      <w:r>
        <w:rPr>
          <w:rFonts w:hint="eastAsia" w:ascii="宋体" w:hAnsi="宋体" w:cs="华文楷体"/>
          <w:color w:val="auto"/>
          <w:spacing w:val="-2"/>
          <w:sz w:val="24"/>
          <w:szCs w:val="24"/>
          <w:highlight w:val="none"/>
        </w:rPr>
        <w:t>理</w:t>
      </w:r>
      <w:r>
        <w:rPr>
          <w:rFonts w:hint="eastAsia" w:ascii="宋体" w:hAnsi="宋体" w:cs="华文楷体"/>
          <w:color w:val="auto"/>
          <w:sz w:val="24"/>
          <w:szCs w:val="24"/>
          <w:highlight w:val="none"/>
        </w:rPr>
        <w:t>的一</w:t>
      </w:r>
      <w:r>
        <w:rPr>
          <w:rFonts w:hint="eastAsia" w:ascii="宋体" w:hAnsi="宋体" w:cs="华文楷体"/>
          <w:color w:val="auto"/>
          <w:spacing w:val="-2"/>
          <w:sz w:val="24"/>
          <w:szCs w:val="24"/>
          <w:highlight w:val="none"/>
        </w:rPr>
        <w:t>切</w:t>
      </w:r>
      <w:r>
        <w:rPr>
          <w:rFonts w:hint="eastAsia" w:ascii="宋体" w:hAnsi="宋体" w:cs="华文楷体"/>
          <w:color w:val="auto"/>
          <w:sz w:val="24"/>
          <w:szCs w:val="24"/>
          <w:highlight w:val="none"/>
        </w:rPr>
        <w:t>事</w:t>
      </w:r>
      <w:r>
        <w:rPr>
          <w:rFonts w:hint="eastAsia" w:ascii="宋体" w:hAnsi="宋体" w:cs="华文楷体"/>
          <w:color w:val="auto"/>
          <w:spacing w:val="-2"/>
          <w:sz w:val="24"/>
          <w:szCs w:val="24"/>
          <w:highlight w:val="none"/>
        </w:rPr>
        <w:t>宜</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各成</w:t>
      </w:r>
      <w:r>
        <w:rPr>
          <w:rFonts w:hint="eastAsia" w:ascii="宋体" w:hAnsi="宋体" w:cs="华文楷体"/>
          <w:color w:val="auto"/>
          <w:sz w:val="24"/>
          <w:szCs w:val="24"/>
          <w:highlight w:val="none"/>
        </w:rPr>
        <w:t>员均</w:t>
      </w:r>
      <w:r>
        <w:rPr>
          <w:rFonts w:hint="eastAsia" w:ascii="宋体" w:hAnsi="宋体" w:cs="华文楷体"/>
          <w:color w:val="auto"/>
          <w:spacing w:val="-2"/>
          <w:sz w:val="24"/>
          <w:szCs w:val="24"/>
          <w:highlight w:val="none"/>
        </w:rPr>
        <w:t>予</w:t>
      </w:r>
      <w:r>
        <w:rPr>
          <w:rFonts w:hint="eastAsia" w:ascii="宋体" w:hAnsi="宋体" w:cs="华文楷体"/>
          <w:color w:val="auto"/>
          <w:sz w:val="24"/>
          <w:szCs w:val="24"/>
          <w:highlight w:val="none"/>
        </w:rPr>
        <w:t>以</w:t>
      </w:r>
      <w:r>
        <w:rPr>
          <w:rFonts w:hint="eastAsia" w:ascii="宋体" w:hAnsi="宋体" w:cs="华文楷体"/>
          <w:color w:val="auto"/>
          <w:spacing w:val="-2"/>
          <w:sz w:val="24"/>
          <w:szCs w:val="24"/>
          <w:highlight w:val="none"/>
        </w:rPr>
        <w:t>承</w:t>
      </w:r>
      <w:r>
        <w:rPr>
          <w:rFonts w:hint="eastAsia" w:ascii="宋体" w:hAnsi="宋体" w:cs="华文楷体"/>
          <w:color w:val="auto"/>
          <w:sz w:val="24"/>
          <w:szCs w:val="24"/>
          <w:highlight w:val="none"/>
        </w:rPr>
        <w:t>认。 联合体各成员将</w:t>
      </w:r>
      <w:r>
        <w:rPr>
          <w:rFonts w:hint="eastAsia" w:ascii="宋体" w:hAnsi="宋体" w:cs="华文楷体"/>
          <w:color w:val="auto"/>
          <w:spacing w:val="-2"/>
          <w:sz w:val="24"/>
          <w:szCs w:val="24"/>
          <w:highlight w:val="none"/>
        </w:rPr>
        <w:t>严</w:t>
      </w:r>
      <w:r>
        <w:rPr>
          <w:rFonts w:hint="eastAsia" w:ascii="宋体" w:hAnsi="宋体" w:cs="华文楷体"/>
          <w:color w:val="auto"/>
          <w:sz w:val="24"/>
          <w:szCs w:val="24"/>
          <w:highlight w:val="none"/>
        </w:rPr>
        <w:t>格按</w:t>
      </w:r>
      <w:r>
        <w:rPr>
          <w:rFonts w:hint="eastAsia" w:ascii="宋体" w:hAnsi="宋体" w:cs="华文楷体"/>
          <w:color w:val="auto"/>
          <w:spacing w:val="-2"/>
          <w:sz w:val="24"/>
          <w:szCs w:val="24"/>
          <w:highlight w:val="none"/>
        </w:rPr>
        <w:t>照</w:t>
      </w:r>
      <w:r>
        <w:rPr>
          <w:rFonts w:hint="eastAsia" w:ascii="宋体" w:hAnsi="宋体" w:cs="华文楷体"/>
          <w:color w:val="auto"/>
          <w:sz w:val="24"/>
          <w:szCs w:val="24"/>
          <w:highlight w:val="none"/>
        </w:rPr>
        <w:t>招标文件、投标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件和</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同的要求全面履</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义务</w:t>
      </w:r>
      <w:r>
        <w:rPr>
          <w:rFonts w:hint="eastAsia" w:ascii="宋体" w:hAnsi="宋体" w:cs="华文楷体"/>
          <w:color w:val="auto"/>
          <w:spacing w:val="-2"/>
          <w:sz w:val="24"/>
          <w:szCs w:val="24"/>
          <w:highlight w:val="none"/>
        </w:rPr>
        <w:t>，</w:t>
      </w:r>
      <w:r>
        <w:rPr>
          <w:rFonts w:hint="eastAsia" w:ascii="宋体" w:hAnsi="宋体" w:cs="华文楷体"/>
          <w:color w:val="auto"/>
          <w:sz w:val="24"/>
          <w:szCs w:val="24"/>
          <w:highlight w:val="none"/>
        </w:rPr>
        <w:t>并向招标人承</w:t>
      </w:r>
      <w:r>
        <w:rPr>
          <w:rFonts w:hint="eastAsia" w:ascii="宋体" w:hAnsi="宋体" w:cs="华文楷体"/>
          <w:color w:val="auto"/>
          <w:spacing w:val="-2"/>
          <w:sz w:val="24"/>
          <w:szCs w:val="24"/>
          <w:highlight w:val="none"/>
        </w:rPr>
        <w:t>担</w:t>
      </w:r>
      <w:r>
        <w:rPr>
          <w:rFonts w:hint="eastAsia" w:ascii="宋体" w:hAnsi="宋体" w:cs="华文楷体"/>
          <w:color w:val="auto"/>
          <w:sz w:val="24"/>
          <w:szCs w:val="24"/>
          <w:highlight w:val="none"/>
        </w:rPr>
        <w:t>连带责</w:t>
      </w:r>
      <w:r>
        <w:rPr>
          <w:rFonts w:hint="eastAsia" w:ascii="宋体" w:hAnsi="宋体" w:cs="华文楷体"/>
          <w:color w:val="auto"/>
          <w:spacing w:val="-2"/>
          <w:sz w:val="24"/>
          <w:szCs w:val="24"/>
          <w:highlight w:val="none"/>
        </w:rPr>
        <w:t>任</w:t>
      </w:r>
      <w:r>
        <w:rPr>
          <w:rFonts w:hint="eastAsia" w:ascii="宋体" w:hAnsi="宋体" w:cs="华文楷体"/>
          <w:color w:val="auto"/>
          <w:sz w:val="24"/>
          <w:szCs w:val="24"/>
          <w:highlight w:val="none"/>
        </w:rPr>
        <w:t>。</w:t>
      </w:r>
    </w:p>
    <w:p>
      <w:pPr>
        <w:tabs>
          <w:tab w:val="left" w:pos="8740"/>
        </w:tabs>
        <w:spacing w:before="17"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4.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内部</w:t>
      </w:r>
      <w:r>
        <w:rPr>
          <w:rFonts w:hint="eastAsia" w:ascii="宋体" w:hAnsi="宋体" w:cs="华文楷体"/>
          <w:color w:val="auto"/>
          <w:sz w:val="24"/>
          <w:szCs w:val="24"/>
          <w:highlight w:val="none"/>
        </w:rPr>
        <w:t>的职</w:t>
      </w:r>
      <w:r>
        <w:rPr>
          <w:rFonts w:hint="eastAsia" w:ascii="宋体" w:hAnsi="宋体" w:cs="华文楷体"/>
          <w:color w:val="auto"/>
          <w:spacing w:val="-2"/>
          <w:sz w:val="24"/>
          <w:szCs w:val="24"/>
          <w:highlight w:val="none"/>
        </w:rPr>
        <w:t>责</w:t>
      </w:r>
      <w:r>
        <w:rPr>
          <w:rFonts w:hint="eastAsia" w:ascii="宋体" w:hAnsi="宋体" w:cs="华文楷体"/>
          <w:color w:val="auto"/>
          <w:sz w:val="24"/>
          <w:szCs w:val="24"/>
          <w:highlight w:val="none"/>
        </w:rPr>
        <w:t>分</w:t>
      </w:r>
      <w:r>
        <w:rPr>
          <w:rFonts w:hint="eastAsia" w:ascii="宋体" w:hAnsi="宋体" w:cs="华文楷体"/>
          <w:color w:val="auto"/>
          <w:spacing w:val="-2"/>
          <w:sz w:val="24"/>
          <w:szCs w:val="24"/>
          <w:highlight w:val="none"/>
        </w:rPr>
        <w:t>工</w:t>
      </w:r>
      <w:r>
        <w:rPr>
          <w:rFonts w:hint="eastAsia" w:ascii="宋体" w:hAnsi="宋体" w:cs="华文楷体"/>
          <w:color w:val="auto"/>
          <w:spacing w:val="-2"/>
          <w:sz w:val="24"/>
          <w:szCs w:val="24"/>
          <w:highlight w:val="none"/>
          <w:lang w:val="en-US" w:eastAsia="zh-CN"/>
        </w:rPr>
        <w:t>内容及责任</w:t>
      </w:r>
      <w:r>
        <w:rPr>
          <w:rFonts w:hint="eastAsia" w:ascii="宋体" w:hAnsi="宋体" w:cs="华文楷体"/>
          <w:color w:val="auto"/>
          <w:sz w:val="24"/>
          <w:szCs w:val="24"/>
          <w:highlight w:val="none"/>
        </w:rPr>
        <w:t>如</w:t>
      </w:r>
      <w:r>
        <w:rPr>
          <w:rFonts w:hint="eastAsia" w:ascii="宋体" w:hAnsi="宋体" w:cs="华文楷体"/>
          <w:color w:val="auto"/>
          <w:spacing w:val="-2"/>
          <w:sz w:val="24"/>
          <w:szCs w:val="24"/>
          <w:highlight w:val="none"/>
        </w:rPr>
        <w:t>下</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u w:val="single"/>
        </w:rPr>
        <w:t xml:space="preserve"> </w:t>
      </w:r>
      <w:r>
        <w:rPr>
          <w:rFonts w:hint="eastAsia" w:ascii="宋体" w:hAnsi="宋体" w:cs="华文楷体"/>
          <w:color w:val="auto"/>
          <w:spacing w:val="1"/>
          <w:sz w:val="24"/>
          <w:szCs w:val="24"/>
          <w:highlight w:val="none"/>
          <w:u w:val="single"/>
        </w:rPr>
        <w:t xml:space="preserve"> </w:t>
      </w:r>
      <w:r>
        <w:rPr>
          <w:rFonts w:hint="eastAsia" w:ascii="宋体" w:hAnsi="宋体" w:cs="华文楷体"/>
          <w:color w:val="auto"/>
          <w:sz w:val="24"/>
          <w:szCs w:val="24"/>
          <w:highlight w:val="none"/>
          <w:u w:val="single"/>
        </w:rPr>
        <w:tab/>
      </w:r>
      <w:r>
        <w:rPr>
          <w:rFonts w:hint="eastAsia" w:ascii="宋体" w:hAnsi="宋体" w:cs="华文楷体"/>
          <w:color w:val="auto"/>
          <w:sz w:val="24"/>
          <w:szCs w:val="24"/>
          <w:highlight w:val="none"/>
        </w:rPr>
        <w:t>。</w:t>
      </w:r>
    </w:p>
    <w:p>
      <w:pPr>
        <w:spacing w:before="80"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5. </w:t>
      </w:r>
      <w:r>
        <w:rPr>
          <w:rFonts w:hint="eastAsia" w:ascii="宋体" w:hAnsi="宋体" w:cs="华文楷体"/>
          <w:color w:val="auto"/>
          <w:spacing w:val="-2"/>
          <w:sz w:val="24"/>
          <w:szCs w:val="24"/>
          <w:highlight w:val="none"/>
        </w:rPr>
        <w:t>本</w:t>
      </w:r>
      <w:r>
        <w:rPr>
          <w:rFonts w:hint="eastAsia" w:ascii="宋体" w:hAnsi="宋体" w:cs="华文楷体"/>
          <w:color w:val="auto"/>
          <w:sz w:val="24"/>
          <w:szCs w:val="24"/>
          <w:highlight w:val="none"/>
        </w:rPr>
        <w:t>协</w:t>
      </w:r>
      <w:r>
        <w:rPr>
          <w:rFonts w:hint="eastAsia" w:ascii="宋体" w:hAnsi="宋体" w:cs="华文楷体"/>
          <w:color w:val="auto"/>
          <w:spacing w:val="-2"/>
          <w:sz w:val="24"/>
          <w:szCs w:val="24"/>
          <w:highlight w:val="none"/>
        </w:rPr>
        <w:t>议</w:t>
      </w:r>
      <w:r>
        <w:rPr>
          <w:rFonts w:hint="eastAsia" w:ascii="宋体" w:hAnsi="宋体" w:cs="华文楷体"/>
          <w:color w:val="auto"/>
          <w:sz w:val="24"/>
          <w:szCs w:val="24"/>
          <w:highlight w:val="none"/>
        </w:rPr>
        <w:t>书</w:t>
      </w:r>
      <w:r>
        <w:rPr>
          <w:rFonts w:hint="eastAsia" w:ascii="宋体" w:hAnsi="宋体" w:cs="华文楷体"/>
          <w:color w:val="auto"/>
          <w:spacing w:val="-2"/>
          <w:sz w:val="24"/>
          <w:szCs w:val="24"/>
          <w:highlight w:val="none"/>
        </w:rPr>
        <w:t>自</w:t>
      </w:r>
      <w:r>
        <w:rPr>
          <w:rFonts w:hint="eastAsia" w:ascii="宋体" w:hAnsi="宋体" w:cs="华文楷体"/>
          <w:color w:val="auto"/>
          <w:sz w:val="24"/>
          <w:szCs w:val="24"/>
          <w:highlight w:val="none"/>
        </w:rPr>
        <w:t>所</w:t>
      </w:r>
      <w:r>
        <w:rPr>
          <w:rFonts w:hint="eastAsia" w:ascii="宋体" w:hAnsi="宋体" w:cs="华文楷体"/>
          <w:color w:val="auto"/>
          <w:spacing w:val="-2"/>
          <w:sz w:val="24"/>
          <w:szCs w:val="24"/>
          <w:highlight w:val="none"/>
        </w:rPr>
        <w:t>有</w:t>
      </w:r>
      <w:r>
        <w:rPr>
          <w:rFonts w:hint="eastAsia" w:ascii="宋体" w:hAnsi="宋体" w:cs="华文楷体"/>
          <w:color w:val="auto"/>
          <w:sz w:val="24"/>
          <w:szCs w:val="24"/>
          <w:highlight w:val="none"/>
        </w:rPr>
        <w:t>成</w:t>
      </w:r>
      <w:r>
        <w:rPr>
          <w:rFonts w:hint="eastAsia" w:ascii="宋体" w:hAnsi="宋体" w:cs="华文楷体"/>
          <w:color w:val="auto"/>
          <w:spacing w:val="-2"/>
          <w:sz w:val="24"/>
          <w:szCs w:val="24"/>
          <w:highlight w:val="none"/>
        </w:rPr>
        <w:t>员单</w:t>
      </w:r>
      <w:r>
        <w:rPr>
          <w:rFonts w:hint="eastAsia" w:ascii="宋体" w:hAnsi="宋体" w:cs="华文楷体"/>
          <w:color w:val="auto"/>
          <w:sz w:val="24"/>
          <w:szCs w:val="24"/>
          <w:highlight w:val="none"/>
        </w:rPr>
        <w:t>位法</w:t>
      </w:r>
      <w:r>
        <w:rPr>
          <w:rFonts w:hint="eastAsia" w:ascii="宋体" w:hAnsi="宋体" w:cs="华文楷体"/>
          <w:color w:val="auto"/>
          <w:spacing w:val="-2"/>
          <w:sz w:val="24"/>
          <w:szCs w:val="24"/>
          <w:highlight w:val="none"/>
        </w:rPr>
        <w:t>定</w:t>
      </w:r>
      <w:r>
        <w:rPr>
          <w:rFonts w:hint="eastAsia" w:ascii="宋体" w:hAnsi="宋体" w:cs="华文楷体"/>
          <w:color w:val="auto"/>
          <w:sz w:val="24"/>
          <w:szCs w:val="24"/>
          <w:highlight w:val="none"/>
        </w:rPr>
        <w:t>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其</w:t>
      </w:r>
      <w:r>
        <w:rPr>
          <w:rFonts w:hint="eastAsia" w:ascii="宋体" w:hAnsi="宋体" w:cs="华文楷体"/>
          <w:color w:val="auto"/>
          <w:spacing w:val="-2"/>
          <w:sz w:val="24"/>
          <w:szCs w:val="24"/>
          <w:highlight w:val="none"/>
        </w:rPr>
        <w:t>委</w:t>
      </w:r>
      <w:r>
        <w:rPr>
          <w:rFonts w:hint="eastAsia" w:ascii="宋体" w:hAnsi="宋体" w:cs="华文楷体"/>
          <w:color w:val="auto"/>
          <w:sz w:val="24"/>
          <w:szCs w:val="24"/>
          <w:highlight w:val="none"/>
        </w:rPr>
        <w:t>托</w:t>
      </w:r>
      <w:r>
        <w:rPr>
          <w:rFonts w:hint="eastAsia" w:ascii="宋体" w:hAnsi="宋体" w:cs="华文楷体"/>
          <w:color w:val="auto"/>
          <w:spacing w:val="-2"/>
          <w:sz w:val="24"/>
          <w:szCs w:val="24"/>
          <w:highlight w:val="none"/>
        </w:rPr>
        <w:t>代</w:t>
      </w:r>
      <w:r>
        <w:rPr>
          <w:rFonts w:hint="eastAsia" w:ascii="宋体" w:hAnsi="宋体" w:cs="华文楷体"/>
          <w:color w:val="auto"/>
          <w:sz w:val="24"/>
          <w:szCs w:val="24"/>
          <w:highlight w:val="none"/>
        </w:rPr>
        <w:t>理人</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字</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盖</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章</w:t>
      </w:r>
      <w:r>
        <w:rPr>
          <w:rFonts w:hint="eastAsia" w:ascii="宋体" w:hAnsi="宋体" w:cs="华文楷体"/>
          <w:color w:val="auto"/>
          <w:sz w:val="24"/>
          <w:szCs w:val="24"/>
          <w:highlight w:val="none"/>
        </w:rPr>
        <w:t>之</w:t>
      </w:r>
      <w:r>
        <w:rPr>
          <w:rFonts w:hint="eastAsia" w:ascii="宋体" w:hAnsi="宋体" w:cs="华文楷体"/>
          <w:color w:val="auto"/>
          <w:spacing w:val="-2"/>
          <w:sz w:val="24"/>
          <w:szCs w:val="24"/>
          <w:highlight w:val="none"/>
        </w:rPr>
        <w:t>日</w:t>
      </w:r>
      <w:r>
        <w:rPr>
          <w:rFonts w:hint="eastAsia" w:ascii="宋体" w:hAnsi="宋体" w:cs="华文楷体"/>
          <w:color w:val="auto"/>
          <w:sz w:val="24"/>
          <w:szCs w:val="24"/>
          <w:highlight w:val="none"/>
        </w:rPr>
        <w:t>起生</w:t>
      </w:r>
      <w:r>
        <w:rPr>
          <w:rFonts w:hint="eastAsia" w:ascii="宋体" w:hAnsi="宋体" w:cs="华文楷体"/>
          <w:color w:val="auto"/>
          <w:spacing w:val="-2"/>
          <w:sz w:val="24"/>
          <w:szCs w:val="24"/>
          <w:highlight w:val="none"/>
        </w:rPr>
        <w:t>效</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合同 履行</w:t>
      </w:r>
      <w:r>
        <w:rPr>
          <w:rFonts w:hint="eastAsia" w:ascii="宋体" w:hAnsi="宋体" w:cs="华文楷体"/>
          <w:color w:val="auto"/>
          <w:spacing w:val="-2"/>
          <w:sz w:val="24"/>
          <w:szCs w:val="24"/>
          <w:highlight w:val="none"/>
        </w:rPr>
        <w:t>完</w:t>
      </w:r>
      <w:r>
        <w:rPr>
          <w:rFonts w:hint="eastAsia" w:ascii="宋体" w:hAnsi="宋体" w:cs="华文楷体"/>
          <w:color w:val="auto"/>
          <w:sz w:val="24"/>
          <w:szCs w:val="24"/>
          <w:highlight w:val="none"/>
        </w:rPr>
        <w:t>毕</w:t>
      </w:r>
      <w:r>
        <w:rPr>
          <w:rFonts w:hint="eastAsia" w:ascii="宋体" w:hAnsi="宋体" w:cs="华文楷体"/>
          <w:color w:val="auto"/>
          <w:spacing w:val="-2"/>
          <w:sz w:val="24"/>
          <w:szCs w:val="24"/>
          <w:highlight w:val="none"/>
        </w:rPr>
        <w:t>后</w:t>
      </w:r>
      <w:r>
        <w:rPr>
          <w:rFonts w:hint="eastAsia" w:ascii="宋体" w:hAnsi="宋体" w:cs="华文楷体"/>
          <w:color w:val="auto"/>
          <w:sz w:val="24"/>
          <w:szCs w:val="24"/>
          <w:highlight w:val="none"/>
        </w:rPr>
        <w:t>自</w:t>
      </w:r>
      <w:r>
        <w:rPr>
          <w:rFonts w:hint="eastAsia" w:ascii="宋体" w:hAnsi="宋体" w:cs="华文楷体"/>
          <w:color w:val="auto"/>
          <w:spacing w:val="-2"/>
          <w:sz w:val="24"/>
          <w:szCs w:val="24"/>
          <w:highlight w:val="none"/>
        </w:rPr>
        <w:t>动</w:t>
      </w:r>
      <w:r>
        <w:rPr>
          <w:rFonts w:hint="eastAsia" w:ascii="宋体" w:hAnsi="宋体" w:cs="华文楷体"/>
          <w:color w:val="auto"/>
          <w:sz w:val="24"/>
          <w:szCs w:val="24"/>
          <w:highlight w:val="none"/>
        </w:rPr>
        <w:t>失</w:t>
      </w:r>
      <w:r>
        <w:rPr>
          <w:rFonts w:hint="eastAsia" w:ascii="宋体" w:hAnsi="宋体" w:cs="华文楷体"/>
          <w:color w:val="auto"/>
          <w:spacing w:val="-3"/>
          <w:sz w:val="24"/>
          <w:szCs w:val="24"/>
          <w:highlight w:val="none"/>
        </w:rPr>
        <w:t>效</w:t>
      </w:r>
      <w:r>
        <w:rPr>
          <w:rFonts w:hint="eastAsia" w:ascii="宋体" w:hAnsi="宋体" w:cs="华文楷体"/>
          <w:color w:val="auto"/>
          <w:sz w:val="24"/>
          <w:szCs w:val="24"/>
          <w:highlight w:val="none"/>
        </w:rPr>
        <w:t>。</w:t>
      </w:r>
    </w:p>
    <w:p>
      <w:pPr>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注：本协议书由法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人签字的，应附法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人身份证明；由委</w:t>
      </w:r>
      <w:r>
        <w:rPr>
          <w:rFonts w:hint="eastAsia" w:ascii="宋体" w:hAnsi="宋体" w:cs="华文楷体"/>
          <w:color w:val="auto"/>
          <w:spacing w:val="-2"/>
          <w:position w:val="-1"/>
          <w:sz w:val="24"/>
          <w:szCs w:val="24"/>
          <w:highlight w:val="none"/>
        </w:rPr>
        <w:t>托</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理</w:t>
      </w:r>
      <w:r>
        <w:rPr>
          <w:rFonts w:hint="eastAsia" w:ascii="宋体" w:hAnsi="宋体" w:cs="华文楷体"/>
          <w:color w:val="auto"/>
          <w:position w:val="-1"/>
          <w:sz w:val="24"/>
          <w:szCs w:val="24"/>
          <w:highlight w:val="none"/>
        </w:rPr>
        <w:t>人签字的，应</w:t>
      </w:r>
      <w:r>
        <w:rPr>
          <w:rFonts w:hint="eastAsia" w:ascii="宋体" w:hAnsi="宋体" w:cs="华文楷体"/>
          <w:color w:val="auto"/>
          <w:sz w:val="24"/>
          <w:szCs w:val="24"/>
          <w:highlight w:val="none"/>
        </w:rPr>
        <w:t>附授</w:t>
      </w:r>
      <w:r>
        <w:rPr>
          <w:rFonts w:hint="eastAsia" w:ascii="宋体" w:hAnsi="宋体" w:cs="华文楷体"/>
          <w:color w:val="auto"/>
          <w:spacing w:val="-2"/>
          <w:sz w:val="24"/>
          <w:szCs w:val="24"/>
          <w:highlight w:val="none"/>
        </w:rPr>
        <w:t>权</w:t>
      </w:r>
      <w:r>
        <w:rPr>
          <w:rFonts w:hint="eastAsia" w:ascii="宋体" w:hAnsi="宋体" w:cs="华文楷体"/>
          <w:color w:val="auto"/>
          <w:sz w:val="24"/>
          <w:szCs w:val="24"/>
          <w:highlight w:val="none"/>
        </w:rPr>
        <w:t>委</w:t>
      </w:r>
      <w:r>
        <w:rPr>
          <w:rFonts w:hint="eastAsia" w:ascii="宋体" w:hAnsi="宋体" w:cs="华文楷体"/>
          <w:color w:val="auto"/>
          <w:spacing w:val="-2"/>
          <w:sz w:val="24"/>
          <w:szCs w:val="24"/>
          <w:highlight w:val="none"/>
        </w:rPr>
        <w:t>托</w:t>
      </w:r>
      <w:r>
        <w:rPr>
          <w:rFonts w:hint="eastAsia" w:ascii="宋体" w:hAnsi="宋体" w:cs="华文楷体"/>
          <w:color w:val="auto"/>
          <w:sz w:val="24"/>
          <w:szCs w:val="24"/>
          <w:highlight w:val="none"/>
        </w:rPr>
        <w:t>书。</w:t>
      </w:r>
    </w:p>
    <w:p>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rPr>
        <w:t>联合</w:t>
      </w:r>
      <w:r>
        <w:rPr>
          <w:rFonts w:hint="eastAsia" w:ascii="宋体" w:hAnsi="宋体" w:cs="华文楷体"/>
          <w:color w:val="auto"/>
          <w:spacing w:val="-2"/>
          <w:position w:val="-4"/>
          <w:sz w:val="24"/>
          <w:szCs w:val="24"/>
          <w:highlight w:val="none"/>
        </w:rPr>
        <w:t>体</w:t>
      </w:r>
      <w:r>
        <w:rPr>
          <w:rFonts w:hint="eastAsia" w:ascii="宋体" w:hAnsi="宋体" w:cs="华文楷体"/>
          <w:color w:val="auto"/>
          <w:position w:val="-4"/>
          <w:sz w:val="24"/>
          <w:szCs w:val="24"/>
          <w:highlight w:val="none"/>
        </w:rPr>
        <w:t>牵</w:t>
      </w:r>
      <w:r>
        <w:rPr>
          <w:rFonts w:hint="eastAsia" w:ascii="宋体" w:hAnsi="宋体" w:cs="华文楷体"/>
          <w:color w:val="auto"/>
          <w:spacing w:val="-2"/>
          <w:position w:val="-4"/>
          <w:sz w:val="24"/>
          <w:szCs w:val="24"/>
          <w:highlight w:val="none"/>
        </w:rPr>
        <w:t>头</w:t>
      </w:r>
      <w:r>
        <w:rPr>
          <w:rFonts w:hint="eastAsia" w:ascii="宋体" w:hAnsi="宋体" w:cs="华文楷体"/>
          <w:color w:val="auto"/>
          <w:position w:val="-4"/>
          <w:sz w:val="24"/>
          <w:szCs w:val="24"/>
          <w:highlight w:val="none"/>
        </w:rPr>
        <w:t>人</w:t>
      </w:r>
      <w:r>
        <w:rPr>
          <w:rFonts w:hint="eastAsia" w:ascii="宋体" w:hAnsi="宋体" w:cs="华文楷体"/>
          <w:color w:val="auto"/>
          <w:spacing w:val="-2"/>
          <w:position w:val="-4"/>
          <w:sz w:val="24"/>
          <w:szCs w:val="24"/>
          <w:highlight w:val="none"/>
        </w:rPr>
        <w:t>名</w:t>
      </w:r>
      <w:r>
        <w:rPr>
          <w:rFonts w:hint="eastAsia" w:ascii="宋体" w:hAnsi="宋体" w:cs="华文楷体"/>
          <w:color w:val="auto"/>
          <w:position w:val="-4"/>
          <w:sz w:val="24"/>
          <w:szCs w:val="24"/>
          <w:highlight w:val="none"/>
        </w:rPr>
        <w:t>称</w:t>
      </w:r>
      <w:r>
        <w:rPr>
          <w:rFonts w:hint="eastAsia" w:ascii="宋体" w:hAnsi="宋体" w:cs="华文楷体"/>
          <w:color w:val="auto"/>
          <w:spacing w:val="-3"/>
          <w:position w:val="-4"/>
          <w:sz w:val="24"/>
          <w:szCs w:val="24"/>
          <w:highlight w:val="none"/>
        </w:rPr>
        <w:t>：</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（盖</w:t>
      </w:r>
      <w:r>
        <w:rPr>
          <w:rFonts w:hint="eastAsia" w:ascii="宋体" w:hAnsi="宋体" w:cs="华文楷体"/>
          <w:color w:val="auto"/>
          <w:spacing w:val="-2"/>
          <w:position w:val="-4"/>
          <w:sz w:val="24"/>
          <w:szCs w:val="24"/>
          <w:highlight w:val="none"/>
        </w:rPr>
        <w:t>单</w:t>
      </w:r>
      <w:r>
        <w:rPr>
          <w:rFonts w:hint="eastAsia" w:ascii="宋体" w:hAnsi="宋体" w:cs="华文楷体"/>
          <w:color w:val="auto"/>
          <w:position w:val="-4"/>
          <w:sz w:val="24"/>
          <w:szCs w:val="24"/>
          <w:highlight w:val="none"/>
        </w:rPr>
        <w:t>位</w:t>
      </w:r>
      <w:r>
        <w:rPr>
          <w:rFonts w:hint="eastAsia" w:ascii="宋体" w:hAnsi="宋体" w:cs="华文楷体"/>
          <w:color w:val="auto"/>
          <w:spacing w:val="-2"/>
          <w:position w:val="-4"/>
          <w:sz w:val="24"/>
          <w:szCs w:val="24"/>
          <w:highlight w:val="none"/>
        </w:rPr>
        <w:t>章</w:t>
      </w:r>
      <w:r>
        <w:rPr>
          <w:rFonts w:hint="eastAsia" w:ascii="宋体" w:hAnsi="宋体" w:cs="华文楷体"/>
          <w:color w:val="auto"/>
          <w:position w:val="-4"/>
          <w:sz w:val="24"/>
          <w:szCs w:val="24"/>
          <w:highlight w:val="none"/>
        </w:rPr>
        <w:t>）</w:t>
      </w:r>
    </w:p>
    <w:p>
      <w:pPr>
        <w:tabs>
          <w:tab w:val="left" w:pos="6645"/>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（签</w:t>
      </w:r>
      <w:r>
        <w:rPr>
          <w:rFonts w:hint="eastAsia" w:ascii="宋体" w:hAnsi="宋体" w:cs="华文楷体"/>
          <w:color w:val="auto"/>
          <w:spacing w:val="-2"/>
          <w:position w:val="-2"/>
          <w:sz w:val="24"/>
          <w:szCs w:val="24"/>
          <w:highlight w:val="none"/>
        </w:rPr>
        <w:t>字或盖章</w:t>
      </w:r>
      <w:r>
        <w:rPr>
          <w:rFonts w:hint="eastAsia" w:ascii="宋体" w:hAnsi="宋体" w:cs="华文楷体"/>
          <w:color w:val="auto"/>
          <w:position w:val="-2"/>
          <w:sz w:val="24"/>
          <w:szCs w:val="24"/>
          <w:highlight w:val="none"/>
        </w:rPr>
        <w:t>）</w:t>
      </w:r>
    </w:p>
    <w:p>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联合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成</w:t>
      </w:r>
      <w:r>
        <w:rPr>
          <w:rFonts w:hint="eastAsia" w:ascii="宋体" w:hAnsi="宋体" w:cs="华文楷体"/>
          <w:color w:val="auto"/>
          <w:spacing w:val="-2"/>
          <w:position w:val="-2"/>
          <w:sz w:val="24"/>
          <w:szCs w:val="24"/>
          <w:highlight w:val="none"/>
        </w:rPr>
        <w:t>员</w:t>
      </w:r>
      <w:r>
        <w:rPr>
          <w:rFonts w:hint="eastAsia" w:ascii="宋体" w:hAnsi="宋体" w:cs="华文楷体"/>
          <w:color w:val="auto"/>
          <w:position w:val="-2"/>
          <w:sz w:val="24"/>
          <w:szCs w:val="24"/>
          <w:highlight w:val="none"/>
        </w:rPr>
        <w:t>名</w:t>
      </w:r>
      <w:r>
        <w:rPr>
          <w:rFonts w:hint="eastAsia" w:ascii="宋体" w:hAnsi="宋体" w:cs="华文楷体"/>
          <w:color w:val="auto"/>
          <w:spacing w:val="-2"/>
          <w:position w:val="-2"/>
          <w:sz w:val="24"/>
          <w:szCs w:val="24"/>
          <w:highlight w:val="none"/>
        </w:rPr>
        <w:t>称</w:t>
      </w:r>
      <w:r>
        <w:rPr>
          <w:rFonts w:hint="eastAsia" w:ascii="宋体" w:hAnsi="宋体" w:cs="华文楷体"/>
          <w:color w:val="auto"/>
          <w:position w:val="-2"/>
          <w:sz w:val="24"/>
          <w:szCs w:val="24"/>
          <w:highlight w:val="none"/>
        </w:rPr>
        <w:t>：</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（盖</w:t>
      </w:r>
      <w:r>
        <w:rPr>
          <w:rFonts w:hint="eastAsia" w:ascii="宋体" w:hAnsi="宋体" w:cs="华文楷体"/>
          <w:color w:val="auto"/>
          <w:spacing w:val="-2"/>
          <w:position w:val="-2"/>
          <w:sz w:val="24"/>
          <w:szCs w:val="24"/>
          <w:highlight w:val="none"/>
        </w:rPr>
        <w:t>单</w:t>
      </w:r>
      <w:r>
        <w:rPr>
          <w:rFonts w:hint="eastAsia" w:ascii="宋体" w:hAnsi="宋体" w:cs="华文楷体"/>
          <w:color w:val="auto"/>
          <w:position w:val="-2"/>
          <w:sz w:val="24"/>
          <w:szCs w:val="24"/>
          <w:highlight w:val="none"/>
        </w:rPr>
        <w:t>位</w:t>
      </w:r>
      <w:r>
        <w:rPr>
          <w:rFonts w:hint="eastAsia" w:ascii="宋体" w:hAnsi="宋体" w:cs="华文楷体"/>
          <w:color w:val="auto"/>
          <w:spacing w:val="-2"/>
          <w:position w:val="-2"/>
          <w:sz w:val="24"/>
          <w:szCs w:val="24"/>
          <w:highlight w:val="none"/>
        </w:rPr>
        <w:t>章</w:t>
      </w:r>
      <w:r>
        <w:rPr>
          <w:rFonts w:hint="eastAsia" w:ascii="宋体" w:hAnsi="宋体" w:cs="华文楷体"/>
          <w:color w:val="auto"/>
          <w:position w:val="-2"/>
          <w:sz w:val="24"/>
          <w:szCs w:val="24"/>
          <w:highlight w:val="none"/>
        </w:rPr>
        <w:t>）</w:t>
      </w:r>
    </w:p>
    <w:p>
      <w:pPr>
        <w:tabs>
          <w:tab w:val="left" w:pos="6180"/>
        </w:tabs>
        <w:spacing w:line="360" w:lineRule="auto"/>
        <w:ind w:left="2511" w:right="-20"/>
        <w:jc w:val="left"/>
        <w:rPr>
          <w:rFonts w:ascii="宋体" w:hAnsi="宋体" w:cs="华文楷体"/>
          <w:color w:val="auto"/>
          <w:position w:val="-2"/>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w:t>
      </w:r>
      <w:r>
        <w:rPr>
          <w:rFonts w:hint="eastAsia" w:ascii="宋体" w:hAnsi="宋体" w:cs="华文楷体"/>
          <w:color w:val="auto"/>
          <w:spacing w:val="-2"/>
          <w:position w:val="-2"/>
          <w:sz w:val="24"/>
          <w:szCs w:val="24"/>
          <w:highlight w:val="none"/>
        </w:rPr>
        <w:t>签</w:t>
      </w:r>
      <w:r>
        <w:rPr>
          <w:rFonts w:hint="eastAsia" w:ascii="宋体" w:hAnsi="宋体" w:cs="华文楷体"/>
          <w:color w:val="auto"/>
          <w:position w:val="-2"/>
          <w:sz w:val="24"/>
          <w:szCs w:val="24"/>
          <w:highlight w:val="none"/>
        </w:rPr>
        <w:t>字或盖章）</w:t>
      </w:r>
    </w:p>
    <w:p>
      <w:pPr>
        <w:pStyle w:val="25"/>
        <w:spacing w:line="360" w:lineRule="auto"/>
        <w:ind w:firstLine="3600" w:firstLineChars="1500"/>
        <w:rPr>
          <w:rFonts w:ascii="宋体" w:hAnsi="宋体" w:cs="华文楷体"/>
          <w:color w:val="auto"/>
          <w:sz w:val="24"/>
          <w:highlight w:val="none"/>
        </w:rPr>
      </w:pPr>
      <w:r>
        <w:rPr>
          <w:rFonts w:hint="eastAsia" w:ascii="宋体" w:hAnsi="宋体" w:cs="华文楷体"/>
          <w:color w:val="auto"/>
          <w:kern w:val="44"/>
          <w:sz w:val="24"/>
          <w:highlight w:val="none"/>
        </w:rPr>
        <w:t>……（如有，投标人自行添加）</w:t>
      </w:r>
    </w:p>
    <w:p>
      <w:pPr>
        <w:widowControl/>
        <w:spacing w:line="360" w:lineRule="auto"/>
        <w:jc w:val="center"/>
        <w:rPr>
          <w:rFonts w:hint="eastAsia" w:ascii="宋体" w:hAnsi="宋体" w:cs="华文楷体"/>
          <w:color w:val="auto"/>
          <w:sz w:val="24"/>
          <w:szCs w:val="24"/>
          <w:highlight w:val="none"/>
        </w:rPr>
      </w:pPr>
      <w:r>
        <w:rPr>
          <w:rFonts w:hint="eastAsia" w:ascii="宋体" w:hAnsi="宋体" w:cs="华文楷体"/>
          <w:color w:val="auto"/>
          <w:sz w:val="24"/>
          <w:szCs w:val="24"/>
          <w:highlight w:val="none"/>
        </w:rPr>
        <w:tab/>
      </w:r>
      <w:r>
        <w:rPr>
          <w:rFonts w:hint="eastAsia" w:ascii="宋体" w:hAnsi="宋体" w:cs="华文楷体"/>
          <w:color w:val="auto"/>
          <w:sz w:val="24"/>
          <w:szCs w:val="24"/>
          <w:highlight w:val="none"/>
        </w:rPr>
        <w:t>日期：</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年</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月</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日</w:t>
      </w:r>
    </w:p>
    <w:p>
      <w:pPr>
        <w:shd w:val="clear" w:color="auto" w:fill="FFFFFF"/>
        <w:adjustRightInd w:val="0"/>
        <w:snapToGrid w:val="0"/>
        <w:spacing w:line="360" w:lineRule="auto"/>
        <w:rPr>
          <w:rFonts w:hint="eastAsia" w:ascii="宋体" w:hAnsi="宋体" w:eastAsia="宋体" w:cs="宋体"/>
          <w:color w:val="auto"/>
          <w:highlight w:val="none"/>
        </w:rPr>
      </w:pPr>
    </w:p>
    <w:p>
      <w:pPr>
        <w:shd w:val="clear" w:color="auto" w:fill="FFFFFF"/>
        <w:adjustRightInd w:val="0"/>
        <w:snapToGrid w:val="0"/>
        <w:spacing w:line="360" w:lineRule="auto"/>
        <w:rPr>
          <w:color w:val="auto"/>
          <w:highlight w:val="none"/>
        </w:rPr>
      </w:pPr>
      <w:r>
        <w:rPr>
          <w:rFonts w:hint="eastAsia" w:ascii="宋体" w:hAnsi="宋体" w:eastAsia="宋体" w:cs="宋体"/>
          <w:color w:val="auto"/>
          <w:highlight w:val="none"/>
        </w:rPr>
        <w:t>注：单独投标的，无需提交本协议书。</w:t>
      </w:r>
    </w:p>
    <w:p>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（六）投标人认为应该提供的其他资审资料</w:t>
      </w:r>
    </w:p>
    <w:p>
      <w:pPr>
        <w:pStyle w:val="26"/>
        <w:ind w:left="0" w:leftChars="0" w:firstLine="0" w:firstLineChars="0"/>
        <w:jc w:val="center"/>
        <w:rPr>
          <w:rFonts w:ascii="宋体" w:hAnsi="宋体" w:cs="宋体"/>
          <w:b/>
          <w:bCs/>
          <w:color w:val="auto"/>
          <w:kern w:val="0"/>
          <w:szCs w:val="21"/>
          <w:highlight w:val="none"/>
        </w:rPr>
      </w:pPr>
    </w:p>
    <w:p>
      <w:pPr>
        <w:pStyle w:val="26"/>
        <w:ind w:left="0" w:leftChars="0" w:firstLine="0" w:firstLineChars="0"/>
        <w:jc w:val="center"/>
        <w:rPr>
          <w:rFonts w:ascii="宋体" w:hAnsi="宋体" w:cs="宋体"/>
          <w:b/>
          <w:bCs/>
          <w:color w:val="auto"/>
          <w:kern w:val="0"/>
          <w:szCs w:val="21"/>
          <w:highlight w:val="none"/>
        </w:rPr>
      </w:pPr>
    </w:p>
    <w:p>
      <w:pPr>
        <w:pStyle w:val="26"/>
        <w:ind w:left="0" w:leftChars="0" w:firstLine="0" w:firstLineChars="0"/>
        <w:jc w:val="center"/>
        <w:rPr>
          <w:rFonts w:ascii="宋体" w:hAnsi="宋体" w:cs="宋体"/>
          <w:b/>
          <w:bCs/>
          <w:color w:val="auto"/>
          <w:kern w:val="0"/>
          <w:szCs w:val="21"/>
          <w:highlight w:val="none"/>
        </w:rPr>
      </w:pPr>
    </w:p>
    <w:p>
      <w:pPr>
        <w:pStyle w:val="5"/>
        <w:jc w:val="center"/>
        <w:rPr>
          <w:color w:val="auto"/>
          <w:highlight w:val="none"/>
        </w:rPr>
      </w:pPr>
      <w:r>
        <w:rPr>
          <w:color w:val="auto"/>
          <w:highlight w:val="none"/>
        </w:rPr>
        <w:br w:type="page"/>
      </w:r>
      <w:bookmarkStart w:id="195" w:name="_Toc15187"/>
      <w:bookmarkStart w:id="196" w:name="_Toc533357334"/>
      <w:bookmarkStart w:id="197" w:name="_Toc20625"/>
      <w:r>
        <w:rPr>
          <w:rFonts w:hint="eastAsia"/>
          <w:color w:val="auto"/>
          <w:highlight w:val="none"/>
        </w:rPr>
        <w:t>六、类似项目业绩表</w:t>
      </w:r>
      <w:bookmarkEnd w:id="195"/>
    </w:p>
    <w:p>
      <w:pPr>
        <w:jc w:val="center"/>
        <w:rPr>
          <w:color w:val="auto"/>
          <w:highlight w:val="none"/>
        </w:rPr>
      </w:pPr>
      <w:r>
        <w:rPr>
          <w:rFonts w:hint="eastAsia"/>
          <w:b/>
          <w:color w:val="auto"/>
          <w:sz w:val="28"/>
          <w:szCs w:val="28"/>
          <w:highlight w:val="none"/>
        </w:rPr>
        <w:t>类似项目业绩表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92"/>
        <w:gridCol w:w="1054"/>
        <w:gridCol w:w="1356"/>
        <w:gridCol w:w="932"/>
        <w:gridCol w:w="182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09"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2492"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工程名称</w:t>
            </w:r>
          </w:p>
        </w:tc>
        <w:tc>
          <w:tcPr>
            <w:tcW w:w="105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建设单位</w:t>
            </w:r>
          </w:p>
        </w:tc>
        <w:tc>
          <w:tcPr>
            <w:tcW w:w="1356"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合同价（万元）</w:t>
            </w:r>
          </w:p>
        </w:tc>
        <w:tc>
          <w:tcPr>
            <w:tcW w:w="932"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起止时间</w:t>
            </w:r>
          </w:p>
        </w:tc>
        <w:tc>
          <w:tcPr>
            <w:tcW w:w="1827"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工程所在地址</w:t>
            </w:r>
          </w:p>
        </w:tc>
        <w:tc>
          <w:tcPr>
            <w:tcW w:w="1201"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bl>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注：要求按照招标文件第三章评标办法附表</w:t>
      </w:r>
      <w:r>
        <w:rPr>
          <w:rFonts w:hint="eastAsia" w:ascii="宋体" w:hAnsi="宋体" w:cs="宋体"/>
          <w:b/>
          <w:bCs/>
          <w:color w:val="auto"/>
          <w:kern w:val="0"/>
          <w:szCs w:val="21"/>
          <w:highlight w:val="none"/>
          <w:lang w:eastAsia="zh-CN"/>
        </w:rPr>
        <w:t>四</w:t>
      </w:r>
      <w:r>
        <w:rPr>
          <w:rFonts w:hint="eastAsia" w:ascii="宋体" w:hAnsi="宋体" w:cs="宋体"/>
          <w:b/>
          <w:bCs/>
          <w:color w:val="auto"/>
          <w:kern w:val="0"/>
          <w:szCs w:val="21"/>
          <w:highlight w:val="none"/>
        </w:rPr>
        <w:t>《综合评分表》相应评分因素的评分标准的要求及表后说明的规定提供证明材料。</w:t>
      </w:r>
    </w:p>
    <w:p>
      <w:pPr>
        <w:pStyle w:val="25"/>
        <w:ind w:firstLine="0"/>
        <w:rPr>
          <w:rFonts w:ascii="宋体" w:hAnsi="宋体" w:cs="宋体"/>
          <w:b/>
          <w:bCs/>
          <w:color w:val="auto"/>
          <w:kern w:val="0"/>
          <w:szCs w:val="21"/>
          <w:highlight w:val="none"/>
        </w:rPr>
      </w:pPr>
    </w:p>
    <w:bookmarkEnd w:id="196"/>
    <w:bookmarkEnd w:id="197"/>
    <w:p>
      <w:pPr>
        <w:rPr>
          <w:rFonts w:ascii="宋体" w:hAnsi="宋体"/>
          <w:color w:val="auto"/>
          <w:sz w:val="24"/>
          <w:highlight w:val="none"/>
        </w:rPr>
        <w:sectPr>
          <w:headerReference r:id="rId7"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pPr>
        <w:pStyle w:val="5"/>
        <w:jc w:val="center"/>
        <w:rPr>
          <w:color w:val="auto"/>
          <w:highlight w:val="none"/>
        </w:rPr>
      </w:pPr>
      <w:bookmarkStart w:id="198" w:name="_Toc21922"/>
      <w:r>
        <w:rPr>
          <w:rFonts w:hint="eastAsia"/>
          <w:color w:val="auto"/>
          <w:highlight w:val="none"/>
        </w:rPr>
        <w:t>七、投标人信誉证明材料</w:t>
      </w:r>
      <w:bookmarkEnd w:id="198"/>
    </w:p>
    <w:p>
      <w:pPr>
        <w:spacing w:line="360" w:lineRule="auto"/>
        <w:ind w:firstLine="480" w:firstLineChars="200"/>
        <w:rPr>
          <w:color w:val="auto"/>
          <w:sz w:val="24"/>
          <w:szCs w:val="24"/>
          <w:highlight w:val="none"/>
        </w:rPr>
      </w:pP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编制要求：按照招标文件第三章评标办法附表</w:t>
      </w:r>
      <w:r>
        <w:rPr>
          <w:rFonts w:hint="eastAsia" w:ascii="宋体" w:hAnsi="宋体"/>
          <w:color w:val="auto"/>
          <w:sz w:val="24"/>
          <w:szCs w:val="24"/>
          <w:highlight w:val="none"/>
          <w:lang w:eastAsia="zh-CN"/>
        </w:rPr>
        <w:t>四</w:t>
      </w:r>
      <w:r>
        <w:rPr>
          <w:rFonts w:hint="eastAsia" w:ascii="宋体" w:hAnsi="宋体"/>
          <w:color w:val="auto"/>
          <w:sz w:val="24"/>
          <w:szCs w:val="24"/>
          <w:highlight w:val="none"/>
        </w:rPr>
        <w:t>《综合评分表》相应评分因素的评分标准的要求及表后说明的规定提供证明材料。格式自定。</w:t>
      </w:r>
    </w:p>
    <w:p>
      <w:pPr>
        <w:spacing w:line="440" w:lineRule="exact"/>
        <w:rPr>
          <w:rFonts w:ascii="宋体" w:hAnsi="宋体"/>
          <w:color w:val="auto"/>
          <w:highlight w:val="none"/>
        </w:rPr>
      </w:pPr>
    </w:p>
    <w:p>
      <w:pPr>
        <w:spacing w:line="440" w:lineRule="exact"/>
        <w:jc w:val="left"/>
        <w:rPr>
          <w:rFonts w:ascii="宋体" w:hAnsi="宋体"/>
          <w:color w:val="auto"/>
          <w:highlight w:val="none"/>
        </w:rPr>
      </w:pPr>
    </w:p>
    <w:p>
      <w:pPr>
        <w:rPr>
          <w:rFonts w:ascii="宋体" w:hAnsi="宋体"/>
          <w:color w:val="auto"/>
          <w:highlight w:val="none"/>
        </w:rPr>
      </w:pPr>
      <w:r>
        <w:rPr>
          <w:rFonts w:ascii="宋体" w:hAnsi="宋体"/>
          <w:color w:val="auto"/>
          <w:sz w:val="24"/>
          <w:highlight w:val="none"/>
        </w:rPr>
        <w:br w:type="page"/>
      </w:r>
    </w:p>
    <w:p>
      <w:pPr>
        <w:pStyle w:val="5"/>
        <w:pageBreakBefore/>
        <w:jc w:val="center"/>
        <w:rPr>
          <w:rFonts w:hint="eastAsia" w:ascii="宋体" w:hAnsi="宋体" w:eastAsia="宋体" w:cs="Times New Roman"/>
          <w:color w:val="auto"/>
          <w:highlight w:val="none"/>
          <w:lang w:val="en-US" w:eastAsia="zh-CN"/>
        </w:rPr>
      </w:pPr>
      <w:bookmarkStart w:id="199" w:name="_Toc18412"/>
      <w:r>
        <w:rPr>
          <w:rFonts w:hint="eastAsia" w:ascii="宋体" w:hAnsi="宋体" w:eastAsia="宋体" w:cs="Times New Roman"/>
          <w:color w:val="auto"/>
          <w:highlight w:val="none"/>
          <w:lang w:val="en-US" w:eastAsia="zh-CN"/>
        </w:rPr>
        <w:t>八、投标人廉洁承诺书</w:t>
      </w:r>
      <w:bookmarkEnd w:id="199"/>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广州开城梧栖城市开发投资有限公司</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投标，为确保招标工作的公平、公正、公开、有序进行，我</w:t>
      </w:r>
      <w:r>
        <w:rPr>
          <w:rFonts w:hint="eastAsia" w:ascii="宋体" w:hAnsi="宋体" w:eastAsia="宋体" w:cs="宋体"/>
          <w:color w:val="auto"/>
          <w:sz w:val="24"/>
          <w:szCs w:val="24"/>
          <w:highlight w:val="none"/>
          <w:lang w:val="en-US" w:eastAsia="zh-CN"/>
        </w:rPr>
        <w:t>司</w:t>
      </w:r>
      <w:r>
        <w:rPr>
          <w:rFonts w:hint="eastAsia" w:ascii="宋体" w:hAnsi="宋体" w:eastAsia="宋体" w:cs="宋体"/>
          <w:color w:val="auto"/>
          <w:sz w:val="24"/>
          <w:szCs w:val="24"/>
          <w:highlight w:val="none"/>
        </w:rPr>
        <w:t>保证遵守《中华人民共和国招标投标法》、《中华人民共和国招标投标法实施条例》、《广东省实施&lt;中华人民共和国招标投标法&gt;办法》等法律法规，特承诺如下事项：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、自觉遵守国家法律法规，不使用不正当手段排挤其它投标单位或串通投标或违法分包。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、按照招标文件规定的方式进行投标，不隐瞒</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 xml:space="preserve">投标资质的真实情况，保证不会以他人名义投标或者以其它方式弄虚作假，骗取中标。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司人员支付好处费、介绍费以及报销本应由其个人支付的费用；不向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司人员赠送礼品、礼金、各种有价证券及其他支付凭证；不为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司人员提供任何方式的高消费娱乐活动；不为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司人员在</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入股、参股、兼职以及为其个人牟利提供便利；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一旦发现招标、评标工作相关人员在招标过程中有违反上述规定的行为或在经营活动中有不廉洁以及不正当的情形发生，</w:t>
      </w:r>
      <w:r>
        <w:rPr>
          <w:rFonts w:hint="eastAsia" w:ascii="宋体" w:hAnsi="宋体" w:eastAsia="宋体" w:cs="宋体"/>
          <w:color w:val="auto"/>
          <w:sz w:val="24"/>
          <w:szCs w:val="24"/>
          <w:highlight w:val="none"/>
          <w:lang w:val="en-US" w:eastAsia="zh-CN"/>
        </w:rPr>
        <w:t>我司会</w:t>
      </w:r>
      <w:r>
        <w:rPr>
          <w:rFonts w:hint="eastAsia" w:ascii="宋体" w:hAnsi="宋体" w:eastAsia="宋体" w:cs="宋体"/>
          <w:color w:val="auto"/>
          <w:sz w:val="24"/>
          <w:szCs w:val="24"/>
          <w:highlight w:val="none"/>
        </w:rPr>
        <w:t>坚决予以抵制，并及时向</w:t>
      </w:r>
      <w:r>
        <w:rPr>
          <w:rFonts w:hint="eastAsia" w:ascii="宋体" w:hAnsi="宋体" w:eastAsia="宋体" w:cs="宋体"/>
          <w:color w:val="auto"/>
          <w:sz w:val="24"/>
          <w:szCs w:val="24"/>
          <w:highlight w:val="none"/>
          <w:lang w:val="en-US" w:eastAsia="zh-CN"/>
        </w:rPr>
        <w:t>贵司</w:t>
      </w:r>
      <w:r>
        <w:rPr>
          <w:rFonts w:hint="eastAsia" w:ascii="宋体" w:hAnsi="宋体" w:eastAsia="宋体" w:cs="宋体"/>
          <w:color w:val="auto"/>
          <w:sz w:val="24"/>
          <w:szCs w:val="24"/>
          <w:highlight w:val="none"/>
        </w:rPr>
        <w:t>纪检部门举报。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val="en-US" w:eastAsia="zh-CN"/>
        </w:rPr>
        <w:t>我</w:t>
      </w:r>
      <w:r>
        <w:rPr>
          <w:rFonts w:hint="eastAsia" w:ascii="宋体" w:hAnsi="宋体" w:eastAsia="宋体" w:cs="宋体"/>
          <w:color w:val="auto"/>
          <w:sz w:val="24"/>
          <w:szCs w:val="24"/>
          <w:highlight w:val="none"/>
        </w:rPr>
        <w:t>司有违反上述要求的行为，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司有权终止或取消与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的合作，将</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加入供应商黑名单，在内部进行通报，并有权限制或禁止关联公司与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开展交易等，由此造成的后果由</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负责。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ind w:firstLine="640" w:firstLineChars="200"/>
        <w:rPr>
          <w:rFonts w:hint="eastAsia" w:ascii="仿宋_GB2312" w:hAnsi="华文仿宋" w:eastAsia="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承诺企业：              (盖公章)  </w:t>
      </w:r>
    </w:p>
    <w:p>
      <w:pPr>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法定代表人：             （签字）</w:t>
      </w: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ascii="仿宋_GB2312" w:hAnsi="华文仿宋" w:eastAsia="仿宋_GB2312"/>
          <w:color w:val="auto"/>
          <w:sz w:val="32"/>
          <w:szCs w:val="32"/>
          <w:highlight w:val="none"/>
        </w:rPr>
      </w:pPr>
      <w:r>
        <w:rPr>
          <w:rFonts w:hint="eastAsia" w:ascii="宋体" w:hAnsi="宋体" w:cs="宋体"/>
          <w:color w:val="auto"/>
          <w:sz w:val="24"/>
          <w:szCs w:val="24"/>
          <w:highlight w:val="none"/>
          <w:lang w:val="en-US" w:eastAsia="zh-CN"/>
        </w:rPr>
        <w:t xml:space="preserve">                                    日期：    年    月    日</w:t>
      </w:r>
    </w:p>
    <w:p>
      <w:pPr>
        <w:jc w:val="center"/>
        <w:outlineLvl w:val="9"/>
        <w:rPr>
          <w:rFonts w:hint="eastAsia"/>
          <w:color w:val="auto"/>
          <w:highlight w:val="none"/>
        </w:rPr>
      </w:pPr>
    </w:p>
    <w:p>
      <w:pPr>
        <w:pStyle w:val="5"/>
        <w:pageBreakBefore/>
        <w:jc w:val="center"/>
        <w:rPr>
          <w:color w:val="auto"/>
          <w:highlight w:val="none"/>
        </w:rPr>
      </w:pPr>
      <w:bookmarkStart w:id="200" w:name="_Toc5403"/>
      <w:r>
        <w:rPr>
          <w:rFonts w:hint="eastAsia"/>
          <w:color w:val="auto"/>
          <w:highlight w:val="none"/>
          <w:lang w:val="en-US" w:eastAsia="zh-CN"/>
        </w:rPr>
        <w:t>九</w:t>
      </w:r>
      <w:r>
        <w:rPr>
          <w:rFonts w:hint="eastAsia"/>
          <w:color w:val="auto"/>
          <w:highlight w:val="none"/>
        </w:rPr>
        <w:t>、拟投入本项目的检测、监测人员资格证明材料</w:t>
      </w:r>
      <w:bookmarkEnd w:id="200"/>
    </w:p>
    <w:p>
      <w:pPr>
        <w:jc w:val="center"/>
        <w:rPr>
          <w:color w:val="auto"/>
          <w:highlight w:val="none"/>
        </w:rPr>
      </w:pPr>
      <w:r>
        <w:rPr>
          <w:rFonts w:hint="eastAsia" w:ascii="宋体" w:hAnsi="宋体" w:cs="宋体"/>
          <w:b/>
          <w:bCs/>
          <w:color w:val="auto"/>
          <w:kern w:val="0"/>
          <w:sz w:val="28"/>
          <w:szCs w:val="28"/>
          <w:highlight w:val="none"/>
        </w:rPr>
        <w:t>（一）拟投入本项目的检测、监测人员一览表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04"/>
        <w:gridCol w:w="904"/>
        <w:gridCol w:w="1484"/>
        <w:gridCol w:w="1885"/>
        <w:gridCol w:w="883"/>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85"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30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姓名</w:t>
            </w:r>
          </w:p>
        </w:tc>
        <w:tc>
          <w:tcPr>
            <w:tcW w:w="90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年龄</w:t>
            </w:r>
          </w:p>
        </w:tc>
        <w:tc>
          <w:tcPr>
            <w:tcW w:w="148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学历</w:t>
            </w:r>
          </w:p>
        </w:tc>
        <w:tc>
          <w:tcPr>
            <w:tcW w:w="992"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从事检测工作年限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bl>
    <w:p>
      <w:pPr>
        <w:widowControl/>
        <w:spacing w:before="100" w:line="440" w:lineRule="exact"/>
        <w:jc w:val="left"/>
        <w:rPr>
          <w:rFonts w:ascii="宋体" w:hAnsi="宋体" w:cs="宋体"/>
          <w:b/>
          <w:bCs/>
          <w:color w:val="auto"/>
          <w:kern w:val="0"/>
          <w:sz w:val="28"/>
          <w:szCs w:val="28"/>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pPr>
        <w:jc w:val="center"/>
        <w:rPr>
          <w:rFonts w:cs="宋体"/>
          <w:bCs/>
          <w:color w:val="auto"/>
          <w:kern w:val="0"/>
          <w:highlight w:val="none"/>
        </w:rPr>
      </w:pPr>
    </w:p>
    <w:p>
      <w:pPr>
        <w:jc w:val="center"/>
        <w:rPr>
          <w:color w:val="auto"/>
          <w:highlight w:val="none"/>
        </w:rPr>
      </w:pPr>
      <w:r>
        <w:rPr>
          <w:rFonts w:hint="eastAsia" w:ascii="宋体" w:hAnsi="宋体" w:cs="宋体"/>
          <w:b/>
          <w:bCs/>
          <w:color w:val="auto"/>
          <w:kern w:val="0"/>
          <w:sz w:val="28"/>
          <w:szCs w:val="28"/>
          <w:highlight w:val="none"/>
        </w:rPr>
        <w:t>（二）拟投入本项目的检测、监测人员简历表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姓名</w:t>
            </w:r>
          </w:p>
        </w:tc>
        <w:tc>
          <w:tcPr>
            <w:tcW w:w="1295" w:type="dxa"/>
            <w:vAlign w:val="center"/>
          </w:tcPr>
          <w:p>
            <w:pPr>
              <w:snapToGrid w:val="0"/>
              <w:spacing w:line="0" w:lineRule="atLeast"/>
              <w:jc w:val="center"/>
              <w:rPr>
                <w:rFonts w:ascii="宋体" w:hAnsi="宋体"/>
                <w:color w:val="auto"/>
                <w:sz w:val="24"/>
                <w:highlight w:val="none"/>
              </w:rPr>
            </w:pPr>
          </w:p>
        </w:tc>
        <w:tc>
          <w:tcPr>
            <w:tcW w:w="1044"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pPr>
              <w:snapToGrid w:val="0"/>
              <w:spacing w:line="0" w:lineRule="atLeast"/>
              <w:jc w:val="center"/>
              <w:rPr>
                <w:rFonts w:ascii="宋体" w:hAnsi="宋体"/>
                <w:color w:val="auto"/>
                <w:sz w:val="24"/>
                <w:highlight w:val="none"/>
              </w:rPr>
            </w:pP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学历</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1295" w:type="dxa"/>
            <w:vAlign w:val="center"/>
          </w:tcPr>
          <w:p>
            <w:pPr>
              <w:snapToGrid w:val="0"/>
              <w:spacing w:line="0" w:lineRule="atLeast"/>
              <w:jc w:val="center"/>
              <w:rPr>
                <w:rFonts w:ascii="宋体" w:hAnsi="宋体"/>
                <w:color w:val="auto"/>
                <w:sz w:val="24"/>
                <w:highlight w:val="none"/>
              </w:rPr>
            </w:pPr>
          </w:p>
        </w:tc>
        <w:tc>
          <w:tcPr>
            <w:tcW w:w="1044"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pPr>
              <w:snapToGrid w:val="0"/>
              <w:spacing w:line="0" w:lineRule="atLeast"/>
              <w:jc w:val="center"/>
              <w:rPr>
                <w:rFonts w:ascii="宋体" w:hAnsi="宋体"/>
                <w:color w:val="auto"/>
                <w:sz w:val="24"/>
                <w:highlight w:val="none"/>
              </w:rPr>
            </w:pP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在本项目担任职务</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position w:val="-30"/>
                <w:sz w:val="24"/>
                <w:highlight w:val="none"/>
              </w:rPr>
              <w:t>从事检测工作年限</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943" w:type="dxa"/>
            <w:gridSpan w:val="4"/>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主要业绩经历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时间</w:t>
            </w:r>
          </w:p>
        </w:tc>
        <w:tc>
          <w:tcPr>
            <w:tcW w:w="3476" w:type="dxa"/>
            <w:gridSpan w:val="5"/>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参加过的主要工作</w:t>
            </w:r>
          </w:p>
        </w:tc>
        <w:tc>
          <w:tcPr>
            <w:tcW w:w="160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担任何职</w:t>
            </w:r>
          </w:p>
        </w:tc>
        <w:tc>
          <w:tcPr>
            <w:tcW w:w="265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获得的奖励情况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bl>
    <w:p>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w:t>
      </w:r>
      <w:r>
        <w:rPr>
          <w:rFonts w:hint="eastAsia" w:ascii="宋体" w:hAnsi="宋体"/>
          <w:color w:val="auto"/>
          <w:highlight w:val="none"/>
          <w:lang w:eastAsia="zh-CN"/>
        </w:rPr>
        <w:t>四</w:t>
      </w:r>
      <w:r>
        <w:rPr>
          <w:rFonts w:hint="eastAsia" w:ascii="宋体" w:hAnsi="宋体"/>
          <w:color w:val="auto"/>
          <w:highlight w:val="none"/>
        </w:rPr>
        <w:t>《综合评分表》相应评分因素的评分标准的要求及表后说明的规定提供证明材料。</w:t>
      </w:r>
    </w:p>
    <w:p>
      <w:pPr>
        <w:rPr>
          <w:rFonts w:ascii="宋体" w:hAnsi="宋体"/>
          <w:color w:val="auto"/>
          <w:sz w:val="24"/>
          <w:highlight w:val="none"/>
        </w:rPr>
      </w:pPr>
    </w:p>
    <w:p>
      <w:pPr>
        <w:pStyle w:val="5"/>
        <w:jc w:val="center"/>
        <w:rPr>
          <w:color w:val="auto"/>
          <w:highlight w:val="none"/>
        </w:rPr>
      </w:pPr>
      <w:r>
        <w:rPr>
          <w:color w:val="auto"/>
          <w:sz w:val="24"/>
          <w:highlight w:val="none"/>
        </w:rPr>
        <w:br w:type="page"/>
      </w:r>
      <w:bookmarkStart w:id="201" w:name="_Toc19031"/>
      <w:r>
        <w:rPr>
          <w:rFonts w:hint="eastAsia"/>
          <w:color w:val="auto"/>
          <w:sz w:val="24"/>
          <w:highlight w:val="none"/>
          <w:lang w:val="en-US" w:eastAsia="zh-CN"/>
        </w:rPr>
        <w:t>十</w:t>
      </w:r>
      <w:r>
        <w:rPr>
          <w:rFonts w:hint="eastAsia"/>
          <w:color w:val="auto"/>
          <w:highlight w:val="none"/>
        </w:rPr>
        <w:t>、拟投入本项目的主要检测、监测仪器设备一览表</w:t>
      </w:r>
      <w:bookmarkEnd w:id="201"/>
    </w:p>
    <w:p>
      <w:pPr>
        <w:jc w:val="both"/>
        <w:outlineLvl w:val="9"/>
        <w:rPr>
          <w:color w:val="auto"/>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79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设备名称</w:t>
            </w:r>
          </w:p>
        </w:tc>
        <w:tc>
          <w:tcPr>
            <w:tcW w:w="90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本项目</w:t>
            </w:r>
          </w:p>
          <w:p>
            <w:pPr>
              <w:jc w:val="center"/>
              <w:rPr>
                <w:rFonts w:ascii="宋体" w:hAnsi="宋体"/>
                <w:color w:val="auto"/>
                <w:szCs w:val="21"/>
                <w:highlight w:val="none"/>
              </w:rPr>
            </w:pPr>
            <w:r>
              <w:rPr>
                <w:rFonts w:hint="eastAsia" w:ascii="宋体" w:hAnsi="宋体"/>
                <w:color w:val="auto"/>
                <w:szCs w:val="21"/>
                <w:highlight w:val="none"/>
              </w:rPr>
              <w:t>数量基本要求</w:t>
            </w:r>
          </w:p>
        </w:tc>
        <w:tc>
          <w:tcPr>
            <w:tcW w:w="6314" w:type="dxa"/>
            <w:gridSpan w:val="5"/>
            <w:vAlign w:val="center"/>
          </w:tcPr>
          <w:p>
            <w:pPr>
              <w:jc w:val="center"/>
              <w:rPr>
                <w:rFonts w:ascii="宋体" w:hAnsi="宋体"/>
                <w:color w:val="auto"/>
                <w:szCs w:val="21"/>
                <w:highlight w:val="none"/>
              </w:rPr>
            </w:pPr>
            <w:r>
              <w:rPr>
                <w:rFonts w:hint="eastAsia" w:ascii="宋体" w:hAnsi="宋体"/>
                <w:color w:val="auto"/>
                <w:szCs w:val="21"/>
                <w:highlight w:val="none"/>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pPr>
              <w:jc w:val="center"/>
              <w:rPr>
                <w:rFonts w:ascii="宋体" w:hAnsi="宋体"/>
                <w:color w:val="auto"/>
                <w:szCs w:val="21"/>
                <w:highlight w:val="none"/>
              </w:rPr>
            </w:pPr>
          </w:p>
        </w:tc>
        <w:tc>
          <w:tcPr>
            <w:tcW w:w="1793" w:type="dxa"/>
            <w:vMerge w:val="continue"/>
            <w:vAlign w:val="center"/>
          </w:tcPr>
          <w:p>
            <w:pPr>
              <w:jc w:val="center"/>
              <w:rPr>
                <w:rFonts w:ascii="宋体" w:hAnsi="宋体"/>
                <w:color w:val="auto"/>
                <w:szCs w:val="21"/>
                <w:highlight w:val="none"/>
              </w:rPr>
            </w:pPr>
          </w:p>
        </w:tc>
        <w:tc>
          <w:tcPr>
            <w:tcW w:w="900" w:type="dxa"/>
            <w:vMerge w:val="continue"/>
            <w:vAlign w:val="center"/>
          </w:tcPr>
          <w:p>
            <w:pPr>
              <w:jc w:val="center"/>
              <w:rPr>
                <w:rFonts w:ascii="宋体" w:hAnsi="宋体"/>
                <w:color w:val="auto"/>
                <w:szCs w:val="21"/>
                <w:highlight w:val="none"/>
              </w:rPr>
            </w:pPr>
          </w:p>
        </w:tc>
        <w:tc>
          <w:tcPr>
            <w:tcW w:w="992" w:type="dxa"/>
            <w:vAlign w:val="center"/>
          </w:tcPr>
          <w:p>
            <w:pPr>
              <w:jc w:val="center"/>
              <w:rPr>
                <w:rFonts w:ascii="宋体" w:hAnsi="宋体"/>
                <w:color w:val="auto"/>
                <w:szCs w:val="21"/>
                <w:highlight w:val="none"/>
              </w:rPr>
            </w:pPr>
            <w:r>
              <w:rPr>
                <w:rFonts w:hint="eastAsia" w:ascii="宋体" w:hAnsi="宋体"/>
                <w:color w:val="auto"/>
                <w:szCs w:val="21"/>
                <w:highlight w:val="none"/>
              </w:rPr>
              <w:t>数量</w:t>
            </w:r>
          </w:p>
        </w:tc>
        <w:tc>
          <w:tcPr>
            <w:tcW w:w="1785" w:type="dxa"/>
            <w:vAlign w:val="center"/>
          </w:tcPr>
          <w:p>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pPr>
              <w:jc w:val="center"/>
              <w:rPr>
                <w:rFonts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1</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spacing w:line="240" w:lineRule="exact"/>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2</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3</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4</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5</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6</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7</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8</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9</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10</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bl>
    <w:p>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w:t>
      </w:r>
      <w:r>
        <w:rPr>
          <w:rFonts w:hint="eastAsia" w:ascii="宋体" w:hAnsi="宋体"/>
          <w:color w:val="auto"/>
          <w:highlight w:val="none"/>
          <w:lang w:eastAsia="zh-CN"/>
        </w:rPr>
        <w:t>四</w:t>
      </w:r>
      <w:r>
        <w:rPr>
          <w:rFonts w:hint="eastAsia" w:ascii="宋体" w:hAnsi="宋体"/>
          <w:color w:val="auto"/>
          <w:highlight w:val="none"/>
        </w:rPr>
        <w:t>《综合评分表》相应评分因素的评分标准的要求及表后说明的规定提供证明材料。</w:t>
      </w:r>
    </w:p>
    <w:p>
      <w:pPr>
        <w:snapToGrid w:val="0"/>
        <w:spacing w:line="360" w:lineRule="auto"/>
        <w:ind w:right="-97" w:rightChars="-46"/>
        <w:rPr>
          <w:rFonts w:ascii="宋体" w:hAnsi="宋体"/>
          <w:color w:val="auto"/>
          <w:sz w:val="24"/>
          <w:highlight w:val="none"/>
        </w:rPr>
      </w:pPr>
    </w:p>
    <w:p>
      <w:pPr>
        <w:pStyle w:val="5"/>
        <w:jc w:val="center"/>
        <w:rPr>
          <w:color w:val="auto"/>
          <w:highlight w:val="none"/>
        </w:rPr>
      </w:pPr>
      <w:r>
        <w:rPr>
          <w:color w:val="auto"/>
          <w:highlight w:val="none"/>
        </w:rPr>
        <w:br w:type="page"/>
      </w:r>
      <w:bookmarkStart w:id="202" w:name="_Toc528170367"/>
      <w:bookmarkStart w:id="203" w:name="_Toc532390645"/>
      <w:bookmarkStart w:id="204" w:name="_Toc533334237"/>
      <w:bookmarkStart w:id="205" w:name="_Toc20161"/>
      <w:bookmarkStart w:id="206" w:name="_Toc31101"/>
      <w:r>
        <w:rPr>
          <w:rFonts w:hint="eastAsia"/>
          <w:color w:val="auto"/>
          <w:highlight w:val="none"/>
        </w:rPr>
        <w:t>十</w:t>
      </w:r>
      <w:r>
        <w:rPr>
          <w:rFonts w:hint="eastAsia"/>
          <w:color w:val="auto"/>
          <w:highlight w:val="none"/>
          <w:lang w:val="en-US" w:eastAsia="zh-CN"/>
        </w:rPr>
        <w:t>一</w:t>
      </w:r>
      <w:r>
        <w:rPr>
          <w:rFonts w:hint="eastAsia"/>
          <w:color w:val="auto"/>
          <w:highlight w:val="none"/>
        </w:rPr>
        <w:t>、</w:t>
      </w:r>
      <w:bookmarkEnd w:id="202"/>
      <w:bookmarkEnd w:id="203"/>
      <w:bookmarkEnd w:id="204"/>
      <w:bookmarkEnd w:id="205"/>
      <w:r>
        <w:rPr>
          <w:rFonts w:hint="eastAsia"/>
          <w:color w:val="auto"/>
          <w:highlight w:val="none"/>
        </w:rPr>
        <w:t>检测、监测方案（格式自拟）</w:t>
      </w:r>
      <w:bookmarkEnd w:id="206"/>
    </w:p>
    <w:p>
      <w:pPr>
        <w:spacing w:line="360" w:lineRule="auto"/>
        <w:ind w:firstLine="480" w:firstLineChars="200"/>
        <w:rPr>
          <w:rFonts w:ascii="宋体" w:cs="宋体"/>
          <w:color w:val="auto"/>
          <w:highlight w:val="none"/>
        </w:rPr>
      </w:pPr>
      <w:r>
        <w:rPr>
          <w:rFonts w:hint="eastAsia" w:ascii="宋体" w:cs="宋体"/>
          <w:color w:val="auto"/>
          <w:sz w:val="24"/>
          <w:highlight w:val="none"/>
        </w:rPr>
        <w:t>根据招标人提供的技术要求及资料，编制有针对性的检测、监测技术方案</w:t>
      </w:r>
      <w:r>
        <w:rPr>
          <w:rFonts w:hint="eastAsia" w:ascii="宋体" w:cs="宋体"/>
          <w:color w:val="auto"/>
          <w:szCs w:val="21"/>
          <w:highlight w:val="none"/>
        </w:rPr>
        <w:t>。</w:t>
      </w:r>
    </w:p>
    <w:p>
      <w:pPr>
        <w:spacing w:line="360" w:lineRule="auto"/>
        <w:rPr>
          <w:rFonts w:ascii="宋体" w:hAnsi="宋体"/>
          <w:color w:val="auto"/>
          <w:sz w:val="24"/>
          <w:szCs w:val="24"/>
          <w:highlight w:val="none"/>
        </w:rPr>
      </w:pPr>
    </w:p>
    <w:p>
      <w:pPr>
        <w:pStyle w:val="5"/>
        <w:jc w:val="center"/>
        <w:rPr>
          <w:color w:val="auto"/>
          <w:highlight w:val="none"/>
        </w:rPr>
      </w:pPr>
      <w:bookmarkStart w:id="207" w:name="_Toc533334238"/>
      <w:r>
        <w:rPr>
          <w:color w:val="auto"/>
          <w:highlight w:val="none"/>
        </w:rPr>
        <w:br w:type="page"/>
      </w:r>
      <w:bookmarkStart w:id="208" w:name="_Toc20463"/>
      <w:r>
        <w:rPr>
          <w:rFonts w:hint="eastAsia"/>
          <w:color w:val="auto"/>
          <w:highlight w:val="none"/>
        </w:rPr>
        <w:t>十</w:t>
      </w:r>
      <w:r>
        <w:rPr>
          <w:rFonts w:hint="eastAsia"/>
          <w:color w:val="auto"/>
          <w:highlight w:val="none"/>
          <w:lang w:val="en-US" w:eastAsia="zh-CN"/>
        </w:rPr>
        <w:t>二</w:t>
      </w:r>
      <w:r>
        <w:rPr>
          <w:rFonts w:hint="eastAsia"/>
          <w:color w:val="auto"/>
          <w:highlight w:val="none"/>
        </w:rPr>
        <w:t>、其他资料</w:t>
      </w:r>
      <w:bookmarkEnd w:id="207"/>
      <w:bookmarkEnd w:id="208"/>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pPr>
        <w:snapToGrid w:val="0"/>
        <w:spacing w:line="360" w:lineRule="auto"/>
        <w:ind w:right="-97" w:rightChars="-46"/>
        <w:rPr>
          <w:rFonts w:ascii="宋体" w:hAnsi="宋体"/>
          <w:color w:val="auto"/>
          <w:sz w:val="24"/>
          <w:szCs w:val="18"/>
          <w:highlight w:val="none"/>
        </w:rPr>
      </w:pPr>
    </w:p>
    <w:p>
      <w:pPr>
        <w:rPr>
          <w:color w:val="auto"/>
          <w:highlight w:val="none"/>
        </w:rPr>
      </w:pPr>
    </w:p>
    <w:p>
      <w:pPr>
        <w:rPr>
          <w:rFonts w:ascii="宋体" w:hAnsi="宋体" w:cs="宋体"/>
          <w:b/>
          <w:bCs/>
          <w:color w:val="auto"/>
          <w:sz w:val="30"/>
          <w:szCs w:val="30"/>
          <w:highlight w:val="none"/>
        </w:rPr>
      </w:pPr>
    </w:p>
    <w:sectPr>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2"/>
      <w:rPr>
        <w:rStyle w:val="29"/>
      </w:rPr>
    </w:pPr>
    <w:r>
      <w:fldChar w:fldCharType="begin"/>
    </w:r>
    <w:r>
      <w:rPr>
        <w:rStyle w:val="29"/>
      </w:rPr>
      <w:instrText xml:space="preserve">PAGE  </w:instrText>
    </w:r>
    <w:r>
      <w:fldChar w:fldCharType="separate"/>
    </w:r>
    <w:r>
      <w:rPr>
        <w:rStyle w:val="29"/>
      </w:rPr>
      <w:t>42</w:t>
    </w:r>
    <w: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20"/>
                          </w:pPr>
                          <w:r>
                            <w:fldChar w:fldCharType="begin"/>
                          </w:r>
                          <w:r>
                            <w:instrText xml:space="preserve"> PAGE  \* MERGEFORMAT </w:instrText>
                          </w:r>
                          <w:r>
                            <w:fldChar w:fldCharType="separate"/>
                          </w:r>
                          <w:r>
                            <w:t>98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410D1"/>
    <w:multiLevelType w:val="singleLevel"/>
    <w:tmpl w:val="B1E410D1"/>
    <w:lvl w:ilvl="0" w:tentative="0">
      <w:start w:val="1"/>
      <w:numFmt w:val="decimal"/>
      <w:suff w:val="nothing"/>
      <w:lvlText w:val="%1、"/>
      <w:lvlJc w:val="left"/>
    </w:lvl>
  </w:abstractNum>
  <w:abstractNum w:abstractNumId="1">
    <w:nsid w:val="0000000A"/>
    <w:multiLevelType w:val="singleLevel"/>
    <w:tmpl w:val="0000000A"/>
    <w:lvl w:ilvl="0" w:tentative="0">
      <w:start w:val="5"/>
      <w:numFmt w:val="chineseCounting"/>
      <w:suff w:val="space"/>
      <w:lvlText w:val="第%1章"/>
      <w:lvlJc w:val="left"/>
      <w:rPr>
        <w:rFonts w:hint="eastAsia"/>
      </w:rPr>
    </w:lvl>
  </w:abstractNum>
  <w:abstractNum w:abstractNumId="2">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YmI1MzA1YTMyZTBmY2M5NThjZWZlYThhMjBmZDAifQ=="/>
  </w:docVars>
  <w:rsids>
    <w:rsidRoot w:val="00FE62DA"/>
    <w:rsid w:val="00003F78"/>
    <w:rsid w:val="00004D6F"/>
    <w:rsid w:val="0000686E"/>
    <w:rsid w:val="000102D5"/>
    <w:rsid w:val="00015237"/>
    <w:rsid w:val="00020309"/>
    <w:rsid w:val="000206F6"/>
    <w:rsid w:val="00027AEF"/>
    <w:rsid w:val="00035A1D"/>
    <w:rsid w:val="00045D62"/>
    <w:rsid w:val="0005056A"/>
    <w:rsid w:val="00053917"/>
    <w:rsid w:val="00053DA8"/>
    <w:rsid w:val="00061C46"/>
    <w:rsid w:val="00064454"/>
    <w:rsid w:val="00083AED"/>
    <w:rsid w:val="00087064"/>
    <w:rsid w:val="00093118"/>
    <w:rsid w:val="00094BDA"/>
    <w:rsid w:val="0009637D"/>
    <w:rsid w:val="000A11C1"/>
    <w:rsid w:val="000A7651"/>
    <w:rsid w:val="000C287F"/>
    <w:rsid w:val="000D01E3"/>
    <w:rsid w:val="000D0CCA"/>
    <w:rsid w:val="000D28AE"/>
    <w:rsid w:val="000D3FE1"/>
    <w:rsid w:val="000D61AF"/>
    <w:rsid w:val="000E7A93"/>
    <w:rsid w:val="000F0C05"/>
    <w:rsid w:val="000F5A09"/>
    <w:rsid w:val="000F5CA3"/>
    <w:rsid w:val="000F65B2"/>
    <w:rsid w:val="00103C0D"/>
    <w:rsid w:val="0010540A"/>
    <w:rsid w:val="00113AC4"/>
    <w:rsid w:val="001167DB"/>
    <w:rsid w:val="00132C0A"/>
    <w:rsid w:val="0014046D"/>
    <w:rsid w:val="00140C94"/>
    <w:rsid w:val="00162093"/>
    <w:rsid w:val="00171DA9"/>
    <w:rsid w:val="00175138"/>
    <w:rsid w:val="0017717A"/>
    <w:rsid w:val="00183E77"/>
    <w:rsid w:val="00184918"/>
    <w:rsid w:val="001863CE"/>
    <w:rsid w:val="0019102D"/>
    <w:rsid w:val="00194C3F"/>
    <w:rsid w:val="001B084B"/>
    <w:rsid w:val="001C0E58"/>
    <w:rsid w:val="001C2024"/>
    <w:rsid w:val="001C2A18"/>
    <w:rsid w:val="001C5E3A"/>
    <w:rsid w:val="001E5965"/>
    <w:rsid w:val="001E7F24"/>
    <w:rsid w:val="001F0364"/>
    <w:rsid w:val="001F2FAB"/>
    <w:rsid w:val="001F467F"/>
    <w:rsid w:val="001F5265"/>
    <w:rsid w:val="00227CDB"/>
    <w:rsid w:val="00230C05"/>
    <w:rsid w:val="00252AC0"/>
    <w:rsid w:val="002616EE"/>
    <w:rsid w:val="00264ADA"/>
    <w:rsid w:val="00270270"/>
    <w:rsid w:val="002716F7"/>
    <w:rsid w:val="002741E5"/>
    <w:rsid w:val="00281A97"/>
    <w:rsid w:val="00283852"/>
    <w:rsid w:val="00285F11"/>
    <w:rsid w:val="0028797A"/>
    <w:rsid w:val="00291421"/>
    <w:rsid w:val="00293C39"/>
    <w:rsid w:val="0029511D"/>
    <w:rsid w:val="00297B86"/>
    <w:rsid w:val="002A1116"/>
    <w:rsid w:val="002A1951"/>
    <w:rsid w:val="002A3FDA"/>
    <w:rsid w:val="002B396C"/>
    <w:rsid w:val="002B5E19"/>
    <w:rsid w:val="002B744C"/>
    <w:rsid w:val="002C703E"/>
    <w:rsid w:val="002D2529"/>
    <w:rsid w:val="002D4C3E"/>
    <w:rsid w:val="002D7466"/>
    <w:rsid w:val="002F2646"/>
    <w:rsid w:val="002F4BA0"/>
    <w:rsid w:val="002F7B69"/>
    <w:rsid w:val="003022B2"/>
    <w:rsid w:val="00302A12"/>
    <w:rsid w:val="00307AAD"/>
    <w:rsid w:val="00312E0D"/>
    <w:rsid w:val="00316E58"/>
    <w:rsid w:val="003179C7"/>
    <w:rsid w:val="00317B12"/>
    <w:rsid w:val="003251EC"/>
    <w:rsid w:val="00334F05"/>
    <w:rsid w:val="0033564B"/>
    <w:rsid w:val="00340EE3"/>
    <w:rsid w:val="00343429"/>
    <w:rsid w:val="0034344A"/>
    <w:rsid w:val="00344621"/>
    <w:rsid w:val="00350BE0"/>
    <w:rsid w:val="003550AC"/>
    <w:rsid w:val="00356D4E"/>
    <w:rsid w:val="00357BB1"/>
    <w:rsid w:val="00360317"/>
    <w:rsid w:val="0036365D"/>
    <w:rsid w:val="00367893"/>
    <w:rsid w:val="00373441"/>
    <w:rsid w:val="00386164"/>
    <w:rsid w:val="003869A5"/>
    <w:rsid w:val="003916A0"/>
    <w:rsid w:val="0039258E"/>
    <w:rsid w:val="003A0200"/>
    <w:rsid w:val="003A0480"/>
    <w:rsid w:val="003A6295"/>
    <w:rsid w:val="003B3F99"/>
    <w:rsid w:val="003B4132"/>
    <w:rsid w:val="003B79A5"/>
    <w:rsid w:val="003C34EA"/>
    <w:rsid w:val="003C4361"/>
    <w:rsid w:val="003D027A"/>
    <w:rsid w:val="003D0423"/>
    <w:rsid w:val="003D205F"/>
    <w:rsid w:val="003D5D66"/>
    <w:rsid w:val="003F377A"/>
    <w:rsid w:val="003F570F"/>
    <w:rsid w:val="003F7F3D"/>
    <w:rsid w:val="004014D5"/>
    <w:rsid w:val="00403FA0"/>
    <w:rsid w:val="0040678C"/>
    <w:rsid w:val="004067E6"/>
    <w:rsid w:val="00410062"/>
    <w:rsid w:val="00412C54"/>
    <w:rsid w:val="00413A0A"/>
    <w:rsid w:val="004175C1"/>
    <w:rsid w:val="004262B3"/>
    <w:rsid w:val="004272B3"/>
    <w:rsid w:val="00442E8A"/>
    <w:rsid w:val="004477A8"/>
    <w:rsid w:val="00447E49"/>
    <w:rsid w:val="00464C3D"/>
    <w:rsid w:val="0047364B"/>
    <w:rsid w:val="0047732B"/>
    <w:rsid w:val="00482601"/>
    <w:rsid w:val="00484095"/>
    <w:rsid w:val="00487D04"/>
    <w:rsid w:val="00496A5B"/>
    <w:rsid w:val="00497601"/>
    <w:rsid w:val="00497730"/>
    <w:rsid w:val="004A13FC"/>
    <w:rsid w:val="004B4993"/>
    <w:rsid w:val="004B712A"/>
    <w:rsid w:val="004C0C92"/>
    <w:rsid w:val="004C2DA8"/>
    <w:rsid w:val="004E7682"/>
    <w:rsid w:val="004F3F9E"/>
    <w:rsid w:val="004F5A17"/>
    <w:rsid w:val="004F648A"/>
    <w:rsid w:val="00505A60"/>
    <w:rsid w:val="00507180"/>
    <w:rsid w:val="00513CCD"/>
    <w:rsid w:val="00513D77"/>
    <w:rsid w:val="00516B3F"/>
    <w:rsid w:val="005222E5"/>
    <w:rsid w:val="0053715C"/>
    <w:rsid w:val="00541241"/>
    <w:rsid w:val="00541457"/>
    <w:rsid w:val="0054582A"/>
    <w:rsid w:val="005502BD"/>
    <w:rsid w:val="0055159F"/>
    <w:rsid w:val="00554184"/>
    <w:rsid w:val="00557325"/>
    <w:rsid w:val="005635EB"/>
    <w:rsid w:val="0056612D"/>
    <w:rsid w:val="005714FC"/>
    <w:rsid w:val="0057218F"/>
    <w:rsid w:val="0057674B"/>
    <w:rsid w:val="00576D44"/>
    <w:rsid w:val="00580685"/>
    <w:rsid w:val="005825EC"/>
    <w:rsid w:val="005837E3"/>
    <w:rsid w:val="0058748C"/>
    <w:rsid w:val="00587966"/>
    <w:rsid w:val="00590EAA"/>
    <w:rsid w:val="005A5670"/>
    <w:rsid w:val="005A5AB3"/>
    <w:rsid w:val="005B10F4"/>
    <w:rsid w:val="005B59CF"/>
    <w:rsid w:val="005C619E"/>
    <w:rsid w:val="005C72E6"/>
    <w:rsid w:val="005D032D"/>
    <w:rsid w:val="005D195C"/>
    <w:rsid w:val="005D6FA6"/>
    <w:rsid w:val="005E1DAD"/>
    <w:rsid w:val="005E3F62"/>
    <w:rsid w:val="005E3F99"/>
    <w:rsid w:val="005E5808"/>
    <w:rsid w:val="005E7061"/>
    <w:rsid w:val="005E7B74"/>
    <w:rsid w:val="005F48ED"/>
    <w:rsid w:val="0060137D"/>
    <w:rsid w:val="00601CC7"/>
    <w:rsid w:val="006022BF"/>
    <w:rsid w:val="00604269"/>
    <w:rsid w:val="006053E1"/>
    <w:rsid w:val="00607861"/>
    <w:rsid w:val="00611005"/>
    <w:rsid w:val="00614080"/>
    <w:rsid w:val="0062224D"/>
    <w:rsid w:val="0062362A"/>
    <w:rsid w:val="0062453E"/>
    <w:rsid w:val="006271AE"/>
    <w:rsid w:val="00630B33"/>
    <w:rsid w:val="00640D16"/>
    <w:rsid w:val="0064259A"/>
    <w:rsid w:val="00643941"/>
    <w:rsid w:val="00643A3C"/>
    <w:rsid w:val="00643EBB"/>
    <w:rsid w:val="0064462E"/>
    <w:rsid w:val="0065069F"/>
    <w:rsid w:val="00661406"/>
    <w:rsid w:val="00667F3E"/>
    <w:rsid w:val="00671EA4"/>
    <w:rsid w:val="00675769"/>
    <w:rsid w:val="0067577B"/>
    <w:rsid w:val="006821C4"/>
    <w:rsid w:val="006A4920"/>
    <w:rsid w:val="006B2493"/>
    <w:rsid w:val="006B285C"/>
    <w:rsid w:val="006B4E43"/>
    <w:rsid w:val="006C2365"/>
    <w:rsid w:val="006C73D4"/>
    <w:rsid w:val="006D318F"/>
    <w:rsid w:val="006D555D"/>
    <w:rsid w:val="006E1B8F"/>
    <w:rsid w:val="006E1E9E"/>
    <w:rsid w:val="006F07AC"/>
    <w:rsid w:val="006F1E27"/>
    <w:rsid w:val="006F659F"/>
    <w:rsid w:val="00705940"/>
    <w:rsid w:val="00710132"/>
    <w:rsid w:val="00710ADA"/>
    <w:rsid w:val="007218E2"/>
    <w:rsid w:val="00721FF3"/>
    <w:rsid w:val="00723708"/>
    <w:rsid w:val="00725E5B"/>
    <w:rsid w:val="00730CB9"/>
    <w:rsid w:val="007346A4"/>
    <w:rsid w:val="0073711E"/>
    <w:rsid w:val="00744C01"/>
    <w:rsid w:val="00747467"/>
    <w:rsid w:val="00754263"/>
    <w:rsid w:val="0075488B"/>
    <w:rsid w:val="00754A35"/>
    <w:rsid w:val="007667FF"/>
    <w:rsid w:val="00770D62"/>
    <w:rsid w:val="00774C76"/>
    <w:rsid w:val="007779C6"/>
    <w:rsid w:val="007949A1"/>
    <w:rsid w:val="007A3A50"/>
    <w:rsid w:val="007A7FD6"/>
    <w:rsid w:val="007B0974"/>
    <w:rsid w:val="007B0AC8"/>
    <w:rsid w:val="007B13D4"/>
    <w:rsid w:val="007B7C71"/>
    <w:rsid w:val="007C2CDB"/>
    <w:rsid w:val="007C7007"/>
    <w:rsid w:val="007E1CDB"/>
    <w:rsid w:val="007E2DC5"/>
    <w:rsid w:val="007E4FD3"/>
    <w:rsid w:val="007F446D"/>
    <w:rsid w:val="00800F63"/>
    <w:rsid w:val="0080202F"/>
    <w:rsid w:val="008021D2"/>
    <w:rsid w:val="00802BF4"/>
    <w:rsid w:val="008065CD"/>
    <w:rsid w:val="0081143A"/>
    <w:rsid w:val="0083050D"/>
    <w:rsid w:val="00833228"/>
    <w:rsid w:val="00842223"/>
    <w:rsid w:val="00842775"/>
    <w:rsid w:val="0084465F"/>
    <w:rsid w:val="00850F17"/>
    <w:rsid w:val="00851075"/>
    <w:rsid w:val="00862AF7"/>
    <w:rsid w:val="0086367A"/>
    <w:rsid w:val="00865398"/>
    <w:rsid w:val="00866D05"/>
    <w:rsid w:val="00867559"/>
    <w:rsid w:val="00867BDF"/>
    <w:rsid w:val="008713A2"/>
    <w:rsid w:val="00877FD0"/>
    <w:rsid w:val="008814ED"/>
    <w:rsid w:val="008857BF"/>
    <w:rsid w:val="00896DCB"/>
    <w:rsid w:val="008A14C0"/>
    <w:rsid w:val="008A1875"/>
    <w:rsid w:val="008B5742"/>
    <w:rsid w:val="008D4EAB"/>
    <w:rsid w:val="008E0F8E"/>
    <w:rsid w:val="008E2778"/>
    <w:rsid w:val="008E27EB"/>
    <w:rsid w:val="008F07E4"/>
    <w:rsid w:val="008F58CD"/>
    <w:rsid w:val="008F5B5C"/>
    <w:rsid w:val="008F777C"/>
    <w:rsid w:val="00905097"/>
    <w:rsid w:val="0090681E"/>
    <w:rsid w:val="009072AF"/>
    <w:rsid w:val="009116BB"/>
    <w:rsid w:val="00914726"/>
    <w:rsid w:val="00930142"/>
    <w:rsid w:val="00942E9C"/>
    <w:rsid w:val="00944902"/>
    <w:rsid w:val="0094644E"/>
    <w:rsid w:val="0095137C"/>
    <w:rsid w:val="0095697C"/>
    <w:rsid w:val="009578FF"/>
    <w:rsid w:val="00957BEE"/>
    <w:rsid w:val="00957EE1"/>
    <w:rsid w:val="00976428"/>
    <w:rsid w:val="009854F6"/>
    <w:rsid w:val="009869EF"/>
    <w:rsid w:val="0099160E"/>
    <w:rsid w:val="00994405"/>
    <w:rsid w:val="00996253"/>
    <w:rsid w:val="009C02B7"/>
    <w:rsid w:val="009C45AE"/>
    <w:rsid w:val="009D147C"/>
    <w:rsid w:val="009D4633"/>
    <w:rsid w:val="009D4FAF"/>
    <w:rsid w:val="009E200E"/>
    <w:rsid w:val="009E329B"/>
    <w:rsid w:val="009E44E6"/>
    <w:rsid w:val="009F0A19"/>
    <w:rsid w:val="009F4404"/>
    <w:rsid w:val="009F583C"/>
    <w:rsid w:val="009F74E6"/>
    <w:rsid w:val="00A02022"/>
    <w:rsid w:val="00A02E89"/>
    <w:rsid w:val="00A038F5"/>
    <w:rsid w:val="00A04591"/>
    <w:rsid w:val="00A0642D"/>
    <w:rsid w:val="00A124E6"/>
    <w:rsid w:val="00A1303C"/>
    <w:rsid w:val="00A21C38"/>
    <w:rsid w:val="00A23D3D"/>
    <w:rsid w:val="00A245F4"/>
    <w:rsid w:val="00A324EC"/>
    <w:rsid w:val="00A40430"/>
    <w:rsid w:val="00A40C4B"/>
    <w:rsid w:val="00A41525"/>
    <w:rsid w:val="00A41950"/>
    <w:rsid w:val="00A4344D"/>
    <w:rsid w:val="00A43CC5"/>
    <w:rsid w:val="00A43EB4"/>
    <w:rsid w:val="00A5347C"/>
    <w:rsid w:val="00A53F7A"/>
    <w:rsid w:val="00A54E43"/>
    <w:rsid w:val="00A55F96"/>
    <w:rsid w:val="00A64178"/>
    <w:rsid w:val="00A6641B"/>
    <w:rsid w:val="00A70BA3"/>
    <w:rsid w:val="00A73C5F"/>
    <w:rsid w:val="00A7545B"/>
    <w:rsid w:val="00A7573B"/>
    <w:rsid w:val="00A76685"/>
    <w:rsid w:val="00A82A38"/>
    <w:rsid w:val="00A82C2F"/>
    <w:rsid w:val="00A83209"/>
    <w:rsid w:val="00A8356B"/>
    <w:rsid w:val="00A8403E"/>
    <w:rsid w:val="00A941EF"/>
    <w:rsid w:val="00A947A2"/>
    <w:rsid w:val="00A97D31"/>
    <w:rsid w:val="00AB1030"/>
    <w:rsid w:val="00AB19E1"/>
    <w:rsid w:val="00AB2478"/>
    <w:rsid w:val="00AB5D3A"/>
    <w:rsid w:val="00AC7B20"/>
    <w:rsid w:val="00AD04FF"/>
    <w:rsid w:val="00AD51E6"/>
    <w:rsid w:val="00AD76A8"/>
    <w:rsid w:val="00AD7F55"/>
    <w:rsid w:val="00AE12B7"/>
    <w:rsid w:val="00AE3EE7"/>
    <w:rsid w:val="00AF0CE1"/>
    <w:rsid w:val="00AF6176"/>
    <w:rsid w:val="00AF7496"/>
    <w:rsid w:val="00B01C16"/>
    <w:rsid w:val="00B02899"/>
    <w:rsid w:val="00B02A06"/>
    <w:rsid w:val="00B130CA"/>
    <w:rsid w:val="00B1610A"/>
    <w:rsid w:val="00B2341E"/>
    <w:rsid w:val="00B23A66"/>
    <w:rsid w:val="00B2478B"/>
    <w:rsid w:val="00B3651D"/>
    <w:rsid w:val="00B4164C"/>
    <w:rsid w:val="00B46948"/>
    <w:rsid w:val="00B60618"/>
    <w:rsid w:val="00B6522E"/>
    <w:rsid w:val="00B67855"/>
    <w:rsid w:val="00B7116E"/>
    <w:rsid w:val="00B7136D"/>
    <w:rsid w:val="00B87402"/>
    <w:rsid w:val="00B9305D"/>
    <w:rsid w:val="00B968AE"/>
    <w:rsid w:val="00BA0A2F"/>
    <w:rsid w:val="00BA370D"/>
    <w:rsid w:val="00BA3E1C"/>
    <w:rsid w:val="00BA5EF3"/>
    <w:rsid w:val="00BB1F21"/>
    <w:rsid w:val="00BB228D"/>
    <w:rsid w:val="00BB3284"/>
    <w:rsid w:val="00BB5434"/>
    <w:rsid w:val="00BB6560"/>
    <w:rsid w:val="00BB7535"/>
    <w:rsid w:val="00BC4D8D"/>
    <w:rsid w:val="00BD593E"/>
    <w:rsid w:val="00BD7AC3"/>
    <w:rsid w:val="00BE0D71"/>
    <w:rsid w:val="00BE544E"/>
    <w:rsid w:val="00BF32AB"/>
    <w:rsid w:val="00BF631A"/>
    <w:rsid w:val="00BF7D34"/>
    <w:rsid w:val="00C00285"/>
    <w:rsid w:val="00C04040"/>
    <w:rsid w:val="00C06939"/>
    <w:rsid w:val="00C12AE5"/>
    <w:rsid w:val="00C135CD"/>
    <w:rsid w:val="00C137E5"/>
    <w:rsid w:val="00C13807"/>
    <w:rsid w:val="00C14A78"/>
    <w:rsid w:val="00C214E5"/>
    <w:rsid w:val="00C27C84"/>
    <w:rsid w:val="00C35625"/>
    <w:rsid w:val="00C36CCE"/>
    <w:rsid w:val="00C4730F"/>
    <w:rsid w:val="00C526BB"/>
    <w:rsid w:val="00C545EE"/>
    <w:rsid w:val="00C545F1"/>
    <w:rsid w:val="00C60FBF"/>
    <w:rsid w:val="00C60FE1"/>
    <w:rsid w:val="00C63E74"/>
    <w:rsid w:val="00C82FC2"/>
    <w:rsid w:val="00C96CD9"/>
    <w:rsid w:val="00CA13D0"/>
    <w:rsid w:val="00CA14A7"/>
    <w:rsid w:val="00CA5C96"/>
    <w:rsid w:val="00CB11E1"/>
    <w:rsid w:val="00CB42F6"/>
    <w:rsid w:val="00CB5269"/>
    <w:rsid w:val="00CC0909"/>
    <w:rsid w:val="00CC1C22"/>
    <w:rsid w:val="00CC7EC9"/>
    <w:rsid w:val="00CD0144"/>
    <w:rsid w:val="00CD20F9"/>
    <w:rsid w:val="00CE1CEB"/>
    <w:rsid w:val="00CE2948"/>
    <w:rsid w:val="00CE475D"/>
    <w:rsid w:val="00CF2A3C"/>
    <w:rsid w:val="00CF7B64"/>
    <w:rsid w:val="00D013B1"/>
    <w:rsid w:val="00D0498E"/>
    <w:rsid w:val="00D11089"/>
    <w:rsid w:val="00D12719"/>
    <w:rsid w:val="00D13E77"/>
    <w:rsid w:val="00D14510"/>
    <w:rsid w:val="00D14A10"/>
    <w:rsid w:val="00D25ABF"/>
    <w:rsid w:val="00D26145"/>
    <w:rsid w:val="00D27646"/>
    <w:rsid w:val="00D307A6"/>
    <w:rsid w:val="00D31127"/>
    <w:rsid w:val="00D35251"/>
    <w:rsid w:val="00D44464"/>
    <w:rsid w:val="00D55201"/>
    <w:rsid w:val="00D60B6A"/>
    <w:rsid w:val="00D648C1"/>
    <w:rsid w:val="00D762FC"/>
    <w:rsid w:val="00D8027D"/>
    <w:rsid w:val="00D81852"/>
    <w:rsid w:val="00D81FA6"/>
    <w:rsid w:val="00D82324"/>
    <w:rsid w:val="00D824FB"/>
    <w:rsid w:val="00D834F5"/>
    <w:rsid w:val="00D9079C"/>
    <w:rsid w:val="00D909C0"/>
    <w:rsid w:val="00DA1E7E"/>
    <w:rsid w:val="00DA3F93"/>
    <w:rsid w:val="00DB460F"/>
    <w:rsid w:val="00DB46C8"/>
    <w:rsid w:val="00DB4F17"/>
    <w:rsid w:val="00DB6827"/>
    <w:rsid w:val="00DB7B93"/>
    <w:rsid w:val="00DC349D"/>
    <w:rsid w:val="00DC5D33"/>
    <w:rsid w:val="00DD38D4"/>
    <w:rsid w:val="00DE0BE2"/>
    <w:rsid w:val="00DE2912"/>
    <w:rsid w:val="00DE4553"/>
    <w:rsid w:val="00DF0575"/>
    <w:rsid w:val="00DF089F"/>
    <w:rsid w:val="00DF5154"/>
    <w:rsid w:val="00DF5383"/>
    <w:rsid w:val="00DF6D86"/>
    <w:rsid w:val="00DF71AE"/>
    <w:rsid w:val="00E03C46"/>
    <w:rsid w:val="00E1702F"/>
    <w:rsid w:val="00E42293"/>
    <w:rsid w:val="00E44E78"/>
    <w:rsid w:val="00E452E3"/>
    <w:rsid w:val="00E474B0"/>
    <w:rsid w:val="00E544E5"/>
    <w:rsid w:val="00E567F8"/>
    <w:rsid w:val="00E57DC2"/>
    <w:rsid w:val="00E63A4E"/>
    <w:rsid w:val="00E66ABE"/>
    <w:rsid w:val="00E71546"/>
    <w:rsid w:val="00E73B0E"/>
    <w:rsid w:val="00E815B7"/>
    <w:rsid w:val="00E81EA5"/>
    <w:rsid w:val="00E8359B"/>
    <w:rsid w:val="00E852F3"/>
    <w:rsid w:val="00E91A50"/>
    <w:rsid w:val="00E97EF0"/>
    <w:rsid w:val="00EA3EF4"/>
    <w:rsid w:val="00EA4D62"/>
    <w:rsid w:val="00EA595D"/>
    <w:rsid w:val="00EC26AC"/>
    <w:rsid w:val="00ED0DDE"/>
    <w:rsid w:val="00ED1A98"/>
    <w:rsid w:val="00ED6B80"/>
    <w:rsid w:val="00EE05E2"/>
    <w:rsid w:val="00EE3CC7"/>
    <w:rsid w:val="00EE5A59"/>
    <w:rsid w:val="00EF1745"/>
    <w:rsid w:val="00EF2163"/>
    <w:rsid w:val="00F0036D"/>
    <w:rsid w:val="00F02A39"/>
    <w:rsid w:val="00F03691"/>
    <w:rsid w:val="00F058A1"/>
    <w:rsid w:val="00F112AD"/>
    <w:rsid w:val="00F13073"/>
    <w:rsid w:val="00F14B1C"/>
    <w:rsid w:val="00F27BA2"/>
    <w:rsid w:val="00F31C1A"/>
    <w:rsid w:val="00F31DE7"/>
    <w:rsid w:val="00F346FD"/>
    <w:rsid w:val="00F372CA"/>
    <w:rsid w:val="00F378A0"/>
    <w:rsid w:val="00F43985"/>
    <w:rsid w:val="00F55E32"/>
    <w:rsid w:val="00F60728"/>
    <w:rsid w:val="00F61F3F"/>
    <w:rsid w:val="00F62BBA"/>
    <w:rsid w:val="00F63C46"/>
    <w:rsid w:val="00F704D7"/>
    <w:rsid w:val="00F70FE4"/>
    <w:rsid w:val="00F72DBA"/>
    <w:rsid w:val="00F735F3"/>
    <w:rsid w:val="00F752C9"/>
    <w:rsid w:val="00F81612"/>
    <w:rsid w:val="00F8255E"/>
    <w:rsid w:val="00F82D62"/>
    <w:rsid w:val="00F87070"/>
    <w:rsid w:val="00F96813"/>
    <w:rsid w:val="00FA3CC9"/>
    <w:rsid w:val="00FA4DEF"/>
    <w:rsid w:val="00FB7968"/>
    <w:rsid w:val="00FC01F0"/>
    <w:rsid w:val="00FC1CBC"/>
    <w:rsid w:val="00FD0644"/>
    <w:rsid w:val="00FD12CD"/>
    <w:rsid w:val="00FD636C"/>
    <w:rsid w:val="00FD7080"/>
    <w:rsid w:val="00FD79E2"/>
    <w:rsid w:val="00FE5F68"/>
    <w:rsid w:val="00FE62DA"/>
    <w:rsid w:val="00FE65E2"/>
    <w:rsid w:val="00FF2245"/>
    <w:rsid w:val="00FF35F3"/>
    <w:rsid w:val="00FF5282"/>
    <w:rsid w:val="00FF6F0D"/>
    <w:rsid w:val="00FF7B8F"/>
    <w:rsid w:val="011F4650"/>
    <w:rsid w:val="018A4AC2"/>
    <w:rsid w:val="01A544B3"/>
    <w:rsid w:val="01A75E41"/>
    <w:rsid w:val="01A835A5"/>
    <w:rsid w:val="02792609"/>
    <w:rsid w:val="03346B0C"/>
    <w:rsid w:val="038D2BCB"/>
    <w:rsid w:val="03CA1FAF"/>
    <w:rsid w:val="03DB0154"/>
    <w:rsid w:val="04003C23"/>
    <w:rsid w:val="053519A8"/>
    <w:rsid w:val="05432019"/>
    <w:rsid w:val="05665D07"/>
    <w:rsid w:val="057E74F5"/>
    <w:rsid w:val="05C3315A"/>
    <w:rsid w:val="0633208D"/>
    <w:rsid w:val="06D373CC"/>
    <w:rsid w:val="06F35CC1"/>
    <w:rsid w:val="07626270"/>
    <w:rsid w:val="076A5F83"/>
    <w:rsid w:val="07B623F7"/>
    <w:rsid w:val="07FD736A"/>
    <w:rsid w:val="089D7C92"/>
    <w:rsid w:val="08A2174C"/>
    <w:rsid w:val="08BB4434"/>
    <w:rsid w:val="08EB1597"/>
    <w:rsid w:val="09465AF3"/>
    <w:rsid w:val="09984D8F"/>
    <w:rsid w:val="0A0C1573"/>
    <w:rsid w:val="0A11332F"/>
    <w:rsid w:val="0A175360"/>
    <w:rsid w:val="0AAB2F9B"/>
    <w:rsid w:val="0AE147AE"/>
    <w:rsid w:val="0AF049F1"/>
    <w:rsid w:val="0B0006F4"/>
    <w:rsid w:val="0B1A7CC0"/>
    <w:rsid w:val="0B424B21"/>
    <w:rsid w:val="0B753B34"/>
    <w:rsid w:val="0B8B50BB"/>
    <w:rsid w:val="0B907F82"/>
    <w:rsid w:val="0BBF2615"/>
    <w:rsid w:val="0C3721AC"/>
    <w:rsid w:val="0C6D3E1F"/>
    <w:rsid w:val="0CB64357"/>
    <w:rsid w:val="0CD37EF1"/>
    <w:rsid w:val="0D1D3A97"/>
    <w:rsid w:val="0D2D2AA5"/>
    <w:rsid w:val="0DF77E44"/>
    <w:rsid w:val="0E7D6595"/>
    <w:rsid w:val="0E925271"/>
    <w:rsid w:val="0F635474"/>
    <w:rsid w:val="0FA92469"/>
    <w:rsid w:val="0FB32491"/>
    <w:rsid w:val="101142D6"/>
    <w:rsid w:val="10475F51"/>
    <w:rsid w:val="10965C3A"/>
    <w:rsid w:val="114415F3"/>
    <w:rsid w:val="121034E0"/>
    <w:rsid w:val="121E0096"/>
    <w:rsid w:val="12211934"/>
    <w:rsid w:val="122F32B9"/>
    <w:rsid w:val="123350A6"/>
    <w:rsid w:val="132D40A2"/>
    <w:rsid w:val="137B6175"/>
    <w:rsid w:val="137E6027"/>
    <w:rsid w:val="145A66DC"/>
    <w:rsid w:val="14885497"/>
    <w:rsid w:val="14A82B4F"/>
    <w:rsid w:val="15415E49"/>
    <w:rsid w:val="157955E3"/>
    <w:rsid w:val="15E16634"/>
    <w:rsid w:val="1608045F"/>
    <w:rsid w:val="16474529"/>
    <w:rsid w:val="164B6F7F"/>
    <w:rsid w:val="167E27B0"/>
    <w:rsid w:val="16946B78"/>
    <w:rsid w:val="16CD4113"/>
    <w:rsid w:val="16FF4308"/>
    <w:rsid w:val="17404DEB"/>
    <w:rsid w:val="1742777E"/>
    <w:rsid w:val="174D77C9"/>
    <w:rsid w:val="17591B70"/>
    <w:rsid w:val="177D4E01"/>
    <w:rsid w:val="17936E30"/>
    <w:rsid w:val="17C57205"/>
    <w:rsid w:val="17E21B65"/>
    <w:rsid w:val="1824695B"/>
    <w:rsid w:val="1831796C"/>
    <w:rsid w:val="183F48C2"/>
    <w:rsid w:val="184F1959"/>
    <w:rsid w:val="18DE3354"/>
    <w:rsid w:val="18E35B95"/>
    <w:rsid w:val="18F54B8A"/>
    <w:rsid w:val="18FA6A3B"/>
    <w:rsid w:val="19EB7245"/>
    <w:rsid w:val="1A6F0D43"/>
    <w:rsid w:val="1A750A6F"/>
    <w:rsid w:val="1A9F789A"/>
    <w:rsid w:val="1AB07CF9"/>
    <w:rsid w:val="1AC76DF0"/>
    <w:rsid w:val="1ACB4F39"/>
    <w:rsid w:val="1B1F6C2C"/>
    <w:rsid w:val="1BBC0CDF"/>
    <w:rsid w:val="1D163589"/>
    <w:rsid w:val="1D5030CD"/>
    <w:rsid w:val="1D6A566C"/>
    <w:rsid w:val="1D922442"/>
    <w:rsid w:val="1DA43B08"/>
    <w:rsid w:val="1DB67687"/>
    <w:rsid w:val="1DD8480B"/>
    <w:rsid w:val="1E002D45"/>
    <w:rsid w:val="1E017E5C"/>
    <w:rsid w:val="1E2D340E"/>
    <w:rsid w:val="1E340C41"/>
    <w:rsid w:val="1E41070D"/>
    <w:rsid w:val="1E761259"/>
    <w:rsid w:val="1E8A3C6D"/>
    <w:rsid w:val="1E8C347C"/>
    <w:rsid w:val="1EEE2B9E"/>
    <w:rsid w:val="1F5F70C5"/>
    <w:rsid w:val="1F620692"/>
    <w:rsid w:val="20196340"/>
    <w:rsid w:val="20337402"/>
    <w:rsid w:val="20706709"/>
    <w:rsid w:val="20DD2ECA"/>
    <w:rsid w:val="210112AE"/>
    <w:rsid w:val="211C56FA"/>
    <w:rsid w:val="212D0B7E"/>
    <w:rsid w:val="215304CA"/>
    <w:rsid w:val="216473E1"/>
    <w:rsid w:val="21CB366A"/>
    <w:rsid w:val="21DE15EF"/>
    <w:rsid w:val="224528D8"/>
    <w:rsid w:val="224C394F"/>
    <w:rsid w:val="226118D9"/>
    <w:rsid w:val="226715E5"/>
    <w:rsid w:val="2322499F"/>
    <w:rsid w:val="232B739C"/>
    <w:rsid w:val="233D5EA2"/>
    <w:rsid w:val="2353687D"/>
    <w:rsid w:val="236E0751"/>
    <w:rsid w:val="241E2177"/>
    <w:rsid w:val="244A07F5"/>
    <w:rsid w:val="245475D6"/>
    <w:rsid w:val="246062EC"/>
    <w:rsid w:val="24656A71"/>
    <w:rsid w:val="246B46E2"/>
    <w:rsid w:val="24A02B8C"/>
    <w:rsid w:val="24CA70D0"/>
    <w:rsid w:val="250273A3"/>
    <w:rsid w:val="25396B3D"/>
    <w:rsid w:val="256A787D"/>
    <w:rsid w:val="26057AB6"/>
    <w:rsid w:val="267A11BB"/>
    <w:rsid w:val="26DC5EFC"/>
    <w:rsid w:val="27223D2C"/>
    <w:rsid w:val="27921CE1"/>
    <w:rsid w:val="27AB1F74"/>
    <w:rsid w:val="281605D6"/>
    <w:rsid w:val="28213FE4"/>
    <w:rsid w:val="2846234D"/>
    <w:rsid w:val="2895052E"/>
    <w:rsid w:val="28E97EAE"/>
    <w:rsid w:val="29205046"/>
    <w:rsid w:val="29304C28"/>
    <w:rsid w:val="29E940EF"/>
    <w:rsid w:val="2A024658"/>
    <w:rsid w:val="2A111F46"/>
    <w:rsid w:val="2A1A0CEB"/>
    <w:rsid w:val="2A6E6081"/>
    <w:rsid w:val="2ACB46DB"/>
    <w:rsid w:val="2AD417E1"/>
    <w:rsid w:val="2AF73ACB"/>
    <w:rsid w:val="2B02780A"/>
    <w:rsid w:val="2B1D60A1"/>
    <w:rsid w:val="2B564E90"/>
    <w:rsid w:val="2B795EE5"/>
    <w:rsid w:val="2BBF26BA"/>
    <w:rsid w:val="2C4D0ED1"/>
    <w:rsid w:val="2D216834"/>
    <w:rsid w:val="2D410C84"/>
    <w:rsid w:val="2D74105A"/>
    <w:rsid w:val="2DAB039C"/>
    <w:rsid w:val="2DB31B82"/>
    <w:rsid w:val="2E09329C"/>
    <w:rsid w:val="2E0F48DF"/>
    <w:rsid w:val="2E231F03"/>
    <w:rsid w:val="2E29702F"/>
    <w:rsid w:val="2E76670C"/>
    <w:rsid w:val="2F041948"/>
    <w:rsid w:val="2F0A25EE"/>
    <w:rsid w:val="2F8E6FE7"/>
    <w:rsid w:val="2FB30767"/>
    <w:rsid w:val="2FBC2844"/>
    <w:rsid w:val="2FEA5603"/>
    <w:rsid w:val="2FF67B04"/>
    <w:rsid w:val="303F76FD"/>
    <w:rsid w:val="304271ED"/>
    <w:rsid w:val="305807BF"/>
    <w:rsid w:val="30747406"/>
    <w:rsid w:val="30BD737C"/>
    <w:rsid w:val="31080047"/>
    <w:rsid w:val="317521B3"/>
    <w:rsid w:val="31CB6FB3"/>
    <w:rsid w:val="31D64091"/>
    <w:rsid w:val="320F4EAD"/>
    <w:rsid w:val="32382656"/>
    <w:rsid w:val="32FC18D5"/>
    <w:rsid w:val="32FD772A"/>
    <w:rsid w:val="33437504"/>
    <w:rsid w:val="339B5C0B"/>
    <w:rsid w:val="33BB353F"/>
    <w:rsid w:val="33CE3DA2"/>
    <w:rsid w:val="341D5FA7"/>
    <w:rsid w:val="34C50FBD"/>
    <w:rsid w:val="34F23AD3"/>
    <w:rsid w:val="35120031"/>
    <w:rsid w:val="35613C72"/>
    <w:rsid w:val="35747E49"/>
    <w:rsid w:val="361114DB"/>
    <w:rsid w:val="36617CA1"/>
    <w:rsid w:val="366F6862"/>
    <w:rsid w:val="3692644D"/>
    <w:rsid w:val="36E032BC"/>
    <w:rsid w:val="37A97B52"/>
    <w:rsid w:val="37BE6705"/>
    <w:rsid w:val="37D179A4"/>
    <w:rsid w:val="37E56DDC"/>
    <w:rsid w:val="38031EDD"/>
    <w:rsid w:val="38163439"/>
    <w:rsid w:val="38517A5C"/>
    <w:rsid w:val="38913C14"/>
    <w:rsid w:val="38985C06"/>
    <w:rsid w:val="38B46178"/>
    <w:rsid w:val="38C369F1"/>
    <w:rsid w:val="38FC4C6E"/>
    <w:rsid w:val="396E558F"/>
    <w:rsid w:val="39FA28E7"/>
    <w:rsid w:val="3A217E73"/>
    <w:rsid w:val="3A320BD0"/>
    <w:rsid w:val="3A753466"/>
    <w:rsid w:val="3A77652E"/>
    <w:rsid w:val="3AC16F61"/>
    <w:rsid w:val="3AD0051F"/>
    <w:rsid w:val="3B162443"/>
    <w:rsid w:val="3B17189A"/>
    <w:rsid w:val="3B985F13"/>
    <w:rsid w:val="3C1061E8"/>
    <w:rsid w:val="3C1E0B0E"/>
    <w:rsid w:val="3C3A5E5B"/>
    <w:rsid w:val="3C97266D"/>
    <w:rsid w:val="3CB603F7"/>
    <w:rsid w:val="3D6409C2"/>
    <w:rsid w:val="3D6A3225"/>
    <w:rsid w:val="3DBA5A08"/>
    <w:rsid w:val="3DDF19F1"/>
    <w:rsid w:val="3DE400B1"/>
    <w:rsid w:val="3DE42E6F"/>
    <w:rsid w:val="3E021D6A"/>
    <w:rsid w:val="3E6447D3"/>
    <w:rsid w:val="3E815385"/>
    <w:rsid w:val="3E9F580B"/>
    <w:rsid w:val="3F0C4140"/>
    <w:rsid w:val="3F0F7DDC"/>
    <w:rsid w:val="3F4331D3"/>
    <w:rsid w:val="3F444EEA"/>
    <w:rsid w:val="3F4C4B5E"/>
    <w:rsid w:val="3F523204"/>
    <w:rsid w:val="3F775ACD"/>
    <w:rsid w:val="3FEE6A4A"/>
    <w:rsid w:val="3FF760EB"/>
    <w:rsid w:val="40896772"/>
    <w:rsid w:val="408E5DBF"/>
    <w:rsid w:val="40973B77"/>
    <w:rsid w:val="41175B2C"/>
    <w:rsid w:val="412372DB"/>
    <w:rsid w:val="413269E3"/>
    <w:rsid w:val="41AE6491"/>
    <w:rsid w:val="41B94E35"/>
    <w:rsid w:val="41DE664A"/>
    <w:rsid w:val="42220206"/>
    <w:rsid w:val="424B1F31"/>
    <w:rsid w:val="42812863"/>
    <w:rsid w:val="42A80122"/>
    <w:rsid w:val="42E14644"/>
    <w:rsid w:val="431748E2"/>
    <w:rsid w:val="432443D8"/>
    <w:rsid w:val="434633CB"/>
    <w:rsid w:val="43994F1E"/>
    <w:rsid w:val="43B92D1A"/>
    <w:rsid w:val="449556E6"/>
    <w:rsid w:val="449A097E"/>
    <w:rsid w:val="44C923DE"/>
    <w:rsid w:val="44D960F2"/>
    <w:rsid w:val="44EA6C80"/>
    <w:rsid w:val="451E392D"/>
    <w:rsid w:val="452173DF"/>
    <w:rsid w:val="458614D2"/>
    <w:rsid w:val="45CC50D3"/>
    <w:rsid w:val="462F380D"/>
    <w:rsid w:val="46971F46"/>
    <w:rsid w:val="47184140"/>
    <w:rsid w:val="471A1ED2"/>
    <w:rsid w:val="4755416D"/>
    <w:rsid w:val="47BC5C53"/>
    <w:rsid w:val="483D2FB0"/>
    <w:rsid w:val="48C447EC"/>
    <w:rsid w:val="48D54001"/>
    <w:rsid w:val="48F4424F"/>
    <w:rsid w:val="48F52BF7"/>
    <w:rsid w:val="48FF5824"/>
    <w:rsid w:val="4A413C1A"/>
    <w:rsid w:val="4A4831FA"/>
    <w:rsid w:val="4A55514F"/>
    <w:rsid w:val="4A7166B0"/>
    <w:rsid w:val="4A896D50"/>
    <w:rsid w:val="4A96508A"/>
    <w:rsid w:val="4AC74505"/>
    <w:rsid w:val="4AE821AB"/>
    <w:rsid w:val="4AFF0128"/>
    <w:rsid w:val="4B06733D"/>
    <w:rsid w:val="4BDA3555"/>
    <w:rsid w:val="4BE40D01"/>
    <w:rsid w:val="4BE60F1D"/>
    <w:rsid w:val="4CBE1552"/>
    <w:rsid w:val="4CC2732C"/>
    <w:rsid w:val="4D2951F8"/>
    <w:rsid w:val="4D4001B9"/>
    <w:rsid w:val="4D9005FC"/>
    <w:rsid w:val="4DA43E4D"/>
    <w:rsid w:val="4DC344B4"/>
    <w:rsid w:val="4DC346F0"/>
    <w:rsid w:val="4E2D6A71"/>
    <w:rsid w:val="4E4B5067"/>
    <w:rsid w:val="4E535EF2"/>
    <w:rsid w:val="4F11653B"/>
    <w:rsid w:val="4F455F5A"/>
    <w:rsid w:val="4F83128E"/>
    <w:rsid w:val="4FA40ED3"/>
    <w:rsid w:val="4FC7696F"/>
    <w:rsid w:val="4FCF007B"/>
    <w:rsid w:val="4FE70DC0"/>
    <w:rsid w:val="50006765"/>
    <w:rsid w:val="50571775"/>
    <w:rsid w:val="509D0BD8"/>
    <w:rsid w:val="50A80620"/>
    <w:rsid w:val="50A93D14"/>
    <w:rsid w:val="5145653E"/>
    <w:rsid w:val="514953E7"/>
    <w:rsid w:val="514C35D0"/>
    <w:rsid w:val="519C4C4C"/>
    <w:rsid w:val="51C477CF"/>
    <w:rsid w:val="51D642B4"/>
    <w:rsid w:val="525B4D42"/>
    <w:rsid w:val="528B5A12"/>
    <w:rsid w:val="52A82A88"/>
    <w:rsid w:val="52B14936"/>
    <w:rsid w:val="52ED39C0"/>
    <w:rsid w:val="52F45CCD"/>
    <w:rsid w:val="5305132D"/>
    <w:rsid w:val="531D3408"/>
    <w:rsid w:val="532D11DF"/>
    <w:rsid w:val="533F23A0"/>
    <w:rsid w:val="537A2677"/>
    <w:rsid w:val="539A4AC7"/>
    <w:rsid w:val="53B35B89"/>
    <w:rsid w:val="53C7314D"/>
    <w:rsid w:val="53D02297"/>
    <w:rsid w:val="53D435E0"/>
    <w:rsid w:val="53D53D51"/>
    <w:rsid w:val="546450D5"/>
    <w:rsid w:val="546C3EB9"/>
    <w:rsid w:val="54955822"/>
    <w:rsid w:val="55410F72"/>
    <w:rsid w:val="559B0682"/>
    <w:rsid w:val="56286BBA"/>
    <w:rsid w:val="56431446"/>
    <w:rsid w:val="56A7547E"/>
    <w:rsid w:val="57817141"/>
    <w:rsid w:val="57925AB5"/>
    <w:rsid w:val="579F713A"/>
    <w:rsid w:val="57AA6E55"/>
    <w:rsid w:val="57E13F0B"/>
    <w:rsid w:val="57F92D83"/>
    <w:rsid w:val="584901CE"/>
    <w:rsid w:val="58671ECE"/>
    <w:rsid w:val="589D4F6D"/>
    <w:rsid w:val="58BF28DA"/>
    <w:rsid w:val="58EB2E9D"/>
    <w:rsid w:val="593F47FB"/>
    <w:rsid w:val="59575673"/>
    <w:rsid w:val="59D5709C"/>
    <w:rsid w:val="59E41F31"/>
    <w:rsid w:val="5A236E98"/>
    <w:rsid w:val="5A8176EA"/>
    <w:rsid w:val="5ADA2272"/>
    <w:rsid w:val="5B060C94"/>
    <w:rsid w:val="5B1351D0"/>
    <w:rsid w:val="5B4517BC"/>
    <w:rsid w:val="5B7C2D04"/>
    <w:rsid w:val="5B943228"/>
    <w:rsid w:val="5BAD46D6"/>
    <w:rsid w:val="5BBE2225"/>
    <w:rsid w:val="5C3C06FD"/>
    <w:rsid w:val="5C955021"/>
    <w:rsid w:val="5D9B7CF5"/>
    <w:rsid w:val="5DDB7290"/>
    <w:rsid w:val="5EDC6DFC"/>
    <w:rsid w:val="5EE11B69"/>
    <w:rsid w:val="5F0A2B5C"/>
    <w:rsid w:val="5F46363C"/>
    <w:rsid w:val="5F6264B5"/>
    <w:rsid w:val="5F65177C"/>
    <w:rsid w:val="5F9C6EF7"/>
    <w:rsid w:val="5FB32A6C"/>
    <w:rsid w:val="5FED2422"/>
    <w:rsid w:val="5FF437B1"/>
    <w:rsid w:val="60376652"/>
    <w:rsid w:val="6051732B"/>
    <w:rsid w:val="60530A1A"/>
    <w:rsid w:val="60CF06CB"/>
    <w:rsid w:val="60D47EB6"/>
    <w:rsid w:val="611F03B9"/>
    <w:rsid w:val="61A91BB9"/>
    <w:rsid w:val="61F83DC6"/>
    <w:rsid w:val="630E4B89"/>
    <w:rsid w:val="631B72A6"/>
    <w:rsid w:val="63932A29"/>
    <w:rsid w:val="64682077"/>
    <w:rsid w:val="64944124"/>
    <w:rsid w:val="64B97CA5"/>
    <w:rsid w:val="64D21BE7"/>
    <w:rsid w:val="64F16511"/>
    <w:rsid w:val="650C6EA7"/>
    <w:rsid w:val="652F0C3C"/>
    <w:rsid w:val="657D7DA4"/>
    <w:rsid w:val="66003D09"/>
    <w:rsid w:val="661A3845"/>
    <w:rsid w:val="66530372"/>
    <w:rsid w:val="66FC7BD0"/>
    <w:rsid w:val="671A150A"/>
    <w:rsid w:val="671E34A7"/>
    <w:rsid w:val="677A6BD5"/>
    <w:rsid w:val="67806310"/>
    <w:rsid w:val="67C52193"/>
    <w:rsid w:val="681349F0"/>
    <w:rsid w:val="681E3AE6"/>
    <w:rsid w:val="683934D2"/>
    <w:rsid w:val="685C1EF3"/>
    <w:rsid w:val="68637725"/>
    <w:rsid w:val="68680898"/>
    <w:rsid w:val="68E41A1C"/>
    <w:rsid w:val="6933216E"/>
    <w:rsid w:val="695F613F"/>
    <w:rsid w:val="69AF0748"/>
    <w:rsid w:val="6A22716C"/>
    <w:rsid w:val="6ADE0453"/>
    <w:rsid w:val="6AF45841"/>
    <w:rsid w:val="6B071FEB"/>
    <w:rsid w:val="6B296EB9"/>
    <w:rsid w:val="6BEA5A68"/>
    <w:rsid w:val="6C214CE7"/>
    <w:rsid w:val="6C321CB4"/>
    <w:rsid w:val="6C4D7831"/>
    <w:rsid w:val="6C5F1FB2"/>
    <w:rsid w:val="6CB247D7"/>
    <w:rsid w:val="6D815825"/>
    <w:rsid w:val="6DDD7632"/>
    <w:rsid w:val="6E6B2E90"/>
    <w:rsid w:val="6F1E7F02"/>
    <w:rsid w:val="6F4D2369"/>
    <w:rsid w:val="6F54601A"/>
    <w:rsid w:val="6FBF2864"/>
    <w:rsid w:val="703F2112"/>
    <w:rsid w:val="70474256"/>
    <w:rsid w:val="705668A1"/>
    <w:rsid w:val="71265095"/>
    <w:rsid w:val="71855FC2"/>
    <w:rsid w:val="719C496A"/>
    <w:rsid w:val="71AB39DD"/>
    <w:rsid w:val="71E04756"/>
    <w:rsid w:val="71E52F59"/>
    <w:rsid w:val="72516841"/>
    <w:rsid w:val="728739CF"/>
    <w:rsid w:val="728E0FD0"/>
    <w:rsid w:val="731E3ECD"/>
    <w:rsid w:val="736600CA"/>
    <w:rsid w:val="73673A09"/>
    <w:rsid w:val="74833687"/>
    <w:rsid w:val="74AD1CFA"/>
    <w:rsid w:val="74DF5F75"/>
    <w:rsid w:val="75271ADB"/>
    <w:rsid w:val="754601B3"/>
    <w:rsid w:val="758962F1"/>
    <w:rsid w:val="75C4732A"/>
    <w:rsid w:val="75E8126A"/>
    <w:rsid w:val="761F6A1E"/>
    <w:rsid w:val="76377AFB"/>
    <w:rsid w:val="76432072"/>
    <w:rsid w:val="769468B9"/>
    <w:rsid w:val="76982C90"/>
    <w:rsid w:val="76A2766B"/>
    <w:rsid w:val="76D003CA"/>
    <w:rsid w:val="76DE441B"/>
    <w:rsid w:val="77F11563"/>
    <w:rsid w:val="77F352C8"/>
    <w:rsid w:val="78942221"/>
    <w:rsid w:val="789740BE"/>
    <w:rsid w:val="789E0306"/>
    <w:rsid w:val="78B6564F"/>
    <w:rsid w:val="794312DF"/>
    <w:rsid w:val="79E702FF"/>
    <w:rsid w:val="79FC7092"/>
    <w:rsid w:val="79FE3071"/>
    <w:rsid w:val="7A102B3D"/>
    <w:rsid w:val="7A872088"/>
    <w:rsid w:val="7A885D79"/>
    <w:rsid w:val="7AA01F71"/>
    <w:rsid w:val="7BC63DFB"/>
    <w:rsid w:val="7BDF0A19"/>
    <w:rsid w:val="7C651755"/>
    <w:rsid w:val="7CC23EA4"/>
    <w:rsid w:val="7D354B63"/>
    <w:rsid w:val="7D957F29"/>
    <w:rsid w:val="7D9E1474"/>
    <w:rsid w:val="7DF55708"/>
    <w:rsid w:val="7E417769"/>
    <w:rsid w:val="7ECD54A1"/>
    <w:rsid w:val="7EE32C58"/>
    <w:rsid w:val="7F16539D"/>
    <w:rsid w:val="7F7E679B"/>
    <w:rsid w:val="7F9B10FB"/>
    <w:rsid w:val="7FC27FEF"/>
    <w:rsid w:val="7FD23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qFormat/>
    <w:uiPriority w:val="0"/>
    <w:pPr>
      <w:keepNext/>
      <w:keepLines/>
      <w:spacing w:line="576" w:lineRule="auto"/>
      <w:jc w:val="center"/>
      <w:outlineLvl w:val="0"/>
    </w:pPr>
    <w:rPr>
      <w:rFonts w:ascii="宋体" w:hAnsi="宋体"/>
      <w:b/>
      <w:kern w:val="44"/>
      <w:sz w:val="44"/>
      <w:szCs w:val="20"/>
    </w:rPr>
  </w:style>
  <w:style w:type="paragraph" w:styleId="4">
    <w:name w:val="heading 2"/>
    <w:basedOn w:val="1"/>
    <w:next w:val="1"/>
    <w:link w:val="36"/>
    <w:qFormat/>
    <w:uiPriority w:val="9"/>
    <w:pPr>
      <w:keepNext/>
      <w:keepLines/>
      <w:spacing w:line="412" w:lineRule="auto"/>
      <w:jc w:val="center"/>
      <w:outlineLvl w:val="1"/>
    </w:pPr>
    <w:rPr>
      <w:rFonts w:ascii="Arial" w:hAnsi="Arial"/>
      <w:b/>
      <w:sz w:val="24"/>
      <w:szCs w:val="20"/>
    </w:rPr>
  </w:style>
  <w:style w:type="paragraph" w:styleId="5">
    <w:name w:val="heading 3"/>
    <w:basedOn w:val="1"/>
    <w:next w:val="1"/>
    <w:link w:val="37"/>
    <w:qFormat/>
    <w:uiPriority w:val="0"/>
    <w:pPr>
      <w:keepNext/>
      <w:keepLines/>
      <w:spacing w:line="360" w:lineRule="auto"/>
      <w:jc w:val="left"/>
      <w:outlineLvl w:val="2"/>
    </w:pPr>
    <w:rPr>
      <w:rFonts w:ascii="宋体" w:hAnsi="宋体"/>
      <w:b/>
      <w:sz w:val="28"/>
      <w:szCs w:val="28"/>
    </w:rPr>
  </w:style>
  <w:style w:type="paragraph" w:styleId="6">
    <w:name w:val="heading 4"/>
    <w:basedOn w:val="1"/>
    <w:next w:val="1"/>
    <w:link w:val="38"/>
    <w:qFormat/>
    <w:uiPriority w:val="0"/>
    <w:pPr>
      <w:keepNext/>
      <w:keepLines/>
      <w:jc w:val="center"/>
      <w:outlineLvl w:val="3"/>
    </w:pPr>
    <w:rPr>
      <w:rFonts w:ascii="Cambria" w:hAnsi="Cambria"/>
      <w:b/>
      <w:bCs/>
      <w:sz w:val="28"/>
      <w:szCs w:val="28"/>
    </w:rPr>
  </w:style>
  <w:style w:type="paragraph" w:styleId="7">
    <w:name w:val="heading 5"/>
    <w:basedOn w:val="1"/>
    <w:next w:val="1"/>
    <w:link w:val="39"/>
    <w:qFormat/>
    <w:uiPriority w:val="0"/>
    <w:pPr>
      <w:keepNext/>
      <w:keepLines/>
      <w:spacing w:line="376" w:lineRule="auto"/>
      <w:outlineLvl w:val="4"/>
    </w:pPr>
    <w:rPr>
      <w:b/>
      <w:bCs/>
      <w:sz w:val="24"/>
      <w:szCs w:val="24"/>
    </w:rPr>
  </w:style>
  <w:style w:type="paragraph" w:styleId="8">
    <w:name w:val="heading 7"/>
    <w:basedOn w:val="1"/>
    <w:next w:val="2"/>
    <w:link w:val="40"/>
    <w:qFormat/>
    <w:uiPriority w:val="0"/>
    <w:pPr>
      <w:keepNext/>
      <w:keepLines/>
      <w:spacing w:before="240" w:after="64" w:line="320" w:lineRule="auto"/>
      <w:outlineLvl w:val="6"/>
    </w:pPr>
    <w:rPr>
      <w:b/>
      <w:kern w:val="0"/>
      <w:sz w:val="24"/>
      <w:szCs w:val="20"/>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rPr>
  </w:style>
  <w:style w:type="paragraph" w:styleId="9">
    <w:name w:val="Document Map"/>
    <w:basedOn w:val="1"/>
    <w:link w:val="43"/>
    <w:qFormat/>
    <w:uiPriority w:val="0"/>
    <w:rPr>
      <w:rFonts w:ascii="宋体" w:hAnsi="Calibri"/>
      <w:sz w:val="18"/>
      <w:szCs w:val="18"/>
    </w:rPr>
  </w:style>
  <w:style w:type="paragraph" w:styleId="10">
    <w:name w:val="annotation text"/>
    <w:basedOn w:val="1"/>
    <w:link w:val="44"/>
    <w:qFormat/>
    <w:uiPriority w:val="0"/>
    <w:pPr>
      <w:jc w:val="left"/>
    </w:pPr>
    <w:rPr>
      <w:rFonts w:ascii="Calibri" w:hAnsi="Calibri"/>
    </w:rPr>
  </w:style>
  <w:style w:type="paragraph" w:styleId="11">
    <w:name w:val="Body Text 3"/>
    <w:basedOn w:val="1"/>
    <w:link w:val="45"/>
    <w:qFormat/>
    <w:uiPriority w:val="0"/>
    <w:rPr>
      <w:rFonts w:ascii="宋体" w:hAnsi="Calibri"/>
      <w:sz w:val="24"/>
    </w:rPr>
  </w:style>
  <w:style w:type="paragraph" w:styleId="12">
    <w:name w:val="Body Text"/>
    <w:basedOn w:val="1"/>
    <w:next w:val="1"/>
    <w:link w:val="46"/>
    <w:qFormat/>
    <w:uiPriority w:val="0"/>
    <w:rPr>
      <w:szCs w:val="20"/>
    </w:rPr>
  </w:style>
  <w:style w:type="paragraph" w:styleId="13">
    <w:name w:val="Body Text Indent"/>
    <w:basedOn w:val="1"/>
    <w:next w:val="14"/>
    <w:link w:val="47"/>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4">
    <w:name w:val="envelope return"/>
    <w:basedOn w:val="1"/>
    <w:qFormat/>
    <w:uiPriority w:val="0"/>
    <w:pPr>
      <w:snapToGrid w:val="0"/>
    </w:pPr>
    <w:rPr>
      <w:rFonts w:ascii="Arial" w:hAnsi="Arial" w:cs="Arial"/>
    </w:rPr>
  </w:style>
  <w:style w:type="paragraph" w:styleId="15">
    <w:name w:val="toc 3"/>
    <w:basedOn w:val="1"/>
    <w:next w:val="1"/>
    <w:qFormat/>
    <w:uiPriority w:val="39"/>
    <w:pPr>
      <w:ind w:left="840" w:leftChars="400"/>
    </w:pPr>
    <w:rPr>
      <w:rFonts w:ascii="Calibri" w:hAnsi="Calibri"/>
    </w:rPr>
  </w:style>
  <w:style w:type="paragraph" w:styleId="16">
    <w:name w:val="Plain Text"/>
    <w:basedOn w:val="1"/>
    <w:link w:val="48"/>
    <w:qFormat/>
    <w:uiPriority w:val="0"/>
    <w:rPr>
      <w:rFonts w:ascii="宋体" w:hAnsi="Calibri"/>
      <w:sz w:val="22"/>
    </w:rPr>
  </w:style>
  <w:style w:type="paragraph" w:styleId="17">
    <w:name w:val="Date"/>
    <w:basedOn w:val="1"/>
    <w:next w:val="1"/>
    <w:link w:val="49"/>
    <w:qFormat/>
    <w:uiPriority w:val="0"/>
    <w:pPr>
      <w:ind w:left="100" w:leftChars="2500"/>
    </w:pPr>
    <w:rPr>
      <w:rFonts w:ascii="Calibri" w:hAnsi="Calibri"/>
    </w:rPr>
  </w:style>
  <w:style w:type="paragraph" w:styleId="18">
    <w:name w:val="Body Text Indent 2"/>
    <w:basedOn w:val="1"/>
    <w:link w:val="50"/>
    <w:qFormat/>
    <w:uiPriority w:val="0"/>
    <w:pPr>
      <w:spacing w:line="480" w:lineRule="auto"/>
      <w:ind w:left="420" w:leftChars="200"/>
    </w:pPr>
    <w:rPr>
      <w:szCs w:val="24"/>
    </w:rPr>
  </w:style>
  <w:style w:type="paragraph" w:styleId="19">
    <w:name w:val="Balloon Text"/>
    <w:basedOn w:val="1"/>
    <w:link w:val="51"/>
    <w:qFormat/>
    <w:uiPriority w:val="0"/>
    <w:rPr>
      <w:rFonts w:ascii="Calibri" w:hAnsi="Calibri"/>
      <w:sz w:val="18"/>
      <w:szCs w:val="18"/>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Calibri" w:hAnsi="Calibri"/>
    </w:rPr>
  </w:style>
  <w:style w:type="paragraph" w:styleId="23">
    <w:name w:val="toc 2"/>
    <w:basedOn w:val="1"/>
    <w:next w:val="1"/>
    <w:qFormat/>
    <w:uiPriority w:val="39"/>
    <w:pPr>
      <w:ind w:left="420" w:leftChars="200"/>
    </w:pPr>
    <w:rPr>
      <w:rFonts w:ascii="Calibri" w:hAnsi="Calibri"/>
    </w:rPr>
  </w:style>
  <w:style w:type="paragraph" w:styleId="24">
    <w:name w:val="annotation subject"/>
    <w:basedOn w:val="10"/>
    <w:next w:val="10"/>
    <w:link w:val="52"/>
    <w:qFormat/>
    <w:uiPriority w:val="0"/>
    <w:rPr>
      <w:b/>
      <w:bCs/>
    </w:rPr>
  </w:style>
  <w:style w:type="paragraph" w:styleId="25">
    <w:name w:val="Body Text First Indent"/>
    <w:basedOn w:val="12"/>
    <w:next w:val="1"/>
    <w:link w:val="53"/>
    <w:qFormat/>
    <w:uiPriority w:val="0"/>
    <w:pPr>
      <w:spacing w:line="312" w:lineRule="auto"/>
      <w:ind w:firstLine="420"/>
    </w:pPr>
    <w:rPr>
      <w:rFonts w:ascii="Calibri" w:hAnsi="Calibri"/>
      <w:szCs w:val="24"/>
    </w:rPr>
  </w:style>
  <w:style w:type="paragraph" w:styleId="26">
    <w:name w:val="Body Text First Indent 2"/>
    <w:basedOn w:val="13"/>
    <w:link w:val="54"/>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29">
    <w:name w:val="page number"/>
    <w:qFormat/>
    <w:uiPriority w:val="0"/>
    <w:rPr>
      <w:rFonts w:ascii="Calibri" w:hAnsi="Calibri" w:eastAsia="宋体" w:cs="Times New Roman"/>
    </w:rPr>
  </w:style>
  <w:style w:type="character" w:styleId="30">
    <w:name w:val="FollowedHyperlink"/>
    <w:qFormat/>
    <w:uiPriority w:val="99"/>
    <w:rPr>
      <w:rFonts w:ascii="Times New Roman" w:hAnsi="Times New Roman" w:eastAsia="楷体_GB2312" w:cs="Times New Roman"/>
      <w:color w:val="000000"/>
      <w:u w:val="none"/>
    </w:rPr>
  </w:style>
  <w:style w:type="character" w:styleId="31">
    <w:name w:val="Hyperlink"/>
    <w:qFormat/>
    <w:uiPriority w:val="99"/>
    <w:rPr>
      <w:rFonts w:ascii="Calibri" w:hAnsi="Calibri" w:eastAsia="宋体" w:cs="Times New Roman"/>
      <w:color w:val="0000FF"/>
      <w:u w:val="single"/>
    </w:rPr>
  </w:style>
  <w:style w:type="character" w:styleId="32">
    <w:name w:val="annotation reference"/>
    <w:qFormat/>
    <w:uiPriority w:val="0"/>
    <w:rPr>
      <w:rFonts w:ascii="Calibri" w:hAnsi="Calibri" w:eastAsia="宋体" w:cs="Times New Roman"/>
      <w:sz w:val="21"/>
      <w:szCs w:val="21"/>
    </w:rPr>
  </w:style>
  <w:style w:type="paragraph" w:customStyle="1" w:styleId="33">
    <w:name w:val="_Style 3"/>
    <w:basedOn w:val="1"/>
    <w:qFormat/>
    <w:uiPriority w:val="0"/>
    <w:pPr>
      <w:spacing w:line="360" w:lineRule="auto"/>
      <w:jc w:val="center"/>
    </w:pPr>
    <w:rPr>
      <w:szCs w:val="20"/>
    </w:rPr>
  </w:style>
  <w:style w:type="paragraph" w:customStyle="1" w:styleId="34">
    <w:name w:val="样式 宋体 行距: 1.5 倍行距"/>
    <w:basedOn w:val="1"/>
    <w:qFormat/>
    <w:uiPriority w:val="0"/>
    <w:pPr>
      <w:jc w:val="center"/>
    </w:pPr>
    <w:rPr>
      <w:b/>
    </w:rPr>
  </w:style>
  <w:style w:type="character" w:customStyle="1" w:styleId="35">
    <w:name w:val="标题 1 字符"/>
    <w:basedOn w:val="28"/>
    <w:link w:val="3"/>
    <w:qFormat/>
    <w:uiPriority w:val="0"/>
    <w:rPr>
      <w:rFonts w:ascii="宋体" w:hAnsi="宋体" w:eastAsia="宋体" w:cs="Times New Roman"/>
      <w:b/>
      <w:kern w:val="44"/>
      <w:sz w:val="44"/>
      <w:szCs w:val="20"/>
    </w:rPr>
  </w:style>
  <w:style w:type="character" w:customStyle="1" w:styleId="36">
    <w:name w:val="标题 2 字符"/>
    <w:basedOn w:val="28"/>
    <w:link w:val="4"/>
    <w:qFormat/>
    <w:uiPriority w:val="9"/>
    <w:rPr>
      <w:rFonts w:ascii="Arial" w:hAnsi="Arial" w:eastAsia="宋体" w:cs="Times New Roman"/>
      <w:b/>
      <w:sz w:val="24"/>
      <w:szCs w:val="20"/>
    </w:rPr>
  </w:style>
  <w:style w:type="character" w:customStyle="1" w:styleId="37">
    <w:name w:val="标题 3 字符"/>
    <w:basedOn w:val="28"/>
    <w:link w:val="5"/>
    <w:qFormat/>
    <w:uiPriority w:val="0"/>
    <w:rPr>
      <w:rFonts w:ascii="宋体" w:hAnsi="宋体" w:eastAsia="宋体" w:cs="Times New Roman"/>
      <w:b/>
      <w:sz w:val="28"/>
      <w:szCs w:val="28"/>
    </w:rPr>
  </w:style>
  <w:style w:type="character" w:customStyle="1" w:styleId="38">
    <w:name w:val="标题 4 字符"/>
    <w:basedOn w:val="28"/>
    <w:link w:val="6"/>
    <w:qFormat/>
    <w:uiPriority w:val="0"/>
    <w:rPr>
      <w:rFonts w:ascii="Cambria" w:hAnsi="Cambria" w:eastAsia="宋体" w:cs="Times New Roman"/>
      <w:b/>
      <w:bCs/>
      <w:sz w:val="28"/>
      <w:szCs w:val="28"/>
    </w:rPr>
  </w:style>
  <w:style w:type="character" w:customStyle="1" w:styleId="39">
    <w:name w:val="标题 5 字符"/>
    <w:basedOn w:val="28"/>
    <w:link w:val="7"/>
    <w:qFormat/>
    <w:uiPriority w:val="0"/>
    <w:rPr>
      <w:rFonts w:ascii="Times New Roman" w:hAnsi="Times New Roman" w:eastAsia="宋体" w:cs="Times New Roman"/>
      <w:b/>
      <w:bCs/>
      <w:sz w:val="24"/>
      <w:szCs w:val="24"/>
    </w:rPr>
  </w:style>
  <w:style w:type="character" w:customStyle="1" w:styleId="40">
    <w:name w:val="标题 7 字符"/>
    <w:basedOn w:val="28"/>
    <w:link w:val="8"/>
    <w:qFormat/>
    <w:uiPriority w:val="0"/>
    <w:rPr>
      <w:rFonts w:ascii="Times New Roman" w:hAnsi="Times New Roman" w:eastAsia="宋体" w:cs="Times New Roman"/>
      <w:b/>
      <w:kern w:val="0"/>
      <w:sz w:val="24"/>
      <w:szCs w:val="20"/>
    </w:rPr>
  </w:style>
  <w:style w:type="character" w:customStyle="1" w:styleId="41">
    <w:name w:val="页眉 字符"/>
    <w:basedOn w:val="28"/>
    <w:link w:val="21"/>
    <w:qFormat/>
    <w:uiPriority w:val="0"/>
    <w:rPr>
      <w:rFonts w:ascii="Times New Roman" w:hAnsi="Times New Roman" w:eastAsia="宋体" w:cs="Times New Roman"/>
      <w:sz w:val="18"/>
      <w:szCs w:val="18"/>
    </w:rPr>
  </w:style>
  <w:style w:type="character" w:customStyle="1" w:styleId="42">
    <w:name w:val="页脚 字符"/>
    <w:basedOn w:val="28"/>
    <w:link w:val="20"/>
    <w:qFormat/>
    <w:uiPriority w:val="99"/>
    <w:rPr>
      <w:rFonts w:ascii="Times New Roman" w:hAnsi="Times New Roman" w:eastAsia="宋体" w:cs="Times New Roman"/>
      <w:sz w:val="18"/>
      <w:szCs w:val="18"/>
    </w:rPr>
  </w:style>
  <w:style w:type="character" w:customStyle="1" w:styleId="43">
    <w:name w:val="文档结构图 字符"/>
    <w:basedOn w:val="28"/>
    <w:link w:val="9"/>
    <w:qFormat/>
    <w:uiPriority w:val="0"/>
    <w:rPr>
      <w:rFonts w:ascii="宋体" w:hAnsi="Calibri" w:eastAsia="宋体" w:cs="Times New Roman"/>
      <w:sz w:val="18"/>
      <w:szCs w:val="18"/>
    </w:rPr>
  </w:style>
  <w:style w:type="character" w:customStyle="1" w:styleId="44">
    <w:name w:val="批注文字 字符"/>
    <w:basedOn w:val="28"/>
    <w:link w:val="10"/>
    <w:qFormat/>
    <w:uiPriority w:val="0"/>
    <w:rPr>
      <w:rFonts w:ascii="Calibri" w:hAnsi="Calibri" w:eastAsia="宋体" w:cs="Times New Roman"/>
    </w:rPr>
  </w:style>
  <w:style w:type="character" w:customStyle="1" w:styleId="45">
    <w:name w:val="正文文本 3 字符"/>
    <w:basedOn w:val="28"/>
    <w:link w:val="11"/>
    <w:qFormat/>
    <w:uiPriority w:val="0"/>
    <w:rPr>
      <w:rFonts w:ascii="宋体" w:hAnsi="Calibri" w:eastAsia="宋体" w:cs="Times New Roman"/>
      <w:sz w:val="24"/>
    </w:rPr>
  </w:style>
  <w:style w:type="character" w:customStyle="1" w:styleId="46">
    <w:name w:val="正文文本 字符"/>
    <w:basedOn w:val="28"/>
    <w:link w:val="12"/>
    <w:qFormat/>
    <w:uiPriority w:val="0"/>
    <w:rPr>
      <w:rFonts w:ascii="Times New Roman" w:hAnsi="Times New Roman" w:eastAsia="宋体" w:cs="Times New Roman"/>
      <w:szCs w:val="20"/>
    </w:rPr>
  </w:style>
  <w:style w:type="character" w:customStyle="1" w:styleId="47">
    <w:name w:val="正文文本缩进 字符"/>
    <w:basedOn w:val="28"/>
    <w:link w:val="13"/>
    <w:qFormat/>
    <w:uiPriority w:val="0"/>
    <w:rPr>
      <w:rFonts w:ascii="宋体" w:hAnsi="宋体" w:eastAsia="宋体" w:cs="Times New Roman"/>
      <w:color w:val="000000"/>
      <w:kern w:val="0"/>
      <w:sz w:val="20"/>
      <w:szCs w:val="24"/>
    </w:rPr>
  </w:style>
  <w:style w:type="character" w:customStyle="1" w:styleId="48">
    <w:name w:val="纯文本 字符"/>
    <w:basedOn w:val="28"/>
    <w:link w:val="16"/>
    <w:qFormat/>
    <w:uiPriority w:val="0"/>
    <w:rPr>
      <w:rFonts w:ascii="宋体" w:hAnsi="Calibri" w:eastAsia="宋体" w:cs="Times New Roman"/>
      <w:sz w:val="22"/>
    </w:rPr>
  </w:style>
  <w:style w:type="character" w:customStyle="1" w:styleId="49">
    <w:name w:val="日期 字符"/>
    <w:basedOn w:val="28"/>
    <w:link w:val="17"/>
    <w:qFormat/>
    <w:uiPriority w:val="0"/>
    <w:rPr>
      <w:rFonts w:ascii="Calibri" w:hAnsi="Calibri" w:eastAsia="宋体" w:cs="Times New Roman"/>
    </w:rPr>
  </w:style>
  <w:style w:type="character" w:customStyle="1" w:styleId="50">
    <w:name w:val="正文文本缩进 2 字符"/>
    <w:basedOn w:val="28"/>
    <w:link w:val="18"/>
    <w:qFormat/>
    <w:uiPriority w:val="0"/>
    <w:rPr>
      <w:rFonts w:ascii="Times New Roman" w:hAnsi="Times New Roman" w:eastAsia="宋体" w:cs="Times New Roman"/>
      <w:szCs w:val="24"/>
    </w:rPr>
  </w:style>
  <w:style w:type="character" w:customStyle="1" w:styleId="51">
    <w:name w:val="批注框文本 字符"/>
    <w:basedOn w:val="28"/>
    <w:link w:val="19"/>
    <w:qFormat/>
    <w:uiPriority w:val="0"/>
    <w:rPr>
      <w:rFonts w:ascii="Calibri" w:hAnsi="Calibri" w:eastAsia="宋体" w:cs="Times New Roman"/>
      <w:sz w:val="18"/>
      <w:szCs w:val="18"/>
    </w:rPr>
  </w:style>
  <w:style w:type="character" w:customStyle="1" w:styleId="52">
    <w:name w:val="批注主题 字符"/>
    <w:basedOn w:val="44"/>
    <w:link w:val="24"/>
    <w:qFormat/>
    <w:uiPriority w:val="0"/>
    <w:rPr>
      <w:rFonts w:ascii="Calibri" w:hAnsi="Calibri" w:eastAsia="宋体" w:cs="Times New Roman"/>
      <w:b/>
      <w:bCs/>
    </w:rPr>
  </w:style>
  <w:style w:type="character" w:customStyle="1" w:styleId="53">
    <w:name w:val="正文文本首行缩进 字符"/>
    <w:basedOn w:val="46"/>
    <w:link w:val="25"/>
    <w:qFormat/>
    <w:uiPriority w:val="0"/>
    <w:rPr>
      <w:rFonts w:ascii="Calibri" w:hAnsi="Calibri" w:eastAsia="宋体" w:cs="Times New Roman"/>
      <w:szCs w:val="24"/>
    </w:rPr>
  </w:style>
  <w:style w:type="character" w:customStyle="1" w:styleId="54">
    <w:name w:val="正文文本首行缩进 2 字符"/>
    <w:basedOn w:val="47"/>
    <w:link w:val="26"/>
    <w:qFormat/>
    <w:uiPriority w:val="0"/>
    <w:rPr>
      <w:rFonts w:ascii="Times New Roman" w:hAnsi="Times New Roman" w:eastAsia="宋体" w:cs="Times New Roman"/>
      <w:color w:val="000000"/>
      <w:kern w:val="0"/>
      <w:sz w:val="20"/>
      <w:szCs w:val="24"/>
    </w:rPr>
  </w:style>
  <w:style w:type="character" w:customStyle="1" w:styleId="55">
    <w:name w:val="datagrid-sort-icon3"/>
    <w:basedOn w:val="28"/>
    <w:qFormat/>
    <w:uiPriority w:val="0"/>
    <w:rPr>
      <w:rFonts w:ascii="Calibri" w:hAnsi="Calibri" w:eastAsia="宋体" w:cs="Times New Roman"/>
    </w:rPr>
  </w:style>
  <w:style w:type="paragraph" w:customStyle="1" w:styleId="56">
    <w:name w:val="列出段落1"/>
    <w:basedOn w:val="1"/>
    <w:qFormat/>
    <w:uiPriority w:val="0"/>
    <w:pPr>
      <w:ind w:firstLine="420" w:firstLineChars="200"/>
    </w:pPr>
    <w:rPr>
      <w:szCs w:val="24"/>
    </w:rPr>
  </w:style>
  <w:style w:type="paragraph" w:customStyle="1" w:styleId="57">
    <w:name w:val="列表段落1"/>
    <w:basedOn w:val="1"/>
    <w:qFormat/>
    <w:uiPriority w:val="0"/>
    <w:pPr>
      <w:ind w:firstLine="420" w:firstLineChars="200"/>
    </w:pPr>
    <w:rPr>
      <w:szCs w:val="24"/>
    </w:rPr>
  </w:style>
  <w:style w:type="paragraph" w:customStyle="1" w:styleId="5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修订1"/>
    <w:qFormat/>
    <w:uiPriority w:val="0"/>
    <w:rPr>
      <w:rFonts w:ascii="Times New Roman" w:hAnsi="Times New Roman" w:eastAsia="宋体" w:cs="Times New Roman"/>
      <w:kern w:val="2"/>
      <w:sz w:val="21"/>
      <w:szCs w:val="22"/>
      <w:lang w:val="en-US" w:eastAsia="zh-CN" w:bidi="ar-SA"/>
    </w:rPr>
  </w:style>
  <w:style w:type="paragraph" w:customStyle="1" w:styleId="6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1">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2">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4">
    <w:name w:val="xl71"/>
    <w:basedOn w:val="1"/>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5">
    <w:name w:val="xl72"/>
    <w:basedOn w:val="1"/>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6">
    <w:name w:val="xl73"/>
    <w:basedOn w:val="1"/>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7">
    <w:name w:val="xl74"/>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68">
    <w:name w:val="xl75"/>
    <w:basedOn w:val="1"/>
    <w:qFormat/>
    <w:uiPriority w:val="0"/>
    <w:pPr>
      <w:widowControl/>
      <w:spacing w:before="100" w:beforeAutospacing="1" w:after="100" w:afterAutospacing="1"/>
      <w:jc w:val="center"/>
      <w:textAlignment w:val="center"/>
    </w:pPr>
    <w:rPr>
      <w:rFonts w:ascii="宋体" w:hAnsi="宋体" w:cs="宋体"/>
      <w:kern w:val="0"/>
      <w:sz w:val="28"/>
      <w:szCs w:val="28"/>
    </w:rPr>
  </w:style>
  <w:style w:type="paragraph" w:customStyle="1" w:styleId="69">
    <w:name w:val="xl76"/>
    <w:basedOn w:val="1"/>
    <w:qFormat/>
    <w:uiPriority w:val="0"/>
    <w:pPr>
      <w:widowControl/>
      <w:spacing w:before="100" w:beforeAutospacing="1" w:after="100" w:afterAutospacing="1"/>
      <w:jc w:val="center"/>
      <w:textAlignment w:val="center"/>
    </w:pPr>
    <w:rPr>
      <w:rFonts w:ascii="Calibri" w:hAnsi="Calibri" w:cs="Calibri"/>
      <w:kern w:val="0"/>
      <w:sz w:val="24"/>
      <w:szCs w:val="24"/>
    </w:rPr>
  </w:style>
  <w:style w:type="paragraph" w:customStyle="1" w:styleId="70">
    <w:name w:val="xl7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1">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5">
    <w:name w:val="xl8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6">
    <w:name w:val="xl8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7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1">
    <w:name w:val="xl8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2">
    <w:name w:val="xl8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3">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4">
    <w:name w:val="xl9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5">
    <w:name w:val="xl9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6">
    <w:name w:val="xl9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8">
    <w:name w:val="xl9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0">
    <w:name w:val="xl9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1">
    <w:name w:val="xl9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2">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3">
    <w:name w:val="xl100"/>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4">
    <w:name w:val="xl101"/>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5">
    <w:name w:val="xl102"/>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7">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
    <w:name w:val="xl105"/>
    <w:basedOn w:val="1"/>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9">
    <w:name w:val="xl106"/>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0">
    <w:name w:val="xl107"/>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
    <w:name w:val="xl10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2">
    <w:name w:val="xl109"/>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3">
    <w:name w:val="xl110"/>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4">
    <w:name w:val="xl111"/>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5">
    <w:name w:val="xl11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6">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0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08">
    <w:name w:val="xl11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9">
    <w:name w:val="xl11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0">
    <w:name w:val="xl117"/>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1">
    <w:name w:val="xl11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2">
    <w:name w:val="xl119"/>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3">
    <w:name w:val="xl12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4">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5">
    <w:name w:val="xl12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6">
    <w:name w:val="xl12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7">
    <w:name w:val="xl12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9">
    <w:name w:val="CM25"/>
    <w:basedOn w:val="118"/>
    <w:next w:val="118"/>
    <w:qFormat/>
    <w:uiPriority w:val="99"/>
    <w:pPr>
      <w:spacing w:line="426" w:lineRule="atLeast"/>
    </w:pPr>
    <w:rPr>
      <w:color w:val="auto"/>
    </w:rPr>
  </w:style>
  <w:style w:type="paragraph" w:customStyle="1" w:styleId="120">
    <w:name w:val="CM39"/>
    <w:basedOn w:val="118"/>
    <w:next w:val="118"/>
    <w:qFormat/>
    <w:uiPriority w:val="99"/>
    <w:rPr>
      <w:color w:val="auto"/>
    </w:rPr>
  </w:style>
  <w:style w:type="paragraph" w:customStyle="1" w:styleId="121">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122">
    <w:name w:val="Heading2"/>
    <w:basedOn w:val="1"/>
    <w:next w:val="1"/>
    <w:qFormat/>
    <w:uiPriority w:val="0"/>
    <w:pPr>
      <w:keepNext/>
      <w:keepLines/>
      <w:spacing w:before="260" w:after="260" w:line="412" w:lineRule="auto"/>
    </w:pPr>
    <w:rPr>
      <w:rFonts w:ascii="Arial" w:hAnsi="Arial" w:eastAsia="黑体"/>
      <w:kern w:val="0"/>
      <w:sz w:val="32"/>
      <w:szCs w:val="32"/>
    </w:rPr>
  </w:style>
  <w:style w:type="paragraph" w:customStyle="1" w:styleId="123">
    <w:name w:val="正文 New"/>
    <w:next w:val="1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首行缩进 2 New"/>
    <w:basedOn w:val="125"/>
    <w:qFormat/>
    <w:uiPriority w:val="0"/>
    <w:pPr>
      <w:ind w:firstLine="420" w:firstLineChars="200"/>
    </w:pPr>
    <w:rPr>
      <w:rFonts w:eastAsia="宋体"/>
      <w:kern w:val="2"/>
      <w:sz w:val="21"/>
      <w:szCs w:val="22"/>
    </w:rPr>
  </w:style>
  <w:style w:type="paragraph" w:customStyle="1" w:styleId="125">
    <w:name w:val="正文文本缩进 New"/>
    <w:basedOn w:val="123"/>
    <w:next w:val="126"/>
    <w:qFormat/>
    <w:uiPriority w:val="0"/>
    <w:pPr>
      <w:spacing w:after="120" w:afterLines="0"/>
      <w:ind w:left="420" w:leftChars="200"/>
    </w:pPr>
    <w:rPr>
      <w:rFonts w:eastAsia="宋体"/>
      <w:kern w:val="2"/>
      <w:sz w:val="21"/>
    </w:rPr>
  </w:style>
  <w:style w:type="paragraph" w:customStyle="1" w:styleId="126">
    <w:name w:val="寄信人地址 New"/>
    <w:basedOn w:val="123"/>
    <w:qFormat/>
    <w:uiPriority w:val="0"/>
    <w:pPr>
      <w:snapToGrid w:val="0"/>
    </w:pPr>
    <w:rPr>
      <w:rFonts w:ascii="Arial" w:hAnsi="Arial"/>
    </w:rPr>
  </w:style>
  <w:style w:type="paragraph" w:customStyle="1" w:styleId="127">
    <w:name w:val="Table Paragraph"/>
    <w:basedOn w:val="1"/>
    <w:qFormat/>
    <w:uiPriority w:val="0"/>
  </w:style>
  <w:style w:type="paragraph" w:customStyle="1" w:styleId="128">
    <w:name w:val="正文首行缩进 21"/>
    <w:basedOn w:val="13"/>
    <w:qFormat/>
    <w:uiPriority w:val="99"/>
    <w:pPr>
      <w:ind w:firstLine="420" w:firstLineChars="200"/>
    </w:pPr>
    <w:rPr>
      <w:szCs w:val="24"/>
    </w:rPr>
  </w:style>
  <w:style w:type="paragraph" w:styleId="12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09CAC-AE91-4D8E-86E4-F06ECD7885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32589</Words>
  <Characters>34431</Characters>
  <Lines>369</Lines>
  <Paragraphs>104</Paragraphs>
  <TotalTime>4</TotalTime>
  <ScaleCrop>false</ScaleCrop>
  <LinksUpToDate>false</LinksUpToDate>
  <CharactersWithSpaces>35407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2023-02-06T02:26:00Z</dcterms:created>
  <dc:creator>Admin</dc:creator>
  <cp:lastModifiedBy>zhengjiawen</cp:lastModifiedBy>
  <cp:lastPrinted>2025-06-10T09:41:00Z</cp:lastPrinted>
  <dcterms:modified xsi:type="dcterms:W3CDTF">2025-08-08T10:05:30Z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6B9E6F4050304DCEA33BFB7F51AE1F49_13</vt:lpwstr>
  </property>
  <property fmtid="{D5CDD505-2E9C-101B-9397-08002B2CF9AE}" pid="4" name="KSOTemplateDocerSaveRecord">
    <vt:lpwstr>eyJoZGlkIjoiZGU1YjY5Y2Y4M2Y3ZDc0NmM1M2E2OTllZDE4NjEwYmUiLCJ1c2VySWQiOiIzNDA4NjUyMjAifQ==</vt:lpwstr>
  </property>
</Properties>
</file>