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849737">
      <w:pPr>
        <w:pStyle w:val="11"/>
        <w:kinsoku w:val="0"/>
        <w:overflowPunct w:val="0"/>
        <w:ind w:left="0"/>
        <w:rPr>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p>
    <w:p w14:paraId="35944222">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19E00D67">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7FF2FA08">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77DEDA75">
      <w:pPr>
        <w:jc w:val="cente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0" w:name="_Toc6405"/>
      <w:r>
        <w:rPr>
          <w:rFonts w:hint="eastAsia" w:asciiTheme="minorEastAsia" w:hAnsiTheme="minorEastAsia" w:eastAsiaTheme="minorEastAsia" w:cstheme="minorEastAsia"/>
          <w:color w:val="000000" w:themeColor="text1"/>
          <w:sz w:val="52"/>
          <w:szCs w:val="52"/>
          <w:highlight w:val="none"/>
          <w:lang w:eastAsia="zh-CN"/>
          <w14:textFill>
            <w14:solidFill>
              <w14:schemeClr w14:val="tx1"/>
            </w14:solidFill>
          </w14:textFill>
        </w:rPr>
        <w:t>天河龙洞粮库建设工程（水利水电工程）监理</w:t>
      </w:r>
      <w:bookmarkEnd w:id="0"/>
    </w:p>
    <w:p w14:paraId="18F3C0B0">
      <w:pPr>
        <w:pStyle w:val="11"/>
        <w:kinsoku w:val="0"/>
        <w:overflowPunct w:val="0"/>
        <w:spacing w:before="2"/>
        <w:ind w:left="0"/>
        <w:rPr>
          <w:rFonts w:hint="eastAsia" w:asciiTheme="minorEastAsia" w:hAnsiTheme="minorEastAsia" w:eastAsiaTheme="minorEastAsia" w:cstheme="minorEastAsia"/>
          <w:color w:val="000000" w:themeColor="text1"/>
          <w:sz w:val="23"/>
          <w:szCs w:val="24"/>
          <w:highlight w:val="none"/>
          <w14:textFill>
            <w14:solidFill>
              <w14:schemeClr w14:val="tx1"/>
            </w14:solidFill>
          </w14:textFill>
        </w:rPr>
      </w:pPr>
    </w:p>
    <w:p w14:paraId="6FA76C78">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6D4AECD">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40E77CE4">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06DB6212">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74F0B027">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649899D">
      <w:pPr>
        <w:pStyle w:val="11"/>
        <w:kinsoku w:val="0"/>
        <w:overflowPunct w:val="0"/>
        <w:spacing w:before="106"/>
        <w:ind w:left="3" w:right="4"/>
        <w:jc w:val="cente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84"/>
          <w:szCs w:val="24"/>
          <w:highlight w:val="none"/>
          <w14:textFill>
            <w14:solidFill>
              <w14:schemeClr w14:val="tx1"/>
            </w14:solidFill>
          </w14:textFill>
        </w:rPr>
        <w:t>招标文件</w:t>
      </w:r>
    </w:p>
    <w:p w14:paraId="4F216D16">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64D17E2B">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0FB5370A">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1652CC97">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75FED5DF">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6394E2E5">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4B9B07A8">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3B3CC409">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528D6EF1">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424851D7">
      <w:pPr>
        <w:pStyle w:val="11"/>
        <w:kinsoku w:val="0"/>
        <w:overflowPunct w:val="0"/>
        <w:spacing w:before="8"/>
        <w:ind w:left="0"/>
        <w:rPr>
          <w:rFonts w:hint="eastAsia" w:asciiTheme="minorEastAsia" w:hAnsiTheme="minorEastAsia" w:eastAsiaTheme="minorEastAsia" w:cstheme="minorEastAsia"/>
          <w:color w:val="000000" w:themeColor="text1"/>
          <w:sz w:val="33"/>
          <w:szCs w:val="24"/>
          <w:highlight w:val="none"/>
          <w14:textFill>
            <w14:solidFill>
              <w14:schemeClr w14:val="tx1"/>
            </w14:solidFill>
          </w14:textFill>
        </w:rPr>
      </w:pPr>
    </w:p>
    <w:p w14:paraId="3DFFF2EC">
      <w:pPr>
        <w:spacing w:before="88" w:line="468" w:lineRule="auto"/>
        <w:ind w:left="0"/>
        <w:jc w:val="center"/>
        <w:rPr>
          <w:rFonts w:hint="eastAsia" w:asciiTheme="minorEastAsia" w:hAnsiTheme="minorEastAsia" w:eastAsiaTheme="minorEastAsia" w:cstheme="minorEastAsia"/>
          <w:color w:val="000000" w:themeColor="text1"/>
          <w:spacing w:val="-4"/>
          <w:sz w:val="27"/>
          <w:szCs w:val="27"/>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7"/>
          <w:szCs w:val="27"/>
          <w:highlight w:val="none"/>
          <w14:textFill>
            <w14:solidFill>
              <w14:schemeClr w14:val="tx1"/>
            </w14:solidFill>
          </w14:textFill>
        </w:rPr>
        <w:t>招标人：</w:t>
      </w:r>
      <w:r>
        <w:rPr>
          <w:rFonts w:hint="eastAsia" w:asciiTheme="minorEastAsia" w:hAnsiTheme="minorEastAsia" w:eastAsiaTheme="minorEastAsia" w:cstheme="minorEastAsia"/>
          <w:color w:val="000000" w:themeColor="text1"/>
          <w:spacing w:val="-4"/>
          <w:sz w:val="27"/>
          <w:szCs w:val="27"/>
          <w:highlight w:val="none"/>
          <w:u w:val="single" w:color="auto"/>
          <w14:textFill>
            <w14:solidFill>
              <w14:schemeClr w14:val="tx1"/>
            </w14:solidFill>
          </w14:textFill>
        </w:rPr>
        <w:t xml:space="preserve"> 广州市天河区建设工程项目代建局 </w:t>
      </w:r>
      <w:r>
        <w:rPr>
          <w:rFonts w:hint="eastAsia" w:asciiTheme="minorEastAsia" w:hAnsiTheme="minorEastAsia" w:eastAsiaTheme="minorEastAsia" w:cstheme="minorEastAsia"/>
          <w:color w:val="000000" w:themeColor="text1"/>
          <w:spacing w:val="-4"/>
          <w:sz w:val="27"/>
          <w:szCs w:val="27"/>
          <w:highlight w:val="none"/>
          <w14:textFill>
            <w14:solidFill>
              <w14:schemeClr w14:val="tx1"/>
            </w14:solidFill>
          </w14:textFill>
        </w:rPr>
        <w:t>(盖单位章)</w:t>
      </w:r>
    </w:p>
    <w:p w14:paraId="2118176E">
      <w:pPr>
        <w:spacing w:before="88" w:line="468" w:lineRule="auto"/>
        <w:ind w:left="0"/>
        <w:jc w:val="center"/>
        <w:rPr>
          <w:rFonts w:hint="eastAsia" w:asciiTheme="minorEastAsia" w:hAnsiTheme="minorEastAsia" w:eastAsiaTheme="minorEastAsia" w:cstheme="minorEastAsia"/>
          <w:color w:val="000000" w:themeColor="text1"/>
          <w:spacing w:val="-4"/>
          <w:sz w:val="27"/>
          <w:szCs w:val="27"/>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7"/>
          <w:szCs w:val="27"/>
          <w:highlight w:val="none"/>
          <w:lang w:val="en-US" w:eastAsia="zh-CN"/>
          <w14:textFill>
            <w14:solidFill>
              <w14:schemeClr w14:val="tx1"/>
            </w14:solidFill>
          </w14:textFill>
        </w:rPr>
        <w:t>招标代理：</w:t>
      </w:r>
      <w:r>
        <w:rPr>
          <w:rFonts w:hint="eastAsia" w:asciiTheme="minorEastAsia" w:hAnsiTheme="minorEastAsia" w:eastAsiaTheme="minorEastAsia" w:cstheme="minorEastAsia"/>
          <w:color w:val="000000" w:themeColor="text1"/>
          <w:spacing w:val="-4"/>
          <w:sz w:val="27"/>
          <w:szCs w:val="27"/>
          <w:highlight w:val="none"/>
          <w:u w:val="single"/>
          <w:lang w:val="en-US" w:eastAsia="zh-CN"/>
          <w14:textFill>
            <w14:solidFill>
              <w14:schemeClr w14:val="tx1"/>
            </w14:solidFill>
          </w14:textFill>
        </w:rPr>
        <w:t>永道工程咨询有限公司</w:t>
      </w:r>
    </w:p>
    <w:p w14:paraId="2F70BF13">
      <w:pPr>
        <w:pStyle w:val="11"/>
        <w:tabs>
          <w:tab w:val="left" w:pos="3611"/>
          <w:tab w:val="left" w:pos="4626"/>
          <w:tab w:val="left" w:pos="5642"/>
        </w:tabs>
        <w:kinsoku w:val="0"/>
        <w:overflowPunct w:val="0"/>
        <w:spacing w:before="14"/>
        <w:ind w:left="0" w:right="175"/>
        <w:jc w:val="cente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sectPr>
          <w:footerReference r:id="rId3" w:type="default"/>
          <w:pgSz w:w="11905" w:h="16838"/>
          <w:pgMar w:top="1417" w:right="1417" w:bottom="1417" w:left="1417" w:header="720" w:footer="720" w:gutter="0"/>
          <w:lnNumType w:countBy="0" w:distance="360"/>
          <w:cols w:space="720" w:num="1"/>
        </w:sectPr>
      </w:pPr>
      <w:r>
        <w:rPr>
          <w:rFonts w:hint="eastAsia" w:asciiTheme="minorEastAsia" w:hAnsiTheme="minorEastAsia" w:eastAsiaTheme="minorEastAsia" w:cstheme="minorEastAsia"/>
          <w:color w:val="000000" w:themeColor="text1"/>
          <w:sz w:val="27"/>
          <w:szCs w:val="27"/>
          <w:highlight w:val="none"/>
          <w:u w:val="single" w:color="auto"/>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6"/>
          <w:sz w:val="27"/>
          <w:szCs w:val="27"/>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6"/>
          <w:sz w:val="27"/>
          <w:szCs w:val="27"/>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7"/>
          <w:szCs w:val="27"/>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7"/>
          <w:szCs w:val="27"/>
          <w:highlight w:val="none"/>
          <w:u w:val="single" w:color="auto"/>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3"/>
          <w:sz w:val="27"/>
          <w:szCs w:val="27"/>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7"/>
          <w:szCs w:val="27"/>
          <w:highlight w:val="none"/>
          <w14:textFill>
            <w14:solidFill>
              <w14:schemeClr w14:val="tx1"/>
            </w14:solidFill>
          </w14:textFill>
        </w:rPr>
        <w:t>月</w:t>
      </w:r>
    </w:p>
    <w:sdt>
      <w:sdt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d w:val="147452449"/>
        <w15:color w:val="DBDBDB"/>
        <w:docPartObj>
          <w:docPartGallery w:val="Table of Contents"/>
          <w:docPartUnique/>
        </w:docPartObj>
      </w:sdtPr>
      <w:sdtEndP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sdtEndPr>
      <w:sdtContent>
        <w:p w14:paraId="7E61C8E5">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目</w:t>
          </w:r>
          <w:r>
            <w:rPr>
              <w:rFonts w:hint="eastAsia" w:asciiTheme="minorEastAsia" w:hAnsiTheme="minorEastAsia" w:eastAsiaTheme="minorEastAsia" w:cstheme="minorEastAsia"/>
              <w:b/>
              <w:bCs/>
              <w:color w:val="000000" w:themeColor="text1"/>
              <w:sz w:val="30"/>
              <w:szCs w:val="3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录</w:t>
          </w:r>
        </w:p>
        <w:p w14:paraId="5BCCB2FC">
          <w:pPr>
            <w:pStyle w:val="15"/>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TOC \o "1-3" \h \u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_Toc19294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第一卷</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_Toc19294 \h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14:paraId="75778D4C">
          <w:pPr>
            <w:pStyle w:val="16"/>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 HYPERLINK \l _Toc4842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招标公告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_Toc4842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14:paraId="32CF3FBD">
          <w:pPr>
            <w:pStyle w:val="16"/>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 HYPERLINK \l _Toc10685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第二章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投标人须知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_Toc10685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14:paraId="4829CA48">
          <w:pPr>
            <w:pStyle w:val="16"/>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 HYPERLINK \l _Toc29250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第三章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评标办法（综合评估法）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_Toc29250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14:paraId="337B882F">
          <w:pPr>
            <w:pStyle w:val="16"/>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 HYPERLINK \l _Toc15665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第四章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_Toc15665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14:paraId="2A32F406">
          <w:pPr>
            <w:pStyle w:val="15"/>
            <w:tabs>
              <w:tab w:val="right" w:leader="dot" w:pos="9071"/>
            </w:tabs>
            <w:spacing w:line="360" w:lineRule="auto"/>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i w:val="0"/>
              <w:iCs w:val="0"/>
              <w:color w:val="000000" w:themeColor="text1"/>
              <w:sz w:val="24"/>
              <w:szCs w:val="24"/>
              <w:highlight w:val="none"/>
              <w:lang w:eastAsia="zh-CN"/>
              <w14:textFill>
                <w14:solidFill>
                  <w14:schemeClr w14:val="tx1"/>
                </w14:solidFill>
              </w14:textFill>
            </w:rPr>
            <w:instrText xml:space="preserve"> HYPERLINK \l _Toc29682 </w:instrText>
          </w:r>
          <w:r>
            <w:rPr>
              <w:rFonts w:hint="eastAsia" w:asciiTheme="minorEastAsia" w:hAnsiTheme="minorEastAsia" w:eastAsiaTheme="minorEastAsia" w:cstheme="minorEastAsia"/>
              <w:b/>
              <w:bCs/>
              <w:i w:val="0"/>
              <w:iCs w:val="0"/>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t>第二卷</w:t>
          </w:r>
          <w:r>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instrText xml:space="preserve"> PAGEREF _Toc29682 \h </w:instrText>
          </w:r>
          <w:r>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t>41</w:t>
          </w:r>
          <w:r>
            <w:rPr>
              <w:rFonts w:hint="eastAsia" w:asciiTheme="minorEastAsia" w:hAnsiTheme="minorEastAsia" w:eastAsiaTheme="minorEastAsia" w:cstheme="minorEastAsia"/>
              <w:b/>
              <w:bCs/>
              <w:i w:val="0"/>
              <w:iCs w:val="0"/>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i w:val="0"/>
              <w:iCs w:val="0"/>
              <w:color w:val="000000" w:themeColor="text1"/>
              <w:sz w:val="24"/>
              <w:szCs w:val="24"/>
              <w:highlight w:val="none"/>
              <w:lang w:eastAsia="zh-CN"/>
              <w14:textFill>
                <w14:solidFill>
                  <w14:schemeClr w14:val="tx1"/>
                </w14:solidFill>
              </w14:textFill>
            </w:rPr>
            <w:fldChar w:fldCharType="end"/>
          </w:r>
        </w:p>
        <w:p w14:paraId="79C1CCD9">
          <w:pPr>
            <w:pStyle w:val="16"/>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 HYPERLINK \l _Toc17878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第五章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委托人要求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_Toc17878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14:paraId="1BCA9096">
          <w:pPr>
            <w:pStyle w:val="15"/>
            <w:tabs>
              <w:tab w:val="right" w:leader="dot" w:pos="9071"/>
            </w:tabs>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_Toc9855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第三卷</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_Toc9855 \h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44</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14:paraId="71379AE6">
          <w:pPr>
            <w:pStyle w:val="16"/>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 HYPERLINK \l _Toc1895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第六章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_Toc1895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14:paraId="14C7A032">
          <w:pPr>
            <w:pStyle w:val="16"/>
            <w:tabs>
              <w:tab w:val="right" w:leader="dot" w:pos="9071"/>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 HYPERLINK \l _Toc27375 </w:instrTex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投标人须知前附表规定的其他资料。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_Toc27375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14:paraId="2BF0143A">
          <w:pPr>
            <w:pStyle w:val="11"/>
            <w:tabs>
              <w:tab w:val="right" w:leader="dot" w:pos="8714"/>
            </w:tabs>
            <w:kinsoku w:val="0"/>
            <w:overflowPunct w:val="0"/>
            <w:spacing w:line="360" w:lineRule="auto"/>
            <w:ind w:left="0"/>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sdtContent>
    </w:sdt>
    <w:p w14:paraId="411D2655">
      <w:pPr>
        <w:pStyle w:val="39"/>
        <w:keepNext w:val="0"/>
        <w:keepLines w:val="0"/>
        <w:pageBreakBefore w:val="0"/>
        <w:widowControl/>
        <w:tabs>
          <w:tab w:val="right" w:leader="dot" w:pos="9071"/>
        </w:tabs>
        <w:kinsoku/>
        <w:wordWrap/>
        <w:overflowPunct/>
        <w:topLinePunct w:val="0"/>
        <w:autoSpaceDE/>
        <w:autoSpaceDN/>
        <w:bidi w:val="0"/>
        <w:adjustRightInd/>
        <w:snapToGrid/>
        <w:ind w:left="720" w:left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6757BB46">
      <w:pPr>
        <w:pStyle w:val="11"/>
        <w:tabs>
          <w:tab w:val="right" w:leader="dot" w:pos="8714"/>
        </w:tabs>
        <w:kinsoku w:val="0"/>
        <w:overflowPunct w:val="0"/>
        <w:spacing w:line="288" w:lineRule="exact"/>
        <w:ind w:left="0"/>
        <w:jc w:val="cente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sectPr>
          <w:pgSz w:w="11905" w:h="16838"/>
          <w:pgMar w:top="1417" w:right="1417" w:bottom="1417" w:left="1417" w:header="720" w:footer="720" w:gutter="0"/>
          <w:lnNumType w:countBy="0" w:distance="360"/>
          <w:cols w:space="720" w:num="1"/>
        </w:sectPr>
      </w:pPr>
    </w:p>
    <w:p w14:paraId="04E7EE6D">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bookmarkStart w:id="1" w:name="bookmark0"/>
      <w:bookmarkEnd w:id="1"/>
      <w:bookmarkStart w:id="2" w:name="_Toc19294"/>
      <w: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t>第一卷</w:t>
      </w:r>
      <w:bookmarkEnd w:id="2"/>
    </w:p>
    <w:p w14:paraId="725D642B">
      <w:pPr>
        <w:pStyle w:val="3"/>
        <w:keepNext w:val="0"/>
        <w:keepLines w:val="0"/>
        <w:pageBreakBefore w:val="0"/>
        <w:widowControl w:val="0"/>
        <w:kinsoku w:val="0"/>
        <w:wordWrap/>
        <w:overflowPunct w:val="0"/>
        <w:topLinePunct w:val="0"/>
        <w:autoSpaceDE w:val="0"/>
        <w:autoSpaceDN w:val="0"/>
        <w:bidi w:val="0"/>
        <w:adjustRightInd w:val="0"/>
        <w:snapToGrid/>
        <w:spacing w:before="0" w:beforeLines="2200"/>
        <w:ind w:left="6" w:right="1"/>
        <w:textAlignment w:val="auto"/>
        <w:outlineLvl w:val="9"/>
        <w:rPr>
          <w:rFonts w:hint="eastAsia" w:asciiTheme="minorEastAsia" w:hAnsiTheme="minorEastAsia" w:eastAsiaTheme="minorEastAsia" w:cstheme="minorEastAsia"/>
          <w:b w:val="0"/>
          <w:color w:val="000000" w:themeColor="text1"/>
          <w:sz w:val="44"/>
          <w:szCs w:val="24"/>
          <w:highlight w:val="none"/>
          <w14:textFill>
            <w14:solidFill>
              <w14:schemeClr w14:val="tx1"/>
            </w14:solidFill>
          </w14:textFill>
        </w:rPr>
        <w:sectPr>
          <w:footerReference r:id="rId4" w:type="default"/>
          <w:pgSz w:w="11905" w:h="16838"/>
          <w:pgMar w:top="1417" w:right="1417" w:bottom="1417" w:left="1417" w:header="720" w:footer="720" w:gutter="0"/>
          <w:lnNumType w:countBy="0" w:distance="360"/>
          <w:cols w:space="720" w:num="1"/>
        </w:sectPr>
      </w:pPr>
    </w:p>
    <w:p w14:paraId="0C7C1A52">
      <w:pPr>
        <w:pStyle w:val="4"/>
        <w:outlineLvl w:val="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bookmarkStart w:id="3" w:name="bookmark1"/>
      <w:bookmarkEnd w:id="3"/>
      <w:bookmarkStart w:id="4" w:name="_Toc4842"/>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第一章</w:t>
      </w:r>
      <w:r>
        <w:rPr>
          <w:rFonts w:hint="eastAsia" w:asciiTheme="minorEastAsia" w:hAnsiTheme="minorEastAsia" w:eastAsiaTheme="minorEastAsia" w:cstheme="minorEastAsia"/>
          <w:color w:val="000000" w:themeColor="text1"/>
          <w:sz w:val="4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招标公告</w:t>
      </w:r>
      <w:bookmarkEnd w:id="4"/>
    </w:p>
    <w:p w14:paraId="45BE33BB">
      <w:pPr>
        <w:spacing w:beforeLines="100" w:afterLines="100" w:line="360" w:lineRule="auto"/>
        <w:jc w:val="center"/>
        <w:rPr>
          <w:rFonts w:hint="eastAsia" w:asciiTheme="minorEastAsia" w:hAnsiTheme="minorEastAsia" w:eastAsiaTheme="minorEastAsia" w:cstheme="minorEastAsia"/>
          <w:b/>
          <w:color w:val="000000" w:themeColor="text1"/>
          <w:sz w:val="30"/>
          <w:szCs w:val="24"/>
          <w:highlight w:val="none"/>
          <w14:textFill>
            <w14:solidFill>
              <w14:schemeClr w14:val="tx1"/>
            </w14:solidFill>
          </w14:textFill>
        </w:rPr>
      </w:pPr>
      <w:r>
        <w:rPr>
          <w:rFonts w:hint="eastAsia"/>
          <w:color w:val="000000" w:themeColor="text1"/>
          <w:sz w:val="30"/>
          <w:szCs w:val="30"/>
          <w:highlight w:val="none"/>
          <w:lang w:eastAsia="zh-CN"/>
          <w14:textFill>
            <w14:solidFill>
              <w14:schemeClr w14:val="tx1"/>
            </w14:solidFill>
          </w14:textFill>
        </w:rPr>
        <w:t>天河龙洞粮库建设工程（水利水电工程）</w:t>
      </w:r>
      <w:r>
        <w:rPr>
          <w:rFonts w:hint="eastAsia" w:asciiTheme="minorEastAsia" w:hAnsiTheme="minorEastAsia" w:eastAsiaTheme="minorEastAsia" w:cstheme="minorEastAsia"/>
          <w:b/>
          <w:color w:val="000000" w:themeColor="text1"/>
          <w:sz w:val="30"/>
          <w:szCs w:val="24"/>
          <w:highlight w:val="none"/>
          <w14:textFill>
            <w14:solidFill>
              <w14:schemeClr w14:val="tx1"/>
            </w14:solidFill>
          </w14:textFill>
        </w:rPr>
        <w:t>监理</w:t>
      </w:r>
    </w:p>
    <w:p w14:paraId="45C5D25D">
      <w:pPr>
        <w:spacing w:beforeLines="100" w:afterLines="100" w:line="360" w:lineRule="auto"/>
        <w:jc w:val="center"/>
        <w:rPr>
          <w:rFonts w:hint="eastAsia" w:asciiTheme="minorEastAsia" w:hAnsiTheme="minorEastAsia" w:eastAsiaTheme="minorEastAsia" w:cstheme="minorEastAsia"/>
          <w:b/>
          <w:color w:val="000000" w:themeColor="text1"/>
          <w:sz w:val="30"/>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24"/>
          <w:highlight w:val="none"/>
          <w14:textFill>
            <w14:solidFill>
              <w14:schemeClr w14:val="tx1"/>
            </w14:solidFill>
          </w14:textFill>
        </w:rPr>
        <w:t>招标公告</w:t>
      </w:r>
      <w:r>
        <w:rPr>
          <w:rFonts w:hint="eastAsia" w:asciiTheme="minorEastAsia" w:hAnsiTheme="minorEastAsia" w:eastAsiaTheme="minorEastAsia" w:cstheme="minorEastAsia"/>
          <w:b/>
          <w:color w:val="000000" w:themeColor="text1"/>
          <w:sz w:val="30"/>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30"/>
          <w:szCs w:val="24"/>
          <w:highlight w:val="none"/>
          <w:lang w:val="en-US" w:eastAsia="zh-CN"/>
          <w14:textFill>
            <w14:solidFill>
              <w14:schemeClr w14:val="tx1"/>
            </w14:solidFill>
          </w14:textFill>
        </w:rPr>
        <w:t>另册</w:t>
      </w:r>
      <w:r>
        <w:rPr>
          <w:rFonts w:hint="eastAsia" w:asciiTheme="minorEastAsia" w:hAnsiTheme="minorEastAsia" w:eastAsiaTheme="minorEastAsia" w:cstheme="minorEastAsia"/>
          <w:b/>
          <w:color w:val="000000" w:themeColor="text1"/>
          <w:sz w:val="30"/>
          <w:szCs w:val="24"/>
          <w:highlight w:val="none"/>
          <w:lang w:eastAsia="zh-CN"/>
          <w14:textFill>
            <w14:solidFill>
              <w14:schemeClr w14:val="tx1"/>
            </w14:solidFill>
          </w14:textFill>
        </w:rPr>
        <w:t>）</w:t>
      </w:r>
    </w:p>
    <w:p w14:paraId="753DC480">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010FACCC">
      <w:pPr>
        <w:pStyle w:val="11"/>
        <w:tabs>
          <w:tab w:val="left" w:pos="5880"/>
          <w:tab w:val="left" w:pos="6826"/>
          <w:tab w:val="left" w:pos="7769"/>
        </w:tabs>
        <w:kinsoku w:val="0"/>
        <w:overflowPunct w:val="0"/>
        <w:spacing w:before="198" w:line="360" w:lineRule="auto"/>
        <w:ind w:left="5146" w:right="11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 w:name="bookmark2"/>
      <w:bookmarkEnd w:id="5"/>
    </w:p>
    <w:p w14:paraId="3F612F99">
      <w:pPr>
        <w:pStyle w:val="11"/>
        <w:tabs>
          <w:tab w:val="left" w:pos="5880"/>
          <w:tab w:val="left" w:pos="6826"/>
          <w:tab w:val="left" w:pos="7769"/>
        </w:tabs>
        <w:kinsoku w:val="0"/>
        <w:overflowPunct w:val="0"/>
        <w:spacing w:before="198" w:line="360" w:lineRule="auto"/>
        <w:ind w:left="5146" w:right="11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720" w:footer="720" w:gutter="0"/>
          <w:lnNumType w:countBy="0" w:distance="360"/>
          <w:cols w:space="720" w:num="1"/>
        </w:sectPr>
      </w:pPr>
    </w:p>
    <w:p w14:paraId="65D2CD81">
      <w:pPr>
        <w:pStyle w:val="4"/>
        <w:outlineLvl w:val="0"/>
        <w:rPr>
          <w:rFonts w:hint="eastAsia" w:asciiTheme="minorEastAsia" w:hAnsiTheme="minorEastAsia" w:eastAsiaTheme="minorEastAsia" w:cstheme="minorEastAsia"/>
          <w:b w:val="0"/>
          <w:color w:val="000000" w:themeColor="text1"/>
          <w:sz w:val="57"/>
          <w:szCs w:val="24"/>
          <w:highlight w:val="none"/>
          <w14:textFill>
            <w14:solidFill>
              <w14:schemeClr w14:val="tx1"/>
            </w14:solidFill>
          </w14:textFill>
        </w:rPr>
      </w:pPr>
      <w:bookmarkStart w:id="6" w:name="bookmark9"/>
      <w:bookmarkEnd w:id="6"/>
      <w:bookmarkStart w:id="7" w:name="bookmark18"/>
      <w:bookmarkEnd w:id="7"/>
      <w:bookmarkStart w:id="8" w:name="_Toc10685"/>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第二章</w:t>
      </w:r>
      <w:r>
        <w:rPr>
          <w:rFonts w:hint="eastAsia" w:asciiTheme="minorEastAsia" w:hAnsiTheme="minorEastAsia" w:eastAsiaTheme="minorEastAsia" w:cstheme="minorEastAsia"/>
          <w:color w:val="000000" w:themeColor="text1"/>
          <w:sz w:val="4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投标人须知</w:t>
      </w:r>
      <w:bookmarkEnd w:id="8"/>
    </w:p>
    <w:p w14:paraId="0C75A5CF">
      <w:pPr>
        <w:pStyle w:val="5"/>
        <w:kinsoku w:val="0"/>
        <w:overflowPunct w:val="0"/>
        <w:ind w:left="220"/>
        <w:jc w:val="center"/>
        <w:outlineLvl w:val="1"/>
        <w:rPr>
          <w:rFonts w:hint="eastAsia" w:asciiTheme="minorEastAsia" w:hAnsiTheme="minorEastAsia" w:eastAsiaTheme="minorEastAsia" w:cstheme="minorEastAsia"/>
          <w:b w:val="0"/>
          <w:color w:val="000000" w:themeColor="text1"/>
          <w:sz w:val="20"/>
          <w:szCs w:val="24"/>
          <w:highlight w:val="none"/>
          <w14:textFill>
            <w14:solidFill>
              <w14:schemeClr w14:val="tx1"/>
            </w14:solidFill>
          </w14:textFill>
        </w:rPr>
      </w:pPr>
      <w:bookmarkStart w:id="9" w:name="bookmark19"/>
      <w:bookmarkEnd w:id="9"/>
      <w:bookmarkStart w:id="10" w:name="_Toc8684"/>
      <w:r>
        <w:rPr>
          <w:rFonts w:hint="eastAsia" w:asciiTheme="minorEastAsia" w:hAnsiTheme="minorEastAsia" w:eastAsiaTheme="minorEastAsia" w:cstheme="minorEastAsia"/>
          <w:color w:val="000000" w:themeColor="text1"/>
          <w:sz w:val="32"/>
          <w:szCs w:val="24"/>
          <w:highlight w:val="none"/>
          <w14:textFill>
            <w14:solidFill>
              <w14:schemeClr w14:val="tx1"/>
            </w14:solidFill>
          </w14:textFill>
        </w:rPr>
        <w:t>投标人须知前附表</w:t>
      </w:r>
      <w:bookmarkEnd w:id="10"/>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182F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A8FE5">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52874">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4C383">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编列内容</w:t>
            </w:r>
          </w:p>
        </w:tc>
      </w:tr>
      <w:tr w14:paraId="6398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DA37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468C6">
            <w:pPr>
              <w:pStyle w:val="28"/>
              <w:keepNext w:val="0"/>
              <w:keepLines w:val="0"/>
              <w:suppressLineNumbers w:val="0"/>
              <w:kinsoku w:val="0"/>
              <w:overflowPunct w:val="0"/>
              <w:spacing w:before="0" w:beforeAutospacing="0" w:after="0" w:afterAutospacing="0" w:line="360" w:lineRule="auto"/>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39509">
            <w:pPr>
              <w:pStyle w:val="28"/>
              <w:keepNext w:val="0"/>
              <w:keepLines w:val="0"/>
              <w:suppressLineNumbers w:val="0"/>
              <w:kinsoku w:val="0"/>
              <w:overflowPunct w:val="0"/>
              <w:adjustRightInd/>
              <w:spacing w:before="0" w:beforeAutospacing="0" w:after="0" w:afterAutospacing="0" w:line="360" w:lineRule="auto"/>
              <w:ind w:left="0" w:right="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名称：广州市天河区建设工程项目代建局 </w:t>
            </w:r>
          </w:p>
          <w:p w14:paraId="202D59EB">
            <w:pPr>
              <w:pStyle w:val="28"/>
              <w:keepNext w:val="0"/>
              <w:keepLines w:val="0"/>
              <w:suppressLineNumbers w:val="0"/>
              <w:kinsoku w:val="0"/>
              <w:overflowPunct w:val="0"/>
              <w:adjustRightInd/>
              <w:spacing w:before="0" w:beforeAutospacing="0" w:after="0" w:afterAutospacing="0" w:line="360" w:lineRule="auto"/>
              <w:ind w:left="0" w:right="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地址：广州市天河区黄埔大道中300号17楼</w:t>
            </w:r>
          </w:p>
          <w:p w14:paraId="554500B2">
            <w:pPr>
              <w:pStyle w:val="28"/>
              <w:keepNext w:val="0"/>
              <w:keepLines w:val="0"/>
              <w:suppressLineNumbers w:val="0"/>
              <w:kinsoku w:val="0"/>
              <w:overflowPunct w:val="0"/>
              <w:adjustRightInd/>
              <w:spacing w:before="0" w:beforeAutospacing="0" w:after="0" w:afterAutospacing="0" w:line="360" w:lineRule="auto"/>
              <w:ind w:left="0" w:right="0"/>
              <w:jc w:val="both"/>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联系人：吴工、李工</w:t>
            </w:r>
          </w:p>
          <w:p w14:paraId="18729D0F">
            <w:pPr>
              <w:pStyle w:val="28"/>
              <w:keepNext w:val="0"/>
              <w:keepLines w:val="0"/>
              <w:suppressLineNumbers w:val="0"/>
              <w:kinsoku w:val="0"/>
              <w:overflowPunct w:val="0"/>
              <w:adjustRightInd/>
              <w:spacing w:before="0" w:beforeAutospacing="0" w:after="0" w:afterAutospacing="0" w:line="360" w:lineRule="auto"/>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电话：020-38085259</w:t>
            </w:r>
          </w:p>
        </w:tc>
      </w:tr>
      <w:tr w14:paraId="7C3D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B115B">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DD8A3A">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4B19F">
            <w:pPr>
              <w:pStyle w:val="28"/>
              <w:keepNext w:val="0"/>
              <w:keepLines w:val="0"/>
              <w:suppressLineNumbers w:val="0"/>
              <w:kinsoku w:val="0"/>
              <w:overflowPunct w:val="0"/>
              <w:adjustRightInd/>
              <w:spacing w:before="0" w:beforeAutospacing="0" w:after="0" w:afterAutospacing="0" w:line="360" w:lineRule="auto"/>
              <w:ind w:left="0" w:right="0"/>
              <w:jc w:val="both"/>
              <w:rPr>
                <w:rFonts w:hint="eastAsia" w:asciiTheme="minorEastAsia" w:hAnsiTheme="minorEastAsia" w:eastAsiaTheme="minorEastAsia" w:cstheme="minorEastAsia"/>
                <w:color w:val="000000" w:themeColor="text1"/>
                <w:spacing w:val="-102"/>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永道工程咨询有限公司</w:t>
            </w:r>
            <w:r>
              <w:rPr>
                <w:rFonts w:hint="eastAsia" w:asciiTheme="minorEastAsia" w:hAnsiTheme="minorEastAsia" w:eastAsiaTheme="minorEastAsia" w:cstheme="minorEastAsia"/>
                <w:color w:val="000000" w:themeColor="text1"/>
                <w:spacing w:val="-102"/>
                <w:sz w:val="21"/>
                <w:szCs w:val="24"/>
                <w:highlight w:val="none"/>
                <w14:textFill>
                  <w14:solidFill>
                    <w14:schemeClr w14:val="tx1"/>
                  </w14:solidFill>
                </w14:textFill>
              </w:rPr>
              <w:t xml:space="preserve"> </w:t>
            </w:r>
          </w:p>
          <w:p w14:paraId="4032C680">
            <w:pPr>
              <w:pStyle w:val="28"/>
              <w:keepNext w:val="0"/>
              <w:keepLines w:val="0"/>
              <w:suppressLineNumbers w:val="0"/>
              <w:kinsoku w:val="0"/>
              <w:overflowPunct w:val="0"/>
              <w:adjustRightInd/>
              <w:spacing w:before="0" w:beforeAutospacing="0" w:after="0" w:afterAutospacing="0" w:line="360" w:lineRule="auto"/>
              <w:ind w:left="0" w:right="0"/>
              <w:jc w:val="both"/>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广州市天河区华强路9号中盈大厦27楼</w:t>
            </w:r>
          </w:p>
          <w:p w14:paraId="7FF7A420">
            <w:pPr>
              <w:pStyle w:val="28"/>
              <w:keepNext w:val="0"/>
              <w:keepLines w:val="0"/>
              <w:suppressLineNumbers w:val="0"/>
              <w:kinsoku w:val="0"/>
              <w:overflowPunct w:val="0"/>
              <w:adjustRightInd/>
              <w:spacing w:before="0" w:beforeAutospacing="0" w:after="0" w:afterAutospacing="0" w:line="360" w:lineRule="auto"/>
              <w:ind w:left="0" w:right="0"/>
              <w:jc w:val="both"/>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2"/>
                <w:sz w:val="2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联系</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郑工</w:t>
            </w:r>
          </w:p>
          <w:p w14:paraId="2EE082FB">
            <w:pPr>
              <w:pStyle w:val="28"/>
              <w:keepNext w:val="0"/>
              <w:keepLines w:val="0"/>
              <w:suppressLineNumbers w:val="0"/>
              <w:kinsoku w:val="0"/>
              <w:overflowPunct w:val="0"/>
              <w:spacing w:before="0" w:beforeAutospacing="0" w:after="0" w:afterAutospacing="0" w:line="360" w:lineRule="auto"/>
              <w:ind w:left="0" w:right="0"/>
              <w:jc w:val="both"/>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020-38818808</w:t>
            </w:r>
          </w:p>
        </w:tc>
      </w:tr>
      <w:tr w14:paraId="251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CC272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9F565E">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74724">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天河龙洞粮库建设工程（水利水电工程）监理</w:t>
            </w:r>
          </w:p>
        </w:tc>
      </w:tr>
      <w:tr w14:paraId="7DAE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1677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9AB35">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2185B5">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广州市天河区龙洞街道迎龙路东侧</w:t>
            </w:r>
          </w:p>
        </w:tc>
      </w:tr>
      <w:tr w14:paraId="1FAA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7683C">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84B496">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8976ED">
            <w:pPr>
              <w:keepNext w:val="0"/>
              <w:keepLines w:val="0"/>
              <w:suppressLineNumbers w:val="0"/>
              <w:spacing w:before="0" w:beforeAutospacing="0" w:after="0" w:afterAutospacing="0"/>
              <w:ind w:left="0" w:right="0"/>
              <w:jc w:val="both"/>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详见招标公告。</w:t>
            </w:r>
          </w:p>
        </w:tc>
      </w:tr>
      <w:tr w14:paraId="42C3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4306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6B09B5">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5A394F">
            <w:pPr>
              <w:keepNext w:val="0"/>
              <w:keepLines w:val="0"/>
              <w:suppressLineNumbers w:val="0"/>
              <w:spacing w:before="0" w:beforeAutospacing="0" w:after="0" w:afterAutospacing="0"/>
              <w:ind w:left="0" w:right="0"/>
              <w:jc w:val="both"/>
              <w:rPr>
                <w:rFonts w:hint="eastAsia" w:eastAsia="宋体"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日历天,</w:t>
            </w:r>
            <w:r>
              <w:rPr>
                <w:rFonts w:hint="eastAsia" w:ascii="宋体" w:hAnsi="宋体" w:cs="宋体"/>
                <w:color w:val="000000" w:themeColor="text1"/>
                <w:sz w:val="21"/>
                <w:szCs w:val="21"/>
                <w:highlight w:val="none"/>
                <w:u w:val="single"/>
                <w14:textFill>
                  <w14:solidFill>
                    <w14:schemeClr w14:val="tx1"/>
                  </w14:solidFill>
                </w14:textFill>
              </w:rPr>
              <w:t>具体施工工期以本项目施工招标时约定的工期为准</w:t>
            </w:r>
            <w:r>
              <w:rPr>
                <w:rFonts w:hint="eastAsia" w:ascii="宋体" w:hAnsi="宋体" w:cs="宋体"/>
                <w:color w:val="000000" w:themeColor="text1"/>
                <w:sz w:val="21"/>
                <w:szCs w:val="21"/>
                <w:highlight w:val="none"/>
                <w:u w:val="single"/>
                <w:lang w:eastAsia="zh-CN"/>
                <w14:textFill>
                  <w14:solidFill>
                    <w14:schemeClr w14:val="tx1"/>
                  </w14:solidFill>
                </w14:textFill>
              </w:rPr>
              <w:t>。</w:t>
            </w:r>
          </w:p>
        </w:tc>
      </w:tr>
      <w:tr w14:paraId="1EA7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CB71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8B8DED">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A91EC">
            <w:pPr>
              <w:keepNext w:val="0"/>
              <w:keepLines w:val="0"/>
              <w:suppressLineNumbers w:val="0"/>
              <w:spacing w:before="0" w:beforeAutospacing="0" w:after="0" w:afterAutospacing="0"/>
              <w:ind w:left="0" w:right="0"/>
              <w:jc w:val="both"/>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详见招标公告。</w:t>
            </w:r>
          </w:p>
        </w:tc>
      </w:tr>
      <w:tr w14:paraId="174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9A14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46C29">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B322B">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详见招标公告。</w:t>
            </w:r>
          </w:p>
        </w:tc>
      </w:tr>
      <w:tr w14:paraId="5B2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9E9B5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2339A">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53AF3">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已落实。</w:t>
            </w:r>
          </w:p>
        </w:tc>
      </w:tr>
      <w:tr w14:paraId="53F1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5967C">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46712">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450C0B">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详见招标公告。</w:t>
            </w:r>
          </w:p>
        </w:tc>
      </w:tr>
      <w:tr w14:paraId="5D7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2B260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F7DC6">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1C66B1">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详见招标公告。</w:t>
            </w:r>
          </w:p>
        </w:tc>
      </w:tr>
      <w:tr w14:paraId="4209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0F1D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DD593">
            <w:pPr>
              <w:pStyle w:val="28"/>
              <w:keepNext w:val="0"/>
              <w:keepLines w:val="0"/>
              <w:suppressLineNumbers w:val="0"/>
              <w:kinsoku w:val="0"/>
              <w:overflowPunct w:val="0"/>
              <w:spacing w:before="0" w:beforeAutospacing="0" w:after="0" w:afterAutospacing="0"/>
              <w:ind w:left="0" w:right="0"/>
              <w:jc w:val="both"/>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监理目标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311F5">
            <w:pPr>
              <w:keepNext w:val="0"/>
              <w:keepLines w:val="0"/>
              <w:suppressLineNumbers w:val="0"/>
              <w:spacing w:before="0" w:beforeAutospacing="0" w:after="0" w:afterAutospacing="0"/>
              <w:ind w:left="0" w:right="0"/>
              <w:jc w:val="both"/>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详见招标公告。</w:t>
            </w:r>
          </w:p>
        </w:tc>
      </w:tr>
      <w:tr w14:paraId="54F8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92F07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F344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3343E">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详见本项目招标公告。</w:t>
            </w:r>
          </w:p>
        </w:tc>
      </w:tr>
      <w:tr w14:paraId="20B8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EE4390">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D8B20">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AB36C">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不接受</w:t>
            </w:r>
          </w:p>
          <w:p w14:paraId="5D0BB6BE">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接受，应满足下列要求：</w:t>
            </w:r>
          </w:p>
        </w:tc>
      </w:tr>
      <w:tr w14:paraId="0D9E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98C5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37C92">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F1F46">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w:t>
            </w:r>
          </w:p>
        </w:tc>
      </w:tr>
      <w:tr w14:paraId="6D68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DF168">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BC70A">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D743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招标人不集中组织，由投标人自行踏勘；</w:t>
            </w:r>
          </w:p>
          <w:p w14:paraId="234DDF5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时间：自</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招标公告发布之日</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起具备现场踏勘条件；</w:t>
            </w:r>
          </w:p>
          <w:p w14:paraId="6E847AB3">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现场详细地点：_</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详见招标公告</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_；</w:t>
            </w:r>
          </w:p>
        </w:tc>
      </w:tr>
      <w:tr w14:paraId="0C78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7D328518">
            <w:pPr>
              <w:keepNext w:val="0"/>
              <w:keepLines w:val="0"/>
              <w:suppressLineNumbers w:val="0"/>
              <w:spacing w:before="0" w:beforeAutospacing="0" w:after="0" w:afterAutospacing="0" w:line="283" w:lineRule="auto"/>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374A2D5D">
            <w:pPr>
              <w:keepNext w:val="0"/>
              <w:keepLines w:val="0"/>
              <w:suppressLineNumbers w:val="0"/>
              <w:spacing w:before="0" w:beforeAutospacing="0" w:after="0" w:afterAutospacing="0" w:line="284" w:lineRule="auto"/>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77DF7089">
            <w:pPr>
              <w:keepNext w:val="0"/>
              <w:keepLines w:val="0"/>
              <w:suppressLineNumbers w:val="0"/>
              <w:spacing w:before="60" w:beforeAutospacing="0" w:after="0" w:afterAutospacing="0" w:line="186"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141621EC">
            <w:pPr>
              <w:keepNext w:val="0"/>
              <w:keepLines w:val="0"/>
              <w:suppressLineNumbers w:val="0"/>
              <w:spacing w:before="0" w:beforeAutospacing="0" w:after="0" w:afterAutospacing="0" w:line="260" w:lineRule="auto"/>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6A42B3FA">
            <w:pPr>
              <w:keepNext w:val="0"/>
              <w:keepLines w:val="0"/>
              <w:suppressLineNumbers w:val="0"/>
              <w:spacing w:before="0" w:beforeAutospacing="0" w:after="0" w:afterAutospacing="0" w:line="260" w:lineRule="auto"/>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76720EF1">
            <w:pPr>
              <w:keepNext w:val="0"/>
              <w:keepLines w:val="0"/>
              <w:suppressLineNumbers w:val="0"/>
              <w:spacing w:before="68" w:beforeAutospacing="0" w:after="0" w:afterAutospacing="0" w:line="217" w:lineRule="auto"/>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3606A42C">
            <w:pPr>
              <w:pStyle w:val="10"/>
              <w:keepNext w:val="0"/>
              <w:keepLines w:val="0"/>
              <w:suppressLineNumbers w:val="0"/>
              <w:spacing w:before="62" w:beforeLines="20" w:beforeAutospacing="0" w:after="62" w:afterLines="20" w:afterAutospacing="0"/>
              <w:ind w:left="48" w:leftChars="20" w:right="48" w:rightChars="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☑不召开</w:t>
            </w:r>
          </w:p>
          <w:p w14:paraId="430CA731">
            <w:pPr>
              <w:keepNext w:val="0"/>
              <w:keepLines w:val="0"/>
              <w:suppressLineNumbers w:val="0"/>
              <w:spacing w:before="62" w:beforeLines="20" w:beforeAutospacing="0" w:after="62" w:afterLines="20" w:afterAutospacing="0"/>
              <w:ind w:left="48" w:leftChars="20" w:right="48" w:rightChars="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召开，召开时间：</w:t>
            </w:r>
          </w:p>
          <w:p w14:paraId="3DA9805C">
            <w:pPr>
              <w:keepNext w:val="0"/>
              <w:keepLines w:val="0"/>
              <w:suppressLineNumbers w:val="0"/>
              <w:spacing w:before="173" w:beforeAutospacing="0" w:after="0" w:afterAutospacing="0"/>
              <w:ind w:left="0" w:right="50" w:firstLine="840" w:firstLineChars="40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召开地点：</w:t>
            </w:r>
          </w:p>
        </w:tc>
      </w:tr>
      <w:tr w14:paraId="51C2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D3C00C0">
            <w:pPr>
              <w:keepNext w:val="0"/>
              <w:keepLines w:val="0"/>
              <w:suppressLineNumbers w:val="0"/>
              <w:spacing w:before="60" w:beforeAutospacing="0" w:after="0" w:afterAutospacing="0" w:line="186" w:lineRule="auto"/>
              <w:ind w:left="0" w:right="0"/>
              <w:jc w:val="cente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B3FC481">
            <w:pPr>
              <w:keepNext w:val="0"/>
              <w:keepLines w:val="0"/>
              <w:suppressLineNumbers w:val="0"/>
              <w:spacing w:before="68" w:beforeAutospacing="0" w:after="0" w:afterAutospacing="0" w:line="217" w:lineRule="auto"/>
              <w:ind w:left="0" w:right="0"/>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81E5F">
            <w:pPr>
              <w:keepNext w:val="0"/>
              <w:keepLines w:val="0"/>
              <w:suppressLineNumbers w:val="0"/>
              <w:autoSpaceDE/>
              <w:autoSpaceDN/>
              <w:adjustRightInd/>
              <w:spacing w:before="63" w:beforeLines="20" w:beforeAutospacing="0" w:after="63" w:afterLines="20" w:afterAutospacing="0"/>
              <w:ind w:left="48" w:leftChars="20" w:right="48" w:rightChars="20"/>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tc>
      </w:tr>
      <w:tr w14:paraId="32DB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9DECA1">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2FCA21">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3D58A">
            <w:pPr>
              <w:keepNext w:val="0"/>
              <w:keepLines w:val="0"/>
              <w:suppressLineNumbers w:val="0"/>
              <w:autoSpaceDE/>
              <w:autoSpaceDN/>
              <w:adjustRightInd/>
              <w:spacing w:before="63" w:beforeLines="20" w:beforeAutospacing="0" w:after="63" w:afterLines="20" w:afterAutospacing="0"/>
              <w:ind w:left="48" w:leftChars="20" w:right="48" w:rightChars="20"/>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形式：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tc>
      </w:tr>
      <w:tr w14:paraId="43C4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741AD">
            <w:pPr>
              <w:keepNext w:val="0"/>
              <w:keepLines w:val="0"/>
              <w:suppressLineNumbers w:val="0"/>
              <w:spacing w:before="62" w:beforeLines="20" w:beforeAutospacing="0" w:after="62" w:afterLines="20" w:afterAutospacing="0"/>
              <w:ind w:left="48" w:leftChars="20" w:right="48" w:rightChars="20"/>
              <w:jc w:val="cente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72D71">
            <w:pPr>
              <w:keepNext w:val="0"/>
              <w:keepLines w:val="0"/>
              <w:suppressLineNumbers w:val="0"/>
              <w:spacing w:before="62" w:beforeLines="20" w:beforeAutospacing="0" w:after="62" w:afterLines="20" w:afterAutospacing="0"/>
              <w:ind w:left="48" w:leftChars="20" w:right="48" w:rightChars="20"/>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E5E3">
            <w:pPr>
              <w:keepNext w:val="0"/>
              <w:keepLines w:val="0"/>
              <w:suppressLineNumbers w:val="0"/>
              <w:autoSpaceDE/>
              <w:autoSpaceDN/>
              <w:adjustRightInd/>
              <w:spacing w:before="63" w:beforeLines="20" w:beforeAutospacing="0" w:after="63" w:afterLines="20" w:afterAutospacing="0"/>
              <w:ind w:left="48" w:leftChars="20" w:right="48" w:rightChars="20"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tc>
      </w:tr>
      <w:tr w14:paraId="4597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0815B">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02B5C">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B57F7">
            <w:pPr>
              <w:keepNext w:val="0"/>
              <w:keepLines w:val="0"/>
              <w:suppressLineNumbers w:val="0"/>
              <w:spacing w:before="0" w:beforeAutospacing="0" w:after="0" w:afterAutospacing="0"/>
              <w:ind w:left="0" w:right="0" w:firstLine="420" w:firstLineChars="20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tc>
      </w:tr>
      <w:tr w14:paraId="7D3D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E2F90">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8C10B">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7FFAE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不允许</w:t>
            </w:r>
          </w:p>
          <w:p w14:paraId="41CDF52D">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允许，偏差范围：</w:t>
            </w:r>
          </w:p>
          <w:p w14:paraId="1D97593D">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偏差幅度：</w:t>
            </w:r>
          </w:p>
        </w:tc>
      </w:tr>
      <w:tr w14:paraId="420D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932DB">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F5279">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11BB5C">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tc>
      </w:tr>
      <w:tr w14:paraId="57B0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683C1">
            <w:pPr>
              <w:keepNext w:val="0"/>
              <w:keepLines w:val="0"/>
              <w:suppressLineNumbers w:val="0"/>
              <w:spacing w:before="60" w:beforeAutospacing="0" w:after="0" w:afterAutospacing="0" w:line="186" w:lineRule="auto"/>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4A8FB4">
            <w:pPr>
              <w:keepNext w:val="0"/>
              <w:keepLines w:val="0"/>
              <w:suppressLineNumbers w:val="0"/>
              <w:spacing w:before="0" w:beforeAutospacing="0" w:after="0" w:afterAutospacing="0" w:line="272" w:lineRule="auto"/>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59E8AC4A">
            <w:pPr>
              <w:keepNext w:val="0"/>
              <w:keepLines w:val="0"/>
              <w:suppressLineNumbers w:val="0"/>
              <w:spacing w:before="69" w:beforeAutospacing="0" w:after="0" w:afterAutospacing="0" w:line="220" w:lineRule="auto"/>
              <w:ind w:left="0" w:right="0"/>
              <w:jc w:val="cente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招标答疑</w:t>
            </w:r>
          </w:p>
          <w:p w14:paraId="607131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pPr>
          </w:p>
          <w:p w14:paraId="637B2B27">
            <w:pPr>
              <w:keepNext w:val="0"/>
              <w:keepLines w:val="0"/>
              <w:suppressLineNumbers w:val="0"/>
              <w:tabs>
                <w:tab w:val="left" w:pos="1103"/>
              </w:tabs>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0DBB96C7">
            <w:pPr>
              <w:keepNext w:val="0"/>
              <w:keepLines w:val="0"/>
              <w:suppressLineNumbers w:val="0"/>
              <w:spacing w:before="156" w:beforeLines="50" w:beforeAutospacing="0" w:after="0" w:afterAutospacing="0"/>
              <w:ind w:left="113" w:leftChars="47" w:right="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疑问提交时间：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投标人在递交投标文件截止时间18天前提出；</w:t>
            </w:r>
          </w:p>
          <w:p w14:paraId="30D5C21D">
            <w:pPr>
              <w:keepNext w:val="0"/>
              <w:keepLines w:val="0"/>
              <w:suppressLineNumbers w:val="0"/>
              <w:spacing w:before="156" w:beforeLines="50" w:beforeAutospacing="0" w:after="0" w:afterAutospacing="0"/>
              <w:ind w:left="113" w:leftChars="47"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形式：投标人的疑问通过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提交。</w:t>
            </w:r>
          </w:p>
          <w:p w14:paraId="3559C422">
            <w:pPr>
              <w:keepNext w:val="0"/>
              <w:keepLines w:val="0"/>
              <w:suppressLineNumbers w:val="0"/>
              <w:spacing w:before="156" w:beforeLines="50" w:beforeAutospacing="0" w:after="0" w:afterAutospacing="0"/>
              <w:ind w:left="113" w:leftChars="47"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具体要求：按照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关于全流程电子化项目的相关指南进行操作，提问一律不得署名。</w:t>
            </w:r>
          </w:p>
        </w:tc>
      </w:tr>
      <w:tr w14:paraId="0D6D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B71068">
            <w:pPr>
              <w:keepNext w:val="0"/>
              <w:keepLines w:val="0"/>
              <w:suppressLineNumbers w:val="0"/>
              <w:spacing w:before="209" w:beforeAutospacing="0" w:after="0" w:afterAutospacing="0" w:line="186" w:lineRule="auto"/>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999D2">
            <w:pPr>
              <w:keepNext w:val="0"/>
              <w:keepLines w:val="0"/>
              <w:suppressLineNumbers w:val="0"/>
              <w:spacing w:before="170" w:beforeAutospacing="0" w:after="0" w:afterAutospacing="0" w:line="220" w:lineRule="auto"/>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招标文件</w:t>
            </w:r>
            <w:r>
              <w:rPr>
                <w:rFonts w:hint="eastAsia" w:asciiTheme="minorEastAsia" w:hAnsiTheme="minorEastAsia" w:eastAsiaTheme="minorEastAsia" w:cstheme="minorEastAsia"/>
                <w:color w:val="000000" w:themeColor="text1"/>
                <w:spacing w:val="-1"/>
                <w:sz w:val="21"/>
                <w:szCs w:val="21"/>
                <w:highlight w:val="none"/>
                <w:lang w:eastAsia="zh-CN"/>
                <w14:textFill>
                  <w14:solidFill>
                    <w14:schemeClr w14:val="tx1"/>
                  </w14:solidFill>
                </w14:textFill>
              </w:rPr>
              <w:t>的澄清和</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5EE8A">
            <w:pPr>
              <w:keepNext w:val="0"/>
              <w:keepLines w:val="0"/>
              <w:suppressLineNumbers w:val="0"/>
              <w:spacing w:before="0" w:beforeAutospacing="0" w:after="0" w:afterAutospacing="0"/>
              <w:ind w:left="91" w:leftChars="38" w:right="0"/>
              <w:jc w:val="both"/>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招标文件的修改期限：在投标截止时间</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天前</w:t>
            </w:r>
            <w:r>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t>，在广州公共资源交易中心网站通过项目答疑专区网上公开发布</w:t>
            </w:r>
          </w:p>
        </w:tc>
      </w:tr>
      <w:tr w14:paraId="788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544B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7EECD">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885AC0">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lang w:val="en-US" w:eastAsia="zh-CN"/>
                <w14:textFill>
                  <w14:solidFill>
                    <w14:schemeClr w14:val="tx1"/>
                  </w14:solidFill>
                </w14:textFill>
              </w:rPr>
              <w:t>满足本项目评审要求的其他资料。</w:t>
            </w:r>
          </w:p>
        </w:tc>
      </w:tr>
      <w:tr w14:paraId="565D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609A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EAD0A">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93684">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按国家税务机关的规定执行。</w:t>
            </w:r>
          </w:p>
        </w:tc>
      </w:tr>
      <w:tr w14:paraId="0219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D4F41">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22F55">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D7D9CD">
            <w:pPr>
              <w:keepNext w:val="0"/>
              <w:keepLines w:val="0"/>
              <w:suppressLineNumbers w:val="0"/>
              <w:snapToGrid w:val="0"/>
              <w:spacing w:before="0" w:beforeAutospacing="0" w:after="0" w:afterAutospacing="0"/>
              <w:ind w:left="0" w:right="0"/>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本招标项目监理服务费采用固定总价报价方式报价（以元为单位，保留小数点后二位，小数点后第三位及第三位数后做舍弃）。</w:t>
            </w:r>
          </w:p>
          <w:p w14:paraId="1D15F757">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监理费的具体结算原则详见合同条款的约定</w:t>
            </w:r>
          </w:p>
        </w:tc>
      </w:tr>
      <w:tr w14:paraId="7C6C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21EAC">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6A5923F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6B799">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6BD162">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无</w:t>
            </w:r>
          </w:p>
          <w:p w14:paraId="5E2DDBA1">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有，最高投标限价：</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406787.13元</w:t>
            </w:r>
          </w:p>
          <w:p w14:paraId="7D312F38">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注：投标报价不得超过本项目最高投标限价。</w:t>
            </w:r>
          </w:p>
        </w:tc>
      </w:tr>
      <w:tr w14:paraId="392C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8740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4A7532">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EDA13">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投标报价超过本项目最高投标限价的投标文件将被否决其投标。</w:t>
            </w:r>
          </w:p>
          <w:p w14:paraId="2578EF27">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投标人必须详细审阅全部招标文件及招标相关资料,充分考虑职责和义务,全面地理解招标文件对投标报价的要求,并按招标人提出的条件及内容进行报价</w:t>
            </w:r>
            <w:r>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t>。</w:t>
            </w:r>
          </w:p>
        </w:tc>
      </w:tr>
      <w:tr w14:paraId="663C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240C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BCA4F">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29491">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_</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120</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_日历天（从投标截止之日计起）</w:t>
            </w:r>
          </w:p>
        </w:tc>
      </w:tr>
      <w:tr w14:paraId="2CE2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23DC9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3D4B9">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3BC5C8">
            <w:pPr>
              <w:keepNext w:val="0"/>
              <w:keepLines w:val="0"/>
              <w:suppressLineNumbers w:val="0"/>
              <w:spacing w:before="139" w:beforeAutospacing="0" w:after="0" w:afterAutospacing="0" w:line="221" w:lineRule="auto"/>
              <w:ind w:left="117"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是否要</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求</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投标人递交投标保证金：</w:t>
            </w:r>
          </w:p>
          <w:p w14:paraId="26DC1231">
            <w:pPr>
              <w:pStyle w:val="28"/>
              <w:keepNext w:val="0"/>
              <w:keepLines w:val="0"/>
              <w:suppressLineNumbers w:val="0"/>
              <w:kinsoku w:val="0"/>
              <w:overflowPunct w:val="0"/>
              <w:spacing w:before="0" w:beforeAutospacing="0" w:after="0" w:afterAutospacing="0"/>
              <w:ind w:left="0" w:right="0" w:firstLine="198" w:firstLineChars="100"/>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p>
          <w:p w14:paraId="79A1BF4F">
            <w:pPr>
              <w:pStyle w:val="28"/>
              <w:keepNext w:val="0"/>
              <w:keepLines w:val="0"/>
              <w:suppressLineNumbers w:val="0"/>
              <w:kinsoku w:val="0"/>
              <w:overflowPunct w:val="0"/>
              <w:spacing w:before="0" w:beforeAutospacing="0" w:after="0" w:afterAutospacing="0"/>
              <w:ind w:left="0" w:right="0" w:firstLine="198" w:firstLineChars="100"/>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不要求</w:t>
            </w:r>
          </w:p>
          <w:p w14:paraId="203B1516">
            <w:pPr>
              <w:keepNext w:val="0"/>
              <w:keepLines w:val="0"/>
              <w:suppressLineNumbers w:val="0"/>
              <w:spacing w:before="147" w:beforeAutospacing="0" w:after="0" w:afterAutospacing="0" w:line="248" w:lineRule="auto"/>
              <w:ind w:left="0" w:right="1461" w:firstLine="196"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要求，投标保证金的形式：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413359AB">
            <w:pPr>
              <w:keepNext w:val="0"/>
              <w:keepLines w:val="0"/>
              <w:suppressLineNumbers w:val="0"/>
              <w:spacing w:before="147" w:beforeAutospacing="0" w:after="0" w:afterAutospacing="0" w:line="248" w:lineRule="auto"/>
              <w:ind w:left="1102" w:leftChars="459" w:right="1461" w:firstLine="13" w:firstLineChars="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highlight w:val="none"/>
                <w14:textFill>
                  <w14:solidFill>
                    <w14:schemeClr w14:val="tx1"/>
                  </w14:solidFill>
                </w14:textFill>
              </w:rPr>
              <w:t>投</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标保证金的金额：</w:t>
            </w:r>
          </w:p>
          <w:p w14:paraId="2C6DE010">
            <w:pPr>
              <w:pStyle w:val="2"/>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000000" w:themeColor="text1"/>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1"/>
                <w:szCs w:val="21"/>
                <w:highlight w:val="none"/>
                <w:u w:val="none"/>
                <w:lang w:val="en-US" w:eastAsia="zh-CN" w:bidi="ar-SA"/>
                <w14:textFill>
                  <w14:solidFill>
                    <w14:schemeClr w14:val="tx1"/>
                  </w14:solidFill>
                </w14:textFill>
              </w:rPr>
              <w:t>注：1、投标保证金不得超过招标项目估算价的2%。投标保证金有效期应当与投标有效期一致。（投标保证金金额根据《中华人民共和国招标投标法实施条例》第二十六条和《水利工程建设项目招标投标管理规定》(水利部第14号令)第二十五条）</w:t>
            </w:r>
          </w:p>
          <w:p w14:paraId="7F288B1F">
            <w:pPr>
              <w:pStyle w:val="2"/>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000000" w:themeColor="text1"/>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1"/>
                <w:szCs w:val="21"/>
                <w:highlight w:val="none"/>
                <w:u w:val="none"/>
                <w:lang w:val="en-US" w:eastAsia="zh-CN" w:bidi="ar-SA"/>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0"/>
                <w:sz w:val="21"/>
                <w:szCs w:val="21"/>
                <w:highlight w:val="none"/>
                <w:u w:val="none"/>
                <w14:textFill>
                  <w14:solidFill>
                    <w14:schemeClr w14:val="tx1"/>
                  </w14:solidFill>
                </w14:textFill>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r>
              <w:rPr>
                <w:rFonts w:hint="eastAsia" w:asciiTheme="minorEastAsia" w:hAnsiTheme="minorEastAsia" w:eastAsiaTheme="minorEastAsia" w:cstheme="minorEastAsia"/>
                <w:i w:val="0"/>
                <w:iCs w:val="0"/>
                <w:caps w:val="0"/>
                <w:color w:val="000000" w:themeColor="text1"/>
                <w:spacing w:val="0"/>
                <w:sz w:val="21"/>
                <w:szCs w:val="21"/>
                <w:highlight w:val="none"/>
                <w:u w:val="none"/>
                <w:lang w:eastAsia="zh-CN"/>
                <w14:textFill>
                  <w14:solidFill>
                    <w14:schemeClr w14:val="tx1"/>
                  </w14:solidFill>
                </w14:textFill>
              </w:rPr>
              <w:t>。</w:t>
            </w:r>
          </w:p>
          <w:p w14:paraId="3D01661D">
            <w:pPr>
              <w:pStyle w:val="28"/>
              <w:keepNext w:val="0"/>
              <w:keepLines w:val="0"/>
              <w:suppressLineNumbers w:val="0"/>
              <w:kinsoku w:val="0"/>
              <w:overflowPunct w:val="0"/>
              <w:spacing w:before="0" w:beforeAutospacing="0" w:after="0" w:afterAutospacing="0"/>
              <w:ind w:left="0" w:right="0" w:firstLine="210" w:firstLineChars="10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sz w:val="21"/>
                <w:szCs w:val="21"/>
                <w:highlight w:val="none"/>
                <w:u w:val="none"/>
                <w:lang w:val="en-US" w:eastAsia="zh-CN" w:bidi="ar-SA"/>
                <w14:textFill>
                  <w14:solidFill>
                    <w14:schemeClr w14:val="tx1"/>
                  </w14:solidFill>
                </w14:textFill>
              </w:rPr>
              <w:t>3、</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招标人在免收投标保证金的同时，应约定免交投标保证金的投标人存在3.4.4条款所列情形的后续处理措施，包括但不限于向投标人索赔等情形。</w:t>
            </w:r>
          </w:p>
        </w:tc>
      </w:tr>
      <w:tr w14:paraId="7189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45E2A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B3042">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3A3B8">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无</w:t>
            </w:r>
          </w:p>
          <w:p w14:paraId="1A9D175C">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有，具体要求：</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1、本招标项目不要求提供“近年财务状况表”“近年发生的诉讼及仲裁情况”，相关内容不作为资格审查内容；本招标项目要求提供的“拟委任的主要人员汇总表”、“拟投入本项目的主要试验检测仪器设备表”资料，不作为资格审查内容，但（如有）需提供，仅作为投标人的评标（综合评分）资料进行考察。</w:t>
            </w:r>
          </w:p>
          <w:p w14:paraId="1037E0CC">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2、监理类似业绩，要求同时提供中标通知书或免招标的相关证明、施工监理合同关键页、验收证明材料（含竣工验收报告或完工验收证书或完工验收鉴定书或竣工移交证书），业绩完成时间以验收证明材料为准。</w:t>
            </w:r>
          </w:p>
          <w:p w14:paraId="7C32D37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3、本招标项目要求提供的资格审查其他资料：</w:t>
            </w:r>
          </w:p>
          <w:p w14:paraId="108F1593">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①资格审查前，投标人已在广州公共资源交易中心办理企业信息登记，及拟担任本工程项目负责人须是本企业在广州公共资源交易中心企业信息登记中的在册人员。（以网页查询信息为准，不需提供截图）。</w:t>
            </w:r>
          </w:p>
          <w:p w14:paraId="44ACE265">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②投标人已按规定格式签名盖章《投标人声明》（格式见招标文件第六章投标文件格式）。</w:t>
            </w:r>
          </w:p>
          <w:p w14:paraId="711FF64F">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③未被列入“在一定期限内依法取消参加依法必须进行招标的项目的投标资格”，具体名单以递交投标文件截止时间“信用广州”公布的“黑名单”为准</w:t>
            </w:r>
            <w:r>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未被列入拖欠农民工工资失信联合惩戒对象名单和失信被执行人；（投标人无需提供资料，按投标截止时间交易系统比对的结果进行评审）。</w:t>
            </w:r>
          </w:p>
          <w:p w14:paraId="2EEB61C8">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④投标人未出现以下情形：与本招标项目其它投标人的单位负责人为同一人或者存在控股、管理关系的（按投标人提供的《投标人声明》第六条内容进行评审）</w:t>
            </w:r>
            <w:r>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t>。</w:t>
            </w:r>
          </w:p>
          <w:p w14:paraId="2D395D42">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⑤</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投标人认为需要提供的其他资料。</w:t>
            </w:r>
          </w:p>
        </w:tc>
      </w:tr>
      <w:tr w14:paraId="1E44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3340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778561">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C79129">
            <w:pPr>
              <w:pStyle w:val="28"/>
              <w:keepNext w:val="0"/>
              <w:keepLines w:val="0"/>
              <w:suppressLineNumbers w:val="0"/>
              <w:tabs>
                <w:tab w:val="left" w:pos="799"/>
                <w:tab w:val="left" w:pos="1569"/>
                <w:tab w:val="left" w:pos="2340"/>
              </w:tabs>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2020</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日至</w:t>
            </w: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今（完成时间以竣工验收报告或完工验收证书或完工验收鉴定书或竣工移交证书的时间为准）</w:t>
            </w:r>
          </w:p>
        </w:tc>
      </w:tr>
      <w:tr w14:paraId="43CF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A0124">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B13EB">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B95B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不允许</w:t>
            </w:r>
          </w:p>
          <w:p w14:paraId="7A0B6A9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允许</w:t>
            </w:r>
          </w:p>
        </w:tc>
      </w:tr>
      <w:tr w14:paraId="6F54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C31C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583EEB">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00AEE">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投标文件格式规定需个人签字的，应签字或签章后扫描上传</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4"/>
                <w:highlight w:val="none"/>
                <w:lang w:val="en-US" w:eastAsia="zh-CN" w:bidi="ar-SA"/>
                <w14:textFill>
                  <w14:solidFill>
                    <w14:schemeClr w14:val="tx1"/>
                  </w14:solidFill>
                </w14:textFill>
              </w:rPr>
              <w:t>可靠的电子签名与手写签名或者盖章具有同等的法律效力</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。投标文件格式规定盖单位公章的页面必须盖单位公章（公章与电子公章具有相同法律效力）</w:t>
            </w:r>
          </w:p>
        </w:tc>
      </w:tr>
      <w:tr w14:paraId="115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9BAF4">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08C00">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F53B9C">
            <w:pPr>
              <w:keepNext w:val="0"/>
              <w:keepLines w:val="0"/>
              <w:suppressLineNumbers w:val="0"/>
              <w:spacing w:before="62" w:beforeLines="20" w:beforeAutospacing="0" w:after="62" w:afterLines="20" w:afterAutospacing="0"/>
              <w:ind w:left="48" w:leftChars="20" w:right="48" w:rightChars="2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投标截止时间：</w:t>
            </w:r>
            <w:r>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t>详见本项目日程安排，具体时间可以到广州交易集团有限公司（广州公共资源交易中心）网站“建设工程→项目查询（日程安排、答疑纪要）”输入本项目编号或项目名称进行查询，网址http://www.gzggzy.cn/xmcxjsgc/index.jhtml</w:t>
            </w:r>
          </w:p>
        </w:tc>
      </w:tr>
      <w:tr w14:paraId="4987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BA7B0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E92A3">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13701">
            <w:pPr>
              <w:keepNext w:val="0"/>
              <w:keepLines w:val="0"/>
              <w:suppressLineNumbers w:val="0"/>
              <w:spacing w:before="120" w:beforeLines="50" w:beforeAutospacing="0" w:after="0" w:afterAutospacing="0" w:line="240" w:lineRule="auto"/>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1、开标时间：同投标截止时间</w:t>
            </w:r>
          </w:p>
          <w:p w14:paraId="28E6B808">
            <w:pPr>
              <w:keepNext w:val="0"/>
              <w:keepLines w:val="0"/>
              <w:suppressLineNumbers w:val="0"/>
              <w:spacing w:before="174" w:beforeAutospacing="0" w:after="0" w:afterAutospacing="0" w:line="240" w:lineRule="auto"/>
              <w:ind w:left="0" w:right="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开标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t>详见本项目日程安排，具体时间可以到广州交易集团有限公司（广州公共资源交易中心）网站“建设工程→项目查询（日程安排、答疑纪要）”输入本项目编号或项目名称进行查询，网址http://www.gzggzy.cn/xmcxjsgc/index.jhtml</w:t>
            </w:r>
          </w:p>
          <w:p w14:paraId="26763F21">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18"/>
                <w:highlight w:val="none"/>
                <w14:textFill>
                  <w14:solidFill>
                    <w14:schemeClr w14:val="tx1"/>
                  </w14:solidFill>
                </w14:textFill>
              </w:rPr>
              <w:t>、递交投标文件备用光盘时间：</w:t>
            </w:r>
            <w:r>
              <w:rPr>
                <w:rFonts w:hint="eastAsia" w:asciiTheme="minorEastAsia" w:hAnsiTheme="minorEastAsia" w:eastAsiaTheme="minorEastAsia" w:cstheme="minorEastAsia"/>
                <w:color w:val="000000" w:themeColor="text1"/>
                <w:sz w:val="21"/>
                <w:szCs w:val="24"/>
                <w:highlight w:val="none"/>
                <w:u w:val="single"/>
                <w:lang w:eastAsia="zh-CN"/>
                <w14:textFill>
                  <w14:solidFill>
                    <w14:schemeClr w14:val="tx1"/>
                  </w14:solidFill>
                </w14:textFill>
              </w:rPr>
              <w:t>详见本项目日程安排，具体时间可以到广州交易集团有限公司（广州公共资源交易中心）网站“建设工程→项目查询（日程安排、答疑纪要）”输入本项目编号或项目名称进行查询，网址http://www.gzggzy.cn/xmcxjsgc/index.jhtml</w:t>
            </w:r>
          </w:p>
          <w:p w14:paraId="09353DF9">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、提交投标文件光盘备用</w:t>
            </w:r>
          </w:p>
          <w:p w14:paraId="40F0C9F4">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52CDB7F">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、补救方案</w:t>
            </w:r>
          </w:p>
          <w:p w14:paraId="5D9B405C">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（1）投标文件解密失败的补救方案：</w:t>
            </w:r>
          </w:p>
          <w:p w14:paraId="2C8F1ED8">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2F6DFB2">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（2）评标时突发情况的补救方案</w:t>
            </w:r>
          </w:p>
          <w:p w14:paraId="2B599720">
            <w:pPr>
              <w:keepNext w:val="0"/>
              <w:keepLines w:val="0"/>
              <w:suppressLineNumbers w:val="0"/>
              <w:spacing w:before="120" w:beforeLines="50" w:beforeAutospacing="0" w:after="0" w:afterAutospacing="0" w:line="36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若遇不可抗力发生（指网络瘫痪、服务器损坏、交易系统故障短期无法恢复等因素），由评标委员会开启投标人递交的全部投标文件光盘，并按光盘内容进行评审。</w:t>
            </w:r>
          </w:p>
          <w:p w14:paraId="35ABE134">
            <w:pPr>
              <w:keepNext w:val="0"/>
              <w:keepLines w:val="0"/>
              <w:suppressLineNumbers w:val="0"/>
              <w:spacing w:before="156" w:beforeLines="50" w:beforeAutospacing="0" w:after="0" w:afterAutospacing="0" w:line="240" w:lineRule="auto"/>
              <w:ind w:left="0" w:right="0"/>
              <w:contextualSpacing/>
              <w:rPr>
                <w:rFonts w:hint="eastAsia" w:asciiTheme="minorEastAsia" w:hAnsiTheme="minorEastAsia" w:eastAsiaTheme="minorEastAsia" w:cstheme="minorEastAsia"/>
                <w:bCs w:val="0"/>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（3）除发生上述情况外，开标评标均以投标人通过交易平台网上递交的电子投标文件为准。</w:t>
            </w:r>
          </w:p>
          <w:p w14:paraId="53280656">
            <w:pPr>
              <w:keepNext w:val="0"/>
              <w:keepLines w:val="0"/>
              <w:suppressLineNumbers w:val="0"/>
              <w:spacing w:before="156" w:beforeLines="50" w:beforeAutospacing="0" w:after="0" w:afterAutospacing="0" w:line="240" w:lineRule="auto"/>
              <w:ind w:left="0" w:right="0"/>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1"/>
                <w:szCs w:val="21"/>
                <w:highlight w:val="none"/>
                <w14:textFill>
                  <w14:solidFill>
                    <w14:schemeClr w14:val="tx1"/>
                  </w14:solidFill>
                </w14:textFill>
              </w:rPr>
              <w:t>开标时，投标人代表有权参加现场开标或</w:t>
            </w:r>
            <w:r>
              <w:rPr>
                <w:rFonts w:hint="eastAsia" w:asciiTheme="minorEastAsia" w:hAnsiTheme="minorEastAsia" w:eastAsiaTheme="minorEastAsia" w:cstheme="minorEastAsia"/>
                <w:b w:val="0"/>
                <w:bCs w:val="0"/>
                <w:color w:val="000000" w:themeColor="text1"/>
                <w:kern w:val="2"/>
                <w:sz w:val="21"/>
                <w:szCs w:val="21"/>
                <w:highlight w:val="none"/>
                <w14:textFill>
                  <w14:solidFill>
                    <w14:schemeClr w14:val="tx1"/>
                  </w14:solidFill>
                </w14:textFill>
              </w:rPr>
              <w:t>在线开标</w:t>
            </w:r>
            <w:r>
              <w:rPr>
                <w:rFonts w:hint="eastAsia" w:asciiTheme="minorEastAsia" w:hAnsiTheme="minorEastAsia" w:eastAsiaTheme="minorEastAsia" w:cstheme="minorEastAsia"/>
                <w:bCs w:val="0"/>
                <w:color w:val="000000" w:themeColor="text1"/>
                <w:kern w:val="2"/>
                <w:sz w:val="21"/>
                <w:szCs w:val="21"/>
                <w:highlight w:val="none"/>
                <w14:textFill>
                  <w14:solidFill>
                    <w14:schemeClr w14:val="tx1"/>
                  </w14:solidFill>
                </w14:textFill>
              </w:rPr>
              <w:t>，也可以自主决定不参加开标</w:t>
            </w:r>
            <w:r>
              <w:rPr>
                <w:rFonts w:hint="eastAsia" w:asciiTheme="minorEastAsia" w:hAnsiTheme="minorEastAsia" w:eastAsiaTheme="minorEastAsia" w:cstheme="minorEastAsia"/>
                <w:bCs w:val="0"/>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投标人选择参加在线开标的，具体按照交易平台相关指南进行操作。</w:t>
            </w:r>
          </w:p>
          <w:p w14:paraId="14080FE2">
            <w:pPr>
              <w:keepNext w:val="0"/>
              <w:keepLines w:val="0"/>
              <w:suppressLineNumbers w:val="0"/>
              <w:spacing w:before="174"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、上述时间及地点是否有改变，请密切留意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补充公告或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招标答疑纪要的相关信息。</w:t>
            </w:r>
          </w:p>
        </w:tc>
      </w:tr>
      <w:tr w14:paraId="7318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85AC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C8258F">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841A4">
            <w:pPr>
              <w:pStyle w:val="28"/>
              <w:keepNext w:val="0"/>
              <w:keepLines w:val="0"/>
              <w:suppressLineNumbers w:val="0"/>
              <w:tabs>
                <w:tab w:val="left" w:pos="2309"/>
                <w:tab w:val="left" w:pos="3826"/>
              </w:tabs>
              <w:kinsoku w:val="0"/>
              <w:overflowPunct w:val="0"/>
              <w:spacing w:before="0" w:beforeAutospacing="0" w:after="0" w:afterAutospacing="0" w:line="440" w:lineRule="atLeast"/>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评标委员会构成：</w:t>
            </w:r>
            <w:r>
              <w:rPr>
                <w:rFonts w:hint="eastAsia" w:asciiTheme="minorEastAsia" w:hAnsiTheme="minorEastAsia" w:eastAsiaTheme="minorEastAsia" w:cstheme="minorEastAsia"/>
                <w:color w:val="000000" w:themeColor="text1"/>
                <w:spacing w:val="-2"/>
                <w:sz w:val="21"/>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人</w:t>
            </w:r>
          </w:p>
          <w:p w14:paraId="7F3BF4D8">
            <w:pPr>
              <w:pStyle w:val="28"/>
              <w:keepNext w:val="0"/>
              <w:keepLines w:val="0"/>
              <w:suppressLineNumbers w:val="0"/>
              <w:tabs>
                <w:tab w:val="left" w:pos="2309"/>
                <w:tab w:val="left" w:pos="3826"/>
              </w:tabs>
              <w:kinsoku w:val="0"/>
              <w:overflowPunct w:val="0"/>
              <w:spacing w:before="0" w:beforeAutospacing="0" w:after="0" w:afterAutospacing="0" w:line="440" w:lineRule="atLeast"/>
              <w:ind w:left="0" w:right="0"/>
              <w:jc w:val="both"/>
              <w:rPr>
                <w:rFonts w:hint="eastAsia" w:asciiTheme="minorEastAsia" w:hAnsiTheme="minorEastAsia" w:eastAsiaTheme="minorEastAsia" w:cstheme="minorEastAsia"/>
                <w:color w:val="000000" w:themeColor="text1"/>
                <w:spacing w:val="-3"/>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其中招标人代表</w:t>
            </w:r>
            <w:r>
              <w:rPr>
                <w:rFonts w:hint="eastAsia" w:asciiTheme="minorEastAsia" w:hAnsiTheme="minorEastAsia" w:eastAsiaTheme="minorEastAsia" w:cstheme="minorEastAsia"/>
                <w:color w:val="000000" w:themeColor="text1"/>
                <w:spacing w:val="-2"/>
                <w:sz w:val="21"/>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6"/>
                <w:sz w:val="21"/>
                <w:szCs w:val="24"/>
                <w:highlight w:val="none"/>
                <w14:textFill>
                  <w14:solidFill>
                    <w14:schemeClr w14:val="tx1"/>
                  </w14:solidFill>
                </w14:textFill>
              </w:rPr>
              <w:t>人，专家</w:t>
            </w:r>
            <w:r>
              <w:rPr>
                <w:rFonts w:hint="eastAsia" w:asciiTheme="minorEastAsia" w:hAnsiTheme="minorEastAsia" w:eastAsiaTheme="minorEastAsia" w:cstheme="minorEastAsia"/>
                <w:color w:val="000000" w:themeColor="text1"/>
                <w:spacing w:val="-16"/>
                <w:sz w:val="21"/>
                <w:szCs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1"/>
                <w:szCs w:val="24"/>
                <w:highlight w:val="none"/>
                <w14:textFill>
                  <w14:solidFill>
                    <w14:schemeClr w14:val="tx1"/>
                  </w14:solidFill>
                </w14:textFill>
              </w:rPr>
              <w:t>人；</w:t>
            </w:r>
          </w:p>
          <w:p w14:paraId="58FB331A">
            <w:pPr>
              <w:pStyle w:val="28"/>
              <w:keepNext w:val="0"/>
              <w:keepLines w:val="0"/>
              <w:suppressLineNumbers w:val="0"/>
              <w:tabs>
                <w:tab w:val="left" w:pos="2309"/>
                <w:tab w:val="left" w:pos="3826"/>
              </w:tabs>
              <w:kinsoku w:val="0"/>
              <w:overflowPunct w:val="0"/>
              <w:spacing w:before="0" w:beforeAutospacing="0" w:after="0" w:afterAutospacing="0" w:line="440" w:lineRule="atLeast"/>
              <w:ind w:left="0" w:right="0"/>
              <w:jc w:val="both"/>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3"/>
                <w:sz w:val="2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评标专家确定方式：</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广东省综合评标评审专家库随机抽取</w:t>
            </w:r>
          </w:p>
        </w:tc>
      </w:tr>
      <w:tr w14:paraId="5004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075E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917D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985590">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推荐中标候选人3人</w:t>
            </w:r>
          </w:p>
        </w:tc>
      </w:tr>
      <w:tr w14:paraId="4D60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0488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7FA203">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99122">
            <w:pPr>
              <w:keepNext w:val="0"/>
              <w:keepLines w:val="0"/>
              <w:suppressLineNumbers w:val="0"/>
              <w:spacing w:before="171" w:beforeAutospacing="0" w:after="0" w:afterAutospacing="0"/>
              <w:ind w:left="4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公</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示媒介：</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广州交易集团有限公司（广州公共资源交易中心）网和广东省招标投标监管网</w:t>
            </w:r>
          </w:p>
          <w:p w14:paraId="5295232D">
            <w:pPr>
              <w:pStyle w:val="28"/>
              <w:keepNext w:val="0"/>
              <w:keepLines w:val="0"/>
              <w:suppressLineNumbers w:val="0"/>
              <w:tabs>
                <w:tab w:val="left" w:pos="2100"/>
              </w:tabs>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公示期</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限：</w:t>
            </w:r>
            <w:r>
              <w:rPr>
                <w:rFonts w:hint="eastAsia" w:asciiTheme="minorEastAsia" w:hAnsiTheme="minorEastAsia" w:eastAsiaTheme="minorEastAsia" w:cstheme="minorEastAsia"/>
                <w:color w:val="000000" w:themeColor="text1"/>
                <w:spacing w:val="-4"/>
                <w:sz w:val="21"/>
                <w:szCs w:val="21"/>
                <w:highlight w:val="none"/>
                <w:u w:val="single" w:color="auto"/>
                <w:lang w:eastAsia="zh-CN"/>
                <w14:textFill>
                  <w14:solidFill>
                    <w14:schemeClr w14:val="tx1"/>
                  </w14:solidFill>
                </w14:textFill>
              </w:rPr>
              <w:t>不少于</w:t>
            </w:r>
            <w:r>
              <w:rPr>
                <w:rFonts w:hint="eastAsia" w:asciiTheme="minorEastAsia" w:hAnsiTheme="minorEastAsia" w:eastAsiaTheme="minorEastAsia" w:cstheme="minorEastAsia"/>
                <w:color w:val="000000" w:themeColor="text1"/>
                <w:spacing w:val="-4"/>
                <w:sz w:val="21"/>
                <w:szCs w:val="21"/>
                <w:highlight w:val="none"/>
                <w:u w:val="single" w:color="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最后一天应为工作日</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w:t>
            </w:r>
          </w:p>
        </w:tc>
      </w:tr>
      <w:tr w14:paraId="3045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D0DF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8697A">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83C1E">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是</w:t>
            </w:r>
          </w:p>
          <w:p w14:paraId="582EF9A8">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否</w:t>
            </w:r>
          </w:p>
        </w:tc>
      </w:tr>
      <w:tr w14:paraId="3AFF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00DD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CFB06">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4E915">
            <w:pPr>
              <w:pStyle w:val="28"/>
              <w:keepNext w:val="0"/>
              <w:keepLines w:val="0"/>
              <w:suppressLineNumbers w:val="0"/>
              <w:kinsoku w:val="0"/>
              <w:overflowPunct w:val="0"/>
              <w:spacing w:before="0" w:beforeAutospacing="0" w:after="0" w:afterAutospacing="0" w:line="360" w:lineRule="auto"/>
              <w:ind w:left="0" w:right="0" w:firstLine="0" w:firstLineChars="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是否要求中标人提交履约保证金：</w:t>
            </w:r>
          </w:p>
          <w:p w14:paraId="51E2A633">
            <w:pPr>
              <w:pStyle w:val="28"/>
              <w:keepNext w:val="0"/>
              <w:keepLines w:val="0"/>
              <w:suppressLineNumbers w:val="0"/>
              <w:kinsoku w:val="0"/>
              <w:overflowPunct w:val="0"/>
              <w:spacing w:before="0" w:beforeAutospacing="0" w:after="0" w:afterAutospacing="0" w:line="360" w:lineRule="auto"/>
              <w:ind w:left="0" w:right="0" w:firstLine="0" w:firstLineChars="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不要求</w:t>
            </w:r>
          </w:p>
          <w:p w14:paraId="74D2B1D7">
            <w:pPr>
              <w:pStyle w:val="28"/>
              <w:keepNext w:val="0"/>
              <w:keepLines w:val="0"/>
              <w:suppressLineNumbers w:val="0"/>
              <w:kinsoku w:val="0"/>
              <w:overflowPunct w:val="0"/>
              <w:spacing w:before="0" w:beforeAutospacing="0" w:after="0" w:afterAutospacing="0" w:line="360" w:lineRule="auto"/>
              <w:ind w:left="0" w:right="0" w:firstLine="0" w:firstLineChars="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要求，履约保证金的形式：</w:t>
            </w:r>
          </w:p>
          <w:p w14:paraId="55878551">
            <w:pPr>
              <w:pStyle w:val="28"/>
              <w:keepNext w:val="0"/>
              <w:keepLines w:val="0"/>
              <w:suppressLineNumbers w:val="0"/>
              <w:kinsoku w:val="0"/>
              <w:overflowPunct w:val="0"/>
              <w:spacing w:before="0" w:beforeAutospacing="0" w:after="0" w:afterAutospacing="0" w:line="360" w:lineRule="auto"/>
              <w:ind w:left="0" w:right="0" w:firstLine="0" w:firstLineChars="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履约保证金的金额：</w:t>
            </w:r>
          </w:p>
        </w:tc>
      </w:tr>
      <w:tr w14:paraId="2809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3AF23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989E9">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FA3D4">
            <w:pPr>
              <w:keepNext w:val="0"/>
              <w:keepLines w:val="0"/>
              <w:suppressLineNumbers w:val="0"/>
              <w:spacing w:before="0" w:beforeAutospacing="0" w:after="0" w:afterAutospacing="0"/>
              <w:ind w:left="0" w:right="0"/>
              <w:jc w:val="both"/>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w:t>
            </w:r>
          </w:p>
        </w:tc>
      </w:tr>
      <w:tr w14:paraId="5549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FA54F">
            <w:pPr>
              <w:pStyle w:val="28"/>
              <w:keepNext w:val="0"/>
              <w:keepLines w:val="0"/>
              <w:suppressLineNumbers w:val="0"/>
              <w:kinsoku w:val="0"/>
              <w:overflowPunct w:val="0"/>
              <w:spacing w:before="0" w:beforeAutospacing="0" w:after="0" w:afterAutospacing="0"/>
              <w:ind w:left="0" w:right="0"/>
              <w:jc w:val="center"/>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C8F67">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特别提示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BD3DC">
            <w:pPr>
              <w:keepNext w:val="0"/>
              <w:keepLines w:val="0"/>
              <w:widowControl/>
              <w:suppressLineNumbers w:val="0"/>
              <w:shd w:val="clear" w:color="auto" w:fill="FFFFFF"/>
              <w:spacing w:before="0" w:beforeAutospacing="0" w:after="0" w:afterAutospacing="0" w:line="276" w:lineRule="auto"/>
              <w:ind w:left="0" w:right="0"/>
              <w:jc w:val="left"/>
              <w:rPr>
                <w:rFonts w:asci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投标人在本项目招标人的工程项目中存在下列行为的，将被拒绝二年内参与我单位后续工程投标。（注：拒绝投标时限自招标人发出通知之日起计）：</w:t>
            </w:r>
          </w:p>
          <w:p w14:paraId="5A0EC2E6">
            <w:pPr>
              <w:keepNext w:val="0"/>
              <w:keepLines w:val="0"/>
              <w:widowControl/>
              <w:suppressLineNumbers w:val="0"/>
              <w:shd w:val="clear" w:color="auto" w:fill="FFFFFF"/>
              <w:spacing w:before="0" w:beforeAutospacing="0" w:after="0" w:afterAutospacing="0" w:line="276" w:lineRule="auto"/>
              <w:ind w:left="271" w:leftChars="113" w:right="0" w:firstLine="260" w:firstLineChars="124"/>
              <w:jc w:val="left"/>
              <w:rPr>
                <w:rFonts w:asci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将中标工程转包或者违法分包的；</w:t>
            </w:r>
          </w:p>
          <w:p w14:paraId="7AFD2D82">
            <w:pPr>
              <w:keepNext w:val="0"/>
              <w:keepLines w:val="0"/>
              <w:widowControl/>
              <w:suppressLineNumbers w:val="0"/>
              <w:shd w:val="clear" w:color="auto" w:fill="FFFFFF"/>
              <w:spacing w:before="0" w:beforeAutospacing="0" w:after="0" w:afterAutospacing="0" w:line="276" w:lineRule="auto"/>
              <w:ind w:left="271" w:leftChars="113" w:right="0" w:firstLine="260" w:firstLineChars="124"/>
              <w:jc w:val="left"/>
              <w:rPr>
                <w:rFonts w:asci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在中标工程中不执行质量、安全生产相关规定的，造成质量或安全事故的；</w:t>
            </w:r>
          </w:p>
          <w:p w14:paraId="5475DDA2">
            <w:pPr>
              <w:keepNext w:val="0"/>
              <w:keepLines w:val="0"/>
              <w:widowControl/>
              <w:suppressLineNumbers w:val="0"/>
              <w:shd w:val="clear" w:color="auto" w:fill="FFFFFF"/>
              <w:spacing w:before="0" w:beforeAutospacing="0" w:after="0" w:afterAutospacing="0" w:line="276" w:lineRule="auto"/>
              <w:ind w:left="271" w:leftChars="113" w:right="0" w:firstLine="260" w:firstLineChars="124"/>
              <w:jc w:val="left"/>
              <w:rPr>
                <w:rFonts w:asci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3.</w:t>
            </w:r>
            <w:r>
              <w:rPr>
                <w:rFonts w:hint="eastAsia" w:ascii="宋体" w:hAnsi="宋体" w:cs="宋体"/>
                <w:color w:val="000000" w:themeColor="text1"/>
                <w:kern w:val="0"/>
                <w:sz w:val="21"/>
                <w:szCs w:val="21"/>
                <w:highlight w:val="none"/>
                <w14:textFill>
                  <w14:solidFill>
                    <w14:schemeClr w14:val="tx1"/>
                  </w14:solidFill>
                </w14:textFill>
              </w:rPr>
              <w:t>存在围标或串标情形的；</w:t>
            </w:r>
          </w:p>
          <w:p w14:paraId="1D0579BE">
            <w:pPr>
              <w:keepNext w:val="0"/>
              <w:keepLines w:val="0"/>
              <w:widowControl/>
              <w:suppressLineNumbers w:val="0"/>
              <w:shd w:val="clear" w:color="auto" w:fill="FFFFFF"/>
              <w:spacing w:before="0" w:beforeAutospacing="0" w:after="0" w:afterAutospacing="0" w:line="276" w:lineRule="auto"/>
              <w:ind w:left="271" w:leftChars="113" w:right="0" w:firstLine="260" w:firstLineChars="124"/>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4.</w:t>
            </w:r>
            <w:r>
              <w:rPr>
                <w:rFonts w:hint="eastAsia" w:ascii="宋体" w:hAnsi="宋体" w:cs="宋体"/>
                <w:color w:val="000000" w:themeColor="text1"/>
                <w:kern w:val="0"/>
                <w:sz w:val="21"/>
                <w:szCs w:val="21"/>
                <w:highlight w:val="none"/>
                <w:lang w:val="en-US" w:eastAsia="zh-CN"/>
                <w14:textFill>
                  <w14:solidFill>
                    <w14:schemeClr w14:val="tx1"/>
                  </w14:solidFill>
                </w14:textFill>
              </w:rPr>
              <w:t>在投标文件中提供虚假材料的；</w:t>
            </w:r>
          </w:p>
          <w:p w14:paraId="617CA233">
            <w:pPr>
              <w:keepNext w:val="0"/>
              <w:keepLines w:val="0"/>
              <w:widowControl/>
              <w:suppressLineNumbers w:val="0"/>
              <w:shd w:val="clear" w:color="auto" w:fill="FFFFFF"/>
              <w:spacing w:before="0" w:beforeAutospacing="0" w:after="0" w:afterAutospacing="0" w:line="276" w:lineRule="auto"/>
              <w:ind w:left="271" w:leftChars="113" w:right="0" w:firstLine="260" w:firstLineChars="124"/>
              <w:jc w:val="left"/>
              <w:rPr>
                <w:rFonts w:hint="eastAsia" w:ascii="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color w:val="000000" w:themeColor="text1"/>
                <w:kern w:val="0"/>
                <w:sz w:val="21"/>
                <w:szCs w:val="21"/>
                <w:highlight w:val="none"/>
                <w14:textFill>
                  <w14:solidFill>
                    <w14:schemeClr w14:val="tx1"/>
                  </w14:solidFill>
                </w14:textFill>
              </w:rPr>
              <w:t>存在</w:t>
            </w:r>
            <w:r>
              <w:rPr>
                <w:rFonts w:hint="eastAsia" w:ascii="宋体" w:hAnsi="宋体" w:cs="宋体"/>
                <w:color w:val="000000" w:themeColor="text1"/>
                <w:kern w:val="0"/>
                <w:sz w:val="21"/>
                <w:szCs w:val="21"/>
                <w:highlight w:val="none"/>
                <w:lang w:val="en-US" w:eastAsia="zh-CN"/>
                <w14:textFill>
                  <w14:solidFill>
                    <w14:schemeClr w14:val="tx1"/>
                  </w14:solidFill>
                </w14:textFill>
              </w:rPr>
              <w:t>行贿</w:t>
            </w:r>
            <w:r>
              <w:rPr>
                <w:rFonts w:hint="eastAsia" w:ascii="宋体" w:hAnsi="宋体" w:cs="宋体"/>
                <w:color w:val="000000" w:themeColor="text1"/>
                <w:kern w:val="0"/>
                <w:sz w:val="21"/>
                <w:szCs w:val="21"/>
                <w:highlight w:val="none"/>
                <w14:textFill>
                  <w14:solidFill>
                    <w14:schemeClr w14:val="tx1"/>
                  </w14:solidFill>
                </w14:textFill>
              </w:rPr>
              <w:t>情形的；</w:t>
            </w:r>
          </w:p>
        </w:tc>
      </w:tr>
      <w:tr w14:paraId="67B5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552CFD">
            <w:pPr>
              <w:pStyle w:val="28"/>
              <w:keepNext w:val="0"/>
              <w:keepLines w:val="0"/>
              <w:suppressLineNumbers w:val="0"/>
              <w:kinsoku w:val="0"/>
              <w:overflowPunct w:val="0"/>
              <w:spacing w:before="0" w:beforeAutospacing="0" w:after="0" w:afterAutospacing="0"/>
              <w:ind w:left="0" w:right="0"/>
              <w:jc w:val="center"/>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7D98D">
            <w:pPr>
              <w:keepNext w:val="0"/>
              <w:keepLines w:val="0"/>
              <w:widowControl/>
              <w:suppressLineNumbers w:val="0"/>
              <w:shd w:val="clear" w:color="auto" w:fill="FFFFFF"/>
              <w:adjustRightInd w:val="0"/>
              <w:spacing w:before="0" w:beforeAutospacing="0" w:after="0" w:afterAutospacing="0"/>
              <w:ind w:left="0" w:right="0"/>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企业综合诚信评价计分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86BAB">
            <w:pPr>
              <w:keepNext w:val="0"/>
              <w:keepLines w:val="0"/>
              <w:widowControl/>
              <w:suppressLineNumbers w:val="0"/>
              <w:shd w:val="clear" w:color="auto" w:fill="FFFFFF"/>
              <w:spacing w:before="0" w:beforeAutospacing="0" w:after="0" w:afterAutospacing="0" w:line="276" w:lineRule="auto"/>
              <w:ind w:left="0" w:right="0"/>
              <w:jc w:val="left"/>
              <w:rPr>
                <w:rFonts w:hint="eastAsia" w:ascii="宋体" w:cs="宋体"/>
                <w:color w:val="000000" w:themeColor="text1"/>
                <w:kern w:val="0"/>
                <w:sz w:val="21"/>
                <w:szCs w:val="21"/>
                <w:highlight w:val="none"/>
                <w:u w:val="single"/>
                <w14:textFill>
                  <w14:solidFill>
                    <w14:schemeClr w14:val="tx1"/>
                  </w14:solidFill>
                </w14:textFill>
              </w:rPr>
            </w:pPr>
            <w:r>
              <w:rPr>
                <w:rFonts w:hint="eastAsia" w:ascii="宋体" w:cs="宋体"/>
                <w:color w:val="000000" w:themeColor="text1"/>
                <w:kern w:val="0"/>
                <w:sz w:val="21"/>
                <w:szCs w:val="21"/>
                <w:highlight w:val="none"/>
                <w:u w:val="single"/>
                <w14:textFill>
                  <w14:solidFill>
                    <w14:schemeClr w14:val="tx1"/>
                  </w14:solidFill>
                </w14:textFill>
              </w:rPr>
              <w:t>诚信评价总分按《关于水务工程诚信评价在招标投标环节应用的指引》（第20期）规定计算。</w:t>
            </w:r>
          </w:p>
          <w:p w14:paraId="19963340">
            <w:pPr>
              <w:keepNext w:val="0"/>
              <w:keepLines w:val="0"/>
              <w:widowControl/>
              <w:suppressLineNumbers w:val="0"/>
              <w:shd w:val="clear" w:color="auto" w:fill="FFFFFF"/>
              <w:spacing w:before="0" w:beforeAutospacing="0" w:after="0" w:afterAutospacing="0" w:line="276" w:lineRule="auto"/>
              <w:ind w:left="0" w:right="0"/>
              <w:jc w:val="left"/>
              <w:rPr>
                <w:rFonts w:hint="eastAsia" w:ascii="宋体" w:cs="宋体"/>
                <w:color w:val="000000" w:themeColor="text1"/>
                <w:kern w:val="0"/>
                <w:sz w:val="21"/>
                <w:szCs w:val="21"/>
                <w:highlight w:val="none"/>
                <w:u w:val="single"/>
                <w14:textFill>
                  <w14:solidFill>
                    <w14:schemeClr w14:val="tx1"/>
                  </w14:solidFill>
                </w14:textFill>
              </w:rPr>
            </w:pPr>
            <w:r>
              <w:rPr>
                <w:rFonts w:hint="eastAsia" w:ascii="宋体" w:cs="宋体"/>
                <w:color w:val="000000" w:themeColor="text1"/>
                <w:kern w:val="0"/>
                <w:sz w:val="21"/>
                <w:szCs w:val="21"/>
                <w:highlight w:val="none"/>
                <w:u w:val="single"/>
                <w14:textFill>
                  <w14:solidFill>
                    <w14:schemeClr w14:val="tx1"/>
                  </w14:solidFill>
                </w14:textFill>
              </w:rPr>
              <w:t>以招标公告发布第1天所在季度的上一季度公布的“广州市水务工程建设管理数字化监管平台”（http://112.94.68.142:8012/#/website）网站中的“企业诚信信息”&gt;&gt;“监理—水利”的“诚信综合评价”得分为准（如届时上一季度“广州市水务工程建设管理数字化监管平台”的“监理—水利”诚信综合评价分未发布，则按已发布的最新季度评价分取值计算）；未在“诚信管理系统”录入企业信息的投标人（简称“未入库企业”）或在广州市水务工程企业库及诚信评价系统中尚无诚信综合评价分的投标人，诚信评价总分取基准分，即“未入库企业”的诚信评价总分=100（市场行为评价分）×20%+75（质量安全管理评价得分）×50%+75（履约评价得分）×30%=80分。</w:t>
            </w:r>
          </w:p>
          <w:p w14:paraId="1795E468">
            <w:pPr>
              <w:keepNext w:val="0"/>
              <w:keepLines w:val="0"/>
              <w:widowControl/>
              <w:suppressLineNumbers w:val="0"/>
              <w:shd w:val="clear" w:color="auto" w:fill="FFFFFF"/>
              <w:spacing w:before="0" w:beforeAutospacing="0" w:after="0" w:afterAutospacing="0" w:line="276" w:lineRule="auto"/>
              <w:ind w:left="0" w:right="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cs="宋体"/>
                <w:color w:val="000000" w:themeColor="text1"/>
                <w:kern w:val="0"/>
                <w:sz w:val="21"/>
                <w:szCs w:val="21"/>
                <w:highlight w:val="none"/>
                <w:u w:val="single"/>
                <w14:textFill>
                  <w14:solidFill>
                    <w14:schemeClr w14:val="tx1"/>
                  </w14:solidFill>
                </w14:textFill>
              </w:rPr>
              <w:t>诚信得分=诚信排名得分×</w:t>
            </w:r>
            <w:r>
              <w:rPr>
                <w:rFonts w:hint="eastAsia" w:ascii="宋体" w:cs="宋体"/>
                <w:color w:val="000000" w:themeColor="text1"/>
                <w:kern w:val="0"/>
                <w:sz w:val="21"/>
                <w:szCs w:val="21"/>
                <w:highlight w:val="none"/>
                <w:u w:val="single"/>
                <w:lang w:val="en-US" w:eastAsia="zh-CN"/>
                <w14:textFill>
                  <w14:solidFill>
                    <w14:schemeClr w14:val="tx1"/>
                  </w14:solidFill>
                </w14:textFill>
              </w:rPr>
              <w:t>5</w:t>
            </w:r>
            <w:r>
              <w:rPr>
                <w:rFonts w:hint="eastAsia" w:ascii="宋体" w:cs="宋体"/>
                <w:color w:val="000000" w:themeColor="text1"/>
                <w:kern w:val="0"/>
                <w:sz w:val="21"/>
                <w:szCs w:val="21"/>
                <w:highlight w:val="none"/>
                <w:u w:val="single"/>
                <w14:textFill>
                  <w14:solidFill>
                    <w14:schemeClr w14:val="tx1"/>
                  </w14:solidFill>
                </w14:textFill>
              </w:rPr>
              <w:t>%</w:t>
            </w:r>
          </w:p>
        </w:tc>
      </w:tr>
      <w:tr w14:paraId="2B3B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782E7">
            <w:pPr>
              <w:pStyle w:val="28"/>
              <w:keepNext w:val="0"/>
              <w:keepLines w:val="0"/>
              <w:suppressLineNumbers w:val="0"/>
              <w:kinsoku w:val="0"/>
              <w:overflowPunct w:val="0"/>
              <w:spacing w:before="0" w:beforeAutospacing="0" w:after="0" w:afterAutospacing="0"/>
              <w:ind w:left="0" w:right="0"/>
              <w:jc w:val="center"/>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00A6C">
            <w:pPr>
              <w:keepNext w:val="0"/>
              <w:keepLines w:val="0"/>
              <w:widowControl/>
              <w:suppressLineNumbers w:val="0"/>
              <w:shd w:val="clear" w:color="auto" w:fill="FFFFFF"/>
              <w:adjustRightInd w:val="0"/>
              <w:spacing w:before="0" w:beforeAutospacing="0" w:after="0" w:afterAutospacing="0"/>
              <w:ind w:left="0" w:right="0"/>
              <w:jc w:val="center"/>
              <w:rPr>
                <w:rFonts w:hint="eastAsia"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中标候选人公示要求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62FC3">
            <w:pPr>
              <w:keepNext w:val="0"/>
              <w:keepLines w:val="0"/>
              <w:suppressLineNumbers w:val="0"/>
              <w:spacing w:before="0" w:beforeAutospacing="0" w:after="0" w:afterAutospacing="0"/>
              <w:ind w:left="1" w:leftChars="0" w:right="0"/>
              <w:jc w:val="left"/>
              <w:rPr>
                <w:rFonts w:hint="eastAsia" w:ascii="宋体" w:cs="宋体"/>
                <w:color w:val="000000" w:themeColor="text1"/>
                <w:kern w:val="0"/>
                <w:sz w:val="21"/>
                <w:szCs w:val="21"/>
                <w:highlight w:val="none"/>
                <w:u w:val="single"/>
                <w14:textFill>
                  <w14:solidFill>
                    <w14:schemeClr w14:val="tx1"/>
                  </w14:solidFill>
                </w14:textFill>
              </w:rPr>
            </w:pPr>
            <w:r>
              <w:rPr>
                <w:rFonts w:hint="eastAsia" w:ascii="宋体" w:hAnsi="宋体" w:cs="宋体"/>
                <w:color w:val="000000" w:themeColor="text1"/>
                <w:kern w:val="0"/>
                <w:sz w:val="21"/>
                <w:szCs w:val="21"/>
                <w:highlight w:val="none"/>
                <w:u w:val="single"/>
                <w14:textFill>
                  <w14:solidFill>
                    <w14:schemeClr w14:val="tx1"/>
                  </w14:solidFill>
                </w14:textFill>
              </w:rPr>
              <w:t>在产生中标候选人后，招标人将中标候选人的投标文件商务部分的电子版（报价清单、方案等涉及商业秘密的内容除外）在广州公共资源交易中心网站公开。</w:t>
            </w:r>
          </w:p>
        </w:tc>
      </w:tr>
      <w:tr w14:paraId="58D9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9C0EF">
            <w:pPr>
              <w:pStyle w:val="28"/>
              <w:keepNext w:val="0"/>
              <w:keepLines w:val="0"/>
              <w:suppressLineNumbers w:val="0"/>
              <w:kinsoku w:val="0"/>
              <w:overflowPunct w:val="0"/>
              <w:spacing w:before="0" w:beforeAutospacing="0" w:after="0" w:afterAutospacing="0"/>
              <w:ind w:left="0" w:right="0"/>
              <w:jc w:val="center"/>
              <w:rPr>
                <w:rFonts w:hint="default"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10.4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D8406">
            <w:pPr>
              <w:keepNext w:val="0"/>
              <w:keepLines w:val="0"/>
              <w:pageBreakBefore w:val="0"/>
              <w:suppressLineNumbers w:val="0"/>
              <w:wordWrap w:val="0"/>
              <w:bidi w:val="0"/>
              <w:adjustRightInd w:val="0"/>
              <w:snapToGrid w:val="0"/>
              <w:spacing w:before="0" w:beforeAutospacing="0" w:after="0" w:afterAutospacing="0" w:line="360" w:lineRule="exact"/>
              <w:ind w:left="60" w:leftChars="25" w:right="60" w:rightChars="25"/>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经济标评审优惠政策</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4F8EF">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经济标评审优惠政策</w:t>
            </w:r>
          </w:p>
          <w:p w14:paraId="6CEC9635">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☑本招标项目执行经济标评审优惠政策</w:t>
            </w:r>
          </w:p>
          <w:p w14:paraId="1EBFFD3D">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□本招标项目不执行经济标评审优惠政策</w:t>
            </w:r>
          </w:p>
          <w:p w14:paraId="7F5554A3">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注：本招标项目执行经济标评审优惠政策，投标人应根据自身情况提供《中小企业声明函》（如有）或由省级以上监狱管理局、戒毒管理局（含新疆生产建设兵团）出具的属于监狱企业的证明文件（如有）或需提供《残疾人福利性单位声明函》（如有）。</w:t>
            </w:r>
          </w:p>
          <w:p w14:paraId="0D6F5E9F">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1.根据《广东省政府采购促进中小企业发展实施细则（试行）》要求，对符合《政府采购促进中小企业发展管理办法》的</w:t>
            </w:r>
            <w:r>
              <w:rPr>
                <w:rFonts w:hint="eastAsia" w:ascii="宋体" w:hAnsi="宋体" w:eastAsia="宋体" w:cs="宋体"/>
                <w:b/>
                <w:bCs/>
                <w:color w:val="000000" w:themeColor="text1"/>
                <w:sz w:val="21"/>
                <w:szCs w:val="21"/>
                <w:highlight w:val="none"/>
                <w:u w:val="single"/>
                <w14:textFill>
                  <w14:solidFill>
                    <w14:schemeClr w14:val="tx1"/>
                  </w14:solidFill>
                </w14:textFill>
              </w:rPr>
              <w:t>小微企业投标人，给予相应的价格评审优惠。</w:t>
            </w:r>
          </w:p>
          <w:p w14:paraId="4882EACE">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本招标项目评标计算价格分（即投标报价得分）时，对小微企业投标的，在采用原报价进行评分的基础上增加其价格得分的5%作为其价格分。若原报价已满分，仍可突破满分上限继续享受加分优惠，以实际计算结果作为最终价格分。</w:t>
            </w:r>
          </w:p>
          <w:p w14:paraId="1DA278F5">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投标人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3F95204">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4.小微企业划分标准按照《工业和信息化部 国家统计局 国家发展和改革委员会 财政部关于印发中小企业划型标准规定的通知》（工信部联企业〔2011〕300号）执行。</w:t>
            </w:r>
            <w:r>
              <w:rPr>
                <w:rFonts w:hint="eastAsia" w:ascii="宋体" w:hAnsi="宋体" w:eastAsia="宋体" w:cs="宋体"/>
                <w:b/>
                <w:bCs/>
                <w:color w:val="000000" w:themeColor="text1"/>
                <w:sz w:val="21"/>
                <w:szCs w:val="21"/>
                <w:highlight w:val="none"/>
                <w:u w:val="single"/>
                <w14:textFill>
                  <w14:solidFill>
                    <w14:schemeClr w14:val="tx1"/>
                  </w14:solidFill>
                </w14:textFill>
              </w:rPr>
              <w:t>本招标项目属于其他未列明行业</w:t>
            </w:r>
            <w:r>
              <w:rPr>
                <w:rFonts w:hint="eastAsia" w:ascii="宋体" w:hAnsi="宋体" w:eastAsia="宋体" w:cs="宋体"/>
                <w:color w:val="000000" w:themeColor="text1"/>
                <w:sz w:val="21"/>
                <w:szCs w:val="21"/>
                <w:highlight w:val="none"/>
                <w:u w:val="single"/>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01567802">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注：（1）小微企业，是指在中华人民共和国境内依法设立，依据国务院批准的中小企业划分标准确定的小型企业和微型企业，但与大企业的负责人为同一人，或者与大企业存在直接控股、管理关系的除外。</w:t>
            </w:r>
          </w:p>
          <w:p w14:paraId="57F5AD1B">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（2）事业单位、社会组织等非企业主体不享受中小企业扶持政策。</w:t>
            </w:r>
          </w:p>
          <w:p w14:paraId="0D208494">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（3）公示期间如有异议、投诉的，被异议、投诉单位需提供注册登记所在地的县级以上人民政府中小企业主管部门认定函。</w:t>
            </w:r>
          </w:p>
          <w:p w14:paraId="16346AC4">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（4）规定享受扶持政策获得承包合同的，小微企业不得将合同分包给大中型企业，中型企业不得将合同分包给大型企业。</w:t>
            </w:r>
          </w:p>
          <w:p w14:paraId="02BF8661">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w:t>
            </w:r>
          </w:p>
          <w:p w14:paraId="178F8C08">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（6）根据《财政部 民政部 中国残疾人联合会关于促进残疾人就业政府采购政策的通知》（财库〔2017〕141号）规定，残疾人福利性单位视同小型、微型企业，需提供《残疾人福利性单位声明函》，经评审满足要求后，可享受上述加分优惠，否则不得享受上述加分优惠。</w:t>
            </w:r>
          </w:p>
          <w:p w14:paraId="51B07E0B">
            <w:pPr>
              <w:pStyle w:val="9"/>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（7）监狱企业或残疾人福利性单位属于小型、微型企业的，不重复享受政策。</w:t>
            </w:r>
          </w:p>
        </w:tc>
      </w:tr>
    </w:tbl>
    <w:p w14:paraId="6DF9F798">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D8CEE4A">
      <w:pPr>
        <w:pStyle w:val="5"/>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footerReference r:id="rId5" w:type="default"/>
          <w:pgSz w:w="11905" w:h="16838"/>
          <w:pgMar w:top="1417" w:right="1417" w:bottom="1417" w:left="1417" w:header="992" w:footer="992" w:gutter="0"/>
          <w:lnNumType w:countBy="0" w:distance="360"/>
          <w:cols w:space="720" w:num="1"/>
        </w:sectPr>
      </w:pPr>
      <w:bookmarkStart w:id="11" w:name="bookmark20"/>
      <w:bookmarkEnd w:id="11"/>
    </w:p>
    <w:p w14:paraId="11E0E6D0">
      <w:pPr>
        <w:pStyle w:val="5"/>
        <w:jc w:val="center"/>
        <w:rPr>
          <w:rFonts w:hint="eastAsia" w:asciiTheme="minorEastAsia" w:hAnsiTheme="minorEastAsia" w:eastAsiaTheme="minorEastAsia" w:cstheme="minorEastAsia"/>
          <w:color w:val="000000" w:themeColor="text1"/>
          <w:sz w:val="32"/>
          <w:szCs w:val="24"/>
          <w:highlight w:val="none"/>
          <w14:textFill>
            <w14:solidFill>
              <w14:schemeClr w14:val="tx1"/>
            </w14:solidFill>
          </w14:textFill>
        </w:rPr>
      </w:pPr>
      <w:bookmarkStart w:id="12" w:name="_Toc17451101"/>
      <w:bookmarkStart w:id="13" w:name="_Toc17451578"/>
      <w:bookmarkStart w:id="14" w:name="_Toc17451623"/>
      <w:bookmarkStart w:id="15" w:name="_Toc17556876"/>
      <w:bookmarkStart w:id="16" w:name="_Toc262229161"/>
      <w:bookmarkStart w:id="17" w:name="_Toc17452664"/>
      <w:bookmarkStart w:id="18" w:name="_Toc32198"/>
      <w:bookmarkStart w:id="19" w:name="_Toc17556931"/>
      <w:bookmarkStart w:id="20" w:name="_Toc17454922"/>
      <w:bookmarkStart w:id="21" w:name="_Toc17454871"/>
      <w:r>
        <w:rPr>
          <w:rFonts w:hint="eastAsia" w:asciiTheme="minorEastAsia" w:hAnsiTheme="minorEastAsia" w:eastAsiaTheme="minorEastAsia" w:cstheme="minorEastAsia"/>
          <w:color w:val="000000" w:themeColor="text1"/>
          <w:sz w:val="32"/>
          <w:szCs w:val="24"/>
          <w:highlight w:val="none"/>
          <w14:textFill>
            <w14:solidFill>
              <w14:schemeClr w14:val="tx1"/>
            </w14:solidFill>
          </w14:textFill>
        </w:rPr>
        <w:t>投标须知修改表</w:t>
      </w:r>
      <w:bookmarkEnd w:id="12"/>
      <w:bookmarkEnd w:id="13"/>
      <w:bookmarkEnd w:id="14"/>
      <w:bookmarkEnd w:id="15"/>
      <w:bookmarkEnd w:id="16"/>
      <w:bookmarkEnd w:id="17"/>
      <w:bookmarkEnd w:id="18"/>
      <w:bookmarkEnd w:id="19"/>
      <w:bookmarkEnd w:id="20"/>
      <w:bookmarkEnd w:id="21"/>
    </w:p>
    <w:p w14:paraId="71CB0DCD">
      <w:pPr>
        <w:pStyle w:val="18"/>
        <w:spacing w:line="360" w:lineRule="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本投标须知使用</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SWZB2024-06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招标文件范本的投标须知通用条款，与该通用条款不同之处，均在本表中列明，并以现文为准，原文不再有效。</w:t>
      </w:r>
    </w:p>
    <w:p w14:paraId="3D8BA9D5">
      <w:pPr>
        <w:spacing w:line="48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修改类型：增加</w:t>
      </w:r>
    </w:p>
    <w:p w14:paraId="7F370956">
      <w:pPr>
        <w:pBdr>
          <w:bottom w:val="single" w:color="auto" w:sz="6" w:space="1"/>
        </w:pBdr>
        <w:spacing w:line="480" w:lineRule="auto"/>
        <w:ind w:firstLine="537" w:firstLineChars="22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 招标文件的异议</w:t>
      </w:r>
    </w:p>
    <w:p w14:paraId="3B91FFA4">
      <w:pPr>
        <w:pBdr>
          <w:bottom w:val="single" w:color="auto" w:sz="6" w:space="1"/>
        </w:pBdr>
        <w:spacing w:line="360" w:lineRule="auto"/>
        <w:ind w:firstLine="537" w:firstLineChars="224"/>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潜在投标人或利害关系人对本招标公告及招标文件有异议的，应当在投标截止时间10日前向招标人书面提出。招标人将在收到异议之日起 3 日内作出答复；作出答复前， 将暂停招标投标活动。</w:t>
      </w:r>
    </w:p>
    <w:p w14:paraId="3924E68B">
      <w:pPr>
        <w:pBdr>
          <w:bottom w:val="single" w:color="auto" w:sz="6" w:space="1"/>
        </w:pBdr>
        <w:spacing w:line="360" w:lineRule="auto"/>
        <w:ind w:firstLine="537" w:firstLineChars="224"/>
        <w:rPr>
          <w:rFonts w:hint="eastAsia" w:eastAsia="宋体"/>
          <w:color w:val="000000" w:themeColor="text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48D8019">
      <w:pPr>
        <w:keepNext w:val="0"/>
        <w:keepLines w:val="0"/>
        <w:widowControl w:val="0"/>
        <w:suppressLineNumbers w:val="0"/>
        <w:autoSpaceDE w:val="0"/>
        <w:autoSpaceDN w:val="0"/>
        <w:adjustRightInd w:val="0"/>
        <w:spacing w:before="0" w:beforeAutospacing="0" w:after="0" w:afterAutospacing="0" w:line="360" w:lineRule="auto"/>
        <w:ind w:left="0" w:right="0" w:firstLine="537" w:firstLineChars="224"/>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条款号：3.4               修改类型：删除</w:t>
      </w:r>
    </w:p>
    <w:p w14:paraId="134DDDFC">
      <w:pPr>
        <w:pStyle w:val="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原文：3.4  投标保证金</w:t>
      </w:r>
    </w:p>
    <w:p w14:paraId="66D80805">
      <w:pPr>
        <w:pStyle w:val="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5650CD83">
      <w:pPr>
        <w:pStyle w:val="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3.4.2 开标时投标人没有按要求提交投标保证金的，其投标文件将被否决。</w:t>
      </w:r>
    </w:p>
    <w:p w14:paraId="1EA013EB">
      <w:pPr>
        <w:pStyle w:val="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3.4.3 中标候选人以外的投标人的投标保证金将尽快退还，最迟不超过中标通知书发出之日起五日内；中标人和其他中标候选人的投标保证金，在书面合同订立之日起五日内予以退还。</w:t>
      </w:r>
    </w:p>
    <w:p w14:paraId="2B44C3CD">
      <w:pPr>
        <w:pStyle w:val="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3.4.4 有下列情形之一的，投标保证金将不予退还：</w:t>
      </w:r>
    </w:p>
    <w:p w14:paraId="2CC7C45F">
      <w:pPr>
        <w:pStyle w:val="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 投标人在规定的投标有效期内撤销其投标文件；</w:t>
      </w:r>
    </w:p>
    <w:p w14:paraId="204EDA97">
      <w:pPr>
        <w:pStyle w:val="2"/>
        <w:pBdr>
          <w:bottom w:val="single" w:color="auto" w:sz="4" w:space="0"/>
        </w:pBd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 中标人在收到中标通知书后，无正当理由不与招标人订立合同，在签订合同时向招标 人提出附加条件，或者不按照招标文件要求提交履约保证金</w:t>
      </w:r>
    </w:p>
    <w:p w14:paraId="4B352040">
      <w:pPr>
        <w:keepNext w:val="0"/>
        <w:keepLines w:val="0"/>
        <w:widowControl w:val="0"/>
        <w:suppressLineNumbers w:val="0"/>
        <w:autoSpaceDE w:val="0"/>
        <w:autoSpaceDN w:val="0"/>
        <w:adjustRightInd w:val="0"/>
        <w:spacing w:before="0" w:beforeAutospacing="0" w:after="0" w:afterAutospacing="0" w:line="360" w:lineRule="auto"/>
        <w:ind w:left="0" w:right="0" w:firstLine="537" w:firstLineChars="224"/>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条款号： 3.7.4            修改类型：删除</w:t>
      </w:r>
    </w:p>
    <w:p w14:paraId="2C749323">
      <w:pPr>
        <w:keepNext w:val="0"/>
        <w:keepLines w:val="0"/>
        <w:widowControl w:val="0"/>
        <w:suppressLineNumbers w:val="0"/>
        <w:pBdr>
          <w:top w:val="none" w:color="auto" w:sz="0" w:space="0"/>
          <w:left w:val="none" w:color="auto" w:sz="0" w:space="0"/>
          <w:bottom w:val="single" w:color="auto" w:sz="6" w:space="1"/>
          <w:right w:val="none" w:color="auto" w:sz="0" w:space="0"/>
        </w:pBdr>
        <w:autoSpaceDE w:val="0"/>
        <w:autoSpaceDN w:val="0"/>
        <w:adjustRightInd w:val="0"/>
        <w:spacing w:before="0" w:beforeAutospacing="0" w:after="0" w:afterAutospacing="0" w:line="360" w:lineRule="auto"/>
        <w:ind w:left="0" w:right="0" w:firstLine="537" w:firstLineChars="224"/>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原文：3.7.4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5B782851">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条款号：1.3.3        修改类型：修改</w:t>
      </w:r>
    </w:p>
    <w:p w14:paraId="1C9E357E">
      <w:pPr>
        <w:pStyle w:val="11"/>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原文：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1.3.3 质量标准：见投标人须知前附表。</w:t>
      </w:r>
    </w:p>
    <w:p w14:paraId="7845E4C7">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现文：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1.3.3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监理目标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：见投标人须知前附表。</w:t>
      </w:r>
    </w:p>
    <w:p w14:paraId="67A56C1D">
      <w:pPr>
        <w:spacing w:line="48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3.1.1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修改类型：修改</w:t>
      </w:r>
    </w:p>
    <w:p w14:paraId="70D94EEA">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原文：3.1.1 投标文件应包括下列内容：</w:t>
      </w:r>
    </w:p>
    <w:p w14:paraId="75A08FE7">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（1）投标函及投标函附录；</w:t>
      </w:r>
    </w:p>
    <w:p w14:paraId="009A47CE">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（2）法定代表人身份证明或授权委托书；</w:t>
      </w:r>
    </w:p>
    <w:p w14:paraId="3CA87F1E">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（3）联合体协议书；</w:t>
      </w:r>
    </w:p>
    <w:p w14:paraId="3997D790">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（4）投标保证金；</w:t>
      </w:r>
    </w:p>
    <w:p w14:paraId="3051A0D2">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（5）监理报酬清单；</w:t>
      </w:r>
    </w:p>
    <w:p w14:paraId="2D22CA3C">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（6）资格审查资料；</w:t>
      </w:r>
    </w:p>
    <w:p w14:paraId="1D210FE6">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（7）监理大纲；</w:t>
      </w:r>
    </w:p>
    <w:p w14:paraId="79ABB562">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（8）投标人须知前附表规定的其他资料。投标人在评标过程中作出的符合法律法规和招标文件规定的澄清确认，构成投标文件的组成部分。</w:t>
      </w:r>
    </w:p>
    <w:p w14:paraId="4E84201F">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现文：3.1.1 投标文件应包括下列内容：</w:t>
      </w:r>
    </w:p>
    <w:p w14:paraId="5809AC7A">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（1）投标函及投标函附录；</w:t>
      </w:r>
    </w:p>
    <w:p w14:paraId="4E5A7A8C">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（2）法定代表人身份证明或授权委托书；</w:t>
      </w:r>
    </w:p>
    <w:p w14:paraId="24CFDB65">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）监理报酬清单；</w:t>
      </w:r>
    </w:p>
    <w:p w14:paraId="19AC543E">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）资格审查资料；</w:t>
      </w:r>
    </w:p>
    <w:p w14:paraId="38CD6E01">
      <w:pPr>
        <w:spacing w:line="360" w:lineRule="auto"/>
        <w:ind w:firstLine="537" w:firstLineChars="224"/>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资信业绩资料；</w:t>
      </w:r>
    </w:p>
    <w:p w14:paraId="3B7DC69B">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）监理大纲；</w:t>
      </w:r>
      <w:bookmarkStart w:id="247" w:name="_GoBack"/>
      <w:bookmarkEnd w:id="247"/>
    </w:p>
    <w:p w14:paraId="7D8750C8">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）投标人须知前附表规定的其他资料。投标人在评标过程中作出的符合法律法规和招标文件规定的澄清确认，构成投标文件的组成部分。</w:t>
      </w:r>
    </w:p>
    <w:p w14:paraId="063CC2BC">
      <w:pPr>
        <w:spacing w:line="360" w:lineRule="auto"/>
        <w:ind w:firstLine="537" w:firstLineChars="2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3.3.3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修改类型：修改</w:t>
      </w:r>
    </w:p>
    <w:p w14:paraId="5999B202">
      <w:pPr>
        <w:pStyle w:val="2"/>
        <w:spacing w:line="360" w:lineRule="auto"/>
        <w:ind w:firstLine="480" w:firstLineChars="200"/>
        <w:rPr>
          <w:rFonts w:hint="eastAsia" w:eastAsia="宋体" w:cs="Times New Roman"/>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3.3.3 </w:t>
      </w:r>
      <w:r>
        <w:rPr>
          <w:rFonts w:hint="default" w:cs="Times New Roman"/>
          <w:color w:val="000000" w:themeColor="text1"/>
          <w:sz w:val="24"/>
          <w:szCs w:val="24"/>
          <w:highlight w:val="none"/>
          <w14:textFill>
            <w14:solidFill>
              <w14:schemeClr w14:val="tx1"/>
            </w14:solidFill>
          </w14:textFill>
        </w:rPr>
        <w:t>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r>
        <w:rPr>
          <w:rFonts w:hint="eastAsia" w:cs="Times New Roman"/>
          <w:color w:val="000000" w:themeColor="text1"/>
          <w:sz w:val="24"/>
          <w:szCs w:val="24"/>
          <w:highlight w:val="none"/>
          <w:lang w:eastAsia="zh-CN"/>
          <w14:textFill>
            <w14:solidFill>
              <w14:schemeClr w14:val="tx1"/>
            </w14:solidFill>
          </w14:textFill>
        </w:rPr>
        <w:t>。</w:t>
      </w:r>
    </w:p>
    <w:p w14:paraId="6F27798B">
      <w:pPr>
        <w:pStyle w:val="2"/>
        <w:pBdr>
          <w:bottom w:val="single" w:color="auto" w:sz="4" w:space="0"/>
        </w:pBdr>
        <w:spacing w:line="360" w:lineRule="auto"/>
        <w:ind w:firstLine="480" w:firstLineChars="200"/>
        <w:rPr>
          <w:rFonts w:hint="eastAsia"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现文：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3.3.3 </w:t>
      </w:r>
      <w:r>
        <w:rPr>
          <w:rFonts w:hint="default" w:cs="Times New Roman"/>
          <w:color w:val="000000" w:themeColor="text1"/>
          <w:sz w:val="24"/>
          <w:szCs w:val="24"/>
          <w:highlight w:val="none"/>
          <w14:textFill>
            <w14:solidFill>
              <w14:schemeClr w14:val="tx1"/>
            </w14:solidFill>
          </w14:textFill>
        </w:rPr>
        <w:t>出现特殊情况需要延长投标有效期的，招标人以书面形式通知所有投标人延长投标有效期。投标人应予以书面答复，但不得要求或被允许修改其投标文件；投标人拒绝延长的，其投标失效</w:t>
      </w:r>
      <w:r>
        <w:rPr>
          <w:rFonts w:hint="eastAsia" w:cs="Times New Roman"/>
          <w:color w:val="000000" w:themeColor="text1"/>
          <w:sz w:val="24"/>
          <w:szCs w:val="24"/>
          <w:highlight w:val="none"/>
          <w:lang w:eastAsia="zh-CN"/>
          <w14:textFill>
            <w14:solidFill>
              <w14:schemeClr w14:val="tx1"/>
            </w14:solidFill>
          </w14:textFill>
        </w:rPr>
        <w:t>。</w:t>
      </w:r>
    </w:p>
    <w:p w14:paraId="527831A2">
      <w:pPr>
        <w:pStyle w:val="2"/>
        <w:spacing w:line="360" w:lineRule="auto"/>
        <w:ind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条款号：3.5         修改类型：修改</w:t>
      </w:r>
    </w:p>
    <w:p w14:paraId="2133073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outlineLvl w:val="2"/>
        <w:rPr>
          <w:rFonts w:hint="default"/>
          <w:color w:val="000000" w:themeColor="text1"/>
          <w:sz w:val="27"/>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原文：</w:t>
      </w:r>
      <w:r>
        <w:rPr>
          <w:rFonts w:hint="default" w:cs="宋体"/>
          <w:color w:val="000000" w:themeColor="text1"/>
          <w:sz w:val="24"/>
          <w:szCs w:val="24"/>
          <w:highlight w:val="none"/>
          <w14:textFill>
            <w14:solidFill>
              <w14:schemeClr w14:val="tx1"/>
            </w14:solidFill>
          </w14:textFill>
        </w:rPr>
        <w:t>3.5 资格审查资料</w:t>
      </w:r>
    </w:p>
    <w:p w14:paraId="1C9BAF5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14:paraId="15E935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3.5.1 “投标人基本情况表”应附投标人营业执照、投标人监理资质证书副本等材料的</w:t>
      </w:r>
      <w:r>
        <w:rPr>
          <w:rFonts w:hint="default" w:cs="Times New Roman"/>
          <w:color w:val="000000" w:themeColor="text1"/>
          <w:sz w:val="24"/>
          <w:szCs w:val="24"/>
          <w:highlight w:val="none"/>
          <w:lang w:eastAsia="zh-CN"/>
          <w14:textFill>
            <w14:solidFill>
              <w14:schemeClr w14:val="tx1"/>
            </w14:solidFill>
          </w14:textFill>
        </w:rPr>
        <w:t>扫描件</w:t>
      </w:r>
      <w:r>
        <w:rPr>
          <w:rFonts w:hint="default" w:cs="Times New Roman"/>
          <w:color w:val="000000" w:themeColor="text1"/>
          <w:sz w:val="24"/>
          <w:szCs w:val="24"/>
          <w:highlight w:val="none"/>
          <w14:textFill>
            <w14:solidFill>
              <w14:schemeClr w14:val="tx1"/>
            </w14:solidFill>
          </w14:textFill>
        </w:rPr>
        <w:t>。</w:t>
      </w:r>
    </w:p>
    <w:p w14:paraId="6A5DCC8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3.5.</w:t>
      </w:r>
      <w:r>
        <w:rPr>
          <w:rFonts w:hint="default" w:cs="Times New Roman"/>
          <w:color w:val="000000" w:themeColor="text1"/>
          <w:sz w:val="24"/>
          <w:szCs w:val="24"/>
          <w:highlight w:val="none"/>
          <w:lang w:val="en-US" w:eastAsia="zh-CN"/>
          <w14:textFill>
            <w14:solidFill>
              <w14:schemeClr w14:val="tx1"/>
            </w14:solidFill>
          </w14:textFill>
        </w:rPr>
        <w:t>2</w:t>
      </w:r>
      <w:r>
        <w:rPr>
          <w:rFonts w:hint="default" w:cs="Times New Roman"/>
          <w:color w:val="000000" w:themeColor="text1"/>
          <w:sz w:val="24"/>
          <w:szCs w:val="24"/>
          <w:highlight w:val="none"/>
          <w14:textFill>
            <w14:solidFill>
              <w14:schemeClr w14:val="tx1"/>
            </w14:solidFill>
          </w14:textFill>
        </w:rPr>
        <w:t xml:space="preserve"> “近年完成的类似监理项目情况表”应附中标通知书和（或）合同协议书、委托人出具的证明文件；具体时间要求见投标人须知前附表，每张表格只填写一个项目，并标明序号。</w:t>
      </w:r>
    </w:p>
    <w:p w14:paraId="55755B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3.5.</w:t>
      </w:r>
      <w:r>
        <w:rPr>
          <w:rFonts w:hint="default" w:cs="Times New Roman"/>
          <w:color w:val="000000" w:themeColor="text1"/>
          <w:sz w:val="24"/>
          <w:szCs w:val="24"/>
          <w:highlight w:val="none"/>
          <w:lang w:val="en-US" w:eastAsia="zh-CN"/>
          <w14:textFill>
            <w14:solidFill>
              <w14:schemeClr w14:val="tx1"/>
            </w14:solidFill>
          </w14:textFill>
        </w:rPr>
        <w:t>3</w:t>
      </w:r>
      <w:r>
        <w:rPr>
          <w:rFonts w:hint="default" w:cs="Times New Roman"/>
          <w:color w:val="000000" w:themeColor="text1"/>
          <w:sz w:val="24"/>
          <w:szCs w:val="24"/>
          <w:highlight w:val="none"/>
          <w14:textFill>
            <w14:solidFill>
              <w14:schemeClr w14:val="tx1"/>
            </w14:solidFill>
          </w14:textFill>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cs="Times New Roman"/>
          <w:color w:val="000000" w:themeColor="text1"/>
          <w:sz w:val="24"/>
          <w:szCs w:val="24"/>
          <w:highlight w:val="none"/>
          <w:lang w:eastAsia="zh-CN"/>
          <w14:textFill>
            <w14:solidFill>
              <w14:schemeClr w14:val="tx1"/>
            </w14:solidFill>
          </w14:textFill>
        </w:rPr>
        <w:t>（若有）</w:t>
      </w:r>
      <w:r>
        <w:rPr>
          <w:rFonts w:hint="default" w:cs="Times New Roman"/>
          <w:color w:val="000000" w:themeColor="text1"/>
          <w:sz w:val="24"/>
          <w:szCs w:val="24"/>
          <w:highlight w:val="none"/>
          <w14:textFill>
            <w14:solidFill>
              <w14:schemeClr w14:val="tx1"/>
            </w14:solidFill>
          </w14:textFill>
        </w:rPr>
        <w:t>；其他主要人员应附身份证、学历证、职称证、有关证书和社保缴费证明</w:t>
      </w:r>
      <w:r>
        <w:rPr>
          <w:rFonts w:hint="default" w:cs="Times New Roman"/>
          <w:color w:val="000000" w:themeColor="text1"/>
          <w:sz w:val="24"/>
          <w:szCs w:val="24"/>
          <w:highlight w:val="none"/>
          <w:lang w:eastAsia="zh-CN"/>
          <w14:textFill>
            <w14:solidFill>
              <w14:schemeClr w14:val="tx1"/>
            </w14:solidFill>
          </w14:textFill>
        </w:rPr>
        <w:t>（若有）</w:t>
      </w:r>
      <w:r>
        <w:rPr>
          <w:rFonts w:hint="default"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eastAsia="zh-CN"/>
          <w14:textFill>
            <w14:solidFill>
              <w14:schemeClr w14:val="tx1"/>
            </w14:solidFill>
          </w14:textFill>
        </w:rPr>
        <w:t>（注：以上人员社保要求：具有离投标截止时间最近</w:t>
      </w:r>
      <w:r>
        <w:rPr>
          <w:rFonts w:hint="eastAsia" w:cs="Times New Roman"/>
          <w:color w:val="000000" w:themeColor="text1"/>
          <w:sz w:val="24"/>
          <w:szCs w:val="24"/>
          <w:highlight w:val="none"/>
          <w:lang w:val="en-US" w:eastAsia="zh-CN"/>
          <w14:textFill>
            <w14:solidFill>
              <w14:schemeClr w14:val="tx1"/>
            </w14:solidFill>
          </w14:textFill>
        </w:rPr>
        <w:t>的至少1</w:t>
      </w:r>
      <w:r>
        <w:rPr>
          <w:rFonts w:hint="eastAsia" w:cs="Times New Roman"/>
          <w:color w:val="000000" w:themeColor="text1"/>
          <w:sz w:val="24"/>
          <w:szCs w:val="24"/>
          <w:highlight w:val="none"/>
          <w:lang w:eastAsia="zh-CN"/>
          <w14:textFill>
            <w14:solidFill>
              <w14:schemeClr w14:val="tx1"/>
            </w14:solidFill>
          </w14:textFill>
        </w:rPr>
        <w:t>个月在本单位缴纳的社保证明文件。）</w:t>
      </w:r>
    </w:p>
    <w:p w14:paraId="2903471B">
      <w:pPr>
        <w:pStyle w:val="2"/>
        <w:spacing w:line="360" w:lineRule="auto"/>
        <w:ind w:firstLine="480" w:firstLineChars="200"/>
        <w:rPr>
          <w:rFonts w:hint="eastAsia" w:cs="Times New Roman"/>
          <w:color w:val="000000" w:themeColor="text1"/>
          <w:sz w:val="24"/>
          <w:szCs w:val="24"/>
          <w:highlight w:val="none"/>
          <w:lang w:eastAsia="zh-CN"/>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3.5.</w:t>
      </w:r>
      <w:r>
        <w:rPr>
          <w:rFonts w:hint="default" w:cs="Times New Roman"/>
          <w:color w:val="000000" w:themeColor="text1"/>
          <w:sz w:val="24"/>
          <w:szCs w:val="24"/>
          <w:highlight w:val="none"/>
          <w:lang w:val="en-US" w:eastAsia="zh-CN"/>
          <w14:textFill>
            <w14:solidFill>
              <w14:schemeClr w14:val="tx1"/>
            </w14:solidFill>
          </w14:textFill>
        </w:rPr>
        <w:t>4</w:t>
      </w:r>
      <w:r>
        <w:rPr>
          <w:rFonts w:hint="default" w:cs="Times New Roman"/>
          <w:color w:val="000000" w:themeColor="text1"/>
          <w:sz w:val="24"/>
          <w:szCs w:val="24"/>
          <w:highlight w:val="none"/>
          <w14:textFill>
            <w14:solidFill>
              <w14:schemeClr w14:val="tx1"/>
            </w14:solidFill>
          </w14:textFill>
        </w:rPr>
        <w:t xml:space="preserve"> 投标人须知前附表规定接受联合体投标的，本章第3.5.1 项至第3.5.</w:t>
      </w:r>
      <w:r>
        <w:rPr>
          <w:rFonts w:hint="default" w:cs="Times New Roman"/>
          <w:color w:val="000000" w:themeColor="text1"/>
          <w:sz w:val="24"/>
          <w:szCs w:val="24"/>
          <w:highlight w:val="none"/>
          <w:lang w:val="en-US" w:eastAsia="zh-CN"/>
          <w14:textFill>
            <w14:solidFill>
              <w14:schemeClr w14:val="tx1"/>
            </w14:solidFill>
          </w14:textFill>
        </w:rPr>
        <w:t>3</w:t>
      </w:r>
      <w:r>
        <w:rPr>
          <w:rFonts w:hint="default" w:cs="Times New Roman"/>
          <w:color w:val="000000" w:themeColor="text1"/>
          <w:sz w:val="24"/>
          <w:szCs w:val="24"/>
          <w:highlight w:val="none"/>
          <w14:textFill>
            <w14:solidFill>
              <w14:schemeClr w14:val="tx1"/>
            </w14:solidFill>
          </w14:textFill>
        </w:rPr>
        <w:t>项规定的表格和资料应包括联合体各方相关情况</w:t>
      </w:r>
      <w:r>
        <w:rPr>
          <w:rFonts w:hint="eastAsia" w:cs="Times New Roman"/>
          <w:color w:val="000000" w:themeColor="text1"/>
          <w:sz w:val="24"/>
          <w:szCs w:val="24"/>
          <w:highlight w:val="none"/>
          <w:lang w:eastAsia="zh-CN"/>
          <w14:textFill>
            <w14:solidFill>
              <w14:schemeClr w14:val="tx1"/>
            </w14:solidFill>
          </w14:textFill>
        </w:rPr>
        <w:t>。</w:t>
      </w:r>
    </w:p>
    <w:p w14:paraId="08EBF56F">
      <w:pPr>
        <w:pStyle w:val="2"/>
        <w:pBdr>
          <w:bottom w:val="single" w:color="auto" w:sz="4" w:space="0"/>
        </w:pBdr>
        <w:spacing w:line="360" w:lineRule="auto"/>
        <w:ind w:firstLine="480" w:firstLineChars="200"/>
        <w:rPr>
          <w:rFonts w:hint="eastAsia" w:ascii="宋体" w:hAnsi="宋体" w:cs="宋体"/>
          <w:strike w:val="0"/>
          <w:color w:val="000000" w:themeColor="text1"/>
          <w:spacing w:val="-4"/>
          <w:szCs w:val="21"/>
          <w:highlight w:val="none"/>
          <w:u w:val="singl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现文：</w:t>
      </w:r>
      <w:r>
        <w:rPr>
          <w:rFonts w:hint="eastAsia" w:ascii="宋体" w:hAnsi="宋体" w:cs="宋体"/>
          <w:strike w:val="0"/>
          <w:color w:val="000000" w:themeColor="text1"/>
          <w:spacing w:val="-4"/>
          <w:szCs w:val="21"/>
          <w:highlight w:val="none"/>
          <w:u w:val="single"/>
          <w14:textFill>
            <w14:solidFill>
              <w14:schemeClr w14:val="tx1"/>
            </w14:solidFill>
          </w14:textFill>
        </w:rPr>
        <w:t>3.</w:t>
      </w:r>
      <w:r>
        <w:rPr>
          <w:rFonts w:hint="eastAsia" w:ascii="宋体" w:hAnsi="宋体" w:cs="宋体"/>
          <w:strike w:val="0"/>
          <w:color w:val="000000" w:themeColor="text1"/>
          <w:spacing w:val="-4"/>
          <w:szCs w:val="21"/>
          <w:highlight w:val="none"/>
          <w:u w:val="single"/>
          <w:lang w:val="en-US" w:eastAsia="zh-CN"/>
          <w14:textFill>
            <w14:solidFill>
              <w14:schemeClr w14:val="tx1"/>
            </w14:solidFill>
          </w14:textFill>
        </w:rPr>
        <w:t>5.</w:t>
      </w:r>
      <w:r>
        <w:rPr>
          <w:rFonts w:hint="eastAsia" w:ascii="宋体" w:hAnsi="宋体" w:cs="宋体"/>
          <w:strike w:val="0"/>
          <w:color w:val="000000" w:themeColor="text1"/>
          <w:spacing w:val="-4"/>
          <w:szCs w:val="21"/>
          <w:highlight w:val="none"/>
          <w:u w:val="single"/>
          <w14:textFill>
            <w14:solidFill>
              <w14:schemeClr w14:val="tx1"/>
            </w14:solidFill>
          </w14:textFill>
        </w:rPr>
        <w:t xml:space="preserve">1  </w:t>
      </w:r>
      <w:r>
        <w:rPr>
          <w:rFonts w:hint="eastAsia" w:ascii="宋体" w:hAnsi="宋体" w:cs="宋体"/>
          <w:strike w:val="0"/>
          <w:color w:val="000000" w:themeColor="text1"/>
          <w:spacing w:val="-4"/>
          <w:szCs w:val="21"/>
          <w:highlight w:val="none"/>
          <w:u w:val="single"/>
          <w:lang w:val="en-US" w:eastAsia="zh-CN"/>
          <w14:textFill>
            <w14:solidFill>
              <w14:schemeClr w14:val="tx1"/>
            </w14:solidFill>
          </w14:textFill>
        </w:rPr>
        <w:t>具体详见招标公告第3.投标人资格要求。</w:t>
      </w:r>
    </w:p>
    <w:p w14:paraId="723289F7">
      <w:pPr>
        <w:ind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条款号：3.7.3              修改类型：修改</w:t>
      </w:r>
    </w:p>
    <w:p w14:paraId="6EFC37C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原文：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投标文件全部采用电子文档，投标文件所附证书证件均为原件扫描件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或电子证书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，并采用单位数字证书，按招标文件要求在相应位置加盖电子印章。投标文件中需个人签字或盖章的，应加盖个人电子印章或在线下完成后扫描上传</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可靠的电子签名与手写签名或者盖章具有同等的法律效力</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广州交易集团有限公司（广州公共资源交易中心）网站关于全流程电子化项目的相关指南进行操作。</w:t>
      </w:r>
    </w:p>
    <w:p w14:paraId="7E4A9755">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现文：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投标文件全部采用电子文档，投标文件所附证书证件均为原件扫描件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或电子证书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，并采用单位数字证书，</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对投标文件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加盖电子印章。投标文件中需个人签字或盖章的，应加盖个人电子印章或在线下完成后扫描上传</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可靠的电子签名与手写签名或者盖章具有同等的法律效力</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广州交易集团有限公司（广州公共资源交易中心）网站关于全流程电子化项目的相关指南进行操作。</w:t>
      </w:r>
    </w:p>
    <w:p w14:paraId="32CA746A">
      <w:pPr>
        <w:pStyle w:val="2"/>
        <w:spacing w:line="360" w:lineRule="auto"/>
        <w:ind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条款号：5.2.1         修改类型：修改</w:t>
      </w:r>
    </w:p>
    <w:p w14:paraId="75930BF7">
      <w:pPr>
        <w:spacing w:line="360" w:lineRule="auto"/>
        <w:ind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原文：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5.2.1 </w:t>
      </w:r>
      <w:r>
        <w:rPr>
          <w:rFonts w:hint="default" w:cs="Times New Roman"/>
          <w:color w:val="000000" w:themeColor="text1"/>
          <w:sz w:val="24"/>
          <w:szCs w:val="24"/>
          <w:highlight w:val="none"/>
          <w:lang w:val="en-US" w:eastAsia="zh-CN"/>
          <w14:textFill>
            <w14:solidFill>
              <w14:schemeClr w14:val="tx1"/>
            </w14:solidFill>
          </w14:textFill>
        </w:rPr>
        <w:t>在投标截止时间后</w:t>
      </w:r>
      <w:r>
        <w:rPr>
          <w:rFonts w:hint="default" w:cs="Times New Roman"/>
          <w:color w:val="000000" w:themeColor="text1"/>
          <w:sz w:val="24"/>
          <w:szCs w:val="24"/>
          <w:highlight w:val="none"/>
          <w:u w:val="single"/>
          <w:lang w:val="en-US" w:eastAsia="zh-CN"/>
          <w14:textFill>
            <w14:solidFill>
              <w14:schemeClr w14:val="tx1"/>
            </w14:solidFill>
          </w14:textFill>
        </w:rPr>
        <w:t>半小时</w:t>
      </w:r>
      <w:r>
        <w:rPr>
          <w:rFonts w:hint="default" w:cs="Times New Roman"/>
          <w:color w:val="000000" w:themeColor="text1"/>
          <w:sz w:val="24"/>
          <w:szCs w:val="24"/>
          <w:highlight w:val="none"/>
          <w:lang w:val="en-US" w:eastAsia="zh-CN"/>
          <w14:textFill>
            <w14:solidFill>
              <w14:schemeClr w14:val="tx1"/>
            </w14:solidFill>
          </w14:textFill>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r>
        <w:rPr>
          <w:rFonts w:hint="eastAsia" w:cs="Times New Roman"/>
          <w:color w:val="000000" w:themeColor="text1"/>
          <w:sz w:val="24"/>
          <w:szCs w:val="24"/>
          <w:highlight w:val="none"/>
          <w:lang w:val="en-US" w:eastAsia="zh-CN"/>
          <w14:textFill>
            <w14:solidFill>
              <w14:schemeClr w14:val="tx1"/>
            </w14:solidFill>
          </w14:textFill>
        </w:rPr>
        <w:t>。</w:t>
      </w:r>
    </w:p>
    <w:p w14:paraId="52306D02">
      <w:pPr>
        <w:pStyle w:val="2"/>
        <w:pBdr>
          <w:bottom w:val="single" w:color="auto" w:sz="4" w:space="0"/>
        </w:pBdr>
        <w:spacing w:line="360" w:lineRule="auto"/>
        <w:ind w:firstLine="480" w:firstLineChars="200"/>
        <w:rPr>
          <w:rFonts w:hint="default"/>
          <w:color w:val="000000" w:themeColor="text1"/>
          <w:highlight w:val="none"/>
          <w:u w:val="single"/>
          <w:lang w:val="en-US"/>
          <w14:textFill>
            <w14:solidFill>
              <w14:schemeClr w14:val="tx1"/>
            </w14:solidFill>
          </w14:textFill>
        </w:rPr>
      </w:pPr>
      <w:r>
        <w:rPr>
          <w:rFonts w:hint="eastAsia" w:cs="Times New Roman"/>
          <w:color w:val="000000" w:themeColor="text1"/>
          <w:sz w:val="24"/>
          <w:szCs w:val="24"/>
          <w:highlight w:val="none"/>
          <w:u w:val="single"/>
          <w:lang w:val="en-US" w:eastAsia="zh-CN"/>
          <w14:textFill>
            <w14:solidFill>
              <w14:schemeClr w14:val="tx1"/>
            </w14:solidFill>
          </w14:textFill>
        </w:rPr>
        <w:t>现文：</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5.2.1 </w:t>
      </w:r>
      <w:r>
        <w:rPr>
          <w:rFonts w:hint="default" w:cs="Times New Roman"/>
          <w:color w:val="000000" w:themeColor="text1"/>
          <w:sz w:val="24"/>
          <w:szCs w:val="24"/>
          <w:highlight w:val="none"/>
          <w:u w:val="single"/>
          <w:lang w:val="en-US" w:eastAsia="zh-CN"/>
          <w14:textFill>
            <w14:solidFill>
              <w14:schemeClr w14:val="tx1"/>
            </w14:solidFill>
          </w14:textFill>
        </w:rPr>
        <w:t>在投标截止时间后半小时内，投标人通过递交投标文件的交易平台对已递交的电子投标文件进行解密。投标人完成解密后，再由招标人进行解密。解密完成后，公布招标项目名称、投标人名称、投标报价、拟派总监理工程师及其他内容。未在规定时间内解密的投标文件不参与开标、评标</w:t>
      </w:r>
      <w:r>
        <w:rPr>
          <w:rFonts w:hint="eastAsia" w:cs="Times New Roman"/>
          <w:color w:val="000000" w:themeColor="text1"/>
          <w:sz w:val="24"/>
          <w:szCs w:val="24"/>
          <w:highlight w:val="none"/>
          <w:u w:val="single"/>
          <w:lang w:val="en-US" w:eastAsia="zh-CN"/>
          <w14:textFill>
            <w14:solidFill>
              <w14:schemeClr w14:val="tx1"/>
            </w14:solidFill>
          </w14:textFill>
        </w:rPr>
        <w:t>。</w:t>
      </w:r>
    </w:p>
    <w:p w14:paraId="4D4F2C2A">
      <w:pPr>
        <w:pStyle w:val="2"/>
        <w:spacing w:line="360" w:lineRule="auto"/>
        <w:ind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条款号：7.7         修改类型：修改</w:t>
      </w:r>
    </w:p>
    <w:p w14:paraId="15C6AD5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outlineLvl w:val="2"/>
        <w:rPr>
          <w:rFonts w:hint="default"/>
          <w:color w:val="000000" w:themeColor="text1"/>
          <w:sz w:val="27"/>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原文：</w:t>
      </w:r>
      <w:r>
        <w:rPr>
          <w:rFonts w:hint="default" w:cs="宋体"/>
          <w:color w:val="000000" w:themeColor="text1"/>
          <w:sz w:val="24"/>
          <w:szCs w:val="24"/>
          <w:highlight w:val="none"/>
          <w14:textFill>
            <w14:solidFill>
              <w14:schemeClr w14:val="tx1"/>
            </w14:solidFill>
          </w14:textFill>
        </w:rPr>
        <w:t>7.7  签订合同</w:t>
      </w:r>
    </w:p>
    <w:p w14:paraId="09DE50B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7.7.1 招标人和中标人应当在中标通知书发出之日起30日内，根据招标文件和中标人的投标文件订立书面合同</w:t>
      </w:r>
      <w:r>
        <w:rPr>
          <w:rFonts w:hint="eastAsia"/>
          <w:color w:val="000000" w:themeColor="text1"/>
          <w:sz w:val="24"/>
          <w:highlight w:val="none"/>
          <w:lang w:eastAsia="zh-CN"/>
          <w14:textFill>
            <w14:solidFill>
              <w14:schemeClr w14:val="tx1"/>
            </w14:solidFill>
          </w14:textFill>
        </w:rPr>
        <w:t>，并通过电子交易系统与中标人在线签订合同</w:t>
      </w:r>
      <w:r>
        <w:rPr>
          <w:rFonts w:hint="default" w:cs="Times New Roman"/>
          <w:color w:val="000000" w:themeColor="text1"/>
          <w:sz w:val="24"/>
          <w:szCs w:val="24"/>
          <w:highlight w:val="none"/>
          <w14:textFill>
            <w14:solidFill>
              <w14:schemeClr w14:val="tx1"/>
            </w14:solidFill>
          </w14:textFill>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6C295E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7.7.2 发出中标通知书后，招标人无正当理由拒签合同，或者在签订合同时向中标人提出附加条件的，招标人向中标人退还投标保证金；给中标人造成损失的，还应当赔偿损失。</w:t>
      </w:r>
    </w:p>
    <w:p w14:paraId="0E124ED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14:textFill>
            <w14:solidFill>
              <w14:schemeClr w14:val="tx1"/>
            </w14:solidFill>
          </w14:textFill>
        </w:rPr>
      </w:pPr>
      <w:r>
        <w:rPr>
          <w:rFonts w:hint="default" w:cs="Times New Roman"/>
          <w:color w:val="000000" w:themeColor="text1"/>
          <w:sz w:val="24"/>
          <w:szCs w:val="24"/>
          <w:highlight w:val="none"/>
          <w14:textFill>
            <w14:solidFill>
              <w14:schemeClr w14:val="tx1"/>
            </w14:solidFill>
          </w14:textFill>
        </w:rPr>
        <w:t>7.7.3 联合体中标的，联合体各方应当共同与招标人签订合同，就中标项目向招标人承担连带责任。</w:t>
      </w:r>
    </w:p>
    <w:p w14:paraId="302B992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default"/>
          <w:color w:val="000000" w:themeColor="text1"/>
          <w:sz w:val="27"/>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现文：</w:t>
      </w:r>
      <w:r>
        <w:rPr>
          <w:rFonts w:hint="default" w:cs="宋体"/>
          <w:color w:val="000000" w:themeColor="text1"/>
          <w:sz w:val="24"/>
          <w:szCs w:val="24"/>
          <w:highlight w:val="none"/>
          <w14:textFill>
            <w14:solidFill>
              <w14:schemeClr w14:val="tx1"/>
            </w14:solidFill>
          </w14:textFill>
        </w:rPr>
        <w:t>7.7  签订合同</w:t>
      </w:r>
    </w:p>
    <w:p w14:paraId="5EF0A1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u w:val="single"/>
          <w14:textFill>
            <w14:solidFill>
              <w14:schemeClr w14:val="tx1"/>
            </w14:solidFill>
          </w14:textFill>
        </w:rPr>
      </w:pPr>
      <w:r>
        <w:rPr>
          <w:rFonts w:hint="default" w:cs="Times New Roman"/>
          <w:color w:val="000000" w:themeColor="text1"/>
          <w:sz w:val="24"/>
          <w:szCs w:val="24"/>
          <w:highlight w:val="none"/>
          <w:u w:val="single"/>
          <w14:textFill>
            <w14:solidFill>
              <w14:schemeClr w14:val="tx1"/>
            </w14:solidFill>
          </w14:textFill>
        </w:rPr>
        <w:t>7.7.1 招标人和中标人应当在中标通知书发出之日起30日内，根据招标文件和中标人的投标文件订立书面合同</w:t>
      </w:r>
      <w:r>
        <w:rPr>
          <w:rFonts w:hint="eastAsia"/>
          <w:color w:val="000000" w:themeColor="text1"/>
          <w:sz w:val="24"/>
          <w:highlight w:val="none"/>
          <w:u w:val="single"/>
          <w:lang w:eastAsia="zh-CN"/>
          <w14:textFill>
            <w14:solidFill>
              <w14:schemeClr w14:val="tx1"/>
            </w14:solidFill>
          </w14:textFill>
        </w:rPr>
        <w:t>，并通过电子交易系统与中标人在线签订合同</w:t>
      </w:r>
      <w:r>
        <w:rPr>
          <w:rFonts w:hint="default" w:cs="Times New Roman"/>
          <w:color w:val="000000" w:themeColor="text1"/>
          <w:sz w:val="24"/>
          <w:szCs w:val="24"/>
          <w:highlight w:val="none"/>
          <w:u w:val="single"/>
          <w14:textFill>
            <w14:solidFill>
              <w14:schemeClr w14:val="tx1"/>
            </w14:solidFill>
          </w14:textFill>
        </w:rPr>
        <w:t>。中标人无正当理由拒签合同，在签订合同时向招标人提出附加条件，招标人有权取消其中标资格；给招标人造成的损失的，中标人还应当对超过部分予以赔偿。</w:t>
      </w:r>
    </w:p>
    <w:p w14:paraId="794C803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themeColor="text1"/>
          <w:sz w:val="24"/>
          <w:szCs w:val="24"/>
          <w:highlight w:val="none"/>
          <w:u w:val="single"/>
          <w14:textFill>
            <w14:solidFill>
              <w14:schemeClr w14:val="tx1"/>
            </w14:solidFill>
          </w14:textFill>
        </w:rPr>
      </w:pPr>
      <w:r>
        <w:rPr>
          <w:rFonts w:hint="default" w:cs="Times New Roman"/>
          <w:color w:val="000000" w:themeColor="text1"/>
          <w:sz w:val="24"/>
          <w:szCs w:val="24"/>
          <w:highlight w:val="none"/>
          <w:u w:val="single"/>
          <w14:textFill>
            <w14:solidFill>
              <w14:schemeClr w14:val="tx1"/>
            </w14:solidFill>
          </w14:textFill>
        </w:rPr>
        <w:t>7.7.2 发出中标通知书后，招标人无正当理由拒签合同，或者在签订合同时向中标人提出附加条件的</w:t>
      </w:r>
      <w:r>
        <w:rPr>
          <w:rFonts w:hint="eastAsia" w:cs="Times New Roman"/>
          <w:color w:val="000000" w:themeColor="text1"/>
          <w:sz w:val="24"/>
          <w:szCs w:val="24"/>
          <w:highlight w:val="none"/>
          <w:u w:val="single"/>
          <w:lang w:eastAsia="zh-CN"/>
          <w14:textFill>
            <w14:solidFill>
              <w14:schemeClr w14:val="tx1"/>
            </w14:solidFill>
          </w14:textFill>
        </w:rPr>
        <w:t>，</w:t>
      </w:r>
      <w:r>
        <w:rPr>
          <w:rFonts w:hint="default" w:cs="Times New Roman"/>
          <w:color w:val="000000" w:themeColor="text1"/>
          <w:sz w:val="24"/>
          <w:szCs w:val="24"/>
          <w:highlight w:val="none"/>
          <w:u w:val="single"/>
          <w14:textFill>
            <w14:solidFill>
              <w14:schemeClr w14:val="tx1"/>
            </w14:solidFill>
          </w14:textFill>
        </w:rPr>
        <w:t>给中标人造成损失的，还应当赔偿损失。</w:t>
      </w:r>
    </w:p>
    <w:p w14:paraId="66F4E567">
      <w:pPr>
        <w:pBdr>
          <w:bottom w:val="single" w:color="auto" w:sz="4" w:space="0"/>
        </w:pBdr>
        <w:spacing w:line="360" w:lineRule="auto"/>
        <w:ind w:firstLine="480" w:firstLineChars="200"/>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default" w:cs="Times New Roman"/>
          <w:color w:val="000000" w:themeColor="text1"/>
          <w:sz w:val="24"/>
          <w:szCs w:val="24"/>
          <w:highlight w:val="none"/>
          <w:u w:val="single"/>
          <w14:textFill>
            <w14:solidFill>
              <w14:schemeClr w14:val="tx1"/>
            </w14:solidFill>
          </w14:textFill>
        </w:rPr>
        <w:t xml:space="preserve">7.7.3 </w:t>
      </w:r>
      <w:r>
        <w:rPr>
          <w:rFonts w:hint="eastAsia" w:ascii="宋体" w:hAnsi="宋体" w:cs="宋体"/>
          <w:color w:val="000000" w:themeColor="text1"/>
          <w:spacing w:val="-2"/>
          <w:szCs w:val="21"/>
          <w:highlight w:val="none"/>
          <w:u w:val="single"/>
          <w14:textFill>
            <w14:solidFill>
              <w14:schemeClr w14:val="tx1"/>
            </w14:solidFill>
          </w14:textFill>
        </w:rPr>
        <w:t>中标人在收到本项目中标通知书后，按招标人通知的时间及地点，由其法定代表人或者经授权的副总经理级别或以上的人员参与招标人组织的合同签约仪式。</w:t>
      </w:r>
    </w:p>
    <w:p w14:paraId="6DCB614E">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56E6998">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注：以上修改，仅限于本范本中有可供选择条款的情形。</w:t>
      </w:r>
    </w:p>
    <w:p w14:paraId="3CB406D8">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（以下无正文）</w:t>
      </w:r>
    </w:p>
    <w:p w14:paraId="722FC71E">
      <w:pPr>
        <w:pStyle w:val="5"/>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085544FA">
      <w:pPr>
        <w:pStyle w:val="5"/>
        <w:outlineLvl w:val="1"/>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bookmarkStart w:id="22" w:name="_Toc1624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1.总则</w:t>
      </w:r>
      <w:bookmarkEnd w:id="22"/>
    </w:p>
    <w:p w14:paraId="5C534F4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3" w:name="bookmark21"/>
      <w:bookmarkEnd w:id="23"/>
      <w:bookmarkStart w:id="24" w:name="_Toc2133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 招标项目概况</w:t>
      </w:r>
      <w:bookmarkEnd w:id="24"/>
    </w:p>
    <w:p w14:paraId="7FF11C62">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 根据《中华人民共和国招标投标法》、《中华人民共和国招标投标法实施条例》等有关法律、法规和规章的规定，本招标项目已具备招标条件，现对监理进行招标。</w:t>
      </w:r>
    </w:p>
    <w:p w14:paraId="54662CA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 招标人：见投标人须知前附表。</w:t>
      </w:r>
    </w:p>
    <w:p w14:paraId="370E384A">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1.1.3 招标代理机构：见投标人须知前附表。</w:t>
      </w:r>
    </w:p>
    <w:p w14:paraId="3E11427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1.1.4 招标项目名称：见投标人须知前附表。</w:t>
      </w:r>
    </w:p>
    <w:p w14:paraId="51B1CD0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1.1.5 项目建设地点：见投标人须知前附表。</w:t>
      </w:r>
    </w:p>
    <w:p w14:paraId="4EDE109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1.1.6 项目建设规模：见投标人须知前附表。</w:t>
      </w:r>
    </w:p>
    <w:p w14:paraId="58EB92E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1.1.7 工程项目施工预计开工日期和建设周期：见投标人须知前附表。</w:t>
      </w:r>
    </w:p>
    <w:p w14:paraId="2DF13F9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1.1.8 建筑安装工程费/工程概算：见投标人须知前附表。</w:t>
      </w:r>
    </w:p>
    <w:p w14:paraId="43D4BC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5" w:name="bookmark22"/>
      <w:bookmarkEnd w:id="25"/>
      <w:bookmarkStart w:id="26" w:name="_Toc1709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 招标项目的资金来源和落实情况</w:t>
      </w:r>
      <w:bookmarkEnd w:id="26"/>
    </w:p>
    <w:p w14:paraId="2FE8CAA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1.2.1 资金来源及比例：见投标人须知前附表。</w:t>
      </w:r>
    </w:p>
    <w:p w14:paraId="4943722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1.2.2 资金落实情况：见投标人须知前附表。</w:t>
      </w:r>
    </w:p>
    <w:p w14:paraId="0E030EE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7" w:name="bookmark23"/>
      <w:bookmarkEnd w:id="27"/>
      <w:bookmarkStart w:id="28" w:name="_Toc445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 招标范围、监理服务期限和质量标准</w:t>
      </w:r>
      <w:bookmarkEnd w:id="28"/>
    </w:p>
    <w:p w14:paraId="1617F9D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1.3.1 招标范围：见投标人须知前附表。</w:t>
      </w:r>
    </w:p>
    <w:p w14:paraId="6FCF9B9E">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1.3.2 监理服务期限：见投标人须知前附表。</w:t>
      </w:r>
    </w:p>
    <w:p w14:paraId="4F981F1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1.3.3 质量标准：见投标人须知前附表。</w:t>
      </w:r>
    </w:p>
    <w:p w14:paraId="390E73C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9" w:name="bookmark24"/>
      <w:bookmarkEnd w:id="29"/>
      <w:bookmarkStart w:id="30" w:name="_Toc1332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 投标人资格要求</w:t>
      </w:r>
      <w:bookmarkEnd w:id="30"/>
    </w:p>
    <w:p w14:paraId="3CED633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1.4.1 投标人应具备承担本招标项目资质条件、能力和信誉：</w:t>
      </w:r>
    </w:p>
    <w:p w14:paraId="07D8A17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（1）资质要求：见投标人须知前附表；</w:t>
      </w:r>
    </w:p>
    <w:p w14:paraId="094CBCA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（2）财务要求：见投标人须知前附表；</w:t>
      </w:r>
    </w:p>
    <w:p w14:paraId="42ACA27E">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（3）业绩要求：见投标人须知前附表；</w:t>
      </w:r>
    </w:p>
    <w:p w14:paraId="0F551ED0">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（4）信誉要求：见投标人须知前附表；</w:t>
      </w:r>
    </w:p>
    <w:p w14:paraId="12FBE542">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（5）总监理工程师的资格要求：应当具备工程注册监理工程师执业资格，具体要求见投标人须知前附表；</w:t>
      </w:r>
    </w:p>
    <w:p w14:paraId="70E7383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（6）其他主要人员要求：见投标人须知前附表。</w:t>
      </w:r>
    </w:p>
    <w:p w14:paraId="39995A5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（7）试验检测仪器设备要求：见投标人须知前附表。</w:t>
      </w:r>
    </w:p>
    <w:p w14:paraId="2B2BBD90">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（8）其他要求：见投标人须知前附表。需要提交的相关证明材料见本章第 3.5 款的规定。</w:t>
      </w:r>
    </w:p>
    <w:p w14:paraId="633CE35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1.4.2 投标人须知前附表规定接受联合体投标的，联合体除应符合本章第 1.4.1 项和投标人须知前附表的要求外，还应遵守以下规定：</w:t>
      </w:r>
    </w:p>
    <w:p w14:paraId="0D19492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（1）联合体各方应按招标文件提供的格式签订联合体协议书，明确联合体</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主办方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和各方权利义务，并承诺就中标项目向招标人承担连带责任；</w:t>
      </w:r>
    </w:p>
    <w:p w14:paraId="234B10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（2）由同一专业的单位组成的联合体，按照资质等级较低的单位确定资质等级；</w:t>
      </w:r>
    </w:p>
    <w:p w14:paraId="72A0376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（3）联合体各方不得再以自己名义单独或参加其他联合体在本招标项目中投标，否则各相关投标均无效。</w:t>
      </w:r>
    </w:p>
    <w:p w14:paraId="690767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1.4.3 投标人不得存在下列情形之一：</w:t>
      </w:r>
    </w:p>
    <w:p w14:paraId="29932E3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（1）为招标人不具有独立法人资格的附属机构（单位）；</w:t>
      </w:r>
    </w:p>
    <w:p w14:paraId="5C14617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（2）与招标人存在利害关系且可能影响招标公正性；</w:t>
      </w:r>
    </w:p>
    <w:p w14:paraId="6BD6A35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（3）与本招标项目的其他投标人为同一个单位负责人；</w:t>
      </w:r>
    </w:p>
    <w:p w14:paraId="596E6B6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（4）与本招标项目的其他投标人存在控股、管理关系；</w:t>
      </w:r>
    </w:p>
    <w:p w14:paraId="3A4639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（5）为本招标项目的代建人；</w:t>
      </w:r>
    </w:p>
    <w:p w14:paraId="6A20CBB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（6）为本招标项目的招标代理机构；</w:t>
      </w:r>
    </w:p>
    <w:p w14:paraId="687099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（7）与本招标项目的代建人或招标代理机构同为一个法定代表人；</w:t>
      </w:r>
    </w:p>
    <w:p w14:paraId="5FBA805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（8）与本招标项目的代建人或招标代理机构存在控股或参股关系；</w:t>
      </w:r>
    </w:p>
    <w:p w14:paraId="7C5E86E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（9）与本招标项目的检测机构、建设、施工单位以及建筑材料、建筑构配件和设备供应商有隶属关系或者其他利害关系有隶属关系或者其他利害关系；</w:t>
      </w:r>
    </w:p>
    <w:p w14:paraId="4B5AD3C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（10）被依法暂停或者取消投标资格；</w:t>
      </w:r>
    </w:p>
    <w:p w14:paraId="64951D0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（11）被依法暂停或取消投标资格的；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A5E3B2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（12）被责令停产停业、暂扣或者吊销许可证、暂扣或者吊销执照的（本项事实应当以根据《中华人民共和国行政处罚法》依法作出并已经生效的行政处罚决定为认定依据。）；</w:t>
      </w:r>
    </w:p>
    <w:p w14:paraId="4DF8772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（13）进入清算程序，或被宣布破产，或其他丧失履约能力的情形；</w:t>
      </w:r>
    </w:p>
    <w:p w14:paraId="5E3461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C8C7C8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）法律法规规定的其他情形。</w:t>
      </w:r>
    </w:p>
    <w:p w14:paraId="2DDEF62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1" w:name="bookmark25"/>
      <w:bookmarkEnd w:id="31"/>
      <w:bookmarkStart w:id="32" w:name="_Toc1236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 费用承担</w:t>
      </w:r>
      <w:bookmarkEnd w:id="32"/>
    </w:p>
    <w:p w14:paraId="1AA3098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投标人准备和参加投标活动发生的费用自理。</w:t>
      </w:r>
    </w:p>
    <w:p w14:paraId="0F9DBE2E">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3" w:name="bookmark26"/>
      <w:bookmarkEnd w:id="33"/>
      <w:bookmarkStart w:id="34" w:name="_Toc819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 保密</w:t>
      </w:r>
      <w:bookmarkEnd w:id="34"/>
    </w:p>
    <w:p w14:paraId="086241D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参与招标投标活动的各方应对招标文件和投标文件中的商业和技术等秘密保密，否则应承 担相应的法律责任。</w:t>
      </w:r>
    </w:p>
    <w:p w14:paraId="6FB5C88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5" w:name="bookmark27"/>
      <w:bookmarkEnd w:id="35"/>
      <w:bookmarkStart w:id="36" w:name="_Toc1251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 语言文字</w:t>
      </w:r>
      <w:bookmarkEnd w:id="36"/>
    </w:p>
    <w:p w14:paraId="4D0C27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招标投标文件使用的语言文字为中文。专用术语使用外文的，应附有中文注释。</w:t>
      </w:r>
    </w:p>
    <w:p w14:paraId="226EA11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7" w:name="bookmark28"/>
      <w:bookmarkEnd w:id="37"/>
      <w:bookmarkStart w:id="38" w:name="_Toc3036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 计量单位</w:t>
      </w:r>
      <w:bookmarkEnd w:id="38"/>
    </w:p>
    <w:p w14:paraId="5AAC271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所有计量均采用中华人民共和国法定计量单位。</w:t>
      </w:r>
    </w:p>
    <w:p w14:paraId="1B263E0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9" w:name="bookmark29"/>
      <w:bookmarkEnd w:id="39"/>
      <w:bookmarkStart w:id="40" w:name="_Toc1310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 踏勘现场</w:t>
      </w:r>
      <w:bookmarkEnd w:id="40"/>
    </w:p>
    <w:p w14:paraId="76A20D7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1.9.1 投标人须知前附表规定组织踏勘现场的，招标人按投标人须知前附表规定的时间、地 点组织投标人踏勘项目现场。部分投标人未按时参加踏勘现场的，不影响踏勘现场的正常进行。</w:t>
      </w:r>
    </w:p>
    <w:p w14:paraId="3477912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1.9.2 投标人踏勘现场发生的费用自理。</w:t>
      </w:r>
    </w:p>
    <w:p w14:paraId="417426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1.9.3 除招标人的原因外，投标人自行负责在踏勘现场中所发生的人员伤亡和财产损失。</w:t>
      </w:r>
    </w:p>
    <w:p w14:paraId="7FEFEE8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1.9.4 招标人在踏勘现场中介绍的工程场地和相关的周边环境情况，供投标人在编制投标文 件时参考，招标人不对投标人据此作出的判断和决策负责。</w:t>
      </w:r>
    </w:p>
    <w:p w14:paraId="6A00E02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1" w:name="bookmark30"/>
      <w:bookmarkEnd w:id="41"/>
      <w:bookmarkStart w:id="42" w:name="_Toc1229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1.10 投标预备会</w:t>
      </w:r>
      <w:bookmarkEnd w:id="42"/>
    </w:p>
    <w:p w14:paraId="67EBCE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14:paraId="24D0A2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1.10.2 投标人应按投标人须知前附表规定的时间和形式将提出的问题送达招标人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以便招标人在会议期间澄清。</w:t>
      </w:r>
    </w:p>
    <w:p w14:paraId="64BDB78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1.10.3 投标预备会后，招标人将对投标人所提问题的澄清，以投标人须知前附表规定的形式通知所有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潜在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投标人。该澄清内容为招标文件的组成部分。</w:t>
      </w:r>
    </w:p>
    <w:p w14:paraId="5C38E58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3" w:name="bookmark31"/>
      <w:bookmarkEnd w:id="43"/>
      <w:bookmarkStart w:id="44" w:name="_Toc1993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 分包</w:t>
      </w:r>
      <w:bookmarkEnd w:id="44"/>
    </w:p>
    <w:p w14:paraId="4F01572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本项目严禁分包。</w:t>
      </w:r>
    </w:p>
    <w:p w14:paraId="6DDED52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5" w:name="bookmark32"/>
      <w:bookmarkEnd w:id="45"/>
      <w:bookmarkStart w:id="46" w:name="_Toc2936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 响应和偏差</w:t>
      </w:r>
      <w:bookmarkEnd w:id="46"/>
    </w:p>
    <w:p w14:paraId="52AE0A1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1.12.1 投标文件应当对招标文件的实质性要求和条件作出满足性或更有利于招标人的响应，否则，投标人的投标将被否决。实质性要求和条件见投标人须知前附表。</w:t>
      </w:r>
    </w:p>
    <w:p w14:paraId="3CA96A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1.12.2 投标人应根据招标文件的要求提供投标监理大纲等内容以对招标文件作出响应。</w:t>
      </w:r>
    </w:p>
    <w:p w14:paraId="67B459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1.12.3 投标人须知前附表允许投标文件偏离招标文件某些要求的，偏差应当符合招标文件规定的偏差范围和幅度。</w:t>
      </w:r>
    </w:p>
    <w:p w14:paraId="3DD9AD1E">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7" w:name="bookmark33"/>
      <w:bookmarkEnd w:id="47"/>
      <w:bookmarkStart w:id="48" w:name="_Toc581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2.招标文件</w:t>
      </w:r>
      <w:bookmarkEnd w:id="48"/>
    </w:p>
    <w:p w14:paraId="64A69E6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9" w:name="bookmark34"/>
      <w:bookmarkEnd w:id="49"/>
      <w:bookmarkStart w:id="50" w:name="_Toc259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 招标文件的组成</w:t>
      </w:r>
      <w:bookmarkEnd w:id="50"/>
    </w:p>
    <w:p w14:paraId="6C0991A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本招标文件包括：</w:t>
      </w:r>
    </w:p>
    <w:p w14:paraId="27B78B9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（1）招标公告；</w:t>
      </w:r>
    </w:p>
    <w:p w14:paraId="25B0EBD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（2）投标人须知；</w:t>
      </w:r>
    </w:p>
    <w:p w14:paraId="7CAD593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（3）评标办法；</w:t>
      </w:r>
    </w:p>
    <w:p w14:paraId="0C57665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（4）合同条款及格式；</w:t>
      </w:r>
    </w:p>
    <w:p w14:paraId="7087098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（5）委托人要求；</w:t>
      </w:r>
    </w:p>
    <w:p w14:paraId="2698D67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（6）投标文件格式；</w:t>
      </w:r>
    </w:p>
    <w:p w14:paraId="250064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（7）投标人须知前附表规定的其他资料。</w:t>
      </w:r>
    </w:p>
    <w:p w14:paraId="76C545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根据本章第1.10款、第2.2款和第2.3款对招标文件所作的澄清、修改，构成招标文件的组成部分。</w:t>
      </w:r>
    </w:p>
    <w:p w14:paraId="6B39039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1" w:name="bookmark35"/>
      <w:bookmarkEnd w:id="51"/>
      <w:bookmarkStart w:id="52" w:name="bookmark38"/>
      <w:bookmarkEnd w:id="52"/>
      <w:bookmarkStart w:id="53" w:name="_Toc320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招标文件的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答疑</w:t>
      </w:r>
      <w:bookmarkEnd w:id="53"/>
    </w:p>
    <w:p w14:paraId="182295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2.2.1  投标人应仔细阅读和检查招标文件的全部内容。如有疑问，应按投标人须知前附表规定的时间和形式将提出的问题送达招标人，要求招标人对招标文件予以澄清。</w:t>
      </w:r>
    </w:p>
    <w:p w14:paraId="206C27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招标答疑采用网上答疑方式进行。投标人若对招标文件有疑问的，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通过广州交易集团有限公司（广州公共资源交易中心）网站提交，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应按照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广州交易集团有限公司（广州公共资源交易中心）网站关于全流程电子化项目的相关指南进行操作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一律不得署名。</w:t>
      </w:r>
    </w:p>
    <w:p w14:paraId="7BCCDC4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2.2.3  招标答疑会会议纪要将在提交投标文件截止时间 15 日前在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“项目答疑纪要”专区公开发布。答疑纪要一经在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发布，视作已发放给所有投标人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EA580F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2.2.4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招标答疑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会会议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纪要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组成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，对投标人起约束作用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5B6E50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若招标答疑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会会议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纪要与招标文件有矛盾时，以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最后发布的答疑纪要为准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045667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4" w:name="_Toc1585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  招标文件的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澄清与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修改</w:t>
      </w:r>
      <w:bookmarkEnd w:id="54"/>
    </w:p>
    <w:p w14:paraId="168218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CFDE8D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2.3.1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招标文件发出后，在提交投标文件截止时间15日前，招标人可对招标文件进行必要的澄清或修改。</w:t>
      </w:r>
    </w:p>
    <w:p w14:paraId="2CC0FEE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2.3.2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网站发布时间作为送达时间。</w:t>
      </w:r>
    </w:p>
    <w:p w14:paraId="272179C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2.3.3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文件的澄清或修改是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组成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，对投标人起约束作用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9E1F10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招标文件的澄清或修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改均以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发布的内容为准。当招标文件的澄清、修改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、补充等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在同一内容的表述不一致时，以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最后发布的内容为准。</w:t>
      </w:r>
    </w:p>
    <w:p w14:paraId="1B23614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2.3.5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Theme="minorEastAsia" w:hAnsiTheme="minorEastAsia" w:eastAsiaTheme="minorEastAsia" w:cstheme="minorEastAsia"/>
          <w:color w:val="000000" w:themeColor="text1"/>
          <w:spacing w:val="-11"/>
          <w:sz w:val="24"/>
          <w:szCs w:val="24"/>
          <w:highlight w:val="none"/>
          <w:lang w:eastAsia="zh-CN"/>
          <w14:textFill>
            <w14:solidFill>
              <w14:schemeClr w14:val="tx1"/>
            </w14:solidFill>
          </w14:textFill>
        </w:rPr>
        <w:t>，即表示投标时间不延长。</w:t>
      </w:r>
    </w:p>
    <w:p w14:paraId="3285ECD0">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5" w:name="_Toc2171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3.投标文件</w:t>
      </w:r>
      <w:bookmarkEnd w:id="55"/>
    </w:p>
    <w:p w14:paraId="6521624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6" w:name="bookmark39"/>
      <w:bookmarkEnd w:id="56"/>
      <w:bookmarkStart w:id="57" w:name="_Toc2073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 投标文件的组成</w:t>
      </w:r>
      <w:bookmarkEnd w:id="57"/>
    </w:p>
    <w:p w14:paraId="37990BC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3.1.1 投标文件应包括下列内容：</w:t>
      </w:r>
    </w:p>
    <w:p w14:paraId="3CA5B9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（1）投标函及投标函附录；</w:t>
      </w:r>
    </w:p>
    <w:p w14:paraId="6A85DEC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（2）法定代表人身份证明或授权委托书；</w:t>
      </w:r>
    </w:p>
    <w:p w14:paraId="0D2BB77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（3）联合体协议书；</w:t>
      </w:r>
    </w:p>
    <w:p w14:paraId="0AC795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（4）投标保证金；</w:t>
      </w:r>
    </w:p>
    <w:p w14:paraId="59A0F3D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（5）监理报酬清单；</w:t>
      </w:r>
    </w:p>
    <w:p w14:paraId="64B88B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（6）资格审查资料；</w:t>
      </w:r>
    </w:p>
    <w:p w14:paraId="65AB207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（7）监理大纲；</w:t>
      </w:r>
    </w:p>
    <w:p w14:paraId="2DF819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（8）投标人须知前附表规定的其他资料。投标人在评标过程中作出的符合法律法规和招标文件规定的澄清确认，构成投标文件的组成部分。</w:t>
      </w:r>
    </w:p>
    <w:p w14:paraId="50EE0C3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3.1.2 投标人须知前附表规定不接受联合体投标的，或投标人没有组成联合体的，投标文件不包括本章第 3.1.1（3）目所指的联合体协议书。</w:t>
      </w:r>
    </w:p>
    <w:p w14:paraId="3FEFF06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3.1.3 投标人须知前附表未要求提交投标保证金的，投标文件不包括本章第 3.1.1（4）目所指的投标保证金。</w:t>
      </w:r>
    </w:p>
    <w:p w14:paraId="495694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8" w:name="bookmark40"/>
      <w:bookmarkEnd w:id="58"/>
      <w:bookmarkStart w:id="59" w:name="_Toc514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 投标报价</w:t>
      </w:r>
      <w:bookmarkEnd w:id="59"/>
    </w:p>
    <w:p w14:paraId="7C656A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投标报价应包括国家规定的增值税税金，除投标人须知前附表另有规定外，增值税税金按一般计税方法计算。投标人应按第六章“投标文件格式”的要求在投标函中进行报价并填写监理报酬清单。</w:t>
      </w:r>
    </w:p>
    <w:p w14:paraId="6C221B9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3.2.2 投标人应充分了解该项目的总体情况以及影响投标报价的其他要素。</w:t>
      </w:r>
    </w:p>
    <w:p w14:paraId="26816B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3.2.3 本项目的报价方式见投标人须知前附表。投标人在投标截止时间前修改投标函中的投标报价总额，应同时修改投标文件“监理报酬清单”中的相应报价。此修改须符合本章第4.3款的有关要求。</w:t>
      </w:r>
    </w:p>
    <w:p w14:paraId="4EFA36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3.2.4 招标人设有最高投标限价的，投标人的投标报价不得超过最高投标限价，最高投标限价在投标人须知前附表中载明。</w:t>
      </w:r>
    </w:p>
    <w:p w14:paraId="20CC974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3.2.5 投标报价的其他要求见投标人须知前附表。</w:t>
      </w:r>
    </w:p>
    <w:p w14:paraId="49D8119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60" w:name="bookmark41"/>
      <w:bookmarkEnd w:id="60"/>
      <w:bookmarkStart w:id="61" w:name="_Toc3001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 投标有效期</w:t>
      </w:r>
      <w:bookmarkEnd w:id="61"/>
    </w:p>
    <w:p w14:paraId="024EDF4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3.3.1 除投标人须知前附表另有规定外，投标有效期为 90 天。</w:t>
      </w:r>
    </w:p>
    <w:p w14:paraId="0F1C226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3.3.2 在投标有效期内，投标人撤销投标文件的，应承担招标文件和法律规定的责任。</w:t>
      </w:r>
    </w:p>
    <w:p w14:paraId="1EDA7D0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0CA0A50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62" w:name="bookmark42"/>
      <w:bookmarkEnd w:id="62"/>
      <w:bookmarkStart w:id="63" w:name="_Toc768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  投标保证金</w:t>
      </w:r>
      <w:bookmarkEnd w:id="63"/>
    </w:p>
    <w:p w14:paraId="4362240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3.4.1 投标人应按投标须知前附表规定的金额和时间递交投标保证金。招标人应当允许投标人自主选择现金、银行保函、保证保险、专业工程担保公司担保等方式缴纳投标保证金。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采用现金或者支票形式提交的，投标保证金须从投标人的银行基本账户转出。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联合体投标的，其投标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保证金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可以由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主办方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递交，并应符合投标人须知前附表的规定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A20577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3.4.2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开标时投标人没有按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要求提交投标保证金的，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其投标文件将被否决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E3A7F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3.4.3 中标候选人以外的投标人的投标保证金将尽快退还，最迟不超过中标通知书发出之日起五日内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中标人和其他中标候选人的投标保证金，在书面合同订立之日起五日内予以退还。</w:t>
      </w:r>
    </w:p>
    <w:p w14:paraId="29805BA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3.4.4 有下列情形之一的，投标保证金将不予退还：</w:t>
      </w:r>
    </w:p>
    <w:p w14:paraId="7C3BB5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投标人在规定的投标有效期内撤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其投标文件；</w:t>
      </w:r>
    </w:p>
    <w:p w14:paraId="6048DE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中标人在收到中标通知书后，无正当理由不与招标人订立合同，在签订合同时向招标 人提出附加条件，或者不按照招标文件要求提交履约保证金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A16A7F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64" w:name="bookmark43"/>
      <w:bookmarkEnd w:id="64"/>
      <w:bookmarkStart w:id="65" w:name="bookmark44"/>
      <w:bookmarkEnd w:id="65"/>
      <w:bookmarkStart w:id="66" w:name="_Toc717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3.5 资格审查资料</w:t>
      </w:r>
      <w:bookmarkEnd w:id="66"/>
    </w:p>
    <w:p w14:paraId="58174B7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14:paraId="7B22110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3.5.1 “投标人基本情况表”应附投标人营业执照、投标人监理资质证书副本等材料的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扫描件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4C4605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“近年完成的类似监理项目情况表”应附中标通知书和（或）合同协议书、委托人出具的证明文件；具体时间要求见投标人须知前附表，每张表格只填写一个项目，并标明序号。</w:t>
      </w:r>
    </w:p>
    <w:p w14:paraId="454E30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（若有）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；其他主要人员应附身份证、学历证、职称证、有关证书和社保缴费证明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（若有）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（注：以上人员社保要求：具有离投标截止时间最近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的至少1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个月在本单位缴纳的社保证明文件。）</w:t>
      </w:r>
    </w:p>
    <w:p w14:paraId="5AA9D31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投标人须知前附表规定接受联合体投标的，本章第3.5.1 项至第3.5.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项规定的表格和资料应包括联合体各方相关情况。</w:t>
      </w:r>
    </w:p>
    <w:p w14:paraId="0A880D2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67" w:name="bookmark45"/>
      <w:bookmarkEnd w:id="67"/>
      <w:bookmarkStart w:id="68" w:name="_Toc2511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 备选投标方案</w:t>
      </w:r>
      <w:bookmarkEnd w:id="68"/>
    </w:p>
    <w:p w14:paraId="212B4D1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3.6.1 除投标人须知前附表规定允许外，投标人不得递交备选投标方案，否则其投标将被否决。</w:t>
      </w:r>
    </w:p>
    <w:p w14:paraId="7F74472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7B9598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3.6.3 投标人提供两个或两个以上投标报价，或者在投标文件中提供一个报价，但同时提供两个或两个以上监理方案的，视为提供备选方案。</w:t>
      </w:r>
    </w:p>
    <w:p w14:paraId="02604C2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69" w:name="bookmark46"/>
      <w:bookmarkEnd w:id="69"/>
      <w:bookmarkStart w:id="70" w:name="_Toc508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3.7 投标文件的编制</w:t>
      </w:r>
      <w:bookmarkEnd w:id="70"/>
    </w:p>
    <w:p w14:paraId="435DF62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3.7.1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37DFA2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3.7.2  投标文件应当对招标文件有关监理服务期限、投标有效期、委托人要求、招标范围等实质性内容作出响应。</w:t>
      </w:r>
    </w:p>
    <w:p w14:paraId="684D4B0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投标文件全部采用电子文档，投标文件所附证书证件均为原件扫描件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或电子证书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，并采用单位数字证书，按招标文件要求在相应位置加盖电子印章。投标文件中需个人签字或盖章的，应加盖个人电子印章或在线下完成后扫描上传</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可靠的电子签名与手写签名或者盖章具有同等的法律效力</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广州交易集团有限公司（广州公共资源交易中心）网站关于全流程电子化项目的相关指南进行操作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55A107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投标人封面及其他内容落款中的“投标人”应填写联合体各方的单位全称【格式为：（主）XXXX公司（成）XXXX公司】。除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联合体共同投标协议需联合体各方按要求共同盖章签字，其余可由联合体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主办方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签字、盖章即可，由联合体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主办方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法人签字的电子投标文件需提供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主办方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法定代表人证明书，若由联合体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主办方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法定代表人授权签字的电子投标文件需提供法定代表人证明书及其授权委托书、授权委托人身份证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扫描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件。</w:t>
      </w:r>
    </w:p>
    <w:p w14:paraId="7CF778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6E3E2133">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1" w:name="bookmark47"/>
      <w:bookmarkEnd w:id="71"/>
      <w:bookmarkStart w:id="72" w:name="_Toc2594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w:t>
      </w:r>
      <w:bookmarkEnd w:id="72"/>
    </w:p>
    <w:p w14:paraId="2935E8E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73" w:name="bookmark48"/>
      <w:bookmarkEnd w:id="73"/>
      <w:bookmarkStart w:id="74" w:name="_Toc937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  投标文件的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加密</w:t>
      </w:r>
      <w:bookmarkEnd w:id="74"/>
    </w:p>
    <w:p w14:paraId="514EFE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5" w:name="bookmark49"/>
      <w:bookmarkEnd w:id="7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4.1.1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递交的电子投标文件（不含备用光盘）必须进行加密。按照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关于全流程电子化项目的相关指南进行操作。</w:t>
      </w:r>
    </w:p>
    <w:p w14:paraId="7DF183D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4.1.2  未按要求加密的投标文件，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广州交易集团有限公司（广州公共资源交易中心）网站交易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平台将予以拒收。</w:t>
      </w:r>
    </w:p>
    <w:p w14:paraId="71EA241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6" w:name="_Toc2143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  投标文件的递交</w:t>
      </w:r>
      <w:bookmarkEnd w:id="76"/>
    </w:p>
    <w:p w14:paraId="0876B4F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7" w:name="bookmark50"/>
      <w:bookmarkEnd w:id="7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应在投标人须知前附表规定的投标截止时间前，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交易平台递交电子投标文件。</w:t>
      </w:r>
    </w:p>
    <w:p w14:paraId="4136D2E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投标人完成电子投标文件上传后，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交易平台即时向投标人发出递交回执通知。递交时间以递交回执通知载明的传输完成时间为准。</w:t>
      </w:r>
    </w:p>
    <w:p w14:paraId="6B9B58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逾期送达的电子投标文件，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广州交易集团有限公司（广州公共资源交易中心）网站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交易平台将予以拒收。</w:t>
      </w:r>
    </w:p>
    <w:p w14:paraId="41EBCA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4.2.4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投标截止前，招标人拒绝接收符合条件的投标文件，投标人可向招标监督机构投诉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bookmarkStart w:id="78" w:name="_bookmark83"/>
      <w:bookmarkEnd w:id="78"/>
    </w:p>
    <w:p w14:paraId="6589D80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9" w:name="_Toc1002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4.3  投标文件的修改与撤回</w:t>
      </w:r>
      <w:bookmarkEnd w:id="79"/>
    </w:p>
    <w:p w14:paraId="531EB6B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4.3.1  在规定的投标截止时间前， 投标人可以修改或撤回已递交的投标文件， 但应以书面形式通知招标人。</w:t>
      </w:r>
    </w:p>
    <w:p w14:paraId="1D9E04B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4.3.2  投标人修改或撤回已递交投标文件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需在交易平台发出修改或撤回通知，并按要求加盖电子印章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。电子招标投标交易平台收到通知后，即时向投标人发出确认回执通知。</w:t>
      </w:r>
    </w:p>
    <w:p w14:paraId="64EE6AE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4.3.3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修改后再次递交的，按第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4.2项的规定执行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A6BE89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在投标截止时间之后，投标人不得补充、修改和更换投标文件。</w:t>
      </w:r>
    </w:p>
    <w:p w14:paraId="618CB287">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0" w:name="bookmark51"/>
      <w:bookmarkEnd w:id="80"/>
      <w:bookmarkStart w:id="81" w:name="_Toc2155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5.开标</w:t>
      </w:r>
      <w:bookmarkEnd w:id="81"/>
    </w:p>
    <w:p w14:paraId="4DBA009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2" w:name="bookmark52"/>
      <w:bookmarkEnd w:id="82"/>
      <w:bookmarkStart w:id="83" w:name="bookmark53"/>
      <w:bookmarkEnd w:id="83"/>
      <w:bookmarkStart w:id="84" w:name="_Toc1484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 开标时间和地点</w:t>
      </w:r>
      <w:bookmarkEnd w:id="84"/>
    </w:p>
    <w:p w14:paraId="0E3C791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85" w:name="bookmark54"/>
      <w:bookmarkEnd w:id="8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5.1.1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招标人按投标须知前附表规定的时间和地点公开开标。截标后，开标开始时间因故推迟的，相关评标信息仍以原定的开标开始时间的信息为准。</w:t>
      </w:r>
    </w:p>
    <w:p w14:paraId="04964E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5.1.2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F0C96E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6" w:name="_Toc2284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5.2 开标程序</w:t>
      </w:r>
      <w:bookmarkEnd w:id="86"/>
    </w:p>
    <w:p w14:paraId="6EA3417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87" w:name="bookmark55"/>
      <w:bookmarkEnd w:id="8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5.2.1   在投标截止时间后</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半小时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2390238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5.2.2  按开标记录表规定的内容进行唱标。</w:t>
      </w:r>
    </w:p>
    <w:p w14:paraId="089E64C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5.2.3  投标人代表、招标人代表、监标人、记录人等有关人员在开标记录上签字确认；若有关人员不签字的，不影响开标程序。</w:t>
      </w:r>
    </w:p>
    <w:p w14:paraId="11C96B0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5.2.4  开标结束。</w:t>
      </w:r>
    </w:p>
    <w:p w14:paraId="2923DFE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3463D3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5.2.6  开标时，两个（含两个）以上的投标人加密打包投标文件电脑机器特征码一致的，不参与下一程序，并由评标委员会否决其投标。</w:t>
      </w:r>
    </w:p>
    <w:p w14:paraId="714186F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88" w:name="_Toc104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5.3  开标异议</w:t>
      </w:r>
      <w:bookmarkEnd w:id="88"/>
    </w:p>
    <w:p w14:paraId="7BF556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5.3.1  参加现场开标的投标人对开标结果有异议的，应当在开标现场提出，招标人应当当场作出答复，并制作记录。</w:t>
      </w:r>
    </w:p>
    <w:p w14:paraId="33FEC24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B2AB50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5.3.3  投标人未参加开标或在规定的时间内未提出异议的，视为对开标无异议。</w:t>
      </w:r>
    </w:p>
    <w:p w14:paraId="039967C1">
      <w:pPr>
        <w:pStyle w:val="5"/>
        <w:outlineLvl w:val="1"/>
        <w:rPr>
          <w:rFonts w:hint="eastAsia" w:asciiTheme="minorEastAsia" w:hAnsiTheme="minorEastAsia" w:eastAsiaTheme="minorEastAsia" w:cstheme="minorEastAsia"/>
          <w:b w:val="0"/>
          <w:color w:val="000000" w:themeColor="text1"/>
          <w:sz w:val="30"/>
          <w:szCs w:val="24"/>
          <w:highlight w:val="none"/>
          <w14:textFill>
            <w14:solidFill>
              <w14:schemeClr w14:val="tx1"/>
            </w14:solidFill>
          </w14:textFill>
        </w:rPr>
      </w:pPr>
      <w:bookmarkStart w:id="89" w:name="bookmark56"/>
      <w:bookmarkEnd w:id="89"/>
      <w:bookmarkStart w:id="90" w:name="_Toc1496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6.评标</w:t>
      </w:r>
      <w:bookmarkEnd w:id="90"/>
    </w:p>
    <w:p w14:paraId="7EC7CBDE">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1" w:name="bookmark57"/>
      <w:bookmarkEnd w:id="91"/>
      <w:bookmarkStart w:id="92" w:name="_Toc1656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  评标委员会</w:t>
      </w:r>
      <w:bookmarkEnd w:id="92"/>
    </w:p>
    <w:p w14:paraId="2E7FA3C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6.1.1 评标由招标人依法组建的评标委员会负责。评标委员会由有关技术、经济等方面的专家和招标人代表组成，专家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从</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广东省综合评标评审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专家库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中抽取。评标委员会成员人数以及技术、经济等方面专家的确定方式见投标人须知前附表。</w:t>
      </w:r>
    </w:p>
    <w:p w14:paraId="540E6F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6.1.2 评标委员会成员有下列情形之一的，应当回避：</w:t>
      </w:r>
    </w:p>
    <w:p w14:paraId="6EED87F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（1）投标人或投标人主要负责人的近亲属；</w:t>
      </w:r>
    </w:p>
    <w:p w14:paraId="4A6A3AF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（2）项目主管部门或者行政监督部门的人员；</w:t>
      </w:r>
    </w:p>
    <w:p w14:paraId="54EC402F">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（3）招标人或投标人的工作人员、退休或离职未满3年的人员；</w:t>
      </w:r>
    </w:p>
    <w:p w14:paraId="3D19ACC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）与投标人有经济利益关系，可能影响对投标公正评审的；</w:t>
      </w:r>
    </w:p>
    <w:p w14:paraId="187E729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）曾因在招标、评标以及其他与招标投标有关活动中从事违法行为而受过行政处罚或刑事处罚的；</w:t>
      </w:r>
    </w:p>
    <w:p w14:paraId="73E279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）与投标人有其他利害关系。</w:t>
      </w:r>
    </w:p>
    <w:p w14:paraId="4435E62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6.1.3 评标过程中，评标委员会成员有回避事由、擅离职守或者因健康等原因不能继续评标的，招标人有权更换。被更换的评标委员会成员作出的评审结论无效，由更换后的评标委员会成员重新进行评审。</w:t>
      </w:r>
    </w:p>
    <w:p w14:paraId="1739F4C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3" w:name="bookmark58"/>
      <w:bookmarkEnd w:id="93"/>
      <w:bookmarkStart w:id="94" w:name="_Toc204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  评标原则</w:t>
      </w:r>
      <w:bookmarkEnd w:id="94"/>
    </w:p>
    <w:p w14:paraId="7994F5D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评标活动遵循公平、公正、科学和择优的原则。</w:t>
      </w:r>
    </w:p>
    <w:p w14:paraId="1FD7F65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5" w:name="bookmark59"/>
      <w:bookmarkEnd w:id="95"/>
      <w:bookmarkStart w:id="96" w:name="_Toc2494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6.3 评标</w:t>
      </w:r>
      <w:bookmarkEnd w:id="96"/>
    </w:p>
    <w:p w14:paraId="45A6943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6.3.1 评标委员会按照第三章“评标办法”规定的方法、评审因素、标准和程序对投标文件进 行评审。第三章“评标办法”没有规定的方法、评审因素和标准，不作为评标依据。</w:t>
      </w:r>
    </w:p>
    <w:p w14:paraId="3EFA3C4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6.3.2 评标完成后，评标委员会应当向招标人提交书面评标报告和中标候选人名单。评标委员会推荐中标候选人的人数见投标人须知前附表。</w:t>
      </w:r>
    </w:p>
    <w:p w14:paraId="5A937C96">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7" w:name="bookmark60"/>
      <w:bookmarkEnd w:id="97"/>
      <w:bookmarkStart w:id="98" w:name="_Toc2022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7.合同授予</w:t>
      </w:r>
      <w:bookmarkEnd w:id="98"/>
    </w:p>
    <w:p w14:paraId="478B198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9" w:name="bookmark61"/>
      <w:bookmarkEnd w:id="99"/>
      <w:bookmarkStart w:id="100" w:name="_Toc1673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7.1 中标候选人公示</w:t>
      </w:r>
      <w:bookmarkEnd w:id="100"/>
    </w:p>
    <w:p w14:paraId="07859F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招标人在收到评标报告之日起3日内，按照投标人须知前附表规定的公示媒介和期限公示中标候选人，公示期不得少于3天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最后一天应为工作日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9B7F64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01" w:name="bookmark62"/>
      <w:bookmarkEnd w:id="101"/>
      <w:bookmarkStart w:id="102" w:name="_Toc3233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7.2 评标结果异议</w:t>
      </w:r>
      <w:bookmarkEnd w:id="102"/>
    </w:p>
    <w:p w14:paraId="0B8E54B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投标人或者其他利害关系人对评标结果有异议的，应当在中标候选人公示期间提出。招标人将在收到异议之日起3日内作出答复；作出答复前，将暂停招标投标活动。</w:t>
      </w:r>
    </w:p>
    <w:p w14:paraId="2AFFB2F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03" w:name="bookmark63"/>
      <w:bookmarkEnd w:id="103"/>
      <w:bookmarkStart w:id="104" w:name="_Toc3171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7.3 中标候选人履约能力审查</w:t>
      </w:r>
      <w:bookmarkEnd w:id="104"/>
    </w:p>
    <w:p w14:paraId="06C4BF0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03C59F3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05" w:name="bookmark64"/>
      <w:bookmarkEnd w:id="105"/>
      <w:bookmarkStart w:id="106" w:name="_Toc2163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7.4 定标</w:t>
      </w:r>
      <w:bookmarkEnd w:id="106"/>
    </w:p>
    <w:p w14:paraId="440BC8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按照投标人须知前附表的规定，招标人或招标人授权的评标委员会依法确定中标人。</w:t>
      </w:r>
    </w:p>
    <w:p w14:paraId="320A28C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07" w:name="bookmark65"/>
      <w:bookmarkEnd w:id="107"/>
      <w:bookmarkStart w:id="108" w:name="_Toc1903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7.5 中标通知</w:t>
      </w:r>
      <w:bookmarkEnd w:id="108"/>
    </w:p>
    <w:p w14:paraId="2974C76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09" w:name="bookmark66"/>
      <w:bookmarkEnd w:id="109"/>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29004E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7.5.2  中标通知书发出前，中标人应未被纳入失信联合惩戒名单，否则招标人将取消其中标资格。失信联合惩戒名单以“信用广州”网站公布的“黑名单”为准。</w:t>
      </w:r>
    </w:p>
    <w:p w14:paraId="1D4845AE">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10" w:name="_Toc1997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7.6  履约保证金</w:t>
      </w:r>
      <w:bookmarkEnd w:id="110"/>
    </w:p>
    <w:p w14:paraId="0DF1EAF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主办方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的名义提交。</w:t>
      </w:r>
    </w:p>
    <w:p w14:paraId="4705875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7.6.2 中标人不能按本章第 7.6.1 项要求提交履约保证金的，视为放弃中标，其投标保证金不予退还，给招标人造成的损失超过投标保证金数额的，中标人还应当对超过部分予以赔偿。</w:t>
      </w:r>
    </w:p>
    <w:p w14:paraId="14E3A0DC">
      <w:pPr>
        <w:pStyle w:val="11"/>
        <w:kinsoku w:val="0"/>
        <w:overflowPunct w:val="0"/>
        <w:spacing w:before="13"/>
        <w:ind w:left="0"/>
        <w:rPr>
          <w:rFonts w:hint="eastAsia" w:asciiTheme="minorEastAsia" w:hAnsiTheme="minorEastAsia" w:eastAsiaTheme="minorEastAsia" w:cstheme="minorEastAsia"/>
          <w:color w:val="000000" w:themeColor="text1"/>
          <w:sz w:val="13"/>
          <w:szCs w:val="24"/>
          <w:highlight w:val="none"/>
          <w14:textFill>
            <w14:solidFill>
              <w14:schemeClr w14:val="tx1"/>
            </w14:solidFill>
          </w14:textFill>
        </w:rPr>
      </w:pPr>
    </w:p>
    <w:p w14:paraId="3CD1BA9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11" w:name="bookmark67"/>
      <w:bookmarkEnd w:id="111"/>
      <w:bookmarkStart w:id="112" w:name="_Toc995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7.7  签订合同</w:t>
      </w:r>
      <w:bookmarkEnd w:id="112"/>
    </w:p>
    <w:p w14:paraId="4A3EB4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7.7.1 招标人和中标人应当在中标通知书发出之日起30日内，根据招标文件和中标人的投标文件订立书面合同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，并通过电子交易系统与中标人在线签订合同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46C8D4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7.7.2 发出中标通知书后，招标人无正当理由拒签合同，或者在签订合同时向中标人提出附加条件的，招标人向中标人退还投标保证金；给中标人造成损失的，还应当赔偿损失。</w:t>
      </w:r>
    </w:p>
    <w:p w14:paraId="2A8DB96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7.7.3 联合体中标的，联合体各方应当共同与招标人签订合同，就中标项目向招标人承担连带责任。</w:t>
      </w:r>
    </w:p>
    <w:p w14:paraId="4EA1B114">
      <w:pPr>
        <w:pStyle w:val="5"/>
        <w:outlineLvl w:val="1"/>
        <w:rPr>
          <w:rFonts w:hint="eastAsia" w:asciiTheme="minorEastAsia" w:hAnsiTheme="minorEastAsia" w:eastAsiaTheme="minorEastAsia" w:cstheme="minorEastAsia"/>
          <w:b w:val="0"/>
          <w:color w:val="000000" w:themeColor="text1"/>
          <w:sz w:val="30"/>
          <w:szCs w:val="24"/>
          <w:highlight w:val="none"/>
          <w14:textFill>
            <w14:solidFill>
              <w14:schemeClr w14:val="tx1"/>
            </w14:solidFill>
          </w14:textFill>
        </w:rPr>
      </w:pPr>
      <w:bookmarkStart w:id="113" w:name="bookmark68"/>
      <w:bookmarkEnd w:id="113"/>
      <w:bookmarkStart w:id="114" w:name="_Toc3027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8.纪律和监督</w:t>
      </w:r>
      <w:bookmarkEnd w:id="114"/>
    </w:p>
    <w:p w14:paraId="5F8822B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15" w:name="bookmark69"/>
      <w:bookmarkEnd w:id="115"/>
      <w:bookmarkStart w:id="116" w:name="_Toc1052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 对招标人的纪律要求</w:t>
      </w:r>
      <w:bookmarkEnd w:id="116"/>
    </w:p>
    <w:p w14:paraId="16C4545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750C362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17" w:name="bookmark70"/>
      <w:bookmarkEnd w:id="117"/>
      <w:bookmarkStart w:id="118" w:name="_Toc2481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8.2 对投标人的纪律要求</w:t>
      </w:r>
      <w:bookmarkEnd w:id="118"/>
    </w:p>
    <w:p w14:paraId="2E64DB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27B782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19" w:name="bookmark71"/>
      <w:bookmarkEnd w:id="119"/>
      <w:bookmarkStart w:id="120" w:name="_Toc2838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8.3 对评标委员会成员的纪律要求</w:t>
      </w:r>
      <w:bookmarkEnd w:id="120"/>
    </w:p>
    <w:p w14:paraId="7597885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DA966A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21" w:name="bookmark72"/>
      <w:bookmarkEnd w:id="121"/>
      <w:bookmarkStart w:id="122" w:name="_Toc2903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8.4 对与评标活动有关的工作人员的纪律要求</w:t>
      </w:r>
      <w:bookmarkEnd w:id="122"/>
    </w:p>
    <w:p w14:paraId="310231F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C005FF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23" w:name="bookmark73"/>
      <w:bookmarkEnd w:id="123"/>
      <w:bookmarkStart w:id="124" w:name="_Toc1598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8.5 投诉</w:t>
      </w:r>
      <w:bookmarkEnd w:id="124"/>
    </w:p>
    <w:p w14:paraId="112D62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8.5.1  投标人或者其他利害关系人认为招标投标活动不符合法律、行政法规规定的，可以自知道或者应当知道之日起10日内向有关行政监督部门投诉。投诉应当有明确的请求和必要的证明材料。</w:t>
      </w:r>
    </w:p>
    <w:p w14:paraId="1C826F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8.5.2  投标人或者其他利害关系人对招标文件、开标和评标结果提出投诉的，应当按照投标人须知第2.4款、第5.3款和第7.2款的规定先向招标人提出异议。异议答复期间不计算在第8.5.1项规定的期限内。</w:t>
      </w:r>
    </w:p>
    <w:p w14:paraId="2E72073C">
      <w:pPr>
        <w:pStyle w:val="5"/>
        <w:outlineLvl w:val="1"/>
        <w:rPr>
          <w:rFonts w:hint="eastAsia" w:asciiTheme="minorEastAsia" w:hAnsiTheme="minorEastAsia" w:eastAsiaTheme="minorEastAsia" w:cstheme="minorEastAsia"/>
          <w:b w:val="0"/>
          <w:color w:val="000000" w:themeColor="text1"/>
          <w:sz w:val="19"/>
          <w:szCs w:val="24"/>
          <w:highlight w:val="none"/>
          <w14:textFill>
            <w14:solidFill>
              <w14:schemeClr w14:val="tx1"/>
            </w14:solidFill>
          </w14:textFill>
        </w:rPr>
      </w:pPr>
      <w:bookmarkStart w:id="125" w:name="bookmark74"/>
      <w:bookmarkEnd w:id="125"/>
      <w:bookmarkStart w:id="126" w:name="_Toc297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9.采用电子招标投标</w:t>
      </w:r>
      <w:bookmarkEnd w:id="126"/>
    </w:p>
    <w:p w14:paraId="29FBF4C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本招标项目采用电子招标投标方式，</w:t>
      </w:r>
      <w:r>
        <w:rPr>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按照广州交易集团有限公司（广州公共资源交易中心）网站关于全流程电子化项目的相关指南进行操作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F40845A">
      <w:pPr>
        <w:pStyle w:val="5"/>
        <w:outlineLvl w:val="1"/>
        <w:rPr>
          <w:rFonts w:hint="eastAsia" w:asciiTheme="minorEastAsia" w:hAnsiTheme="minorEastAsia" w:eastAsiaTheme="minorEastAsia" w:cstheme="minorEastAsia"/>
          <w:b w:val="0"/>
          <w:color w:val="000000" w:themeColor="text1"/>
          <w:sz w:val="19"/>
          <w:szCs w:val="24"/>
          <w:highlight w:val="none"/>
          <w14:textFill>
            <w14:solidFill>
              <w14:schemeClr w14:val="tx1"/>
            </w14:solidFill>
          </w14:textFill>
        </w:rPr>
      </w:pPr>
      <w:bookmarkStart w:id="127" w:name="bookmark75"/>
      <w:bookmarkEnd w:id="127"/>
      <w:bookmarkStart w:id="128" w:name="_Toc1251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10.需要补充的其他内容</w:t>
      </w:r>
      <w:bookmarkEnd w:id="128"/>
    </w:p>
    <w:p w14:paraId="605649C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需要补充的其他内容：见投标人须知前附表。</w:t>
      </w:r>
    </w:p>
    <w:p w14:paraId="6ADF68A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784CBCE6">
      <w:pPr>
        <w:pStyle w:val="6"/>
        <w:outlineLvl w:val="0"/>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bookmarkStart w:id="129" w:name="bookmark76"/>
      <w:bookmarkEnd w:id="129"/>
      <w:bookmarkStart w:id="130" w:name="bookmark77"/>
      <w:bookmarkEnd w:id="130"/>
      <w:bookmarkStart w:id="131" w:name="_Toc24188"/>
      <w:bookmarkStart w:id="132" w:name="_Toc5057"/>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4"/>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：问题澄清通知</w:t>
      </w:r>
      <w:bookmarkEnd w:id="131"/>
      <w:bookmarkEnd w:id="132"/>
    </w:p>
    <w:p w14:paraId="4D938FE3">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C5A3319">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765B7851">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5F8A4D1A">
      <w:pPr>
        <w:pStyle w:val="11"/>
        <w:kinsoku w:val="0"/>
        <w:overflowPunct w:val="0"/>
        <w:spacing w:before="4"/>
        <w:ind w:left="0"/>
        <w:rPr>
          <w:rFonts w:hint="eastAsia" w:asciiTheme="minorEastAsia" w:hAnsiTheme="minorEastAsia" w:eastAsiaTheme="minorEastAsia" w:cstheme="minorEastAsia"/>
          <w:color w:val="000000" w:themeColor="text1"/>
          <w:sz w:val="17"/>
          <w:szCs w:val="24"/>
          <w:highlight w:val="none"/>
          <w14:textFill>
            <w14:solidFill>
              <w14:schemeClr w14:val="tx1"/>
            </w14:solidFill>
          </w14:textFill>
        </w:rPr>
      </w:pPr>
    </w:p>
    <w:p w14:paraId="1BB82AA2">
      <w:pPr>
        <w:pStyle w:val="11"/>
        <w:kinsoku w:val="0"/>
        <w:overflowPunct w:val="0"/>
        <w:spacing w:before="14"/>
        <w:ind w:left="0" w:right="13"/>
        <w:jc w:val="cente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问题澄清通知</w:t>
      </w:r>
    </w:p>
    <w:p w14:paraId="156BD8DF">
      <w:pPr>
        <w:pStyle w:val="11"/>
        <w:tabs>
          <w:tab w:val="left" w:pos="2937"/>
        </w:tabs>
        <w:kinsoku w:val="0"/>
        <w:overflowPunct w:val="0"/>
        <w:spacing w:before="157"/>
        <w:ind w:left="0" w:right="2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pacing w:val="-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w:t>
      </w:r>
    </w:p>
    <w:p w14:paraId="5240E9A3">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37E4C442">
      <w:pPr>
        <w:pStyle w:val="11"/>
        <w:kinsoku w:val="0"/>
        <w:overflowPunct w:val="0"/>
        <w:spacing w:before="5"/>
        <w:ind w:left="0"/>
        <w:rPr>
          <w:rFonts w:hint="eastAsia" w:asciiTheme="minorEastAsia" w:hAnsiTheme="minorEastAsia" w:eastAsiaTheme="minorEastAsia" w:cstheme="minorEastAsia"/>
          <w:color w:val="000000" w:themeColor="text1"/>
          <w:sz w:val="23"/>
          <w:szCs w:val="24"/>
          <w:highlight w:val="none"/>
          <w14:textFill>
            <w14:solidFill>
              <w14:schemeClr w14:val="tx1"/>
            </w14:solidFill>
          </w14:textFill>
        </w:rPr>
      </w:pPr>
    </w:p>
    <w:p w14:paraId="2916B81E">
      <w:pPr>
        <w:pStyle w:val="11"/>
        <w:tabs>
          <w:tab w:val="left" w:pos="2305"/>
        </w:tabs>
        <w:kinsoku w:val="0"/>
        <w:overflowPunct w:val="0"/>
        <w:spacing w:before="36"/>
        <w:ind w:left="100" w:right="113"/>
        <w:rPr>
          <w:rFonts w:hint="eastAsia" w:asciiTheme="minorEastAsia" w:hAnsiTheme="minorEastAsia" w:eastAsiaTheme="minorEastAsia" w:cstheme="minorEastAsia"/>
          <w:color w:val="000000" w:themeColor="text1"/>
          <w:spacing w:val="-15"/>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5"/>
          <w:sz w:val="21"/>
          <w:szCs w:val="24"/>
          <w:highlight w:val="none"/>
          <w14:textFill>
            <w14:solidFill>
              <w14:schemeClr w14:val="tx1"/>
            </w14:solidFill>
          </w14:textFill>
        </w:rPr>
        <w:t>（投标人名称）：</w:t>
      </w:r>
    </w:p>
    <w:p w14:paraId="67071539">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1FE49FE1">
      <w:pPr>
        <w:pStyle w:val="11"/>
        <w:kinsoku w:val="0"/>
        <w:overflowPunct w:val="0"/>
        <w:spacing w:before="8"/>
        <w:ind w:left="0"/>
        <w:rPr>
          <w:rFonts w:hint="eastAsia" w:asciiTheme="minorEastAsia" w:hAnsiTheme="minorEastAsia" w:eastAsiaTheme="minorEastAsia" w:cstheme="minorEastAsia"/>
          <w:color w:val="000000" w:themeColor="text1"/>
          <w:sz w:val="23"/>
          <w:szCs w:val="24"/>
          <w:highlight w:val="none"/>
          <w14:textFill>
            <w14:solidFill>
              <w14:schemeClr w14:val="tx1"/>
            </w14:solidFill>
          </w14:textFill>
        </w:rPr>
      </w:pPr>
    </w:p>
    <w:p w14:paraId="6E3E3BAE">
      <w:pPr>
        <w:pStyle w:val="11"/>
        <w:kinsoku w:val="0"/>
        <w:overflowPunct w:val="0"/>
        <w:spacing w:before="36" w:line="384" w:lineRule="auto"/>
        <w:ind w:left="100" w:right="113" w:firstLine="422"/>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t>评标委员会对你方的投标文件进行了仔细的审查，现需你方对下列问题以书面形式予以澄</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 xml:space="preserve"> 清、说明或补正：</w:t>
      </w:r>
    </w:p>
    <w:p w14:paraId="2AD294F7">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77D9C9C">
      <w:pPr>
        <w:pStyle w:val="11"/>
        <w:kinsoku w:val="0"/>
        <w:overflowPunct w:val="0"/>
        <w:spacing w:before="6"/>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4A42533F">
      <w:pPr>
        <w:pStyle w:val="11"/>
        <w:kinsoku w:val="0"/>
        <w:overflowPunct w:val="0"/>
        <w:ind w:left="522"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w:t>
      </w:r>
    </w:p>
    <w:p w14:paraId="4B569B64">
      <w:pPr>
        <w:pStyle w:val="11"/>
        <w:kinsoku w:val="0"/>
        <w:overflowPunct w:val="0"/>
        <w:spacing w:before="2"/>
        <w:ind w:left="0"/>
        <w:rPr>
          <w:rFonts w:hint="eastAsia" w:asciiTheme="minorEastAsia" w:hAnsiTheme="minorEastAsia" w:eastAsiaTheme="minorEastAsia" w:cstheme="minorEastAsia"/>
          <w:color w:val="000000" w:themeColor="text1"/>
          <w:sz w:val="17"/>
          <w:szCs w:val="24"/>
          <w:highlight w:val="none"/>
          <w14:textFill>
            <w14:solidFill>
              <w14:schemeClr w14:val="tx1"/>
            </w14:solidFill>
          </w14:textFill>
        </w:rPr>
      </w:pPr>
    </w:p>
    <w:p w14:paraId="06B03EB4">
      <w:pPr>
        <w:pStyle w:val="11"/>
        <w:kinsoku w:val="0"/>
        <w:overflowPunct w:val="0"/>
        <w:ind w:left="522"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2.</w:t>
      </w:r>
    </w:p>
    <w:p w14:paraId="6640CF16">
      <w:pPr>
        <w:pStyle w:val="11"/>
        <w:kinsoku w:val="0"/>
        <w:overflowPunct w:val="0"/>
        <w:spacing w:before="5"/>
        <w:ind w:left="0"/>
        <w:rPr>
          <w:rFonts w:hint="eastAsia" w:asciiTheme="minorEastAsia" w:hAnsiTheme="minorEastAsia" w:eastAsiaTheme="minorEastAsia" w:cstheme="minorEastAsia"/>
          <w:color w:val="000000" w:themeColor="text1"/>
          <w:sz w:val="17"/>
          <w:szCs w:val="24"/>
          <w:highlight w:val="none"/>
          <w14:textFill>
            <w14:solidFill>
              <w14:schemeClr w14:val="tx1"/>
            </w14:solidFill>
          </w14:textFill>
        </w:rPr>
      </w:pPr>
    </w:p>
    <w:p w14:paraId="6AAA4D0B">
      <w:pPr>
        <w:pStyle w:val="11"/>
        <w:kinsoku w:val="0"/>
        <w:overflowPunct w:val="0"/>
        <w:ind w:left="628"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w:t>
      </w:r>
    </w:p>
    <w:p w14:paraId="48E3170A">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0B7C20BF">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EA6CCBE">
      <w:pPr>
        <w:pStyle w:val="11"/>
        <w:tabs>
          <w:tab w:val="left" w:pos="4603"/>
          <w:tab w:val="left" w:pos="5549"/>
          <w:tab w:val="left" w:pos="6494"/>
          <w:tab w:val="left" w:pos="7438"/>
        </w:tabs>
        <w:kinsoku w:val="0"/>
        <w:overflowPunct w:val="0"/>
        <w:spacing w:before="127"/>
        <w:ind w:left="505" w:right="113"/>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请将上述问题的澄清、说明或补正于</w:t>
      </w:r>
      <w:r>
        <w:rPr>
          <w:rFonts w:hint="eastAsia" w:asciiTheme="minorEastAsia" w:hAnsiTheme="minorEastAsia" w:eastAsiaTheme="minorEastAsia" w:cstheme="minorEastAsia"/>
          <w:color w:val="000000" w:themeColor="text1"/>
          <w:spacing w:val="-2"/>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3"/>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时前递交至</w:t>
      </w:r>
    </w:p>
    <w:p w14:paraId="6A6CE825">
      <w:pPr>
        <w:pStyle w:val="11"/>
        <w:kinsoku w:val="0"/>
        <w:overflowPunct w:val="0"/>
        <w:spacing w:before="13"/>
        <w:ind w:left="0"/>
        <w:rPr>
          <w:rFonts w:hint="eastAsia" w:asciiTheme="minorEastAsia" w:hAnsiTheme="minorEastAsia" w:eastAsiaTheme="minorEastAsia" w:cstheme="minorEastAsia"/>
          <w:color w:val="000000" w:themeColor="text1"/>
          <w:sz w:val="9"/>
          <w:szCs w:val="24"/>
          <w:highlight w:val="none"/>
          <w14:textFill>
            <w14:solidFill>
              <w14:schemeClr w14:val="tx1"/>
            </w14:solidFill>
          </w14:textFill>
        </w:rPr>
      </w:pPr>
    </w:p>
    <w:p w14:paraId="39D4D9A9">
      <w:pPr>
        <w:pStyle w:val="11"/>
        <w:tabs>
          <w:tab w:val="left" w:pos="3040"/>
          <w:tab w:val="left" w:pos="7296"/>
        </w:tabs>
        <w:kinsoku w:val="0"/>
        <w:overflowPunct w:val="0"/>
        <w:spacing w:before="36"/>
        <w:ind w:left="100"/>
        <w:rPr>
          <w:rFonts w:hint="eastAsia" w:asciiTheme="minorEastAsia" w:hAnsiTheme="minorEastAsia" w:eastAsiaTheme="minorEastAsia" w:cstheme="minorEastAsia"/>
          <w:color w:val="000000" w:themeColor="text1"/>
          <w:spacing w:val="-5"/>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5"/>
          <w:sz w:val="21"/>
          <w:szCs w:val="24"/>
          <w:highlight w:val="none"/>
          <w14:textFill>
            <w14:solidFill>
              <w14:schemeClr w14:val="tx1"/>
            </w14:solidFill>
          </w14:textFill>
        </w:rPr>
        <w:t>（详细地址）或传真至</w:t>
      </w:r>
      <w:r>
        <w:rPr>
          <w:rFonts w:hint="eastAsia" w:asciiTheme="minorEastAsia" w:hAnsiTheme="minorEastAsia" w:eastAsiaTheme="minorEastAsia" w:cstheme="minorEastAsia"/>
          <w:color w:val="000000" w:themeColor="text1"/>
          <w:spacing w:val="-5"/>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5"/>
          <w:sz w:val="21"/>
          <w:szCs w:val="24"/>
          <w:highlight w:val="none"/>
          <w14:textFill>
            <w14:solidFill>
              <w14:schemeClr w14:val="tx1"/>
            </w14:solidFill>
          </w14:textFill>
        </w:rPr>
        <w:t>（传真号码）或</w:t>
      </w:r>
    </w:p>
    <w:p w14:paraId="2BD511FC">
      <w:pPr>
        <w:pStyle w:val="11"/>
        <w:kinsoku w:val="0"/>
        <w:overflowPunct w:val="0"/>
        <w:spacing w:before="10"/>
        <w:ind w:left="0"/>
        <w:rPr>
          <w:rFonts w:hint="eastAsia" w:asciiTheme="minorEastAsia" w:hAnsiTheme="minorEastAsia" w:eastAsiaTheme="minorEastAsia" w:cstheme="minorEastAsia"/>
          <w:color w:val="000000" w:themeColor="text1"/>
          <w:sz w:val="9"/>
          <w:szCs w:val="24"/>
          <w:highlight w:val="none"/>
          <w14:textFill>
            <w14:solidFill>
              <w14:schemeClr w14:val="tx1"/>
            </w14:solidFill>
          </w14:textFill>
        </w:rPr>
      </w:pPr>
    </w:p>
    <w:p w14:paraId="0AE040DD">
      <w:pPr>
        <w:pStyle w:val="11"/>
        <w:tabs>
          <w:tab w:val="left" w:pos="7138"/>
          <w:tab w:val="left" w:pos="8084"/>
        </w:tabs>
        <w:kinsoku w:val="0"/>
        <w:overflowPunct w:val="0"/>
        <w:spacing w:before="36"/>
        <w:ind w:left="100"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通过下载招标文件的电子招标交易平台上传。采用传真方式的，应在</w:t>
      </w:r>
      <w:r>
        <w:rPr>
          <w:rFonts w:hint="eastAsia" w:asciiTheme="minorEastAsia" w:hAnsiTheme="minorEastAsia" w:eastAsiaTheme="minorEastAsia" w:cstheme="minorEastAsia"/>
          <w:color w:val="000000" w:themeColor="text1"/>
          <w:spacing w:val="-2"/>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月</w:t>
      </w:r>
    </w:p>
    <w:p w14:paraId="6CA2DF0A">
      <w:pPr>
        <w:pStyle w:val="11"/>
        <w:kinsoku w:val="0"/>
        <w:overflowPunct w:val="0"/>
        <w:spacing w:before="10"/>
        <w:ind w:left="0"/>
        <w:rPr>
          <w:rFonts w:hint="eastAsia" w:asciiTheme="minorEastAsia" w:hAnsiTheme="minorEastAsia" w:eastAsiaTheme="minorEastAsia" w:cstheme="minorEastAsia"/>
          <w:color w:val="000000" w:themeColor="text1"/>
          <w:sz w:val="9"/>
          <w:szCs w:val="24"/>
          <w:highlight w:val="none"/>
          <w14:textFill>
            <w14:solidFill>
              <w14:schemeClr w14:val="tx1"/>
            </w14:solidFill>
          </w14:textFill>
        </w:rPr>
      </w:pPr>
    </w:p>
    <w:p w14:paraId="33E6E812">
      <w:pPr>
        <w:pStyle w:val="11"/>
        <w:tabs>
          <w:tab w:val="left" w:pos="837"/>
          <w:tab w:val="left" w:pos="1782"/>
          <w:tab w:val="left" w:pos="5669"/>
        </w:tabs>
        <w:kinsoku w:val="0"/>
        <w:overflowPunct w:val="0"/>
        <w:spacing w:before="36"/>
        <w:ind w:left="100" w:right="113"/>
        <w:rPr>
          <w:rFonts w:hint="eastAsia" w:asciiTheme="minorEastAsia" w:hAnsiTheme="minorEastAsia" w:eastAsiaTheme="minorEastAsia" w:cstheme="minorEastAsia"/>
          <w:color w:val="000000" w:themeColor="text1"/>
          <w:spacing w:val="-17"/>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时前将原件递交至</w:t>
      </w:r>
      <w:r>
        <w:rPr>
          <w:rFonts w:hint="eastAsia" w:asciiTheme="minorEastAsia" w:hAnsiTheme="minorEastAsia" w:eastAsiaTheme="minorEastAsia" w:cstheme="minorEastAsia"/>
          <w:color w:val="000000" w:themeColor="text1"/>
          <w:spacing w:val="-2"/>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7"/>
          <w:sz w:val="21"/>
          <w:szCs w:val="24"/>
          <w:highlight w:val="none"/>
          <w14:textFill>
            <w14:solidFill>
              <w14:schemeClr w14:val="tx1"/>
            </w14:solidFill>
          </w14:textFill>
        </w:rPr>
        <w:t>（详细地址）。</w:t>
      </w:r>
    </w:p>
    <w:p w14:paraId="26844B62">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71BA7EE">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8AB3AD9">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7BD48231">
      <w:pPr>
        <w:pStyle w:val="11"/>
        <w:kinsoku w:val="0"/>
        <w:overflowPunct w:val="0"/>
        <w:spacing w:before="2"/>
        <w:ind w:left="0"/>
        <w:rPr>
          <w:rFonts w:hint="eastAsia" w:asciiTheme="minorEastAsia" w:hAnsiTheme="minorEastAsia" w:eastAsiaTheme="minorEastAsia" w:cstheme="minorEastAsia"/>
          <w:color w:val="000000" w:themeColor="text1"/>
          <w:sz w:val="17"/>
          <w:szCs w:val="24"/>
          <w:highlight w:val="none"/>
          <w14:textFill>
            <w14:solidFill>
              <w14:schemeClr w14:val="tx1"/>
            </w14:solidFill>
          </w14:textFill>
        </w:rPr>
      </w:pPr>
    </w:p>
    <w:p w14:paraId="0DEE5C00">
      <w:pPr>
        <w:pStyle w:val="11"/>
        <w:tabs>
          <w:tab w:val="left" w:pos="7032"/>
        </w:tabs>
        <w:kinsoku w:val="0"/>
        <w:overflowPunct w:val="0"/>
        <w:spacing w:before="36"/>
        <w:ind w:left="2200" w:right="113"/>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评标委员会</w:t>
      </w:r>
      <w:r>
        <w:rPr>
          <w:rFonts w:hint="eastAsia" w:asciiTheme="minorEastAsia" w:hAnsiTheme="minorEastAsia" w:eastAsiaTheme="minorEastAsia" w:cstheme="minorEastAsia"/>
          <w:color w:val="000000" w:themeColor="text1"/>
          <w:spacing w:val="-2"/>
          <w:sz w:val="21"/>
          <w:szCs w:val="24"/>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4"/>
          <w:highlight w:val="none"/>
          <w:u w:val="single"/>
          <w14:textFill>
            <w14:solidFill>
              <w14:schemeClr w14:val="tx1"/>
            </w14:solidFill>
          </w14:textFill>
        </w:rPr>
        <w:tab/>
      </w:r>
    </w:p>
    <w:p w14:paraId="766FB2C0">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7F2CC40">
      <w:pPr>
        <w:pStyle w:val="11"/>
        <w:kinsoku w:val="0"/>
        <w:overflowPunct w:val="0"/>
        <w:spacing w:before="7"/>
        <w:ind w:left="0"/>
        <w:rPr>
          <w:rFonts w:hint="eastAsia" w:asciiTheme="minorEastAsia" w:hAnsiTheme="minorEastAsia" w:eastAsiaTheme="minorEastAsia" w:cstheme="minorEastAsia"/>
          <w:color w:val="000000" w:themeColor="text1"/>
          <w:sz w:val="23"/>
          <w:szCs w:val="24"/>
          <w:highlight w:val="none"/>
          <w14:textFill>
            <w14:solidFill>
              <w14:schemeClr w14:val="tx1"/>
            </w14:solidFill>
          </w14:textFill>
        </w:rPr>
      </w:pPr>
    </w:p>
    <w:p w14:paraId="6F821800">
      <w:pPr>
        <w:pStyle w:val="11"/>
        <w:tabs>
          <w:tab w:val="left" w:pos="5803"/>
          <w:tab w:val="left" w:pos="6746"/>
          <w:tab w:val="left" w:pos="7692"/>
        </w:tabs>
        <w:kinsoku w:val="0"/>
        <w:overflowPunct w:val="0"/>
        <w:spacing w:before="36"/>
        <w:ind w:left="4961"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3"/>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日</w:t>
      </w:r>
    </w:p>
    <w:p w14:paraId="1610C72B">
      <w:pPr>
        <w:pStyle w:val="11"/>
        <w:tabs>
          <w:tab w:val="left" w:pos="5803"/>
          <w:tab w:val="left" w:pos="6746"/>
          <w:tab w:val="left" w:pos="7692"/>
        </w:tabs>
        <w:kinsoku w:val="0"/>
        <w:overflowPunct w:val="0"/>
        <w:spacing w:before="36"/>
        <w:ind w:left="4961"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34425EA0">
      <w:pPr>
        <w:pStyle w:val="6"/>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bookmarkStart w:id="133" w:name="bookmark78"/>
      <w:bookmarkEnd w:id="133"/>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：问题的澄清</w:t>
      </w:r>
    </w:p>
    <w:p w14:paraId="5A43A954">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3C50E8ED">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5BD680F8">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17BFAE34">
      <w:pPr>
        <w:pStyle w:val="11"/>
        <w:kinsoku w:val="0"/>
        <w:overflowPunct w:val="0"/>
        <w:spacing w:before="168"/>
        <w:ind w:left="0" w:right="16"/>
        <w:jc w:val="cente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问题的澄清</w:t>
      </w:r>
    </w:p>
    <w:p w14:paraId="2EA8A150">
      <w:pPr>
        <w:pStyle w:val="11"/>
        <w:tabs>
          <w:tab w:val="left" w:pos="5947"/>
        </w:tabs>
        <w:kinsoku w:val="0"/>
        <w:overflowPunct w:val="0"/>
        <w:spacing w:before="113"/>
        <w:ind w:left="3566"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pacing w:val="-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w:t>
      </w:r>
    </w:p>
    <w:p w14:paraId="63B65C6C">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3658B062">
      <w:pPr>
        <w:pStyle w:val="11"/>
        <w:kinsoku w:val="0"/>
        <w:overflowPunct w:val="0"/>
        <w:spacing w:before="1"/>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ABBE12C">
      <w:pPr>
        <w:pStyle w:val="11"/>
        <w:kinsoku w:val="0"/>
        <w:overflowPunct w:val="0"/>
        <w:spacing w:before="36"/>
        <w:ind w:left="100" w:right="113"/>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评标委员会：</w:t>
      </w:r>
    </w:p>
    <w:p w14:paraId="57C123EF">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0C85A953">
      <w:pPr>
        <w:pStyle w:val="11"/>
        <w:kinsoku w:val="0"/>
        <w:overflowPunct w:val="0"/>
        <w:spacing w:before="2"/>
        <w:ind w:left="0"/>
        <w:rPr>
          <w:rFonts w:hint="eastAsia" w:asciiTheme="minorEastAsia" w:hAnsiTheme="minorEastAsia" w:eastAsiaTheme="minorEastAsia" w:cstheme="minorEastAsia"/>
          <w:color w:val="000000" w:themeColor="text1"/>
          <w:sz w:val="26"/>
          <w:szCs w:val="24"/>
          <w:highlight w:val="none"/>
          <w14:textFill>
            <w14:solidFill>
              <w14:schemeClr w14:val="tx1"/>
            </w14:solidFill>
          </w14:textFill>
        </w:rPr>
      </w:pPr>
    </w:p>
    <w:p w14:paraId="2140D33B">
      <w:pPr>
        <w:pStyle w:val="11"/>
        <w:tabs>
          <w:tab w:val="left" w:pos="3460"/>
        </w:tabs>
        <w:kinsoku w:val="0"/>
        <w:overflowPunct w:val="0"/>
        <w:ind w:left="522" w:right="113"/>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问题澄清通知（编号：</w:t>
      </w:r>
      <w:r>
        <w:rPr>
          <w:rFonts w:hint="eastAsia" w:asciiTheme="minorEastAsia" w:hAnsiTheme="minorEastAsia" w:eastAsiaTheme="minorEastAsia" w:cstheme="minorEastAsia"/>
          <w:color w:val="000000" w:themeColor="text1"/>
          <w:spacing w:val="-2"/>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）已收悉，现澄清、说明或补正如下：</w:t>
      </w:r>
    </w:p>
    <w:p w14:paraId="18629ED2">
      <w:pPr>
        <w:pStyle w:val="11"/>
        <w:kinsoku w:val="0"/>
        <w:overflowPunct w:val="0"/>
        <w:spacing w:before="11"/>
        <w:ind w:left="0"/>
        <w:rPr>
          <w:rFonts w:hint="eastAsia" w:asciiTheme="minorEastAsia" w:hAnsiTheme="minorEastAsia" w:eastAsiaTheme="minorEastAsia" w:cstheme="minorEastAsia"/>
          <w:color w:val="000000" w:themeColor="text1"/>
          <w:sz w:val="10"/>
          <w:szCs w:val="24"/>
          <w:highlight w:val="none"/>
          <w14:textFill>
            <w14:solidFill>
              <w14:schemeClr w14:val="tx1"/>
            </w14:solidFill>
          </w14:textFill>
        </w:rPr>
      </w:pPr>
    </w:p>
    <w:p w14:paraId="0094B485">
      <w:pPr>
        <w:pStyle w:val="11"/>
        <w:kinsoku w:val="0"/>
        <w:overflowPunct w:val="0"/>
        <w:spacing w:before="74"/>
        <w:ind w:left="0" w:right="7025"/>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1.</w:t>
      </w:r>
    </w:p>
    <w:p w14:paraId="60DED044">
      <w:pPr>
        <w:pStyle w:val="11"/>
        <w:kinsoku w:val="0"/>
        <w:overflowPunct w:val="0"/>
        <w:spacing w:before="2"/>
        <w:ind w:left="0"/>
        <w:rPr>
          <w:rFonts w:hint="eastAsia" w:asciiTheme="minorEastAsia" w:hAnsiTheme="minorEastAsia" w:eastAsiaTheme="minorEastAsia" w:cstheme="minorEastAsia"/>
          <w:color w:val="000000" w:themeColor="text1"/>
          <w:sz w:val="17"/>
          <w:szCs w:val="24"/>
          <w:highlight w:val="none"/>
          <w14:textFill>
            <w14:solidFill>
              <w14:schemeClr w14:val="tx1"/>
            </w14:solidFill>
          </w14:textFill>
        </w:rPr>
      </w:pPr>
    </w:p>
    <w:p w14:paraId="4A4A3067">
      <w:pPr>
        <w:pStyle w:val="11"/>
        <w:kinsoku w:val="0"/>
        <w:overflowPunct w:val="0"/>
        <w:ind w:left="0" w:right="7025"/>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2.</w:t>
      </w:r>
    </w:p>
    <w:p w14:paraId="41769402">
      <w:pPr>
        <w:pStyle w:val="11"/>
        <w:kinsoku w:val="0"/>
        <w:overflowPunct w:val="0"/>
        <w:spacing w:before="2"/>
        <w:ind w:left="0"/>
        <w:rPr>
          <w:rFonts w:hint="eastAsia" w:asciiTheme="minorEastAsia" w:hAnsiTheme="minorEastAsia" w:eastAsiaTheme="minorEastAsia" w:cstheme="minorEastAsia"/>
          <w:color w:val="000000" w:themeColor="text1"/>
          <w:sz w:val="17"/>
          <w:szCs w:val="24"/>
          <w:highlight w:val="none"/>
          <w14:textFill>
            <w14:solidFill>
              <w14:schemeClr w14:val="tx1"/>
            </w14:solidFill>
          </w14:textFill>
        </w:rPr>
      </w:pPr>
    </w:p>
    <w:p w14:paraId="6B4DCBC9">
      <w:pPr>
        <w:pStyle w:val="11"/>
        <w:kinsoku w:val="0"/>
        <w:overflowPunct w:val="0"/>
        <w:ind w:left="0" w:right="713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w:t>
      </w:r>
    </w:p>
    <w:p w14:paraId="35ADA24C">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30D73B4">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8096F21">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5D77542">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4729332F">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4C208A73">
      <w:pPr>
        <w:pStyle w:val="11"/>
        <w:kinsoku w:val="0"/>
        <w:overflowPunct w:val="0"/>
        <w:spacing w:before="11"/>
        <w:ind w:left="0"/>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p>
    <w:p w14:paraId="0A32941B">
      <w:pPr>
        <w:pStyle w:val="11"/>
        <w:kinsoku w:val="0"/>
        <w:overflowPunct w:val="0"/>
        <w:spacing w:line="384" w:lineRule="auto"/>
        <w:ind w:left="100" w:right="113" w:firstLine="419"/>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t>上述问题澄清、说明或补正，不改变我方投标文件的实质性内容，构成我方投标文件的组</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 xml:space="preserve"> 成部分。</w:t>
      </w:r>
    </w:p>
    <w:p w14:paraId="0BB70CC4">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961E231">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46BD170B">
      <w:pPr>
        <w:pStyle w:val="11"/>
        <w:kinsoku w:val="0"/>
        <w:overflowPunct w:val="0"/>
        <w:spacing w:before="6"/>
        <w:ind w:left="0"/>
        <w:rPr>
          <w:rFonts w:hint="eastAsia" w:asciiTheme="minorEastAsia" w:hAnsiTheme="minorEastAsia" w:eastAsiaTheme="minorEastAsia" w:cstheme="minorEastAsia"/>
          <w:color w:val="000000" w:themeColor="text1"/>
          <w:sz w:val="19"/>
          <w:szCs w:val="24"/>
          <w:highlight w:val="none"/>
          <w14:textFill>
            <w14:solidFill>
              <w14:schemeClr w14:val="tx1"/>
            </w14:solidFill>
          </w14:textFill>
        </w:rPr>
      </w:pPr>
    </w:p>
    <w:p w14:paraId="4E19566A">
      <w:pPr>
        <w:pStyle w:val="11"/>
        <w:tabs>
          <w:tab w:val="left" w:pos="7382"/>
        </w:tabs>
        <w:kinsoku w:val="0"/>
        <w:overflowPunct w:val="0"/>
        <w:ind w:left="3043" w:right="113"/>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pacing w:val="-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t>（盖单位章）</w:t>
      </w:r>
    </w:p>
    <w:p w14:paraId="6AF56CBC">
      <w:pPr>
        <w:pStyle w:val="11"/>
        <w:kinsoku w:val="0"/>
        <w:overflowPunct w:val="0"/>
        <w:spacing w:before="11"/>
        <w:ind w:left="0"/>
        <w:rPr>
          <w:rFonts w:hint="eastAsia" w:asciiTheme="minorEastAsia" w:hAnsiTheme="minorEastAsia" w:eastAsiaTheme="minorEastAsia" w:cstheme="minorEastAsia"/>
          <w:color w:val="000000" w:themeColor="text1"/>
          <w:sz w:val="17"/>
          <w:szCs w:val="24"/>
          <w:highlight w:val="none"/>
          <w14:textFill>
            <w14:solidFill>
              <w14:schemeClr w14:val="tx1"/>
            </w14:solidFill>
          </w14:textFill>
        </w:rPr>
      </w:pPr>
    </w:p>
    <w:p w14:paraId="570B0159">
      <w:pPr>
        <w:pStyle w:val="11"/>
        <w:tabs>
          <w:tab w:val="left" w:pos="6612"/>
        </w:tabs>
        <w:kinsoku w:val="0"/>
        <w:overflowPunct w:val="0"/>
        <w:spacing w:before="36"/>
        <w:ind w:left="3041" w:right="113"/>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pacing w:val="-2"/>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（签字）</w:t>
      </w:r>
    </w:p>
    <w:p w14:paraId="564B8228">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4CA6FE0F">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536488A2">
      <w:pPr>
        <w:pStyle w:val="11"/>
        <w:kinsoku w:val="0"/>
        <w:overflowPunct w:val="0"/>
        <w:spacing w:before="4"/>
        <w:ind w:left="0"/>
        <w:rPr>
          <w:rFonts w:hint="eastAsia" w:asciiTheme="minorEastAsia" w:hAnsiTheme="minorEastAsia" w:eastAsiaTheme="minorEastAsia" w:cstheme="minorEastAsia"/>
          <w:color w:val="000000" w:themeColor="text1"/>
          <w:sz w:val="22"/>
          <w:szCs w:val="24"/>
          <w:highlight w:val="none"/>
          <w14:textFill>
            <w14:solidFill>
              <w14:schemeClr w14:val="tx1"/>
            </w14:solidFill>
          </w14:textFill>
        </w:rPr>
      </w:pPr>
    </w:p>
    <w:p w14:paraId="5EBC16C8">
      <w:pPr>
        <w:pStyle w:val="11"/>
        <w:tabs>
          <w:tab w:val="left" w:pos="6434"/>
          <w:tab w:val="left" w:pos="7483"/>
          <w:tab w:val="left" w:pos="8533"/>
        </w:tabs>
        <w:kinsoku w:val="0"/>
        <w:overflowPunct w:val="0"/>
        <w:spacing w:before="36"/>
        <w:ind w:left="5595"/>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3"/>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日</w:t>
      </w:r>
    </w:p>
    <w:p w14:paraId="1715BFE5">
      <w:pPr>
        <w:pStyle w:val="4"/>
        <w:outlineLvl w:val="0"/>
        <w:rPr>
          <w:rFonts w:hint="eastAsia" w:asciiTheme="minorEastAsia" w:hAnsiTheme="minorEastAsia" w:eastAsiaTheme="minorEastAsia" w:cstheme="minorEastAsia"/>
          <w:b w:val="0"/>
          <w:color w:val="000000" w:themeColor="text1"/>
          <w:sz w:val="57"/>
          <w:szCs w:val="24"/>
          <w:highlight w:val="none"/>
          <w14:textFill>
            <w14:solidFill>
              <w14:schemeClr w14:val="tx1"/>
            </w14:solidFill>
          </w14:textFill>
        </w:rPr>
      </w:pPr>
      <w:bookmarkStart w:id="134" w:name="bookmark79"/>
      <w:bookmarkEnd w:id="134"/>
      <w:bookmarkStart w:id="135" w:name="bookmark82"/>
      <w:bookmarkEnd w:id="135"/>
      <w:bookmarkStart w:id="136" w:name="_Toc29250"/>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第三章</w:t>
      </w:r>
      <w:r>
        <w:rPr>
          <w:rFonts w:hint="eastAsia" w:asciiTheme="minorEastAsia" w:hAnsiTheme="minorEastAsia" w:eastAsiaTheme="minorEastAsia" w:cstheme="minorEastAsia"/>
          <w:color w:val="000000" w:themeColor="text1"/>
          <w:sz w:val="4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评标办法（综合评估法）</w:t>
      </w:r>
      <w:bookmarkEnd w:id="136"/>
    </w:p>
    <w:p w14:paraId="1290DECB">
      <w:pPr>
        <w:pStyle w:val="5"/>
        <w:kinsoku w:val="0"/>
        <w:overflowPunct w:val="0"/>
        <w:ind w:left="120"/>
        <w:jc w:val="center"/>
        <w:outlineLvl w:val="1"/>
        <w:rPr>
          <w:rFonts w:hint="eastAsia" w:asciiTheme="minorEastAsia" w:hAnsiTheme="minorEastAsia" w:eastAsiaTheme="minorEastAsia" w:cstheme="minorEastAsia"/>
          <w:color w:val="000000" w:themeColor="text1"/>
          <w:sz w:val="32"/>
          <w:szCs w:val="24"/>
          <w:highlight w:val="none"/>
          <w14:textFill>
            <w14:solidFill>
              <w14:schemeClr w14:val="tx1"/>
            </w14:solidFill>
          </w14:textFill>
        </w:rPr>
      </w:pPr>
      <w:bookmarkStart w:id="137" w:name="bookmark83"/>
      <w:bookmarkEnd w:id="137"/>
      <w:bookmarkStart w:id="138" w:name="_Toc17036"/>
      <w:r>
        <w:rPr>
          <w:rFonts w:hint="eastAsia" w:asciiTheme="minorEastAsia" w:hAnsiTheme="minorEastAsia" w:eastAsiaTheme="minorEastAsia" w:cstheme="minorEastAsia"/>
          <w:color w:val="000000" w:themeColor="text1"/>
          <w:sz w:val="32"/>
          <w:szCs w:val="24"/>
          <w:highlight w:val="none"/>
          <w14:textFill>
            <w14:solidFill>
              <w14:schemeClr w14:val="tx1"/>
            </w14:solidFill>
          </w14:textFill>
        </w:rPr>
        <w:t>评标办法前附表</w:t>
      </w:r>
      <w:bookmarkEnd w:id="138"/>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5F41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D9FBAD">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93C102">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36094">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评审标准</w:t>
            </w:r>
          </w:p>
        </w:tc>
      </w:tr>
      <w:tr w14:paraId="640C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A7D82">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D54AEF">
            <w:pPr>
              <w:pStyle w:val="28"/>
              <w:keepNext w:val="0"/>
              <w:keepLines w:val="0"/>
              <w:suppressLineNumbers w:val="0"/>
              <w:kinsoku w:val="0"/>
              <w:overflowPunct w:val="0"/>
              <w:spacing w:before="141"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66F7E">
            <w:pPr>
              <w:pStyle w:val="28"/>
              <w:keepNext w:val="0"/>
              <w:keepLines w:val="0"/>
              <w:suppressLineNumbers w:val="0"/>
              <w:kinsoku w:val="0"/>
              <w:overflowPunct w:val="0"/>
              <w:spacing w:before="141"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6F6AF">
            <w:pPr>
              <w:pStyle w:val="28"/>
              <w:keepNext w:val="0"/>
              <w:keepLines w:val="0"/>
              <w:suppressLineNumbers w:val="0"/>
              <w:kinsoku w:val="0"/>
              <w:overflowPunct w:val="0"/>
              <w:spacing w:before="141"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综合评分相等时，以投标报价低的优先；投标报价也相等的，以监理大纲得分高的优先；如果监理大纲得分也相等，由评标委员会采用记名投票方式，以得票多的优先。</w:t>
            </w:r>
          </w:p>
        </w:tc>
      </w:tr>
      <w:tr w14:paraId="3F9C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C4C7F21">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41199BF">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228E6">
            <w:pPr>
              <w:pStyle w:val="28"/>
              <w:keepNext w:val="0"/>
              <w:keepLines w:val="0"/>
              <w:suppressLineNumbers w:val="0"/>
              <w:kinsoku w:val="0"/>
              <w:overflowPunct w:val="0"/>
              <w:spacing w:before="11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7C87A5">
            <w:pPr>
              <w:pStyle w:val="28"/>
              <w:keepNext w:val="0"/>
              <w:keepLines w:val="0"/>
              <w:suppressLineNumbers w:val="0"/>
              <w:kinsoku w:val="0"/>
              <w:overflowPunct w:val="0"/>
              <w:spacing w:before="11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法定代表人证明书；委托投标的还应提供法人授权委托证明书</w:t>
            </w:r>
          </w:p>
        </w:tc>
      </w:tr>
      <w:tr w14:paraId="1766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B0105C">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E767E4">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DE76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营业执照或事业单位法人证书</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055E6E6F">
            <w:pPr>
              <w:pStyle w:val="28"/>
              <w:keepNext w:val="0"/>
              <w:keepLines w:val="0"/>
              <w:suppressLineNumbers w:val="0"/>
              <w:kinsoku w:val="0"/>
              <w:overflowPunct w:val="0"/>
              <w:spacing w:before="107"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 3.5.1项规定，具备有效的营业执照</w:t>
            </w:r>
          </w:p>
        </w:tc>
      </w:tr>
      <w:tr w14:paraId="0398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5EE200">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7808C9">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1193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5240D">
            <w:pPr>
              <w:pStyle w:val="28"/>
              <w:keepNext w:val="0"/>
              <w:keepLines w:val="0"/>
              <w:suppressLineNumbers w:val="0"/>
              <w:kinsoku w:val="0"/>
              <w:overflowPunct w:val="0"/>
              <w:spacing w:before="107"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 1.4.1项规定</w:t>
            </w:r>
          </w:p>
        </w:tc>
      </w:tr>
      <w:tr w14:paraId="74F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2DA49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E67599">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5870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82B13">
            <w:pPr>
              <w:pStyle w:val="28"/>
              <w:keepNext w:val="0"/>
              <w:keepLines w:val="0"/>
              <w:suppressLineNumbers w:val="0"/>
              <w:kinsoku w:val="0"/>
              <w:overflowPunct w:val="0"/>
              <w:spacing w:before="107"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 1.4.1项规定</w:t>
            </w:r>
          </w:p>
        </w:tc>
      </w:tr>
      <w:tr w14:paraId="0734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8AB771">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E26EE1">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2808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业绩要求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1E1C0">
            <w:pPr>
              <w:pStyle w:val="28"/>
              <w:keepNext w:val="0"/>
              <w:keepLines w:val="0"/>
              <w:suppressLineNumbers w:val="0"/>
              <w:kinsoku w:val="0"/>
              <w:overflowPunct w:val="0"/>
              <w:spacing w:before="107"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 1.4.1项规定</w:t>
            </w:r>
          </w:p>
        </w:tc>
      </w:tr>
      <w:tr w14:paraId="6DE4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57E3D0">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ABBDF0">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FEA5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65BBD">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本项目不接受联合体投标。</w:t>
            </w:r>
          </w:p>
        </w:tc>
      </w:tr>
      <w:tr w14:paraId="0476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F9A82E">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4F5F10">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05F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napToGrid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lang w:eastAsia="zh-CN"/>
                <w14:textFill>
                  <w14:solidFill>
                    <w14:schemeClr w14:val="tx1"/>
                  </w14:solidFill>
                </w14:textFill>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5CCA5">
            <w:pPr>
              <w:keepNext w:val="0"/>
              <w:keepLines w:val="0"/>
              <w:suppressLineNumbers w:val="0"/>
              <w:spacing w:before="0" w:beforeAutospacing="0" w:after="0" w:afterAutospacing="0"/>
              <w:ind w:left="0" w:leftChars="0" w:right="0"/>
              <w:rPr>
                <w:rFonts w:hint="eastAsia" w:asciiTheme="minorEastAsia" w:hAnsiTheme="minorEastAsia" w:eastAsiaTheme="minorEastAsia" w:cstheme="minorEastAsia"/>
                <w:snapToGrid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失信联合惩戒名单以“信用广州”网站公布的“</w:t>
            </w:r>
            <w:r>
              <w:rPr>
                <w:rFonts w:hint="eastAsia" w:asciiTheme="minorEastAsia" w:hAnsiTheme="minorEastAsia" w:eastAsiaTheme="minorEastAsia" w:cstheme="minorEastAsia"/>
                <w:color w:val="000000" w:themeColor="text1"/>
                <w:spacing w:val="-4"/>
                <w:sz w:val="21"/>
                <w:szCs w:val="21"/>
                <w:highlight w:val="none"/>
                <w:lang w:eastAsia="zh-CN"/>
                <w14:textFill>
                  <w14:solidFill>
                    <w14:schemeClr w14:val="tx1"/>
                  </w14:solidFill>
                </w14:textFill>
              </w:rPr>
              <w:t>黑名单</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”为准。（提供</w:t>
            </w:r>
            <w:r>
              <w:rPr>
                <w:rFonts w:hint="eastAsia" w:asciiTheme="minorEastAsia" w:hAnsiTheme="minorEastAsia" w:eastAsiaTheme="minorEastAsia" w:cstheme="minorEastAsia"/>
                <w:color w:val="000000" w:themeColor="text1"/>
                <w:spacing w:val="-4"/>
                <w:sz w:val="21"/>
                <w:szCs w:val="21"/>
                <w:highlight w:val="none"/>
                <w:lang w:eastAsia="zh-CN"/>
                <w14:textFill>
                  <w14:solidFill>
                    <w14:schemeClr w14:val="tx1"/>
                  </w14:solidFill>
                </w14:textFill>
              </w:rPr>
              <w:t>查询结果</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网页截图，并加盖公章</w:t>
            </w:r>
            <w:r>
              <w:rPr>
                <w:rFonts w:hint="eastAsia" w:asciiTheme="minorEastAsia" w:hAnsiTheme="minorEastAsia" w:eastAsiaTheme="minorEastAsia" w:cstheme="minorEastAsia"/>
                <w:color w:val="000000" w:themeColor="text1"/>
                <w:spacing w:val="-4"/>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u w:val="single"/>
                <w14:textFill>
                  <w14:solidFill>
                    <w14:schemeClr w14:val="tx1"/>
                  </w14:solidFill>
                </w14:textFill>
              </w:rPr>
              <w:t>未被列入拖欠农民工工资失信联合惩戒对象名单和失信被执行人（投标人无需提供资料，按投标截止时间交易系统比对的结果进行评审）</w:t>
            </w:r>
          </w:p>
        </w:tc>
      </w:tr>
      <w:tr w14:paraId="4A88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88B710">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32BD0E">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70DD3">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93A65">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投标人已按第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章“投标文件格式”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的内容签署盖章《投标人声明》，且总监理工程师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技术负责人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签字确认</w:t>
            </w:r>
          </w:p>
        </w:tc>
      </w:tr>
      <w:tr w14:paraId="710F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4CEDF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5DDAD7">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A92C0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BC71D7">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不存在第二章“投标人须知”第 1.4.3项规定的任何一种情形</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以《投标函》为准。</w:t>
            </w:r>
          </w:p>
        </w:tc>
      </w:tr>
      <w:tr w14:paraId="12A3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76D2E3">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D5E434">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733B3">
            <w:pPr>
              <w:pStyle w:val="28"/>
              <w:keepNext w:val="0"/>
              <w:keepLines w:val="0"/>
              <w:suppressLineNumbers w:val="0"/>
              <w:kinsoku w:val="0"/>
              <w:overflowPunct w:val="0"/>
              <w:spacing w:before="0" w:beforeAutospacing="0" w:after="0" w:afterAutospacing="0"/>
              <w:ind w:left="0" w:right="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其他要求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DFC8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 1.4.1项规定</w:t>
            </w:r>
          </w:p>
        </w:tc>
      </w:tr>
      <w:tr w14:paraId="182D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96AD0A">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7C66E1">
            <w:pPr>
              <w:pStyle w:val="28"/>
              <w:keepNext w:val="0"/>
              <w:keepLines w:val="0"/>
              <w:suppressLineNumbers w:val="0"/>
              <w:kinsoku w:val="0"/>
              <w:overflowPunct w:val="0"/>
              <w:spacing w:before="0" w:beforeAutospacing="0" w:after="0" w:afterAutospacing="0" w:line="384" w:lineRule="auto"/>
              <w:ind w:left="0" w:right="1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42695E">
            <w:pPr>
              <w:pStyle w:val="28"/>
              <w:keepNext w:val="0"/>
              <w:keepLines w:val="0"/>
              <w:suppressLineNumbers w:val="0"/>
              <w:kinsoku w:val="0"/>
              <w:overflowPunct w:val="0"/>
              <w:spacing w:before="11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及项目</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总监</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负责人名称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0589A">
            <w:pPr>
              <w:pStyle w:val="28"/>
              <w:keepNext w:val="0"/>
              <w:keepLines w:val="0"/>
              <w:suppressLineNumbers w:val="0"/>
              <w:kinsoku w:val="0"/>
              <w:overflowPunct w:val="0"/>
              <w:spacing w:before="11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与营业执照或事业单位法人证书、资质证书一致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项目（总监）负责人与投标登记时一致。</w:t>
            </w:r>
          </w:p>
        </w:tc>
      </w:tr>
      <w:tr w14:paraId="62D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346FB3">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AC57D9">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28B9E">
            <w:pPr>
              <w:pStyle w:val="28"/>
              <w:keepNext w:val="0"/>
              <w:keepLines w:val="0"/>
              <w:suppressLineNumbers w:val="0"/>
              <w:kinsoku w:val="0"/>
              <w:overflowPunct w:val="0"/>
              <w:spacing w:before="0" w:beforeAutospacing="0" w:after="0" w:afterAutospacing="0"/>
              <w:ind w:left="0" w:right="18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投标函及投标函附录签</w:t>
            </w:r>
            <w:r>
              <w:rPr>
                <w:rFonts w:hint="eastAsia" w:asciiTheme="minorEastAsia" w:hAnsiTheme="minorEastAsia" w:eastAsiaTheme="minorEastAsia" w:cstheme="minorEastAsia"/>
                <w:color w:val="000000" w:themeColor="text1"/>
                <w:spacing w:val="-84"/>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727CF">
            <w:pPr>
              <w:pStyle w:val="28"/>
              <w:keepNext w:val="0"/>
              <w:keepLines w:val="0"/>
              <w:suppressLineNumbers w:val="0"/>
              <w:kinsoku w:val="0"/>
              <w:overflowPunct w:val="0"/>
              <w:spacing w:before="107" w:beforeAutospacing="0" w:after="0" w:afterAutospacing="0"/>
              <w:ind w:left="0" w:right="96"/>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有法定代表人或其委托代理人签字或加盖单位章。由法定代表人签字的，应附法定代表人身份证明，由代理人签字的，应附授权委托书，身份证明或授权委托书应符合第六章“投标文件格式”的规定</w:t>
            </w:r>
          </w:p>
        </w:tc>
      </w:tr>
      <w:tr w14:paraId="658B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E3F2A5">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F208D9">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42B69">
            <w:pPr>
              <w:pStyle w:val="28"/>
              <w:keepNext w:val="0"/>
              <w:keepLines w:val="0"/>
              <w:suppressLineNumbers w:val="0"/>
              <w:kinsoku w:val="0"/>
              <w:overflowPunct w:val="0"/>
              <w:spacing w:before="107"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93249">
            <w:pPr>
              <w:pStyle w:val="28"/>
              <w:keepNext w:val="0"/>
              <w:keepLines w:val="0"/>
              <w:suppressLineNumbers w:val="0"/>
              <w:kinsoku w:val="0"/>
              <w:overflowPunct w:val="0"/>
              <w:spacing w:before="107"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符合第六章“投标文件格式”的规定</w:t>
            </w:r>
          </w:p>
        </w:tc>
      </w:tr>
      <w:tr w14:paraId="65C7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077812">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F636A7">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F1B1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D8731">
            <w:pPr>
              <w:pStyle w:val="28"/>
              <w:keepNext w:val="0"/>
              <w:keepLines w:val="0"/>
              <w:suppressLineNumbers w:val="0"/>
              <w:kinsoku w:val="0"/>
              <w:overflowPunct w:val="0"/>
              <w:spacing w:before="107"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不允许。</w:t>
            </w:r>
          </w:p>
        </w:tc>
      </w:tr>
      <w:tr w14:paraId="1219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6C2492">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0458AE">
            <w:pPr>
              <w:pStyle w:val="5"/>
              <w:keepNext w:val="0"/>
              <w:keepLines w:val="0"/>
              <w:suppressLineNumbers w:val="0"/>
              <w:kinsoku w:val="0"/>
              <w:overflowPunct w:val="0"/>
              <w:spacing w:beforeAutospacing="0" w:afterAutospacing="0"/>
              <w:ind w:left="0" w:right="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1AC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1535DC">
            <w:pPr>
              <w:keepNext w:val="0"/>
              <w:keepLines w:val="0"/>
              <w:suppressLineNumbers w:val="0"/>
              <w:spacing w:before="0" w:beforeAutospacing="0" w:after="0" w:afterAutospacing="0"/>
              <w:ind w:left="0" w:leftChars="0" w:right="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投标人与</w:t>
            </w: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其他投标人加密打包投标文件电脑机器特征码</w:t>
            </w: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不</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一致的(以</w:t>
            </w: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广州交易集团有限公司（广州公共资源交易中心）交易</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平台</w:t>
            </w: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开标</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系统的检索信息为准)</w:t>
            </w:r>
          </w:p>
        </w:tc>
      </w:tr>
      <w:tr w14:paraId="5BB4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936E86">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D049D7">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1DA28">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B5BACB">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符合第二章“投标人须知”第3.2款规定</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，对同一招标项目没有出现两个或以上的投标报价，且修正无依据。</w:t>
            </w:r>
          </w:p>
        </w:tc>
      </w:tr>
      <w:tr w14:paraId="35A0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51FE3A2">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E01B41">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5533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08274">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符合第二章“投标人须知”第1.3.1项规定</w:t>
            </w:r>
          </w:p>
        </w:tc>
      </w:tr>
      <w:tr w14:paraId="4E21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4BAA9D">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B404FE">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786DE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9C314E">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符合第二章“投标人须知”第1.3.2项规定</w:t>
            </w:r>
          </w:p>
        </w:tc>
      </w:tr>
      <w:tr w14:paraId="0CFE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22AD19">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21F3B0">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4E65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监理目标</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6DF21">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符合第二章“投标人须知”第1.3.3项规定</w:t>
            </w:r>
          </w:p>
        </w:tc>
      </w:tr>
      <w:tr w14:paraId="4DF9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28B1E1">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99ECB0">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DF7C0B">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F3EC95">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符合第二章“投标人须知”第3.3.1项规定</w:t>
            </w:r>
          </w:p>
        </w:tc>
      </w:tr>
      <w:tr w14:paraId="3518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B67C52D">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7BBBE4">
            <w:pPr>
              <w:pStyle w:val="5"/>
              <w:keepNext w:val="0"/>
              <w:keepLines w:val="0"/>
              <w:suppressLineNumbers w:val="0"/>
              <w:kinsoku w:val="0"/>
              <w:overflowPunct w:val="0"/>
              <w:spacing w:beforeAutospacing="0" w:afterAutospacing="0"/>
              <w:ind w:left="0" w:right="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92F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14:textFill>
                  <w14:solidFill>
                    <w14:schemeClr w14:val="tx1"/>
                  </w14:solidFill>
                </w14:textFill>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A5B7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不存在串通投标情形（串通投标情形以《广东省实施&lt;中华人民共和国招标投标法&gt;》第十六条所禁止的情形为准）</w:t>
            </w:r>
            <w:r>
              <w:rPr>
                <w:rFonts w:hint="eastAsia"/>
                <w:color w:val="000000" w:themeColor="text1"/>
                <w:sz w:val="21"/>
                <w:szCs w:val="21"/>
                <w:highlight w:val="none"/>
                <w:u w:val="single"/>
                <w14:textFill>
                  <w14:solidFill>
                    <w14:schemeClr w14:val="tx1"/>
                  </w14:solidFill>
                </w14:textFill>
              </w:rPr>
              <w:t>；</w:t>
            </w:r>
          </w:p>
        </w:tc>
      </w:tr>
      <w:tr w14:paraId="6953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CE0B54">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62EBF">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76FFE">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编列内容</w:t>
            </w:r>
          </w:p>
        </w:tc>
      </w:tr>
      <w:tr w14:paraId="748E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0A8866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1FBA5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3E126">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资信业绩部分：</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02F57E58">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监理大纲部分：</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21E9E7DD">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234FB4FD">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诚信得分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1C1D53E7">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投标人得分 = 资信业绩得分（A）+ 监理大纲得分（B） + 投标报价得分（C）+ 诚信得分（D）</w:t>
            </w:r>
          </w:p>
        </w:tc>
      </w:tr>
      <w:tr w14:paraId="5838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726EF7C">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B062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D0B3E">
            <w:pPr>
              <w:keepNext w:val="0"/>
              <w:keepLines w:val="0"/>
              <w:suppressLineNumbers w:val="0"/>
              <w:spacing w:before="0" w:beforeAutospacing="0" w:after="0" w:afterAutospacing="0"/>
              <w:ind w:left="0" w:right="0"/>
              <w:jc w:val="left"/>
              <w:rPr>
                <w:rFonts w:ascii="宋体" w:hAnsi="Courier New"/>
                <w:color w:val="000000" w:themeColor="text1"/>
                <w:sz w:val="21"/>
                <w:szCs w:val="21"/>
                <w:highlight w:val="none"/>
                <w:u w:val="single"/>
                <w14:textFill>
                  <w14:solidFill>
                    <w14:schemeClr w14:val="tx1"/>
                  </w14:solidFill>
                </w14:textFill>
              </w:rPr>
            </w:pPr>
            <w:r>
              <w:rPr>
                <w:rFonts w:hint="eastAsia" w:ascii="宋体" w:hAnsi="Courier New"/>
                <w:color w:val="000000" w:themeColor="text1"/>
                <w:sz w:val="21"/>
                <w:szCs w:val="21"/>
                <w:highlight w:val="none"/>
                <w:u w:val="single"/>
                <w14:textFill>
                  <w14:solidFill>
                    <w14:schemeClr w14:val="tx1"/>
                  </w14:solidFill>
                </w14:textFill>
              </w:rPr>
              <w:t>（1）当通过形式评审、资格评审、响应性评审且投标总报价处于计算评标基准价的有效投标价范围内的有效投标人大于5家时，去掉一个最高价和一个最低价，取余下有效报价的算术平均值作为报价基准价。（保留小数点后二位，第三位小数四舍五入）</w:t>
            </w:r>
          </w:p>
          <w:p w14:paraId="7FD8F3FB">
            <w:pPr>
              <w:keepNext w:val="0"/>
              <w:keepLines w:val="0"/>
              <w:suppressLineNumbers w:val="0"/>
              <w:spacing w:before="0" w:beforeAutospacing="0" w:after="0" w:afterAutospacing="0"/>
              <w:ind w:left="0" w:right="0"/>
              <w:jc w:val="left"/>
              <w:rPr>
                <w:rFonts w:ascii="宋体" w:hAnsi="Courier New"/>
                <w:color w:val="000000" w:themeColor="text1"/>
                <w:sz w:val="21"/>
                <w:szCs w:val="21"/>
                <w:highlight w:val="none"/>
                <w:u w:val="single"/>
                <w14:textFill>
                  <w14:solidFill>
                    <w14:schemeClr w14:val="tx1"/>
                  </w14:solidFill>
                </w14:textFill>
              </w:rPr>
            </w:pPr>
            <w:r>
              <w:rPr>
                <w:rFonts w:hint="eastAsia" w:ascii="宋体" w:hAnsi="Courier New"/>
                <w:color w:val="000000" w:themeColor="text1"/>
                <w:sz w:val="21"/>
                <w:szCs w:val="21"/>
                <w:highlight w:val="none"/>
                <w:u w:val="single"/>
                <w14:textFill>
                  <w14:solidFill>
                    <w14:schemeClr w14:val="tx1"/>
                  </w14:solidFill>
                </w14:textFill>
              </w:rPr>
              <w:t>（2）当通过形式评审、资格评审、响应性评审且投标总报价处于计算评标基准价的有效投标价范围内的有效投标人小于或等于5家时，取所有入围有效报价的算术平均值的作为报价基准价（保留小数点后二位，第三位小数四舍五入）</w:t>
            </w:r>
          </w:p>
          <w:p w14:paraId="634AA8DD">
            <w:pPr>
              <w:pStyle w:val="28"/>
              <w:keepNext w:val="0"/>
              <w:keepLines w:val="0"/>
              <w:suppressLineNumbers w:val="0"/>
              <w:kinsoku w:val="0"/>
              <w:overflowPunct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u w:val="single"/>
                <w14:textFill>
                  <w14:solidFill>
                    <w14:schemeClr w14:val="tx1"/>
                  </w14:solidFill>
                </w14:textFill>
              </w:rPr>
              <w:t>（3）计算评标基准价的有效投标价范围为[最高投标限价×90%，最高投标限价]，超过此范围的投标总报价不参与评标基准价的计算。用于计算评标基准价的投标总报价均为经算术复核后的投标总报价。当通过形式评审、资格评审、响应性评审且投标总报价处于计算评标基准价的有效投标价范围内的有效投标人为0家时，直接取最高投标限价×90%作为报价基准价（保留小数点后二位，第三位小数四舍五入）。</w:t>
            </w:r>
          </w:p>
        </w:tc>
      </w:tr>
      <w:tr w14:paraId="3C46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D144EE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7C303">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B21EB">
            <w:pPr>
              <w:pStyle w:val="28"/>
              <w:keepNext w:val="0"/>
              <w:keepLines w:val="0"/>
              <w:suppressLineNumbers w:val="0"/>
              <w:kinsoku w:val="0"/>
              <w:overflowPunct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投标报价偏差率=（投标报价-评标基准价）/评标基准价×100%。</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（偏差率四舍五入保留1位小数，报价偏差率不足1%的，按直线内插法计算投标报价得分）</w:t>
            </w:r>
          </w:p>
        </w:tc>
      </w:tr>
      <w:tr w14:paraId="44A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75A61BB">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678663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2.2.4</w:t>
            </w:r>
          </w:p>
          <w:p w14:paraId="4734A61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966FE7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1754E58">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资信业绩评分标准</w:t>
            </w:r>
            <w:r>
              <w:rPr>
                <w:rFonts w:hint="eastAsia" w:asciiTheme="minorEastAsia" w:hAnsiTheme="minorEastAsia" w:eastAsiaTheme="minorEastAsia" w:cstheme="minorEastAsia"/>
                <w:color w:val="000000" w:themeColor="text1"/>
                <w:spacing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highlight w:val="none"/>
                <w:lang w:val="en-US" w:eastAsia="zh-CN"/>
                <w14:textFill>
                  <w14:solidFill>
                    <w14:schemeClr w14:val="tx1"/>
                  </w14:solidFill>
                </w14:textFill>
              </w:rPr>
              <w:t>45分</w:t>
            </w:r>
            <w:r>
              <w:rPr>
                <w:rFonts w:hint="eastAsia" w:asciiTheme="minorEastAsia" w:hAnsiTheme="minorEastAsia" w:eastAsiaTheme="minorEastAsia" w:cstheme="minorEastAsia"/>
                <w:color w:val="000000" w:themeColor="text1"/>
                <w:spacing w:val="-2"/>
                <w:sz w:val="21"/>
                <w:szCs w:val="21"/>
                <w:highlight w:val="none"/>
                <w:lang w:eastAsia="zh-CN"/>
                <w14:textFill>
                  <w14:solidFill>
                    <w14:schemeClr w14:val="tx1"/>
                  </w14:solidFill>
                </w14:textFill>
              </w:rPr>
              <w:t>）</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ACE4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信誉（10分）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2DB284B5">
            <w:pPr>
              <w:pStyle w:val="28"/>
              <w:keepNext w:val="0"/>
              <w:keepLines w:val="0"/>
              <w:numPr>
                <w:ilvl w:val="0"/>
                <w:numId w:val="1"/>
              </w:numPr>
              <w:suppressLineNumbers w:val="0"/>
              <w:kinsoku w:val="0"/>
              <w:overflowPunct w:val="0"/>
              <w:spacing w:before="151" w:beforeAutospacing="0" w:after="0" w:afterAutospacing="0"/>
              <w:ind w:left="0" w:right="0"/>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投标人同时具备质量管理体系、环境管理体系、职业健康安全管理体系、信息安全管理体系认证证书的，得</w:t>
            </w:r>
            <w:r>
              <w:rPr>
                <w:rFonts w:hint="eastAsia" w:asciiTheme="minorEastAsia" w:hAnsi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分；具备上述证书中三个体系认证证书的，得</w:t>
            </w:r>
            <w:r>
              <w:rPr>
                <w:rFonts w:hint="eastAsia" w:asciiTheme="minorEastAsia" w:hAnsi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分；具备上述证书中两个体系认证证书的，得</w:t>
            </w:r>
            <w:r>
              <w:rPr>
                <w:rFonts w:hint="eastAsia" w:asciiTheme="minorEastAsia" w:hAnsiTheme="minorEastAsia" w:cstheme="minorEastAsia"/>
                <w:b w:val="0"/>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分；具备上述证书中一个体系认证证书的，得</w:t>
            </w:r>
            <w:r>
              <w:rPr>
                <w:rFonts w:hint="eastAsia" w:asciiTheme="minorEastAsia" w:hAnsiTheme="minorEastAsia" w:cstheme="minorEastAsia"/>
                <w:b w:val="0"/>
                <w:bCs/>
                <w:color w:val="000000" w:themeColor="text1"/>
                <w:sz w:val="21"/>
                <w:szCs w:val="21"/>
                <w:highlight w:val="none"/>
                <w:lang w:val="en-US" w:eastAsia="zh-CN"/>
                <w14:textFill>
                  <w14:solidFill>
                    <w14:schemeClr w14:val="tx1"/>
                  </w14:solidFill>
                </w14:textFill>
              </w:rPr>
              <w:t>0.5</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分；没有提供的不得分。（认证证书须在有效期内）</w:t>
            </w:r>
          </w:p>
          <w:p w14:paraId="1B34FCEA">
            <w:pPr>
              <w:pStyle w:val="28"/>
              <w:keepNext w:val="0"/>
              <w:keepLines w:val="0"/>
              <w:numPr>
                <w:ilvl w:val="-1"/>
                <w:numId w:val="0"/>
              </w:numPr>
              <w:suppressLineNumbers w:val="0"/>
              <w:kinsoku w:val="0"/>
              <w:overflowPunct w:val="0"/>
              <w:spacing w:before="151" w:beforeAutospacing="0" w:after="0" w:afterAutospacing="0"/>
              <w:ind w:left="0" w:right="0"/>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注：需同时提供①有效期内的认证证书；②国家认证认可监督管理委员会信息中心认证认可业务信息统一查询平台（http://cx.cnca.cn/）证书有效性的查询结果截图。无查询结果截图或查询无效的均不得分。上述证明材料不提供或不齐全均不得分。</w:t>
            </w:r>
          </w:p>
          <w:p w14:paraId="3EDAE34E">
            <w:pPr>
              <w:pStyle w:val="28"/>
              <w:keepNext w:val="0"/>
              <w:keepLines w:val="0"/>
              <w:numPr>
                <w:ilvl w:val="0"/>
                <w:numId w:val="1"/>
              </w:numPr>
              <w:suppressLineNumbers w:val="0"/>
              <w:kinsoku w:val="0"/>
              <w:overflowPunct w:val="0"/>
              <w:spacing w:before="151" w:beforeAutospacing="0" w:after="0" w:afterAutospacing="0"/>
              <w:ind w:left="0" w:right="0"/>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投标人自202</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年1月1日至今获得过3年或以上纳税信用等级A级纳税人荣誉得</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分，获得过1-2年得</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分，没有不得分。</w:t>
            </w:r>
          </w:p>
          <w:p w14:paraId="161AC89B">
            <w:pPr>
              <w:pStyle w:val="28"/>
              <w:keepNext w:val="0"/>
              <w:keepLines w:val="0"/>
              <w:numPr>
                <w:ilvl w:val="-1"/>
                <w:numId w:val="0"/>
              </w:numPr>
              <w:suppressLineNumbers w:val="0"/>
              <w:kinsoku w:val="0"/>
              <w:overflowPunct w:val="0"/>
              <w:spacing w:before="151" w:beforeAutospacing="0" w:after="0" w:afterAutospacing="0"/>
              <w:ind w:left="0" w:right="0"/>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注：</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投标人（只计算投标人自身，不计算投标人的分公司、子公司和分支机构）须提供税务部门颁发的“纳税信用A级”电子证书或省级或以上税务局网站纳税信用信息查询结果的网页截图（省级或以上税务局官方网站须对公众可查询）并加盖投标人企业电子印章，时间以证书上注明的公示评价（评定）年度为准。不符合条件或无提供电子证书或查询结果网页截图或无加盖投标人企业电子印章的不计分</w:t>
            </w:r>
          </w:p>
          <w:p w14:paraId="1B729D49">
            <w:pPr>
              <w:pStyle w:val="28"/>
              <w:keepNext w:val="0"/>
              <w:keepLines w:val="0"/>
              <w:numPr>
                <w:ilvl w:val="0"/>
                <w:numId w:val="1"/>
              </w:numPr>
              <w:suppressLineNumbers w:val="0"/>
              <w:kinsoku w:val="0"/>
              <w:overflowPunct w:val="0"/>
              <w:spacing w:before="151" w:beforeAutospacing="0" w:after="0" w:afterAutospacing="0"/>
              <w:ind w:left="0" w:right="0"/>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投标人自2020年1月1日至今企业的技术成果获得过省级或以上部门颁发的工程类科学技术奖，3项或以上得3分，1-2项得1分，没有的不得分。</w:t>
            </w:r>
          </w:p>
          <w:p w14:paraId="5AE55204">
            <w:pPr>
              <w:pStyle w:val="28"/>
              <w:keepNext w:val="0"/>
              <w:keepLines w:val="0"/>
              <w:numPr>
                <w:ilvl w:val="-1"/>
                <w:numId w:val="0"/>
              </w:numPr>
              <w:suppressLineNumbers w:val="0"/>
              <w:kinsoku w:val="0"/>
              <w:overflowPunct w:val="0"/>
              <w:spacing w:before="151" w:beforeAutospacing="0" w:after="0" w:afterAutospacing="0"/>
              <w:ind w:left="0" w:right="0"/>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注：科学技术类奖励证书以省级或以上人民政府或行政部门或行业协会（学会）颁发的证书或正式文件为准。提供证明文件扫描件。颁发机构如为行业协会（学会）的还需同时提供该行业协会（学会）在“中国社会组织政务服务平台”的登记信息查询结果网页截图，否则不予计分。</w:t>
            </w:r>
          </w:p>
        </w:tc>
      </w:tr>
      <w:tr w14:paraId="78D8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BB5CA3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0CD36C">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B9868">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类似项目业绩（14分）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6E5CC184">
            <w:pPr>
              <w:pStyle w:val="28"/>
              <w:keepNext w:val="0"/>
              <w:keepLines w:val="0"/>
              <w:suppressLineNumbers w:val="0"/>
              <w:kinsoku w:val="0"/>
              <w:overflowPunct w:val="0"/>
              <w:spacing w:before="156" w:beforeAutospacing="0" w:after="0" w:afterAutospacing="0"/>
              <w:ind w:left="0" w:right="0"/>
              <w:jc w:val="left"/>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投标人自20</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年1月1日至今独立完成过质量合格的类似工程监理的，每项得7分，本项最多得14分。</w:t>
            </w:r>
          </w:p>
          <w:p w14:paraId="34665E97">
            <w:pPr>
              <w:pStyle w:val="28"/>
              <w:keepNext w:val="0"/>
              <w:keepLines w:val="0"/>
              <w:suppressLineNumbers w:val="0"/>
              <w:kinsoku w:val="0"/>
              <w:overflowPunct w:val="0"/>
              <w:spacing w:before="156" w:beforeAutospacing="0" w:after="0" w:afterAutospacing="0"/>
              <w:ind w:left="0" w:right="0"/>
              <w:jc w:val="left"/>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注意：</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类似工程：是指招标公告中3.</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点所述资质方能承接的水利水电工程监理业绩，需同时提供中标通知书或免招标的相关证明、施工监理合同关键页、验收证明材料（含竣工验收报告或完工验收证书或完工验收鉴定书或竣工移交证书），业绩完成时间以验收证明材料为准</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p>
        </w:tc>
      </w:tr>
      <w:tr w14:paraId="2B48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DFE3F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CB69B0">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DEB7B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highlight w:val="none"/>
                <w:shd w:val="clear"/>
                <w14:textFill>
                  <w14:solidFill>
                    <w14:schemeClr w14:val="tx1"/>
                  </w14:solidFill>
                </w14:textFill>
              </w:rPr>
              <w:t>项目总监理工程师</w:t>
            </w:r>
            <w:r>
              <w:rPr>
                <w:rFonts w:hint="eastAsia" w:asciiTheme="minorEastAsia" w:hAnsiTheme="minorEastAsia" w:eastAsiaTheme="minorEastAsia" w:cstheme="minorEastAsia"/>
                <w:i w:val="0"/>
                <w:iCs w:val="0"/>
                <w:caps w:val="0"/>
                <w:color w:val="000000" w:themeColor="text1"/>
                <w:spacing w:val="0"/>
                <w:sz w:val="21"/>
                <w:szCs w:val="21"/>
                <w:highlight w:val="none"/>
                <w:shd w:val="clear"/>
                <w:lang w:val="en-US" w:eastAsia="zh-CN"/>
                <w14:textFill>
                  <w14:solidFill>
                    <w14:schemeClr w14:val="tx1"/>
                  </w14:solidFill>
                </w14:textFill>
              </w:rPr>
              <w:t>资历（6分）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69ABAFB8">
            <w:pPr>
              <w:pStyle w:val="28"/>
              <w:keepNext w:val="0"/>
              <w:keepLines w:val="0"/>
              <w:suppressLineNumbers w:val="0"/>
              <w:kinsoku w:val="0"/>
              <w:overflowPunct w:val="0"/>
              <w:spacing w:before="156" w:beforeAutospacing="0" w:after="0" w:afterAutospacing="0"/>
              <w:ind w:left="0" w:right="0"/>
              <w:jc w:val="left"/>
              <w:rPr>
                <w:rFonts w:hint="eastAsia" w:ascii="宋体" w:hAnsi="宋体" w:cs="宋体"/>
                <w:color w:val="000000" w:themeColor="text1"/>
                <w:sz w:val="21"/>
                <w:szCs w:val="22"/>
                <w:highlight w:val="none"/>
                <w:lang w:bidi="ar-SA"/>
                <w14:textFill>
                  <w14:solidFill>
                    <w14:schemeClr w14:val="tx1"/>
                  </w14:solidFill>
                </w14:textFill>
              </w:rPr>
            </w:pPr>
            <w:r>
              <w:rPr>
                <w:rFonts w:hint="eastAsia" w:ascii="宋体" w:hAnsi="宋体" w:cs="宋体"/>
                <w:color w:val="000000" w:themeColor="text1"/>
                <w:sz w:val="21"/>
                <w:szCs w:val="22"/>
                <w:highlight w:val="none"/>
                <w:lang w:bidi="ar-SA"/>
                <w14:textFill>
                  <w14:solidFill>
                    <w14:schemeClr w14:val="tx1"/>
                  </w14:solidFill>
                </w14:textFill>
              </w:rPr>
              <w:t>20</w:t>
            </w:r>
            <w:r>
              <w:rPr>
                <w:rFonts w:hint="eastAsia" w:ascii="宋体" w:hAnsi="宋体" w:cs="宋体"/>
                <w:color w:val="000000" w:themeColor="text1"/>
                <w:sz w:val="21"/>
                <w:szCs w:val="22"/>
                <w:highlight w:val="none"/>
                <w:lang w:val="en-US" w:eastAsia="zh-CN" w:bidi="ar-SA"/>
                <w14:textFill>
                  <w14:solidFill>
                    <w14:schemeClr w14:val="tx1"/>
                  </w14:solidFill>
                </w14:textFill>
              </w:rPr>
              <w:t>20</w:t>
            </w:r>
            <w:r>
              <w:rPr>
                <w:rFonts w:hint="eastAsia" w:ascii="宋体" w:hAnsi="宋体" w:cs="宋体"/>
                <w:color w:val="000000" w:themeColor="text1"/>
                <w:sz w:val="21"/>
                <w:szCs w:val="22"/>
                <w:highlight w:val="none"/>
                <w:lang w:bidi="ar-SA"/>
                <w14:textFill>
                  <w14:solidFill>
                    <w14:schemeClr w14:val="tx1"/>
                  </w14:solidFill>
                </w14:textFill>
              </w:rPr>
              <w:t>年1月1日至今，拟委派本项目的总监理工程师作为总监完成过质量合格的类似工程监理业绩，得</w:t>
            </w:r>
            <w:r>
              <w:rPr>
                <w:rFonts w:hint="eastAsia" w:ascii="宋体" w:hAnsi="宋体" w:cs="宋体"/>
                <w:color w:val="000000" w:themeColor="text1"/>
                <w:sz w:val="21"/>
                <w:szCs w:val="22"/>
                <w:highlight w:val="none"/>
                <w:lang w:val="en-US" w:eastAsia="zh-CN" w:bidi="ar-SA"/>
                <w14:textFill>
                  <w14:solidFill>
                    <w14:schemeClr w14:val="tx1"/>
                  </w14:solidFill>
                </w14:textFill>
              </w:rPr>
              <w:t>6</w:t>
            </w:r>
            <w:r>
              <w:rPr>
                <w:rFonts w:hint="eastAsia" w:ascii="宋体" w:hAnsi="宋体" w:cs="宋体"/>
                <w:color w:val="000000" w:themeColor="text1"/>
                <w:sz w:val="21"/>
                <w:szCs w:val="22"/>
                <w:highlight w:val="none"/>
                <w:lang w:bidi="ar-SA"/>
                <w14:textFill>
                  <w14:solidFill>
                    <w14:schemeClr w14:val="tx1"/>
                  </w14:solidFill>
                </w14:textFill>
              </w:rPr>
              <w:t>分。</w:t>
            </w:r>
          </w:p>
          <w:p w14:paraId="4FDE17F5">
            <w:pPr>
              <w:pStyle w:val="28"/>
              <w:keepNext w:val="0"/>
              <w:keepLines w:val="0"/>
              <w:suppressLineNumbers w:val="0"/>
              <w:kinsoku w:val="0"/>
              <w:overflowPunct w:val="0"/>
              <w:spacing w:before="156" w:beforeAutospacing="0" w:after="0" w:afterAutospacing="0"/>
              <w:ind w:left="0" w:right="0"/>
              <w:jc w:val="left"/>
              <w:rPr>
                <w:rFonts w:hint="eastAsia"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cs="宋体"/>
                <w:color w:val="000000" w:themeColor="text1"/>
                <w:sz w:val="21"/>
                <w:szCs w:val="22"/>
                <w:highlight w:val="none"/>
                <w:lang w:val="en-US" w:eastAsia="zh-CN" w:bidi="ar-SA"/>
                <w14:textFill>
                  <w14:solidFill>
                    <w14:schemeClr w14:val="tx1"/>
                  </w14:solidFill>
                </w14:textFill>
              </w:rPr>
              <w:t>注：需同时提供中标通知书或免招标的相关证明、施工监理合同关键页、验收证明材料（含竣工验收报告或完工验收证书或完工验收鉴定书或竣工移交证书），业绩完成时间以验收证明材料为准。如果上述资料未能清晰反映必要信息的，还需提供由业主出具的加盖业主单位公章的证明材料扫描件。</w:t>
            </w:r>
          </w:p>
        </w:tc>
      </w:tr>
      <w:tr w14:paraId="6ACC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8DB3B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100D83">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64ADEB">
            <w:pPr>
              <w:keepNext w:val="0"/>
              <w:keepLines w:val="0"/>
              <w:suppressLineNumbers w:val="0"/>
              <w:spacing w:before="100" w:beforeAutospacing="1" w:after="100" w:afterAutospacing="1"/>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其他主要人员资历和业绩（</w:t>
            </w:r>
            <w:r>
              <w:rPr>
                <w:rFonts w:hint="eastAsia" w:ascii="Times New Roman" w:hAnsi="Times New Roman"/>
                <w:color w:val="000000" w:themeColor="text1"/>
                <w:sz w:val="21"/>
                <w:szCs w:val="21"/>
                <w:highlight w:val="none"/>
                <w:lang w:val="en-US" w:eastAsia="zh-CN"/>
                <w14:textFill>
                  <w14:solidFill>
                    <w14:schemeClr w14:val="tx1"/>
                  </w14:solidFill>
                </w14:textFill>
              </w:rPr>
              <w:t>14</w:t>
            </w:r>
            <w:r>
              <w:rPr>
                <w:rFonts w:hint="eastAsia" w:ascii="Times New Roman" w:hAnsi="Times New Roman"/>
                <w:color w:val="000000" w:themeColor="text1"/>
                <w:sz w:val="21"/>
                <w:szCs w:val="21"/>
                <w:highlight w:val="none"/>
                <w14:textFill>
                  <w14:solidFill>
                    <w14:schemeClr w14:val="tx1"/>
                  </w14:solidFill>
                </w14:textFill>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921F4">
            <w:pPr>
              <w:keepNext w:val="0"/>
              <w:keepLines w:val="0"/>
              <w:suppressLineNumbers w:val="0"/>
              <w:spacing w:before="0" w:beforeAutospacing="0" w:after="0" w:afterAutospacing="0"/>
              <w:ind w:left="0" w:right="0"/>
              <w:jc w:val="left"/>
              <w:rPr>
                <w:rFonts w:ascii="宋体" w:hAnsi="Courier New"/>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人员配备满足《监理机构人员配备要求表》的</w:t>
            </w:r>
            <w:r>
              <w:rPr>
                <w:rFonts w:hint="eastAsia" w:ascii="宋体" w:hAnsi="Courier New"/>
                <w:color w:val="000000" w:themeColor="text1"/>
                <w:sz w:val="21"/>
                <w:szCs w:val="21"/>
                <w:highlight w:val="none"/>
                <w14:textFill>
                  <w14:solidFill>
                    <w14:schemeClr w14:val="tx1"/>
                  </w14:solidFill>
                </w14:textFill>
              </w:rPr>
              <w:t>，得</w:t>
            </w:r>
            <w:r>
              <w:rPr>
                <w:rFonts w:hint="eastAsia" w:ascii="宋体" w:hAnsi="Courier New"/>
                <w:color w:val="000000" w:themeColor="text1"/>
                <w:sz w:val="21"/>
                <w:szCs w:val="21"/>
                <w:highlight w:val="none"/>
                <w:lang w:val="en-US" w:eastAsia="zh-CN"/>
                <w14:textFill>
                  <w14:solidFill>
                    <w14:schemeClr w14:val="tx1"/>
                  </w14:solidFill>
                </w14:textFill>
              </w:rPr>
              <w:t>8</w:t>
            </w:r>
            <w:r>
              <w:rPr>
                <w:rFonts w:hint="eastAsia" w:ascii="宋体" w:hAnsi="Courier New"/>
                <w:color w:val="000000" w:themeColor="text1"/>
                <w:sz w:val="21"/>
                <w:szCs w:val="21"/>
                <w:highlight w:val="none"/>
                <w14:textFill>
                  <w14:solidFill>
                    <w14:schemeClr w14:val="tx1"/>
                  </w14:solidFill>
                </w14:textFill>
              </w:rPr>
              <w:t>分；不满足，得0分。</w:t>
            </w:r>
          </w:p>
          <w:p w14:paraId="16DDC91A">
            <w:pPr>
              <w:keepNext w:val="0"/>
              <w:keepLines w:val="0"/>
              <w:suppressLineNumbers w:val="0"/>
              <w:spacing w:before="0" w:beforeAutospacing="0" w:after="0" w:afterAutospacing="0"/>
              <w:ind w:left="0" w:right="0"/>
              <w:jc w:val="left"/>
              <w:rPr>
                <w:rFonts w:ascii="宋体" w:hAnsi="Courier New"/>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14:textFill>
                  <w14:solidFill>
                    <w14:schemeClr w14:val="tx1"/>
                  </w14:solidFill>
                </w14:textFill>
              </w:rPr>
              <w:t>2、在满足上述人员配置的前提下，</w:t>
            </w:r>
            <w:r>
              <w:rPr>
                <w:rFonts w:hint="eastAsia" w:ascii="宋体" w:hAnsi="Courier New"/>
                <w:color w:val="000000" w:themeColor="text1"/>
                <w:sz w:val="21"/>
                <w:szCs w:val="21"/>
                <w:highlight w:val="none"/>
                <w:lang w:val="en-US" w:eastAsia="zh-CN"/>
                <w14:textFill>
                  <w14:solidFill>
                    <w14:schemeClr w14:val="tx1"/>
                  </w14:solidFill>
                </w14:textFill>
              </w:rPr>
              <w:t>投入人员</w:t>
            </w:r>
            <w:r>
              <w:rPr>
                <w:rFonts w:hint="eastAsia" w:ascii="宋体" w:hAnsi="Courier New"/>
                <w:color w:val="000000" w:themeColor="text1"/>
                <w:sz w:val="21"/>
                <w:szCs w:val="21"/>
                <w:highlight w:val="none"/>
                <w:u w:val="single"/>
                <w:lang w:val="en-US" w:eastAsia="zh-CN"/>
                <w14:textFill>
                  <w14:solidFill>
                    <w14:schemeClr w14:val="tx1"/>
                  </w14:solidFill>
                </w14:textFill>
              </w:rPr>
              <w:t>中</w:t>
            </w:r>
            <w:r>
              <w:rPr>
                <w:rFonts w:hint="eastAsia" w:ascii="宋体" w:hAnsi="Courier New"/>
                <w:color w:val="000000" w:themeColor="text1"/>
                <w:sz w:val="21"/>
                <w:szCs w:val="21"/>
                <w:highlight w:val="none"/>
                <w14:textFill>
                  <w14:solidFill>
                    <w14:schemeClr w14:val="tx1"/>
                  </w14:solidFill>
                </w14:textFill>
              </w:rPr>
              <w:t>具有</w:t>
            </w:r>
            <w:r>
              <w:rPr>
                <w:rFonts w:hint="eastAsia" w:ascii="宋体" w:hAnsi="Courier New"/>
                <w:color w:val="000000" w:themeColor="text1"/>
                <w:sz w:val="21"/>
                <w:szCs w:val="21"/>
                <w:highlight w:val="none"/>
                <w:lang w:val="en-US" w:eastAsia="zh-CN"/>
                <w14:textFill>
                  <w14:solidFill>
                    <w14:schemeClr w14:val="tx1"/>
                  </w14:solidFill>
                </w14:textFill>
              </w:rPr>
              <w:t>中</w:t>
            </w:r>
            <w:r>
              <w:rPr>
                <w:rFonts w:hint="eastAsia" w:ascii="宋体" w:hAnsi="Courier New"/>
                <w:color w:val="000000" w:themeColor="text1"/>
                <w:sz w:val="21"/>
                <w:szCs w:val="21"/>
                <w:highlight w:val="none"/>
                <w14:textFill>
                  <w14:solidFill>
                    <w14:schemeClr w14:val="tx1"/>
                  </w14:solidFill>
                </w14:textFill>
              </w:rPr>
              <w:t>级</w:t>
            </w:r>
            <w:r>
              <w:rPr>
                <w:rFonts w:hint="eastAsia" w:ascii="宋体" w:hAnsi="Courier New"/>
                <w:color w:val="000000" w:themeColor="text1"/>
                <w:sz w:val="21"/>
                <w:szCs w:val="21"/>
                <w:highlight w:val="none"/>
                <w:lang w:val="en-US" w:eastAsia="zh-CN"/>
                <w14:textFill>
                  <w14:solidFill>
                    <w14:schemeClr w14:val="tx1"/>
                  </w14:solidFill>
                </w14:textFill>
              </w:rPr>
              <w:t>工程师</w:t>
            </w:r>
            <w:r>
              <w:rPr>
                <w:rFonts w:hint="eastAsia" w:ascii="宋体" w:hAnsi="Courier New"/>
                <w:color w:val="000000" w:themeColor="text1"/>
                <w:sz w:val="21"/>
                <w:szCs w:val="21"/>
                <w:highlight w:val="none"/>
                <w14:textFill>
                  <w14:solidFill>
                    <w14:schemeClr w14:val="tx1"/>
                  </w14:solidFill>
                </w14:textFill>
              </w:rPr>
              <w:t>（或以上）技术职称的人员，每一人加</w:t>
            </w:r>
            <w:r>
              <w:rPr>
                <w:rFonts w:hint="eastAsia" w:ascii="宋体" w:hAnsi="Courier New"/>
                <w:color w:val="000000" w:themeColor="text1"/>
                <w:sz w:val="21"/>
                <w:szCs w:val="21"/>
                <w:highlight w:val="none"/>
                <w:lang w:val="en-US" w:eastAsia="zh-CN"/>
                <w14:textFill>
                  <w14:solidFill>
                    <w14:schemeClr w14:val="tx1"/>
                  </w14:solidFill>
                </w14:textFill>
              </w:rPr>
              <w:t>3</w:t>
            </w:r>
            <w:r>
              <w:rPr>
                <w:rFonts w:hint="eastAsia" w:ascii="宋体" w:hAnsi="Courier New"/>
                <w:color w:val="000000" w:themeColor="text1"/>
                <w:sz w:val="21"/>
                <w:szCs w:val="21"/>
                <w:highlight w:val="none"/>
                <w14:textFill>
                  <w14:solidFill>
                    <w14:schemeClr w14:val="tx1"/>
                  </w14:solidFill>
                </w14:textFill>
              </w:rPr>
              <w:t>分，最多得6</w:t>
            </w:r>
            <w:r>
              <w:rPr>
                <w:rFonts w:ascii="宋体" w:hAnsi="Courier New"/>
                <w:color w:val="000000" w:themeColor="text1"/>
                <w:sz w:val="21"/>
                <w:szCs w:val="21"/>
                <w:highlight w:val="none"/>
                <w14:textFill>
                  <w14:solidFill>
                    <w14:schemeClr w14:val="tx1"/>
                  </w14:solidFill>
                </w14:textFill>
              </w:rPr>
              <w:t>分。</w:t>
            </w:r>
          </w:p>
          <w:p w14:paraId="7BA69C17">
            <w:pPr>
              <w:pStyle w:val="2"/>
              <w:keepNext w:val="0"/>
              <w:keepLines w:val="0"/>
              <w:suppressLineNumbers w:val="0"/>
              <w:spacing w:before="0" w:beforeAutospacing="0" w:after="0" w:afterAutospacing="0"/>
              <w:ind w:left="0" w:right="0"/>
              <w:rPr>
                <w:rFonts w:hint="eastAsia" w:ascii="宋体" w:hAnsi="Courier New" w:eastAsia="宋体" w:cs="Times New Roman"/>
                <w:b w:val="0"/>
                <w:color w:val="000000" w:themeColor="text1"/>
                <w:sz w:val="24"/>
                <w:szCs w:val="24"/>
                <w:highlight w:val="none"/>
                <w:lang w:val="en-US" w:eastAsia="zh-CN"/>
                <w14:textFill>
                  <w14:solidFill>
                    <w14:schemeClr w14:val="tx1"/>
                  </w14:solidFill>
                </w14:textFill>
              </w:rPr>
            </w:pPr>
            <w:r>
              <w:rPr>
                <w:rFonts w:hint="eastAsia" w:ascii="宋体"/>
                <w:color w:val="000000" w:themeColor="text1"/>
                <w:sz w:val="21"/>
                <w:szCs w:val="21"/>
                <w:highlight w:val="none"/>
                <w:lang w:val="en-US" w:eastAsia="zh-CN"/>
                <w14:textFill>
                  <w14:solidFill>
                    <w14:schemeClr w14:val="tx1"/>
                  </w14:solidFill>
                </w14:textFill>
              </w:rPr>
              <w:t>注：《监理机构人员配备要求表》详见</w:t>
            </w:r>
            <w:r>
              <w:rPr>
                <w:rFonts w:hint="eastAsia"/>
                <w:color w:val="000000" w:themeColor="text1"/>
                <w:sz w:val="21"/>
                <w:szCs w:val="21"/>
                <w:highlight w:val="none"/>
                <w:lang w:val="en-US" w:eastAsia="zh-CN"/>
                <w14:textFill>
                  <w14:solidFill>
                    <w14:schemeClr w14:val="tx1"/>
                  </w14:solidFill>
                </w14:textFill>
              </w:rPr>
              <w:t>附表1</w:t>
            </w:r>
            <w:r>
              <w:rPr>
                <w:rFonts w:hint="eastAsia" w:ascii="宋体"/>
                <w:color w:val="000000" w:themeColor="text1"/>
                <w:sz w:val="21"/>
                <w:szCs w:val="21"/>
                <w:highlight w:val="none"/>
                <w:lang w:val="en-US" w:eastAsia="zh-CN"/>
                <w14:textFill>
                  <w14:solidFill>
                    <w14:schemeClr w14:val="tx1"/>
                  </w14:solidFill>
                </w14:textFill>
              </w:rPr>
              <w:t>。总监理工程师及监理机构人员资格、认证证书及社保证明等方面内容必须提供相应的证明材料；所投入人员必须为投标人本单位人员，所有人员须提供近一个月（指2025年</w:t>
            </w:r>
            <w:r>
              <w:rPr>
                <w:rFonts w:hint="eastAsia"/>
                <w:color w:val="000000" w:themeColor="text1"/>
                <w:sz w:val="21"/>
                <w:szCs w:val="21"/>
                <w:highlight w:val="none"/>
                <w:lang w:val="en-US" w:eastAsia="zh-CN"/>
                <w14:textFill>
                  <w14:solidFill>
                    <w14:schemeClr w14:val="tx1"/>
                  </w14:solidFill>
                </w14:textFill>
              </w:rPr>
              <w:t>7</w:t>
            </w:r>
            <w:r>
              <w:rPr>
                <w:rFonts w:hint="eastAsia" w:ascii="宋体"/>
                <w:color w:val="000000" w:themeColor="text1"/>
                <w:sz w:val="21"/>
                <w:szCs w:val="21"/>
                <w:highlight w:val="none"/>
                <w:lang w:val="en-US" w:eastAsia="zh-CN"/>
                <w14:textFill>
                  <w14:solidFill>
                    <w14:schemeClr w14:val="tx1"/>
                  </w14:solidFill>
                </w14:textFill>
              </w:rPr>
              <w:t>月）在本投标单位购买社保缴纳证明材料，提供证明资料的清晰扫描件并加盖投标单位电子印章，否则不计分。</w:t>
            </w:r>
          </w:p>
        </w:tc>
      </w:tr>
      <w:tr w14:paraId="7111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00931A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7066C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6CC0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拟投入的试验检测仪器设备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CE1226">
            <w:pPr>
              <w:pStyle w:val="28"/>
              <w:keepNext w:val="0"/>
              <w:keepLines w:val="0"/>
              <w:suppressLineNumbers w:val="0"/>
              <w:kinsoku w:val="0"/>
              <w:overflowPunct w:val="0"/>
              <w:spacing w:before="0" w:beforeAutospacing="0" w:after="0" w:afterAutospacing="0"/>
              <w:ind w:left="0" w:right="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拟投入的试验检测设备满足本工程监理任务需要的得1分，否则不得分。</w:t>
            </w:r>
          </w:p>
        </w:tc>
      </w:tr>
      <w:tr w14:paraId="612C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CE8EEC">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2.2.4</w:t>
            </w:r>
          </w:p>
          <w:p w14:paraId="0A1098D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F19150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监理大纲评分标准</w:t>
            </w:r>
            <w:r>
              <w:rPr>
                <w:rFonts w:hint="eastAsia" w:asciiTheme="minorEastAsia" w:hAnsiTheme="minorEastAsia" w:eastAsiaTheme="minorEastAsia" w:cstheme="minorEastAsia"/>
                <w:color w:val="000000" w:themeColor="text1"/>
                <w:spacing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highlight w:val="none"/>
                <w:lang w:val="en-US" w:eastAsia="zh-CN"/>
                <w14:textFill>
                  <w14:solidFill>
                    <w14:schemeClr w14:val="tx1"/>
                  </w14:solidFill>
                </w14:textFill>
              </w:rPr>
              <w:t>40分</w:t>
            </w:r>
            <w:r>
              <w:rPr>
                <w:rFonts w:hint="eastAsia" w:asciiTheme="minorEastAsia" w:hAnsiTheme="minorEastAsia" w:eastAsiaTheme="minorEastAsia" w:cstheme="minorEastAsia"/>
                <w:color w:val="000000" w:themeColor="text1"/>
                <w:spacing w:val="-2"/>
                <w:sz w:val="21"/>
                <w:szCs w:val="21"/>
                <w:highlight w:val="none"/>
                <w:lang w:eastAsia="zh-CN"/>
                <w14:textFill>
                  <w14:solidFill>
                    <w14:schemeClr w14:val="tx1"/>
                  </w14:solidFill>
                </w14:textFill>
              </w:rPr>
              <w:t>）</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0DEED">
            <w:pPr>
              <w:keepNext w:val="0"/>
              <w:keepLines w:val="0"/>
              <w:suppressLineNumbers w:val="0"/>
              <w:spacing w:before="100" w:beforeAutospacing="1" w:after="100" w:afterAutospacing="1"/>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监理工作程序、方法和制度（</w:t>
            </w:r>
            <w:r>
              <w:rPr>
                <w:rFonts w:ascii="Times New Roman" w:hAnsi="Times New Roman"/>
                <w:color w:val="000000" w:themeColor="text1"/>
                <w:sz w:val="21"/>
                <w:szCs w:val="21"/>
                <w:highlight w:val="none"/>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286E644C">
            <w:pPr>
              <w:keepNext w:val="0"/>
              <w:keepLines w:val="0"/>
              <w:suppressLineNumbers w:val="0"/>
              <w:snapToGrid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有清晰的工作流程图、工作准则。方案为优，得</w:t>
            </w:r>
            <w:r>
              <w:rPr>
                <w:rFonts w:ascii="Times New Roman" w:hAnsi="Times New Roman"/>
                <w:color w:val="000000" w:themeColor="text1"/>
                <w:sz w:val="21"/>
                <w:szCs w:val="21"/>
                <w:highlight w:val="none"/>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分；方案为良，得</w:t>
            </w:r>
            <w:r>
              <w:rPr>
                <w:rFonts w:ascii="Times New Roman" w:hAnsi="Times New Roman"/>
                <w:color w:val="000000" w:themeColor="text1"/>
                <w:sz w:val="21"/>
                <w:szCs w:val="21"/>
                <w:highlight w:val="none"/>
                <w14:textFill>
                  <w14:solidFill>
                    <w14:schemeClr w14:val="tx1"/>
                  </w14:solidFill>
                </w14:textFill>
              </w:rPr>
              <w:t xml:space="preserve"> 2</w:t>
            </w:r>
            <w:r>
              <w:rPr>
                <w:rFonts w:hint="eastAsia" w:ascii="Times New Roman" w:hAnsi="Times New Roman"/>
                <w:color w:val="000000" w:themeColor="text1"/>
                <w:sz w:val="21"/>
                <w:szCs w:val="21"/>
                <w:highlight w:val="none"/>
                <w14:textFill>
                  <w14:solidFill>
                    <w14:schemeClr w14:val="tx1"/>
                  </w14:solidFill>
                </w14:textFill>
              </w:rPr>
              <w:t>分；方案为一般，得</w:t>
            </w:r>
            <w:r>
              <w:rPr>
                <w:rFonts w:ascii="Times New Roman" w:hAnsi="Times New Roman"/>
                <w:color w:val="000000" w:themeColor="text1"/>
                <w:sz w:val="21"/>
                <w:szCs w:val="21"/>
                <w:highlight w:val="none"/>
                <w14:textFill>
                  <w14:solidFill>
                    <w14:schemeClr w14:val="tx1"/>
                  </w14:solidFill>
                </w14:textFill>
              </w:rPr>
              <w:t>1</w:t>
            </w:r>
            <w:r>
              <w:rPr>
                <w:rFonts w:hint="eastAsia" w:ascii="Times New Roman" w:hAnsi="Times New Roman"/>
                <w:color w:val="000000" w:themeColor="text1"/>
                <w:sz w:val="21"/>
                <w:szCs w:val="21"/>
                <w:highlight w:val="none"/>
                <w14:textFill>
                  <w14:solidFill>
                    <w14:schemeClr w14:val="tx1"/>
                  </w14:solidFill>
                </w14:textFill>
              </w:rPr>
              <w:t>分；方案为差，得0分。</w:t>
            </w:r>
          </w:p>
        </w:tc>
      </w:tr>
      <w:tr w14:paraId="17BC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732001">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92D477">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2A00E7">
            <w:pPr>
              <w:keepNext w:val="0"/>
              <w:keepLines w:val="0"/>
              <w:suppressLineNumbers w:val="0"/>
              <w:spacing w:before="100" w:beforeAutospacing="1" w:after="100" w:afterAutospacing="1"/>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质量、进度、安全、环保监理措施（1</w:t>
            </w: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4AAED461">
            <w:pPr>
              <w:keepNext w:val="0"/>
              <w:keepLines w:val="0"/>
              <w:suppressLineNumbers w:val="0"/>
              <w:spacing w:before="0" w:beforeAutospacing="0" w:after="0" w:afterAutospacing="0"/>
              <w:ind w:left="0" w:right="0"/>
              <w:rPr>
                <w:rFonts w:ascii="宋体" w:hAnsi="Courier New"/>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14:textFill>
                  <w14:solidFill>
                    <w14:schemeClr w14:val="tx1"/>
                  </w14:solidFill>
                </w14:textFill>
              </w:rPr>
              <w:t>1、质量控制措施：要求目标明确、方法合理可行、措施具体、针对性强。方案为优，得4分；方案为良，得</w:t>
            </w:r>
            <w:r>
              <w:rPr>
                <w:rFonts w:ascii="宋体" w:hAnsi="Courier New"/>
                <w:color w:val="000000" w:themeColor="text1"/>
                <w:sz w:val="21"/>
                <w:szCs w:val="21"/>
                <w:highlight w:val="none"/>
                <w14:textFill>
                  <w14:solidFill>
                    <w14:schemeClr w14:val="tx1"/>
                  </w14:solidFill>
                </w14:textFill>
              </w:rPr>
              <w:t xml:space="preserve"> 3</w:t>
            </w:r>
            <w:r>
              <w:rPr>
                <w:rFonts w:hint="eastAsia" w:ascii="宋体" w:hAnsi="Courier New"/>
                <w:color w:val="000000" w:themeColor="text1"/>
                <w:sz w:val="21"/>
                <w:szCs w:val="21"/>
                <w:highlight w:val="none"/>
                <w14:textFill>
                  <w14:solidFill>
                    <w14:schemeClr w14:val="tx1"/>
                  </w14:solidFill>
                </w14:textFill>
              </w:rPr>
              <w:t>分；方案为一般，得</w:t>
            </w:r>
            <w:r>
              <w:rPr>
                <w:rFonts w:ascii="宋体" w:hAnsi="Courier New"/>
                <w:color w:val="000000" w:themeColor="text1"/>
                <w:sz w:val="21"/>
                <w:szCs w:val="21"/>
                <w:highlight w:val="none"/>
                <w14:textFill>
                  <w14:solidFill>
                    <w14:schemeClr w14:val="tx1"/>
                  </w14:solidFill>
                </w14:textFill>
              </w:rPr>
              <w:t>2</w:t>
            </w:r>
            <w:r>
              <w:rPr>
                <w:rFonts w:hint="eastAsia" w:ascii="宋体" w:hAnsi="Courier New"/>
                <w:color w:val="000000" w:themeColor="text1"/>
                <w:sz w:val="21"/>
                <w:szCs w:val="21"/>
                <w:highlight w:val="none"/>
                <w14:textFill>
                  <w14:solidFill>
                    <w14:schemeClr w14:val="tx1"/>
                  </w14:solidFill>
                </w14:textFill>
              </w:rPr>
              <w:t>分；方案为差，得0分；</w:t>
            </w:r>
          </w:p>
          <w:p w14:paraId="037441EB">
            <w:pPr>
              <w:keepNext w:val="0"/>
              <w:keepLines w:val="0"/>
              <w:suppressLineNumbers w:val="0"/>
              <w:spacing w:before="0" w:beforeAutospacing="0" w:after="0" w:afterAutospacing="0"/>
              <w:ind w:left="0" w:right="0"/>
              <w:rPr>
                <w:rFonts w:ascii="宋体" w:hAnsi="Courier New"/>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14:textFill>
                  <w14:solidFill>
                    <w14:schemeClr w14:val="tx1"/>
                  </w14:solidFill>
                </w14:textFill>
              </w:rPr>
              <w:t>2、进度控制措施：针对本项目的特点，提出切实可行的进度计划，分析工期关键节点，逐一提出可行的进度控制方法及针对性的措施，并有相应的合理化建议。方案为优，得</w:t>
            </w:r>
            <w:r>
              <w:rPr>
                <w:rFonts w:ascii="宋体" w:hAnsi="Courier New"/>
                <w:color w:val="000000" w:themeColor="text1"/>
                <w:sz w:val="21"/>
                <w:szCs w:val="21"/>
                <w:highlight w:val="none"/>
                <w14:textFill>
                  <w14:solidFill>
                    <w14:schemeClr w14:val="tx1"/>
                  </w14:solidFill>
                </w14:textFill>
              </w:rPr>
              <w:t>4</w:t>
            </w:r>
            <w:r>
              <w:rPr>
                <w:rFonts w:hint="eastAsia" w:ascii="宋体" w:hAnsi="Courier New"/>
                <w:color w:val="000000" w:themeColor="text1"/>
                <w:sz w:val="21"/>
                <w:szCs w:val="21"/>
                <w:highlight w:val="none"/>
                <w14:textFill>
                  <w14:solidFill>
                    <w14:schemeClr w14:val="tx1"/>
                  </w14:solidFill>
                </w14:textFill>
              </w:rPr>
              <w:t>分；方案为良，得</w:t>
            </w:r>
            <w:r>
              <w:rPr>
                <w:rFonts w:ascii="宋体" w:hAnsi="Courier New"/>
                <w:color w:val="000000" w:themeColor="text1"/>
                <w:sz w:val="21"/>
                <w:szCs w:val="21"/>
                <w:highlight w:val="none"/>
                <w14:textFill>
                  <w14:solidFill>
                    <w14:schemeClr w14:val="tx1"/>
                  </w14:solidFill>
                </w14:textFill>
              </w:rPr>
              <w:t>3</w:t>
            </w:r>
            <w:r>
              <w:rPr>
                <w:rFonts w:hint="eastAsia" w:ascii="宋体" w:hAnsi="Courier New"/>
                <w:color w:val="000000" w:themeColor="text1"/>
                <w:sz w:val="21"/>
                <w:szCs w:val="21"/>
                <w:highlight w:val="none"/>
                <w14:textFill>
                  <w14:solidFill>
                    <w14:schemeClr w14:val="tx1"/>
                  </w14:solidFill>
                </w14:textFill>
              </w:rPr>
              <w:t>分；方案为一般，得</w:t>
            </w:r>
            <w:r>
              <w:rPr>
                <w:rFonts w:ascii="宋体" w:hAnsi="Courier New"/>
                <w:color w:val="000000" w:themeColor="text1"/>
                <w:sz w:val="21"/>
                <w:szCs w:val="21"/>
                <w:highlight w:val="none"/>
                <w14:textFill>
                  <w14:solidFill>
                    <w14:schemeClr w14:val="tx1"/>
                  </w14:solidFill>
                </w14:textFill>
              </w:rPr>
              <w:t>2</w:t>
            </w:r>
            <w:r>
              <w:rPr>
                <w:rFonts w:hint="eastAsia" w:ascii="宋体" w:hAnsi="Courier New"/>
                <w:color w:val="000000" w:themeColor="text1"/>
                <w:sz w:val="21"/>
                <w:szCs w:val="21"/>
                <w:highlight w:val="none"/>
                <w14:textFill>
                  <w14:solidFill>
                    <w14:schemeClr w14:val="tx1"/>
                  </w14:solidFill>
                </w14:textFill>
              </w:rPr>
              <w:t>分；方案为差，得0分；</w:t>
            </w:r>
          </w:p>
          <w:p w14:paraId="4C7018F5">
            <w:pPr>
              <w:keepNext w:val="0"/>
              <w:keepLines w:val="0"/>
              <w:suppressLineNumbers w:val="0"/>
              <w:snapToGrid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14:textFill>
                  <w14:solidFill>
                    <w14:schemeClr w14:val="tx1"/>
                  </w14:solidFill>
                </w14:textFill>
              </w:rPr>
              <w:t>3、安全、环保</w:t>
            </w:r>
            <w:r>
              <w:rPr>
                <w:rFonts w:ascii="宋体" w:hAnsi="Courier New"/>
                <w:color w:val="000000" w:themeColor="text1"/>
                <w:sz w:val="21"/>
                <w:szCs w:val="21"/>
                <w:highlight w:val="none"/>
                <w14:textFill>
                  <w14:solidFill>
                    <w14:schemeClr w14:val="tx1"/>
                  </w14:solidFill>
                </w14:textFill>
              </w:rPr>
              <w:t>控制措施</w:t>
            </w:r>
            <w:r>
              <w:rPr>
                <w:rFonts w:hint="eastAsia" w:ascii="宋体" w:hAnsi="Courier New"/>
                <w:color w:val="000000" w:themeColor="text1"/>
                <w:sz w:val="21"/>
                <w:szCs w:val="21"/>
                <w:highlight w:val="none"/>
                <w14:textFill>
                  <w14:solidFill>
                    <w14:schemeClr w14:val="tx1"/>
                  </w14:solidFill>
                </w14:textFill>
              </w:rPr>
              <w:t>：安全、环保</w:t>
            </w:r>
            <w:r>
              <w:rPr>
                <w:rFonts w:ascii="宋体" w:hAnsi="Courier New"/>
                <w:color w:val="000000" w:themeColor="text1"/>
                <w:sz w:val="21"/>
                <w:szCs w:val="21"/>
                <w:highlight w:val="none"/>
                <w14:textFill>
                  <w14:solidFill>
                    <w14:schemeClr w14:val="tx1"/>
                  </w14:solidFill>
                </w14:textFill>
              </w:rPr>
              <w:t>控制</w:t>
            </w:r>
            <w:r>
              <w:rPr>
                <w:rFonts w:hint="eastAsia" w:ascii="宋体" w:hAnsi="Courier New"/>
                <w:color w:val="000000" w:themeColor="text1"/>
                <w:sz w:val="21"/>
                <w:szCs w:val="21"/>
                <w:highlight w:val="none"/>
                <w14:textFill>
                  <w14:solidFill>
                    <w14:schemeClr w14:val="tx1"/>
                  </w14:solidFill>
                </w14:textFill>
              </w:rPr>
              <w:t>措施。方案为优，得</w:t>
            </w:r>
            <w:r>
              <w:rPr>
                <w:rFonts w:ascii="宋体" w:hAnsi="Courier New"/>
                <w:color w:val="000000" w:themeColor="text1"/>
                <w:sz w:val="21"/>
                <w:szCs w:val="21"/>
                <w:highlight w:val="none"/>
                <w14:textFill>
                  <w14:solidFill>
                    <w14:schemeClr w14:val="tx1"/>
                  </w14:solidFill>
                </w14:textFill>
              </w:rPr>
              <w:t>4</w:t>
            </w:r>
            <w:r>
              <w:rPr>
                <w:rFonts w:hint="eastAsia" w:ascii="宋体" w:hAnsi="Courier New"/>
                <w:color w:val="000000" w:themeColor="text1"/>
                <w:sz w:val="21"/>
                <w:szCs w:val="21"/>
                <w:highlight w:val="none"/>
                <w14:textFill>
                  <w14:solidFill>
                    <w14:schemeClr w14:val="tx1"/>
                  </w14:solidFill>
                </w14:textFill>
              </w:rPr>
              <w:t>分；方案为良，得</w:t>
            </w:r>
            <w:r>
              <w:rPr>
                <w:rFonts w:ascii="宋体" w:hAnsi="Courier New"/>
                <w:color w:val="000000" w:themeColor="text1"/>
                <w:sz w:val="21"/>
                <w:szCs w:val="21"/>
                <w:highlight w:val="none"/>
                <w14:textFill>
                  <w14:solidFill>
                    <w14:schemeClr w14:val="tx1"/>
                  </w14:solidFill>
                </w14:textFill>
              </w:rPr>
              <w:t>3</w:t>
            </w:r>
            <w:r>
              <w:rPr>
                <w:rFonts w:hint="eastAsia" w:ascii="宋体" w:hAnsi="Courier New"/>
                <w:color w:val="000000" w:themeColor="text1"/>
                <w:sz w:val="21"/>
                <w:szCs w:val="21"/>
                <w:highlight w:val="none"/>
                <w14:textFill>
                  <w14:solidFill>
                    <w14:schemeClr w14:val="tx1"/>
                  </w14:solidFill>
                </w14:textFill>
              </w:rPr>
              <w:t>分；方案为一般，得</w:t>
            </w:r>
            <w:r>
              <w:rPr>
                <w:rFonts w:ascii="宋体" w:hAnsi="Courier New"/>
                <w:color w:val="000000" w:themeColor="text1"/>
                <w:sz w:val="21"/>
                <w:szCs w:val="21"/>
                <w:highlight w:val="none"/>
                <w14:textFill>
                  <w14:solidFill>
                    <w14:schemeClr w14:val="tx1"/>
                  </w14:solidFill>
                </w14:textFill>
              </w:rPr>
              <w:t>2</w:t>
            </w:r>
            <w:r>
              <w:rPr>
                <w:rFonts w:hint="eastAsia" w:ascii="宋体" w:hAnsi="Courier New"/>
                <w:color w:val="000000" w:themeColor="text1"/>
                <w:sz w:val="21"/>
                <w:szCs w:val="21"/>
                <w:highlight w:val="none"/>
                <w14:textFill>
                  <w14:solidFill>
                    <w14:schemeClr w14:val="tx1"/>
                  </w14:solidFill>
                </w14:textFill>
              </w:rPr>
              <w:t>分；方案为差，得0分。</w:t>
            </w:r>
          </w:p>
        </w:tc>
      </w:tr>
      <w:tr w14:paraId="07E1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9EB775">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4BD2BF">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A468C">
            <w:pPr>
              <w:keepNext w:val="0"/>
              <w:keepLines w:val="0"/>
              <w:suppressLineNumbers w:val="0"/>
              <w:spacing w:before="100" w:beforeAutospacing="1" w:after="100" w:afterAutospacing="1"/>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14:textFill>
                  <w14:solidFill>
                    <w14:schemeClr w14:val="tx1"/>
                  </w14:solidFill>
                </w14:textFill>
              </w:rPr>
              <w:t>投资控制措施（4分）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5AD41CFC">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宋体" w:hAnsi="Courier New"/>
                <w:color w:val="000000" w:themeColor="text1"/>
                <w:sz w:val="21"/>
                <w:szCs w:val="21"/>
                <w:highlight w:val="none"/>
                <w14:textFill>
                  <w14:solidFill>
                    <w14:schemeClr w14:val="tx1"/>
                  </w14:solidFill>
                </w14:textFill>
              </w:rPr>
              <w:t>投资控制措施：坚持估算控制概算、概算控制预算、预算控制结算的原则，要求目标明确、依据、方法合理可行、措施具体、针对性强。方案为优，得4分；方案为良，得3分；方案为一般，得</w:t>
            </w:r>
            <w:r>
              <w:rPr>
                <w:rFonts w:ascii="宋体" w:hAnsi="Courier New"/>
                <w:color w:val="000000" w:themeColor="text1"/>
                <w:sz w:val="21"/>
                <w:szCs w:val="21"/>
                <w:highlight w:val="none"/>
                <w14:textFill>
                  <w14:solidFill>
                    <w14:schemeClr w14:val="tx1"/>
                  </w14:solidFill>
                </w14:textFill>
              </w:rPr>
              <w:t>2</w:t>
            </w:r>
            <w:r>
              <w:rPr>
                <w:rFonts w:hint="eastAsia" w:ascii="宋体" w:hAnsi="Courier New"/>
                <w:color w:val="000000" w:themeColor="text1"/>
                <w:sz w:val="21"/>
                <w:szCs w:val="21"/>
                <w:highlight w:val="none"/>
                <w14:textFill>
                  <w14:solidFill>
                    <w14:schemeClr w14:val="tx1"/>
                  </w14:solidFill>
                </w14:textFill>
              </w:rPr>
              <w:t>分；方案为差，得0分；</w:t>
            </w:r>
          </w:p>
        </w:tc>
      </w:tr>
      <w:tr w14:paraId="38E8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D3DAE0">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41FC6D">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83E13">
            <w:pPr>
              <w:keepNext w:val="0"/>
              <w:keepLines w:val="0"/>
              <w:suppressLineNumbers w:val="0"/>
              <w:snapToGrid w:val="0"/>
              <w:spacing w:before="0" w:beforeAutospacing="0" w:after="0" w:afterAutospacing="0"/>
              <w:ind w:left="0" w:right="0"/>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合同、信息管理方案</w:t>
            </w:r>
          </w:p>
          <w:p w14:paraId="7F503FCD">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w:t>
            </w:r>
            <w:r>
              <w:rPr>
                <w:rFonts w:hint="eastAsia" w:ascii="Times New Roman" w:hAnsi="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color w:val="000000" w:themeColor="text1"/>
                <w:sz w:val="21"/>
                <w:szCs w:val="21"/>
                <w:highlight w:val="none"/>
                <w14:textFill>
                  <w14:solidFill>
                    <w14:schemeClr w14:val="tx1"/>
                  </w14:solidFill>
                </w14:textFill>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1DEFD00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合同管理、信息管理方法、针对性强、措施具体、针对性强。</w:t>
            </w:r>
            <w:r>
              <w:rPr>
                <w:rFonts w:hint="eastAsia" w:ascii="宋体" w:hAnsi="Courier New"/>
                <w:color w:val="000000" w:themeColor="text1"/>
                <w:sz w:val="21"/>
                <w:szCs w:val="21"/>
                <w:highlight w:val="none"/>
                <w14:textFill>
                  <w14:solidFill>
                    <w14:schemeClr w14:val="tx1"/>
                  </w14:solidFill>
                </w14:textFill>
              </w:rPr>
              <w:t>方案为优，得</w:t>
            </w:r>
            <w:r>
              <w:rPr>
                <w:rFonts w:hint="eastAsia" w:ascii="宋体" w:hAnsi="Courier New"/>
                <w:color w:val="000000" w:themeColor="text1"/>
                <w:sz w:val="21"/>
                <w:szCs w:val="21"/>
                <w:highlight w:val="none"/>
                <w:lang w:val="en-US" w:eastAsia="zh-CN"/>
                <w14:textFill>
                  <w14:solidFill>
                    <w14:schemeClr w14:val="tx1"/>
                  </w14:solidFill>
                </w14:textFill>
              </w:rPr>
              <w:t>4</w:t>
            </w:r>
            <w:r>
              <w:rPr>
                <w:rFonts w:hint="eastAsia" w:ascii="宋体" w:hAnsi="Courier New"/>
                <w:color w:val="000000" w:themeColor="text1"/>
                <w:sz w:val="21"/>
                <w:szCs w:val="21"/>
                <w:highlight w:val="none"/>
                <w14:textFill>
                  <w14:solidFill>
                    <w14:schemeClr w14:val="tx1"/>
                  </w14:solidFill>
                </w14:textFill>
              </w:rPr>
              <w:t>分；方案为良，得</w:t>
            </w:r>
            <w:r>
              <w:rPr>
                <w:rFonts w:hint="eastAsia" w:ascii="宋体" w:hAnsi="Courier New"/>
                <w:color w:val="000000" w:themeColor="text1"/>
                <w:sz w:val="21"/>
                <w:szCs w:val="21"/>
                <w:highlight w:val="none"/>
                <w:lang w:val="en-US" w:eastAsia="zh-CN"/>
                <w14:textFill>
                  <w14:solidFill>
                    <w14:schemeClr w14:val="tx1"/>
                  </w14:solidFill>
                </w14:textFill>
              </w:rPr>
              <w:t>3</w:t>
            </w:r>
            <w:r>
              <w:rPr>
                <w:rFonts w:hint="eastAsia" w:ascii="宋体" w:hAnsi="Courier New"/>
                <w:color w:val="000000" w:themeColor="text1"/>
                <w:sz w:val="21"/>
                <w:szCs w:val="21"/>
                <w:highlight w:val="none"/>
                <w14:textFill>
                  <w14:solidFill>
                    <w14:schemeClr w14:val="tx1"/>
                  </w14:solidFill>
                </w14:textFill>
              </w:rPr>
              <w:t>分；方案为一般，得</w:t>
            </w:r>
            <w:r>
              <w:rPr>
                <w:rFonts w:hint="eastAsia" w:ascii="宋体" w:hAnsi="Courier New"/>
                <w:color w:val="000000" w:themeColor="text1"/>
                <w:sz w:val="21"/>
                <w:szCs w:val="21"/>
                <w:highlight w:val="none"/>
                <w:lang w:val="en-US" w:eastAsia="zh-CN"/>
                <w14:textFill>
                  <w14:solidFill>
                    <w14:schemeClr w14:val="tx1"/>
                  </w14:solidFill>
                </w14:textFill>
              </w:rPr>
              <w:t>2</w:t>
            </w:r>
            <w:r>
              <w:rPr>
                <w:rFonts w:hint="eastAsia" w:ascii="宋体" w:hAnsi="Courier New"/>
                <w:color w:val="000000" w:themeColor="text1"/>
                <w:sz w:val="21"/>
                <w:szCs w:val="21"/>
                <w:highlight w:val="none"/>
                <w14:textFill>
                  <w14:solidFill>
                    <w14:schemeClr w14:val="tx1"/>
                  </w14:solidFill>
                </w14:textFill>
              </w:rPr>
              <w:t>分；方案为差，得0分；</w:t>
            </w:r>
          </w:p>
        </w:tc>
      </w:tr>
      <w:tr w14:paraId="6A14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5F4767">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5D39C3">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1BDE97">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监理组织协调内容及措施（</w:t>
            </w:r>
            <w:r>
              <w:rPr>
                <w:rFonts w:hint="eastAsia" w:ascii="宋体" w:hAnsi="Courier New"/>
                <w:color w:val="000000" w:themeColor="text1"/>
                <w:sz w:val="21"/>
                <w:szCs w:val="21"/>
                <w:highlight w:val="none"/>
                <w14:textFill>
                  <w14:solidFill>
                    <w14:schemeClr w14:val="tx1"/>
                  </w14:solidFill>
                </w14:textFill>
              </w:rPr>
              <w:t>4分</w:t>
            </w:r>
            <w:r>
              <w:rPr>
                <w:rFonts w:hint="eastAsia" w:ascii="Times New Roman" w:hAnsi="Times New Roman"/>
                <w:color w:val="000000" w:themeColor="text1"/>
                <w:sz w:val="21"/>
                <w:szCs w:val="21"/>
                <w:highlight w:val="none"/>
                <w14:textFill>
                  <w14:solidFill>
                    <w14:schemeClr w14:val="tx1"/>
                  </w14:solidFill>
                </w14:textFill>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5363590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协调方法清晰合理，有具体措施。</w:t>
            </w:r>
            <w:r>
              <w:rPr>
                <w:rFonts w:hint="eastAsia" w:ascii="宋体" w:hAnsi="Courier New"/>
                <w:color w:val="000000" w:themeColor="text1"/>
                <w:sz w:val="21"/>
                <w:szCs w:val="21"/>
                <w:highlight w:val="none"/>
                <w14:textFill>
                  <w14:solidFill>
                    <w14:schemeClr w14:val="tx1"/>
                  </w14:solidFill>
                </w14:textFill>
              </w:rPr>
              <w:t>方案为优，得4分；方案为良，得</w:t>
            </w:r>
            <w:r>
              <w:rPr>
                <w:rFonts w:ascii="宋体" w:hAnsi="Courier New"/>
                <w:color w:val="000000" w:themeColor="text1"/>
                <w:sz w:val="21"/>
                <w:szCs w:val="21"/>
                <w:highlight w:val="none"/>
                <w14:textFill>
                  <w14:solidFill>
                    <w14:schemeClr w14:val="tx1"/>
                  </w14:solidFill>
                </w14:textFill>
              </w:rPr>
              <w:t xml:space="preserve"> </w:t>
            </w:r>
            <w:r>
              <w:rPr>
                <w:rFonts w:hint="eastAsia" w:ascii="宋体" w:hAnsi="Courier New"/>
                <w:color w:val="000000" w:themeColor="text1"/>
                <w:sz w:val="21"/>
                <w:szCs w:val="21"/>
                <w:highlight w:val="none"/>
                <w14:textFill>
                  <w14:solidFill>
                    <w14:schemeClr w14:val="tx1"/>
                  </w14:solidFill>
                </w14:textFill>
              </w:rPr>
              <w:t>3分；方案为一般，得</w:t>
            </w:r>
            <w:r>
              <w:rPr>
                <w:rFonts w:ascii="宋体" w:hAnsi="Courier New"/>
                <w:color w:val="000000" w:themeColor="text1"/>
                <w:sz w:val="21"/>
                <w:szCs w:val="21"/>
                <w:highlight w:val="none"/>
                <w14:textFill>
                  <w14:solidFill>
                    <w14:schemeClr w14:val="tx1"/>
                  </w14:solidFill>
                </w14:textFill>
              </w:rPr>
              <w:t>2</w:t>
            </w:r>
            <w:r>
              <w:rPr>
                <w:rFonts w:hint="eastAsia" w:ascii="宋体" w:hAnsi="Courier New"/>
                <w:color w:val="000000" w:themeColor="text1"/>
                <w:sz w:val="21"/>
                <w:szCs w:val="21"/>
                <w:highlight w:val="none"/>
                <w14:textFill>
                  <w14:solidFill>
                    <w14:schemeClr w14:val="tx1"/>
                  </w14:solidFill>
                </w14:textFill>
              </w:rPr>
              <w:t>分；方案为差，得0分</w:t>
            </w:r>
            <w:r>
              <w:rPr>
                <w:rFonts w:hint="eastAsia" w:ascii="Times New Roman" w:hAnsi="Times New Roman"/>
                <w:color w:val="000000" w:themeColor="text1"/>
                <w:sz w:val="21"/>
                <w:szCs w:val="21"/>
                <w:highlight w:val="none"/>
                <w14:textFill>
                  <w14:solidFill>
                    <w14:schemeClr w14:val="tx1"/>
                  </w14:solidFill>
                </w14:textFill>
              </w:rPr>
              <w:t>；</w:t>
            </w:r>
          </w:p>
        </w:tc>
      </w:tr>
      <w:tr w14:paraId="0B36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21A5BC">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E75627">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3D5F2">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监理工作重点、难点分析（</w:t>
            </w:r>
            <w:r>
              <w:rPr>
                <w:rFonts w:hint="eastAsia" w:ascii="宋体" w:hAnsi="Courier New"/>
                <w:color w:val="000000" w:themeColor="text1"/>
                <w:sz w:val="21"/>
                <w:szCs w:val="21"/>
                <w:highlight w:val="none"/>
                <w14:textFill>
                  <w14:solidFill>
                    <w14:schemeClr w14:val="tx1"/>
                  </w14:solidFill>
                </w14:textFill>
              </w:rPr>
              <w:t>4分</w:t>
            </w:r>
            <w:r>
              <w:rPr>
                <w:rFonts w:hint="eastAsia" w:ascii="Times New Roman" w:hAnsi="Times New Roman"/>
                <w:color w:val="000000" w:themeColor="text1"/>
                <w:sz w:val="21"/>
                <w:szCs w:val="21"/>
                <w:highlight w:val="none"/>
                <w14:textFill>
                  <w14:solidFill>
                    <w14:schemeClr w14:val="tx1"/>
                  </w14:solidFill>
                </w14:textFill>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1A86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针对本项目特点及招标内容，对项目实施的重点、难点进行详细分析，并提出相应措施。</w:t>
            </w:r>
            <w:r>
              <w:rPr>
                <w:rFonts w:hint="eastAsia" w:ascii="宋体" w:hAnsi="Courier New"/>
                <w:color w:val="000000" w:themeColor="text1"/>
                <w:sz w:val="21"/>
                <w:szCs w:val="21"/>
                <w:highlight w:val="none"/>
                <w14:textFill>
                  <w14:solidFill>
                    <w14:schemeClr w14:val="tx1"/>
                  </w14:solidFill>
                </w14:textFill>
              </w:rPr>
              <w:t>方案为优</w:t>
            </w:r>
            <w:r>
              <w:rPr>
                <w:rFonts w:hint="eastAsia" w:ascii="Times New Roman" w:hAnsi="Times New Roman"/>
                <w:color w:val="000000" w:themeColor="text1"/>
                <w:sz w:val="21"/>
                <w:szCs w:val="21"/>
                <w:highlight w:val="none"/>
                <w14:textFill>
                  <w14:solidFill>
                    <w14:schemeClr w14:val="tx1"/>
                  </w14:solidFill>
                </w14:textFill>
              </w:rPr>
              <w:t>，得</w:t>
            </w:r>
            <w:r>
              <w:rPr>
                <w:rFonts w:hint="eastAsia" w:ascii="宋体" w:hAnsi="Courier New"/>
                <w:color w:val="000000" w:themeColor="text1"/>
                <w:sz w:val="21"/>
                <w:szCs w:val="21"/>
                <w:highlight w:val="none"/>
                <w14:textFill>
                  <w14:solidFill>
                    <w14:schemeClr w14:val="tx1"/>
                  </w14:solidFill>
                </w14:textFill>
              </w:rPr>
              <w:t>4分</w:t>
            </w:r>
            <w:r>
              <w:rPr>
                <w:rFonts w:hint="eastAsia" w:ascii="Times New Roman" w:hAnsi="Times New Roman"/>
                <w:color w:val="000000" w:themeColor="text1"/>
                <w:sz w:val="21"/>
                <w:szCs w:val="21"/>
                <w:highlight w:val="none"/>
                <w14:textFill>
                  <w14:solidFill>
                    <w14:schemeClr w14:val="tx1"/>
                  </w14:solidFill>
                </w14:textFill>
              </w:rPr>
              <w:t>；</w:t>
            </w:r>
            <w:r>
              <w:rPr>
                <w:rFonts w:hint="eastAsia" w:ascii="宋体" w:hAnsi="Courier New"/>
                <w:color w:val="000000" w:themeColor="text1"/>
                <w:sz w:val="21"/>
                <w:szCs w:val="21"/>
                <w:highlight w:val="none"/>
                <w14:textFill>
                  <w14:solidFill>
                    <w14:schemeClr w14:val="tx1"/>
                  </w14:solidFill>
                </w14:textFill>
              </w:rPr>
              <w:t>方案为</w:t>
            </w:r>
            <w:r>
              <w:rPr>
                <w:rFonts w:hint="eastAsia" w:ascii="Times New Roman" w:hAnsi="Times New Roman"/>
                <w:color w:val="000000" w:themeColor="text1"/>
                <w:sz w:val="21"/>
                <w:szCs w:val="21"/>
                <w:highlight w:val="none"/>
                <w14:textFill>
                  <w14:solidFill>
                    <w14:schemeClr w14:val="tx1"/>
                  </w14:solidFill>
                </w14:textFill>
              </w:rPr>
              <w:t>良，得</w:t>
            </w:r>
            <w:r>
              <w:rPr>
                <w:rFonts w:ascii="Times New Roman" w:hAnsi="Times New Roman"/>
                <w:color w:val="000000" w:themeColor="text1"/>
                <w:sz w:val="21"/>
                <w:szCs w:val="21"/>
                <w:highlight w:val="none"/>
                <w14:textFill>
                  <w14:solidFill>
                    <w14:schemeClr w14:val="tx1"/>
                  </w14:solidFill>
                </w14:textFill>
              </w:rPr>
              <w:t xml:space="preserve"> </w:t>
            </w:r>
            <w:r>
              <w:rPr>
                <w:rFonts w:hint="eastAsia" w:ascii="Times New Roman" w:hAnsi="Times New Roman"/>
                <w:color w:val="000000" w:themeColor="text1"/>
                <w:sz w:val="21"/>
                <w:szCs w:val="21"/>
                <w:highlight w:val="none"/>
                <w14:textFill>
                  <w14:solidFill>
                    <w14:schemeClr w14:val="tx1"/>
                  </w14:solidFill>
                </w14:textFill>
              </w:rPr>
              <w:t>3分；</w:t>
            </w:r>
            <w:r>
              <w:rPr>
                <w:rFonts w:hint="eastAsia" w:ascii="宋体" w:hAnsi="Courier New"/>
                <w:color w:val="000000" w:themeColor="text1"/>
                <w:sz w:val="21"/>
                <w:szCs w:val="21"/>
                <w:highlight w:val="none"/>
                <w14:textFill>
                  <w14:solidFill>
                    <w14:schemeClr w14:val="tx1"/>
                  </w14:solidFill>
                </w14:textFill>
              </w:rPr>
              <w:t>方案为</w:t>
            </w:r>
            <w:r>
              <w:rPr>
                <w:rFonts w:hint="eastAsia" w:ascii="Times New Roman" w:hAnsi="Times New Roman"/>
                <w:color w:val="000000" w:themeColor="text1"/>
                <w:sz w:val="21"/>
                <w:szCs w:val="21"/>
                <w:highlight w:val="none"/>
                <w14:textFill>
                  <w14:solidFill>
                    <w14:schemeClr w14:val="tx1"/>
                  </w14:solidFill>
                </w14:textFill>
              </w:rPr>
              <w:t>一般，得</w:t>
            </w: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分；</w:t>
            </w:r>
            <w:r>
              <w:rPr>
                <w:rFonts w:hint="eastAsia" w:ascii="宋体" w:hAnsi="Courier New"/>
                <w:color w:val="000000" w:themeColor="text1"/>
                <w:sz w:val="21"/>
                <w:szCs w:val="21"/>
                <w:highlight w:val="none"/>
                <w14:textFill>
                  <w14:solidFill>
                    <w14:schemeClr w14:val="tx1"/>
                  </w14:solidFill>
                </w14:textFill>
              </w:rPr>
              <w:t>方案为</w:t>
            </w:r>
            <w:r>
              <w:rPr>
                <w:rFonts w:hint="eastAsia" w:ascii="Times New Roman" w:hAnsi="Times New Roman"/>
                <w:color w:val="000000" w:themeColor="text1"/>
                <w:sz w:val="21"/>
                <w:szCs w:val="21"/>
                <w:highlight w:val="none"/>
                <w14:textFill>
                  <w14:solidFill>
                    <w14:schemeClr w14:val="tx1"/>
                  </w14:solidFill>
                </w14:textFill>
              </w:rPr>
              <w:t>差，得0分。</w:t>
            </w:r>
          </w:p>
        </w:tc>
      </w:tr>
      <w:tr w14:paraId="33CE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FCD50D">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8F28A2">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2380A">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工程进度款、工程结算的管理（3分）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8651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管理方法合理有效、有具体措施，得3分；一般、措施不具体，得</w:t>
            </w: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分；无管理的方法和措施，得0分。</w:t>
            </w:r>
          </w:p>
        </w:tc>
      </w:tr>
      <w:tr w14:paraId="3A4C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CF9569">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EB5B3D">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2AF72">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会议制度（</w:t>
            </w:r>
            <w:r>
              <w:rPr>
                <w:rFonts w:ascii="Times New Roman" w:hAnsi="Times New Roman"/>
                <w:color w:val="000000" w:themeColor="text1"/>
                <w:sz w:val="21"/>
                <w:szCs w:val="21"/>
                <w:highlight w:val="none"/>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C312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建立完善的工地会议制度。满足要求，得</w:t>
            </w:r>
            <w:r>
              <w:rPr>
                <w:rFonts w:ascii="Times New Roman" w:hAnsi="Times New Roman"/>
                <w:color w:val="000000" w:themeColor="text1"/>
                <w:sz w:val="21"/>
                <w:szCs w:val="21"/>
                <w:highlight w:val="none"/>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分；基本满足要求，得</w:t>
            </w: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分；不满足要求，得0分。</w:t>
            </w:r>
          </w:p>
        </w:tc>
      </w:tr>
      <w:tr w14:paraId="26F8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9D91B8">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ED7CEA">
            <w:pPr>
              <w:pStyle w:val="28"/>
              <w:keepNext w:val="0"/>
              <w:keepLines w:val="0"/>
              <w:suppressLineNumbers w:val="0"/>
              <w:kinsoku w:val="0"/>
              <w:overflowPunct w:val="0"/>
              <w:spacing w:before="41"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56602E">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合理化建议（</w:t>
            </w:r>
            <w:r>
              <w:rPr>
                <w:rFonts w:hint="eastAsia" w:ascii="Times New Roman" w:hAnsi="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D784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具有科学、合理、可行及具体措施的建议并经评委分析论证认同的。优，得</w:t>
            </w:r>
            <w:r>
              <w:rPr>
                <w:rFonts w:hint="eastAsia" w:ascii="Times New Roman" w:hAnsi="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分；良，得</w:t>
            </w:r>
            <w:r>
              <w:rPr>
                <w:rFonts w:hint="eastAsia" w:ascii="Times New Roman" w:hAnsi="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分；一般，得</w:t>
            </w:r>
            <w:r>
              <w:rPr>
                <w:rFonts w:hint="eastAsia" w:ascii="Times New Roman" w:hAnsi="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color w:val="000000" w:themeColor="text1"/>
                <w:sz w:val="21"/>
                <w:szCs w:val="21"/>
                <w:highlight w:val="none"/>
                <w14:textFill>
                  <w14:solidFill>
                    <w14:schemeClr w14:val="tx1"/>
                  </w14:solidFill>
                </w14:textFill>
              </w:rPr>
              <w:t>分；差，得0分。</w:t>
            </w:r>
          </w:p>
        </w:tc>
      </w:tr>
      <w:tr w14:paraId="357C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858C94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2.2.4</w:t>
            </w:r>
          </w:p>
          <w:p w14:paraId="4E5AA50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A32F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投标报价评分标准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06E62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eastAsia="zh-CN"/>
                <w14:textFill>
                  <w14:solidFill>
                    <w14:schemeClr w14:val="tx1"/>
                  </w14:solidFill>
                </w14:textFill>
              </w:rPr>
              <w:t>投标报价评审</w:t>
            </w:r>
          </w:p>
        </w:tc>
        <w:tc>
          <w:tcPr>
            <w:tcW w:w="501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3E9E5B">
            <w:pPr>
              <w:keepNext w:val="0"/>
              <w:keepLines w:val="0"/>
              <w:suppressLineNumbers w:val="0"/>
              <w:spacing w:before="0" w:beforeAutospacing="0" w:after="0" w:afterAutospacing="0" w:line="240" w:lineRule="auto"/>
              <w:ind w:left="0" w:right="0"/>
              <w:rPr>
                <w:rFonts w:hint="eastAsia" w:ascii="宋体" w:hAnsi="宋体" w:cs="楷体"/>
                <w:color w:val="000000" w:themeColor="text1"/>
                <w:sz w:val="21"/>
                <w:szCs w:val="21"/>
                <w:highlight w:val="none"/>
                <w:lang w:val="en-US" w:eastAsia="zh-CN"/>
                <w14:textFill>
                  <w14:solidFill>
                    <w14:schemeClr w14:val="tx1"/>
                  </w14:solidFill>
                </w14:textFill>
              </w:rPr>
            </w:pPr>
            <w:r>
              <w:rPr>
                <w:rFonts w:hint="eastAsia" w:ascii="宋体" w:hAnsi="宋体" w:cs="楷体"/>
                <w:color w:val="000000" w:themeColor="text1"/>
                <w:sz w:val="21"/>
                <w:szCs w:val="21"/>
                <w:highlight w:val="none"/>
                <w:lang w:val="en-US" w:eastAsia="zh-CN"/>
                <w14:textFill>
                  <w14:solidFill>
                    <w14:schemeClr w14:val="tx1"/>
                  </w14:solidFill>
                </w14:textFill>
              </w:rPr>
              <w:t>以评标基准价作为计算各有效投标价得分的基础，当有效投标报价等于评标基准价时得10分；投标报价偏差率，每上偏1%扣1.5分，下偏1%扣1.0分，最多扣10分。</w:t>
            </w:r>
          </w:p>
          <w:p w14:paraId="1E6A6F0D">
            <w:pPr>
              <w:pStyle w:val="9"/>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cs="楷体"/>
                <w:color w:val="000000" w:themeColor="text1"/>
                <w:sz w:val="21"/>
                <w:szCs w:val="21"/>
                <w:highlight w:val="none"/>
                <w:lang w:val="en-US" w:eastAsia="zh-CN"/>
                <w14:textFill>
                  <w14:solidFill>
                    <w14:schemeClr w14:val="tx1"/>
                  </w14:solidFill>
                </w14:textFill>
              </w:rPr>
              <w:t>注：投标人符合《投标人须知前附表》10.4款经济标评审优惠政策条件的，</w:t>
            </w:r>
            <w:r>
              <w:rPr>
                <w:rFonts w:hint="eastAsia" w:ascii="宋体" w:hAnsi="宋体" w:eastAsia="宋体" w:cs="宋体"/>
                <w:color w:val="000000" w:themeColor="text1"/>
                <w:sz w:val="21"/>
                <w:szCs w:val="21"/>
                <w:highlight w:val="none"/>
                <w:u w:val="single"/>
                <w14:textFill>
                  <w14:solidFill>
                    <w14:schemeClr w14:val="tx1"/>
                  </w14:solidFill>
                </w14:textFill>
              </w:rPr>
              <w:t>本招标项目评标计算价格分（即投标报价得分）时，对小微企业投标的，在采用原报价进行评分的基础上增加其价格得分的5%作为其价格分。若原报价已满分，仍可突破满分上限继续享受加分优惠，以实际计算结果作为最终价格分。</w:t>
            </w:r>
          </w:p>
        </w:tc>
      </w:tr>
      <w:tr w14:paraId="541A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B3014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2.2.4</w:t>
            </w:r>
          </w:p>
          <w:p w14:paraId="36BA4EC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CBDF3">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诚信得分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评分标准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9A19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36"/>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诚信综合评价得分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CF309">
            <w:pPr>
              <w:keepNext w:val="0"/>
              <w:keepLines w:val="0"/>
              <w:widowControl/>
              <w:suppressLineNumbers w:val="0"/>
              <w:shd w:val="clear" w:color="auto" w:fill="FFFFFF"/>
              <w:spacing w:before="0" w:beforeAutospacing="0" w:after="0" w:afterAutospacing="0" w:line="276" w:lineRule="auto"/>
              <w:ind w:left="0" w:right="0"/>
              <w:jc w:val="left"/>
              <w:rPr>
                <w:rFonts w:hint="eastAsia" w:ascii="宋体" w:cs="宋体"/>
                <w:color w:val="000000" w:themeColor="text1"/>
                <w:kern w:val="0"/>
                <w:sz w:val="21"/>
                <w:szCs w:val="21"/>
                <w:highlight w:val="none"/>
                <w:u w:val="single"/>
                <w14:textFill>
                  <w14:solidFill>
                    <w14:schemeClr w14:val="tx1"/>
                  </w14:solidFill>
                </w14:textFill>
              </w:rPr>
            </w:pPr>
            <w:r>
              <w:rPr>
                <w:rFonts w:hint="eastAsia" w:ascii="宋体" w:cs="宋体"/>
                <w:color w:val="000000" w:themeColor="text1"/>
                <w:kern w:val="0"/>
                <w:sz w:val="21"/>
                <w:szCs w:val="21"/>
                <w:highlight w:val="none"/>
                <w:u w:val="single"/>
                <w14:textFill>
                  <w14:solidFill>
                    <w14:schemeClr w14:val="tx1"/>
                  </w14:solidFill>
                </w14:textFill>
              </w:rPr>
              <w:t>诚信评价总分按《关于水务工程诚信评价在招标投标环节应用的指引》（第20期）规定计算。</w:t>
            </w:r>
          </w:p>
          <w:p w14:paraId="0DE2CB04">
            <w:pPr>
              <w:keepNext w:val="0"/>
              <w:keepLines w:val="0"/>
              <w:widowControl/>
              <w:suppressLineNumbers w:val="0"/>
              <w:shd w:val="clear" w:color="auto" w:fill="FFFFFF"/>
              <w:spacing w:before="0" w:beforeAutospacing="0" w:after="0" w:afterAutospacing="0" w:line="276" w:lineRule="auto"/>
              <w:ind w:left="0" w:right="0"/>
              <w:jc w:val="left"/>
              <w:rPr>
                <w:rFonts w:hint="eastAsia" w:ascii="宋体" w:cs="宋体"/>
                <w:color w:val="000000" w:themeColor="text1"/>
                <w:kern w:val="0"/>
                <w:sz w:val="21"/>
                <w:szCs w:val="21"/>
                <w:highlight w:val="none"/>
                <w:u w:val="single"/>
                <w14:textFill>
                  <w14:solidFill>
                    <w14:schemeClr w14:val="tx1"/>
                  </w14:solidFill>
                </w14:textFill>
              </w:rPr>
            </w:pPr>
            <w:r>
              <w:rPr>
                <w:rFonts w:hint="eastAsia" w:ascii="宋体" w:cs="宋体"/>
                <w:color w:val="000000" w:themeColor="text1"/>
                <w:kern w:val="0"/>
                <w:sz w:val="21"/>
                <w:szCs w:val="21"/>
                <w:highlight w:val="none"/>
                <w:u w:val="single"/>
                <w14:textFill>
                  <w14:solidFill>
                    <w14:schemeClr w14:val="tx1"/>
                  </w14:solidFill>
                </w14:textFill>
              </w:rPr>
              <w:t>以招标公告发布第1天所在季度的上一季度公布的“广州市水务工程建设管理数字化监管平台”（http://112.94.68.142:8012/#/website）网站中的“企业诚信信息”&gt;&gt;“监理—水利”的“诚信综合评价”得分为准（如届时上一季度“广州市水务工程建设管理数字化监管平台”的“监理—水利”诚信综合评价分未发布，则按已发布的最新季度评价分取值计算）；未在“诚信管理系统”录入企业信息的投标人（简称“未入库企业”）或在广州市水务工程企业库及诚信评价系统中尚无诚信综合评价分的投标人，诚信评价总分取基准分，即“未入库企业”的诚信评价总分=100（市场行为评价分）×20%+75（质量安全管理评价得分）×50%+75（履约评价得分）×30%=80分。</w:t>
            </w:r>
          </w:p>
          <w:p w14:paraId="0200383B">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cs="宋体"/>
                <w:color w:val="000000" w:themeColor="text1"/>
                <w:kern w:val="0"/>
                <w:sz w:val="21"/>
                <w:szCs w:val="21"/>
                <w:highlight w:val="none"/>
                <w:u w:val="single"/>
                <w14:textFill>
                  <w14:solidFill>
                    <w14:schemeClr w14:val="tx1"/>
                  </w14:solidFill>
                </w14:textFill>
              </w:rPr>
              <w:t>诚信得分=诚信排名得分×</w:t>
            </w:r>
            <w:r>
              <w:rPr>
                <w:rFonts w:hint="eastAsia" w:ascii="宋体" w:cs="宋体"/>
                <w:color w:val="000000" w:themeColor="text1"/>
                <w:kern w:val="0"/>
                <w:sz w:val="21"/>
                <w:szCs w:val="21"/>
                <w:highlight w:val="none"/>
                <w:u w:val="single"/>
                <w:lang w:val="en-US" w:eastAsia="zh-CN"/>
                <w14:textFill>
                  <w14:solidFill>
                    <w14:schemeClr w14:val="tx1"/>
                  </w14:solidFill>
                </w14:textFill>
              </w:rPr>
              <w:t>5</w:t>
            </w:r>
            <w:r>
              <w:rPr>
                <w:rFonts w:hint="eastAsia" w:ascii="宋体" w:cs="宋体"/>
                <w:color w:val="000000" w:themeColor="text1"/>
                <w:kern w:val="0"/>
                <w:sz w:val="21"/>
                <w:szCs w:val="21"/>
                <w:highlight w:val="none"/>
                <w:u w:val="single"/>
                <w14:textFill>
                  <w14:solidFill>
                    <w14:schemeClr w14:val="tx1"/>
                  </w14:solidFill>
                </w14:textFill>
              </w:rPr>
              <w:t>%</w:t>
            </w:r>
          </w:p>
        </w:tc>
      </w:tr>
    </w:tbl>
    <w:p w14:paraId="165AF28D">
      <w:pPr>
        <w:pStyle w:val="5"/>
        <w:kinsoku w:val="0"/>
        <w:overflowPunct w:val="0"/>
        <w:ind w:left="120"/>
        <w:outlineLvl w:val="9"/>
        <w:rPr>
          <w:rFonts w:hint="eastAsia" w:asciiTheme="minorEastAsia" w:hAnsiTheme="minorEastAsia" w:eastAsiaTheme="minorEastAsia" w:cstheme="minorEastAsia"/>
          <w:color w:val="000000" w:themeColor="text1"/>
          <w:sz w:val="32"/>
          <w:szCs w:val="24"/>
          <w:highlight w:val="none"/>
          <w14:textFill>
            <w14:solidFill>
              <w14:schemeClr w14:val="tx1"/>
            </w14:solidFill>
          </w14:textFill>
        </w:rPr>
      </w:pPr>
    </w:p>
    <w:p w14:paraId="06626CDB">
      <w:pPr>
        <w:spacing w:line="240" w:lineRule="auto"/>
        <w:ind w:firstLine="0" w:firstLineChars="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p>
    <w:p w14:paraId="484288A5">
      <w:pPr>
        <w:spacing w:line="440" w:lineRule="exact"/>
        <w:ind w:firstLine="410" w:firstLineChars="171"/>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附</w:t>
      </w:r>
      <w:r>
        <w:rPr>
          <w:rFonts w:hint="eastAsia"/>
          <w:color w:val="000000" w:themeColor="text1"/>
          <w:highlight w:val="none"/>
          <w:lang w:val="en-US" w:eastAsia="zh-CN"/>
          <w14:textFill>
            <w14:solidFill>
              <w14:schemeClr w14:val="tx1"/>
            </w14:solidFill>
          </w14:textFill>
        </w:rPr>
        <w:t>表</w:t>
      </w:r>
      <w:r>
        <w:rPr>
          <w:rFonts w:hint="eastAsia" w:ascii="Times New Roman" w:hAnsi="Times New Roman"/>
          <w:color w:val="000000" w:themeColor="text1"/>
          <w:highlight w:val="none"/>
          <w14:textFill>
            <w14:solidFill>
              <w14:schemeClr w14:val="tx1"/>
            </w14:solidFill>
          </w14:textFill>
        </w:rPr>
        <w:t>1：</w:t>
      </w:r>
    </w:p>
    <w:p w14:paraId="08774BD6">
      <w:pPr>
        <w:tabs>
          <w:tab w:val="left" w:pos="105"/>
        </w:tabs>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监理机构人员配备要求表</w:t>
      </w:r>
    </w:p>
    <w:tbl>
      <w:tblPr>
        <w:tblStyle w:val="20"/>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539"/>
        <w:gridCol w:w="1027"/>
        <w:gridCol w:w="3054"/>
        <w:gridCol w:w="2300"/>
      </w:tblGrid>
      <w:tr w14:paraId="0FFA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270D16C">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04D777C">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岗位</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DF81D07">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最低要求数量</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161DD7F8">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基本要求</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ADED32C">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备注（应提供如下证明材料等）</w:t>
            </w:r>
          </w:p>
        </w:tc>
      </w:tr>
      <w:tr w14:paraId="2286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7878711">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12FEABF3">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总监理工程师</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C15218F">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1名</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2C07F33E">
            <w:pPr>
              <w:keepNext w:val="0"/>
              <w:keepLines w:val="0"/>
              <w:suppressLineNumbers w:val="0"/>
              <w:adjustRightInd w:val="0"/>
              <w:snapToGrid w:val="0"/>
              <w:spacing w:before="0" w:beforeAutospacing="0" w:after="0" w:afterAutospacing="0"/>
              <w:ind w:left="0" w:right="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资格要求与招标公告要求一致；</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9BC6ACB">
            <w:pPr>
              <w:keepNext w:val="0"/>
              <w:keepLines w:val="0"/>
              <w:suppressLineNumbers w:val="0"/>
              <w:adjustRightInd w:val="0"/>
              <w:snapToGrid w:val="0"/>
              <w:spacing w:before="0" w:beforeAutospacing="0" w:after="0" w:afterAutospacing="0"/>
              <w:ind w:left="0" w:right="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监理工程师注册证书</w:t>
            </w:r>
            <w:r>
              <w:rPr>
                <w:rFonts w:hint="eastAsia" w:ascii="宋体" w:hAnsi="宋体"/>
                <w:color w:val="000000" w:themeColor="text1"/>
                <w:szCs w:val="21"/>
                <w:highlight w:val="none"/>
                <w14:textFill>
                  <w14:solidFill>
                    <w14:schemeClr w14:val="tx1"/>
                  </w14:solidFill>
                </w14:textFill>
              </w:rPr>
              <w:t>、职称证书</w:t>
            </w:r>
            <w:r>
              <w:rPr>
                <w:rFonts w:hint="eastAsia" w:ascii="宋体" w:hAnsi="宋体"/>
                <w:color w:val="000000" w:themeColor="text1"/>
                <w:szCs w:val="21"/>
                <w:highlight w:val="none"/>
                <w:lang w:val="en-US" w:eastAsia="zh-CN"/>
                <w14:textFill>
                  <w14:solidFill>
                    <w14:schemeClr w14:val="tx1"/>
                  </w14:solidFill>
                </w14:textFill>
              </w:rPr>
              <w:t>扫描件</w:t>
            </w:r>
          </w:p>
        </w:tc>
      </w:tr>
      <w:tr w14:paraId="56A6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CE6C308">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1979A8C4">
            <w:pPr>
              <w:keepNext w:val="0"/>
              <w:keepLines w:val="0"/>
              <w:suppressLineNumbers w:val="0"/>
              <w:adjustRightInd w:val="0"/>
              <w:snapToGrid w:val="0"/>
              <w:spacing w:before="0" w:beforeAutospacing="0" w:after="0" w:afterAutospacing="0"/>
              <w:ind w:left="0" w:right="0"/>
              <w:jc w:val="center"/>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水利类专业监理工程师</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7AE954C">
            <w:pPr>
              <w:keepNext w:val="0"/>
              <w:keepLines w:val="0"/>
              <w:suppressLineNumbers w:val="0"/>
              <w:adjustRightInd w:val="0"/>
              <w:snapToGrid w:val="0"/>
              <w:spacing w:before="0" w:beforeAutospacing="0" w:after="0" w:afterAutospacing="0"/>
              <w:ind w:left="0" w:right="0"/>
              <w:jc w:val="center"/>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名</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34F5BFD0">
            <w:pPr>
              <w:keepNext w:val="0"/>
              <w:keepLines w:val="0"/>
              <w:suppressLineNumbers w:val="0"/>
              <w:adjustRightInd w:val="0"/>
              <w:snapToGrid w:val="0"/>
              <w:spacing w:before="0" w:beforeAutospacing="0" w:after="0" w:afterAutospacing="0"/>
              <w:ind w:left="0" w:right="0"/>
              <w:jc w:val="left"/>
              <w:rPr>
                <w:rFonts w:hint="eastAsia" w:ascii="Calibri" w:hAnsi="Calibri"/>
                <w:color w:val="000000" w:themeColor="text1"/>
                <w:kern w:val="2"/>
                <w:sz w:val="21"/>
                <w:szCs w:val="24"/>
                <w:highlight w:val="none"/>
                <w:lang w:val="en-US" w:eastAsia="zh-CN" w:bidi="ar-SA"/>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水利工程</w:t>
            </w:r>
            <w:r>
              <w:rPr>
                <w:rFonts w:hint="eastAsia" w:ascii="宋体" w:hAnsi="宋体"/>
                <w:color w:val="000000" w:themeColor="text1"/>
                <w:kern w:val="44"/>
                <w:szCs w:val="21"/>
                <w:highlight w:val="none"/>
                <w:lang w:val="en-US" w:eastAsia="zh-CN"/>
                <w14:textFill>
                  <w14:solidFill>
                    <w14:schemeClr w14:val="tx1"/>
                  </w14:solidFill>
                </w14:textFill>
              </w:rPr>
              <w:t>相关专业</w:t>
            </w:r>
            <w:r>
              <w:rPr>
                <w:rFonts w:hint="eastAsia" w:ascii="宋体" w:hAnsi="宋体"/>
                <w:color w:val="000000" w:themeColor="text1"/>
                <w:kern w:val="44"/>
                <w:szCs w:val="21"/>
                <w:highlight w:val="none"/>
                <w14:textFill>
                  <w14:solidFill>
                    <w14:schemeClr w14:val="tx1"/>
                  </w14:solidFill>
                </w14:textFill>
              </w:rPr>
              <w:t>监理工程师资格证书（或</w:t>
            </w:r>
            <w:r>
              <w:rPr>
                <w:rFonts w:hint="eastAsia" w:ascii="宋体" w:hAnsi="宋体"/>
                <w:color w:val="000000" w:themeColor="text1"/>
                <w:kern w:val="44"/>
                <w:szCs w:val="21"/>
                <w:highlight w:val="none"/>
                <w:lang w:val="en-US" w:eastAsia="zh-CN"/>
                <w14:textFill>
                  <w14:solidFill>
                    <w14:schemeClr w14:val="tx1"/>
                  </w14:solidFill>
                </w14:textFill>
              </w:rPr>
              <w:t>注册证或</w:t>
            </w:r>
            <w:r>
              <w:rPr>
                <w:rFonts w:hint="eastAsia"/>
                <w:color w:val="000000" w:themeColor="text1"/>
                <w:highlight w:val="none"/>
                <w14:textFill>
                  <w14:solidFill>
                    <w14:schemeClr w14:val="tx1"/>
                  </w14:solidFill>
                </w14:textFill>
              </w:rPr>
              <w:t>上岗证</w:t>
            </w:r>
            <w:r>
              <w:rPr>
                <w:rFonts w:hint="eastAsia" w:ascii="宋体" w:hAnsi="宋体"/>
                <w:color w:val="000000" w:themeColor="text1"/>
                <w:kern w:val="44"/>
                <w:szCs w:val="21"/>
                <w:highlight w:val="none"/>
                <w:lang w:val="en-US" w:eastAsia="zh-CN"/>
                <w14:textFill>
                  <w14:solidFill>
                    <w14:schemeClr w14:val="tx1"/>
                  </w14:solidFill>
                </w14:textFill>
              </w:rPr>
              <w:t>或培训证</w:t>
            </w:r>
            <w:r>
              <w:rPr>
                <w:rFonts w:hint="eastAsia" w:ascii="宋体" w:hAnsi="宋体"/>
                <w:color w:val="000000" w:themeColor="text1"/>
                <w:kern w:val="44"/>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57E5FCC">
            <w:pPr>
              <w:keepNext w:val="0"/>
              <w:keepLines w:val="0"/>
              <w:suppressLineNumbers w:val="0"/>
              <w:spacing w:before="0" w:beforeAutospacing="0" w:after="0" w:afterAutospacing="0" w:line="276" w:lineRule="auto"/>
              <w:ind w:left="0" w:right="0"/>
              <w:jc w:val="both"/>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监理工程师</w:t>
            </w:r>
            <w:r>
              <w:rPr>
                <w:rFonts w:hint="eastAsia" w:ascii="宋体" w:hAnsi="宋体"/>
                <w:color w:val="000000" w:themeColor="text1"/>
                <w:szCs w:val="21"/>
                <w:highlight w:val="none"/>
                <w14:textFill>
                  <w14:solidFill>
                    <w14:schemeClr w14:val="tx1"/>
                  </w14:solidFill>
                </w14:textFill>
              </w:rPr>
              <w:t>资格证书</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44"/>
                <w:szCs w:val="21"/>
                <w:highlight w:val="none"/>
                <w14:textFill>
                  <w14:solidFill>
                    <w14:schemeClr w14:val="tx1"/>
                  </w14:solidFill>
                </w14:textFill>
              </w:rPr>
              <w:t>或</w:t>
            </w:r>
            <w:r>
              <w:rPr>
                <w:rFonts w:hint="eastAsia" w:ascii="宋体" w:hAnsi="宋体"/>
                <w:color w:val="000000" w:themeColor="text1"/>
                <w:kern w:val="44"/>
                <w:szCs w:val="21"/>
                <w:highlight w:val="none"/>
                <w:lang w:val="en-US" w:eastAsia="zh-CN"/>
                <w14:textFill>
                  <w14:solidFill>
                    <w14:schemeClr w14:val="tx1"/>
                  </w14:solidFill>
                </w14:textFill>
              </w:rPr>
              <w:t>注册证或</w:t>
            </w:r>
            <w:r>
              <w:rPr>
                <w:rFonts w:hint="eastAsia"/>
                <w:color w:val="000000" w:themeColor="text1"/>
                <w:highlight w:val="none"/>
                <w14:textFill>
                  <w14:solidFill>
                    <w14:schemeClr w14:val="tx1"/>
                  </w14:solidFill>
                </w14:textFill>
              </w:rPr>
              <w:t>上岗证</w:t>
            </w:r>
            <w:r>
              <w:rPr>
                <w:rFonts w:hint="eastAsia" w:ascii="宋体" w:hAnsi="宋体"/>
                <w:color w:val="000000" w:themeColor="text1"/>
                <w:kern w:val="44"/>
                <w:szCs w:val="21"/>
                <w:highlight w:val="none"/>
                <w:lang w:val="en-US" w:eastAsia="zh-CN"/>
                <w14:textFill>
                  <w14:solidFill>
                    <w14:schemeClr w14:val="tx1"/>
                  </w14:solidFill>
                </w14:textFill>
              </w:rPr>
              <w:t>或培训证</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扫描件</w:t>
            </w:r>
          </w:p>
        </w:tc>
      </w:tr>
      <w:tr w14:paraId="711A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3A3C11F">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D91FAD2">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监理员</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5C84B0E">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名</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060D853D">
            <w:pPr>
              <w:pStyle w:val="2"/>
              <w:keepNext w:val="0"/>
              <w:keepLines w:val="0"/>
              <w:suppressLineNumbers w:val="0"/>
              <w:spacing w:before="0" w:beforeAutospacing="0" w:after="0" w:afterAutospacing="0"/>
              <w:ind w:left="0" w:right="0"/>
              <w:rPr>
                <w:rFonts w:hint="eastAsia" w:ascii="宋体" w:hAnsi="Courier New"/>
                <w:color w:val="000000" w:themeColor="text1"/>
                <w:kern w:val="0"/>
                <w:sz w:val="21"/>
                <w:szCs w:val="21"/>
                <w:highlight w:val="none"/>
                <w:lang w:val="en-US" w:eastAsia="zh-CN" w:bidi="ar-SA"/>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具有</w:t>
            </w:r>
            <w:r>
              <w:rPr>
                <w:rFonts w:hint="eastAsia"/>
                <w:color w:val="000000" w:themeColor="text1"/>
                <w:highlight w:val="none"/>
                <w14:textFill>
                  <w14:solidFill>
                    <w14:schemeClr w14:val="tx1"/>
                  </w14:solidFill>
                </w14:textFill>
              </w:rPr>
              <w:t>监理员上岗证或培训证，</w:t>
            </w:r>
            <w:r>
              <w:rPr>
                <w:rFonts w:hAnsi="宋体"/>
                <w:color w:val="000000" w:themeColor="text1"/>
                <w:highlight w:val="none"/>
                <w14:textFill>
                  <w14:solidFill>
                    <w14:schemeClr w14:val="tx1"/>
                  </w14:solidFill>
                </w14:textFill>
              </w:rPr>
              <w:t>专业为</w:t>
            </w:r>
            <w:r>
              <w:rPr>
                <w:rFonts w:hint="eastAsia" w:ascii="宋体" w:hAnsi="宋体"/>
                <w:color w:val="000000" w:themeColor="text1"/>
                <w:szCs w:val="21"/>
                <w:highlight w:val="none"/>
                <w14:textFill>
                  <w14:solidFill>
                    <w14:schemeClr w14:val="tx1"/>
                  </w14:solidFill>
                </w14:textFill>
              </w:rPr>
              <w:t>水利</w:t>
            </w:r>
            <w:r>
              <w:rPr>
                <w:rFonts w:hint="eastAsia" w:hAnsi="宋体"/>
                <w:color w:val="000000" w:themeColor="text1"/>
                <w:highlight w:val="none"/>
                <w14:textFill>
                  <w14:solidFill>
                    <w14:schemeClr w14:val="tx1"/>
                  </w14:solidFill>
                </w14:textFill>
              </w:rPr>
              <w:t>工程相关专业。</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46F5717E">
            <w:pPr>
              <w:keepNext w:val="0"/>
              <w:keepLines w:val="0"/>
              <w:suppressLineNumbers w:val="0"/>
              <w:adjustRightInd w:val="0"/>
              <w:snapToGrid w:val="0"/>
              <w:spacing w:before="0" w:beforeAutospacing="0" w:after="0" w:afterAutospacing="0"/>
              <w:ind w:left="0" w:right="0"/>
              <w:jc w:val="left"/>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上岗证或培训证</w:t>
            </w:r>
            <w:r>
              <w:rPr>
                <w:rFonts w:hint="eastAsia" w:ascii="宋体" w:hAnsi="宋体"/>
                <w:color w:val="000000" w:themeColor="text1"/>
                <w:szCs w:val="21"/>
                <w:highlight w:val="none"/>
                <w:lang w:val="en-US" w:eastAsia="zh-CN"/>
                <w14:textFill>
                  <w14:solidFill>
                    <w14:schemeClr w14:val="tx1"/>
                  </w14:solidFill>
                </w14:textFill>
              </w:rPr>
              <w:t>扫描件</w:t>
            </w:r>
          </w:p>
        </w:tc>
      </w:tr>
      <w:tr w14:paraId="1A0A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DD7320E">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合计</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D7C1650">
            <w:pPr>
              <w:keepNext w:val="0"/>
              <w:keepLines w:val="0"/>
              <w:suppressLineNumbers w:val="0"/>
              <w:adjustRightInd w:val="0"/>
              <w:snapToGrid w:val="0"/>
              <w:spacing w:before="0" w:beforeAutospacing="0" w:after="0" w:afterAutospacing="0"/>
              <w:ind w:left="0" w:right="0"/>
              <w:jc w:val="center"/>
              <w:rPr>
                <w:rFonts w:hint="eastAsia" w:ascii="宋体" w:hAnsi="宋体"/>
                <w:color w:val="000000" w:themeColor="text1"/>
                <w:szCs w:val="21"/>
                <w:highlight w:val="none"/>
                <w14:textFill>
                  <w14:solidFill>
                    <w14:schemeClr w14:val="tx1"/>
                  </w14:solidFill>
                </w14:textFill>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B3434EB">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14D6D94F">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123FCA7">
            <w:pPr>
              <w:keepNext w:val="0"/>
              <w:keepLines w:val="0"/>
              <w:suppressLineNumbers w:val="0"/>
              <w:adjustRightInd w:val="0"/>
              <w:snapToGrid w:val="0"/>
              <w:spacing w:before="0" w:beforeAutospacing="0" w:after="0" w:afterAutospacing="0"/>
              <w:ind w:left="0" w:right="0"/>
              <w:jc w:val="both"/>
              <w:rPr>
                <w:rFonts w:hint="eastAsia" w:ascii="宋体" w:hAnsi="宋体"/>
                <w:color w:val="000000" w:themeColor="text1"/>
                <w:szCs w:val="21"/>
                <w:highlight w:val="none"/>
                <w14:textFill>
                  <w14:solidFill>
                    <w14:schemeClr w14:val="tx1"/>
                  </w14:solidFill>
                </w14:textFill>
              </w:rPr>
            </w:pPr>
          </w:p>
        </w:tc>
      </w:tr>
    </w:tbl>
    <w:p w14:paraId="196A53A3">
      <w:pPr>
        <w:spacing w:line="360" w:lineRule="auto"/>
        <w:ind w:firstLine="482" w:firstLineChars="200"/>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r>
        <w:rPr>
          <w:rFonts w:hint="eastAsia" w:ascii="宋体" w:hAnsi="宋体" w:cs="宋体"/>
          <w:b w:val="0"/>
          <w:bCs/>
          <w:color w:val="000000" w:themeColor="text1"/>
          <w:szCs w:val="21"/>
          <w:highlight w:val="none"/>
          <w14:textFill>
            <w14:solidFill>
              <w14:schemeClr w14:val="tx1"/>
            </w14:solidFill>
          </w14:textFill>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3343715F">
      <w:pPr>
        <w:spacing w:line="360" w:lineRule="auto"/>
        <w:ind w:firstLine="480" w:firstLineChars="200"/>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②总监理工程师及监理机构人员资格、认证证书及社保证明等方面内容必须提供相应的证明材料；所投入人员必须为投标人本单位人员，所有人员须提供近一个月（指202</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年</w:t>
      </w:r>
      <w:r>
        <w:rPr>
          <w:rFonts w:hint="eastAsia" w:ascii="宋体" w:hAnsi="宋体" w:cs="宋体"/>
          <w:b w:val="0"/>
          <w:bCs/>
          <w:color w:val="000000" w:themeColor="text1"/>
          <w:szCs w:val="21"/>
          <w:highlight w:val="none"/>
          <w:lang w:val="en-US" w:eastAsia="zh-CN"/>
          <w14:textFill>
            <w14:solidFill>
              <w14:schemeClr w14:val="tx1"/>
            </w14:solidFill>
          </w14:textFill>
        </w:rPr>
        <w:t>7</w:t>
      </w:r>
      <w:r>
        <w:rPr>
          <w:rFonts w:hint="eastAsia" w:ascii="宋体" w:hAnsi="宋体" w:cs="宋体"/>
          <w:b w:val="0"/>
          <w:bCs/>
          <w:color w:val="000000" w:themeColor="text1"/>
          <w:szCs w:val="21"/>
          <w:highlight w:val="none"/>
          <w14:textFill>
            <w14:solidFill>
              <w14:schemeClr w14:val="tx1"/>
            </w14:solidFill>
          </w14:textFill>
        </w:rPr>
        <w:t>月）在本投标单位购买社保缴纳证明材料，提供证明资料的清晰扫描件并加盖投标单位电子印章，否则不计分。</w:t>
      </w:r>
    </w:p>
    <w:p w14:paraId="0956C029">
      <w:pPr>
        <w:spacing w:line="360" w:lineRule="auto"/>
        <w:ind w:firstLine="480" w:firstLineChars="200"/>
        <w:rPr>
          <w:rFonts w:hint="eastAsia"/>
          <w:color w:val="000000" w:themeColor="text1"/>
          <w:highlight w:val="none"/>
          <w14:textFill>
            <w14:solidFill>
              <w14:schemeClr w14:val="tx1"/>
            </w14:solidFill>
          </w14:textFill>
        </w:rPr>
        <w:sectPr>
          <w:headerReference r:id="rId6" w:type="default"/>
          <w:footerReference r:id="rId7" w:type="default"/>
          <w:pgSz w:w="11905" w:h="16838"/>
          <w:pgMar w:top="1417" w:right="1417" w:bottom="1417" w:left="1417" w:header="992" w:footer="992" w:gutter="0"/>
          <w:lnNumType w:countBy="0" w:distance="360"/>
          <w:cols w:space="720" w:num="1"/>
        </w:sectPr>
      </w:pPr>
      <w:r>
        <w:rPr>
          <w:rFonts w:hint="eastAsia" w:ascii="宋体" w:hAnsi="宋体" w:cs="宋体"/>
          <w:b w:val="0"/>
          <w:bCs/>
          <w:color w:val="000000" w:themeColor="text1"/>
          <w:szCs w:val="21"/>
          <w:highlight w:val="none"/>
          <w14:textFill>
            <w14:solidFill>
              <w14:schemeClr w14:val="tx1"/>
            </w14:solidFill>
          </w14:textFill>
        </w:rPr>
        <w:t>③除总监理工程师外，上述人员要求不作为形式评审、资格评审、响应性评审的审查依据，只作为综合评分表中的评审依据</w:t>
      </w:r>
      <w:r>
        <w:rPr>
          <w:rFonts w:hint="eastAsia" w:ascii="宋体" w:hAnsi="宋体" w:cs="宋体"/>
          <w:b w:val="0"/>
          <w:bCs/>
          <w:color w:val="000000" w:themeColor="text1"/>
          <w:szCs w:val="21"/>
          <w:highlight w:val="none"/>
          <w:lang w:eastAsia="zh-CN"/>
          <w14:textFill>
            <w14:solidFill>
              <w14:schemeClr w14:val="tx1"/>
            </w14:solidFill>
          </w14:textFill>
        </w:rPr>
        <w:t>。</w:t>
      </w:r>
    </w:p>
    <w:p w14:paraId="0804FE51">
      <w:pPr>
        <w:pStyle w:val="25"/>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9" w:name="bookmark84"/>
      <w:bookmarkEnd w:id="139"/>
    </w:p>
    <w:p w14:paraId="1D092FC0">
      <w:pPr>
        <w:spacing w:line="360" w:lineRule="auto"/>
        <w:ind w:firstLine="560" w:firstLineChars="200"/>
        <w:jc w:val="center"/>
        <w:rPr>
          <w:rFonts w:hint="eastAsia" w:asciiTheme="minorEastAsia" w:hAnsiTheme="minorEastAsia" w:eastAsiaTheme="minorEastAsia" w:cstheme="minorEastAsia"/>
          <w:color w:val="000000" w:themeColor="text1"/>
          <w:sz w:val="28"/>
          <w:szCs w:val="27"/>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7"/>
          <w:highlight w:val="none"/>
          <w14:textFill>
            <w14:solidFill>
              <w14:schemeClr w14:val="tx1"/>
            </w14:solidFill>
          </w14:textFill>
        </w:rPr>
        <w:t>评标办法修改表</w:t>
      </w:r>
    </w:p>
    <w:p w14:paraId="74441239">
      <w:pPr>
        <w:pStyle w:val="18"/>
        <w:spacing w:after="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声明：本评标办法使用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SWZB2024-06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招标文件范本的评标办法条款，与该条款不同之处，均在本表中列明，并以现文为准，原文不再有效。</w:t>
      </w:r>
    </w:p>
    <w:p w14:paraId="4C6AB7A9">
      <w:pPr>
        <w:pStyle w:val="18"/>
        <w:spacing w:after="0" w:line="360" w:lineRule="auto"/>
        <w:rPr>
          <w:rFonts w:hint="eastAsia" w:asciiTheme="minorEastAsia" w:hAnsiTheme="minorEastAsia" w:eastAsiaTheme="minorEastAsia" w:cstheme="minorEastAsia"/>
          <w:b/>
          <w:color w:val="000000" w:themeColor="text1"/>
          <w:sz w:val="24"/>
          <w:szCs w:val="21"/>
          <w:highlight w:val="none"/>
          <w14:textFill>
            <w14:solidFill>
              <w14:schemeClr w14:val="tx1"/>
            </w14:solidFill>
          </w14:textFill>
        </w:rPr>
      </w:pPr>
    </w:p>
    <w:p w14:paraId="4F94C210">
      <w:pPr>
        <w:spacing w:line="480" w:lineRule="auto"/>
        <w:ind w:firstLine="537" w:firstLineChars="224"/>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条款号：</w:t>
      </w:r>
      <w:bookmarkStart w:id="140" w:name="_Toc155150493"/>
      <w:bookmarkEnd w:id="140"/>
      <w:bookmarkStart w:id="141" w:name="_Toc262229169"/>
      <w:bookmarkEnd w:id="141"/>
      <w:bookmarkStart w:id="142" w:name="_Toc359263257"/>
      <w:bookmarkEnd w:id="142"/>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 xml:space="preserve">    修改类型：增加</w:t>
      </w:r>
    </w:p>
    <w:p w14:paraId="6289290B">
      <w:pPr>
        <w:pBdr>
          <w:bottom w:val="single" w:color="auto" w:sz="6" w:space="1"/>
        </w:pBdr>
        <w:spacing w:line="480" w:lineRule="auto"/>
        <w:ind w:firstLine="537" w:firstLineChars="224"/>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现文：</w:t>
      </w:r>
    </w:p>
    <w:p w14:paraId="48412C69">
      <w:pPr>
        <w:spacing w:line="480" w:lineRule="auto"/>
        <w:ind w:firstLine="537" w:firstLineChars="224"/>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条款号：             修改类型：删除</w:t>
      </w:r>
    </w:p>
    <w:p w14:paraId="2165033B">
      <w:pPr>
        <w:pBdr>
          <w:bottom w:val="single" w:color="auto" w:sz="6" w:space="1"/>
        </w:pBdr>
        <w:spacing w:line="480" w:lineRule="auto"/>
        <w:ind w:firstLine="537" w:firstLineChars="224"/>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原文：</w:t>
      </w:r>
    </w:p>
    <w:p w14:paraId="6BF19518">
      <w:pPr>
        <w:spacing w:line="480" w:lineRule="auto"/>
        <w:ind w:firstLine="537" w:firstLineChars="224"/>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条款号：3.2.1（2）             修改类型：修改</w:t>
      </w:r>
    </w:p>
    <w:p w14:paraId="6CE6D29B">
      <w:pPr>
        <w:spacing w:line="480" w:lineRule="auto"/>
        <w:ind w:firstLine="537" w:firstLineChars="224"/>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原文：（2）按本章第2.2.4（2）目规定的评审因素和分值对监理大纲部分计算出得分B，①监理大纲部分评审得分B为从各评标专家打分中去掉一个最高分和去掉一个最低分后的剩余评标专家打分的算术平均值或②监理大纲部分评审得分B为各评标专家打分的算术平均值（二选一，招标人自行选择）</w:t>
      </w:r>
    </w:p>
    <w:p w14:paraId="498F5854">
      <w:pPr>
        <w:pBdr>
          <w:bottom w:val="single" w:color="auto" w:sz="6" w:space="1"/>
        </w:pBdr>
        <w:spacing w:line="480" w:lineRule="auto"/>
        <w:ind w:firstLine="537" w:firstLineChars="224"/>
        <w:rPr>
          <w:rFonts w:hint="eastAsia" w:asciiTheme="minorEastAsia" w:hAnsiTheme="minorEastAsia" w:eastAsiaTheme="minorEastAsia" w:cstheme="minorEastAsia"/>
          <w:color w:val="000000" w:themeColor="text1"/>
          <w:sz w:val="24"/>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现文：（2）按本章第2.2.4（2）目规定的评审因素和分值对监理大纲部分计算出得分B，</w:t>
      </w:r>
      <w:r>
        <w:rPr>
          <w:rFonts w:hint="eastAsia" w:asciiTheme="minorEastAsia" w:hAnsiTheme="minorEastAsia" w:eastAsiaTheme="minorEastAsia" w:cstheme="minorEastAsia"/>
          <w:color w:val="000000" w:themeColor="text1"/>
          <w:sz w:val="24"/>
          <w:szCs w:val="21"/>
          <w:highlight w:val="none"/>
          <w:u w:val="single"/>
          <w14:textFill>
            <w14:solidFill>
              <w14:schemeClr w14:val="tx1"/>
            </w14:solidFill>
          </w14:textFill>
        </w:rPr>
        <w:t>监理大纲部分评审得分B为从各评标专家打分中去掉一个最高分和去掉一个最低分后的剩余评标专家打分的算术平均值</w:t>
      </w:r>
      <w:r>
        <w:rPr>
          <w:rFonts w:hint="eastAsia" w:asciiTheme="minorEastAsia" w:hAnsiTheme="minorEastAsia" w:eastAsiaTheme="minorEastAsia" w:cstheme="minorEastAsia"/>
          <w:color w:val="000000" w:themeColor="text1"/>
          <w:sz w:val="24"/>
          <w:szCs w:val="21"/>
          <w:highlight w:val="none"/>
          <w:u w:val="single"/>
          <w:lang w:eastAsia="zh-CN"/>
          <w14:textFill>
            <w14:solidFill>
              <w14:schemeClr w14:val="tx1"/>
            </w14:solidFill>
          </w14:textFill>
        </w:rPr>
        <w:t>。</w:t>
      </w:r>
    </w:p>
    <w:p w14:paraId="7FBD7EFB">
      <w:pPr>
        <w:spacing w:line="360" w:lineRule="auto"/>
        <w:ind w:firstLine="480" w:firstLineChars="200"/>
        <w:jc w:val="left"/>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注：以上修改，仅限于本范本中有可供选择条</w:t>
      </w:r>
    </w:p>
    <w:p w14:paraId="0AEF2997">
      <w:pPr>
        <w:pStyle w:val="25"/>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sectPr>
          <w:pgSz w:w="11906" w:h="16838"/>
          <w:pgMar w:top="1417" w:right="1417" w:bottom="1417" w:left="1417" w:header="0" w:footer="940" w:gutter="0"/>
          <w:pgNumType w:fmt="decimal"/>
          <w:cols w:space="720" w:num="1"/>
        </w:sect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br w:type="page"/>
      </w:r>
    </w:p>
    <w:p w14:paraId="5A8B5F08">
      <w:pPr>
        <w:pStyle w:val="5"/>
        <w:outlineLvl w:val="1"/>
        <w:rPr>
          <w:rFonts w:hint="eastAsia" w:asciiTheme="minorEastAsia" w:hAnsiTheme="minorEastAsia" w:eastAsiaTheme="minorEastAsia" w:cstheme="minorEastAsia"/>
          <w:b w:val="0"/>
          <w:color w:val="000000" w:themeColor="text1"/>
          <w:sz w:val="30"/>
          <w:szCs w:val="24"/>
          <w:highlight w:val="none"/>
          <w14:textFill>
            <w14:solidFill>
              <w14:schemeClr w14:val="tx1"/>
            </w14:solidFill>
          </w14:textFill>
        </w:rPr>
      </w:pPr>
      <w:bookmarkStart w:id="143" w:name="_Toc1927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1.评标方法</w:t>
      </w:r>
      <w:bookmarkEnd w:id="143"/>
    </w:p>
    <w:p w14:paraId="57C9C34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0F6A1B36">
      <w:pPr>
        <w:pStyle w:val="5"/>
        <w:outlineLvl w:val="1"/>
        <w:rPr>
          <w:rFonts w:hint="eastAsia" w:asciiTheme="minorEastAsia" w:hAnsiTheme="minorEastAsia" w:eastAsiaTheme="minorEastAsia" w:cstheme="minorEastAsia"/>
          <w:b w:val="0"/>
          <w:color w:val="000000" w:themeColor="text1"/>
          <w:sz w:val="30"/>
          <w:szCs w:val="24"/>
          <w:highlight w:val="none"/>
          <w14:textFill>
            <w14:solidFill>
              <w14:schemeClr w14:val="tx1"/>
            </w14:solidFill>
          </w14:textFill>
        </w:rPr>
      </w:pPr>
      <w:bookmarkStart w:id="144" w:name="bookmark85"/>
      <w:bookmarkEnd w:id="144"/>
      <w:bookmarkStart w:id="145" w:name="_Toc1201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2.评审标准</w:t>
      </w:r>
      <w:bookmarkEnd w:id="145"/>
    </w:p>
    <w:p w14:paraId="257995C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46" w:name="bookmark86"/>
      <w:bookmarkEnd w:id="146"/>
      <w:bookmarkStart w:id="147" w:name="_Toc263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 初步评审标准</w:t>
      </w:r>
      <w:bookmarkEnd w:id="147"/>
    </w:p>
    <w:p w14:paraId="458D1EC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资格评审标准：见评标办法前附表。</w:t>
      </w:r>
    </w:p>
    <w:p w14:paraId="51D9481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形式评审标准：见评标办法前附表。</w:t>
      </w:r>
    </w:p>
    <w:p w14:paraId="4818F0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2.1.3 响应性评审标准：见评标办法前附表。</w:t>
      </w:r>
    </w:p>
    <w:p w14:paraId="6AFE24B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48" w:name="bookmark87"/>
      <w:bookmarkEnd w:id="148"/>
      <w:bookmarkStart w:id="149" w:name="_Toc959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分值构成与评分标准</w:t>
      </w:r>
      <w:bookmarkEnd w:id="149"/>
    </w:p>
    <w:p w14:paraId="5B95BF6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2.2.1  分值构成</w:t>
      </w:r>
    </w:p>
    <w:p w14:paraId="1B606A9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（1）资信业绩部分：见评标办法前附表；</w:t>
      </w:r>
    </w:p>
    <w:p w14:paraId="35D8842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（2）监理大纲部分：见评标办法前附表；</w:t>
      </w:r>
    </w:p>
    <w:p w14:paraId="21100BE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（3）投标报价：见评标办法前附表；</w:t>
      </w:r>
    </w:p>
    <w:p w14:paraId="366A85E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诚信得分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：见评标办法前附表。 </w:t>
      </w:r>
    </w:p>
    <w:p w14:paraId="14E6EFE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2.2.2 评标基准价计算评标基准价计算方法：见评标办法前附表。</w:t>
      </w:r>
    </w:p>
    <w:p w14:paraId="3211328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2.2.3 投标报价的偏差率计算</w:t>
      </w:r>
    </w:p>
    <w:p w14:paraId="2342F5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投标报价的偏差率计算公式：见评标办法前附表。</w:t>
      </w:r>
    </w:p>
    <w:p w14:paraId="55E40FE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2.2.4  评分标准</w:t>
      </w:r>
    </w:p>
    <w:p w14:paraId="7E97CCA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（1）资信业绩评分标准：见评标办法前附表；</w:t>
      </w:r>
    </w:p>
    <w:p w14:paraId="4E25BEE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（2）监理大纲评分标准：见评标办法前附表；</w:t>
      </w:r>
    </w:p>
    <w:p w14:paraId="5AEBC03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（3）投标报价评分标准：见评标办法前附表；</w:t>
      </w:r>
    </w:p>
    <w:p w14:paraId="1B610E6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诚信得分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评分标准：见评标办法前附表。</w:t>
      </w:r>
    </w:p>
    <w:p w14:paraId="0967AC7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注：投标人的诚信评价总分取自本项目招标公告发布第1天所在季度的上一季度的诚信综合评价分。</w:t>
      </w:r>
    </w:p>
    <w:p w14:paraId="6D9DFF33">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50" w:name="bookmark88"/>
      <w:bookmarkEnd w:id="150"/>
      <w:bookmarkStart w:id="151" w:name="_Toc1938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3.评标程序</w:t>
      </w:r>
      <w:bookmarkEnd w:id="151"/>
    </w:p>
    <w:p w14:paraId="0F66893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7"/>
          <w:szCs w:val="24"/>
          <w:highlight w:val="none"/>
          <w14:textFill>
            <w14:solidFill>
              <w14:schemeClr w14:val="tx1"/>
            </w14:solidFill>
          </w14:textFill>
        </w:rPr>
      </w:pPr>
      <w:bookmarkStart w:id="152" w:name="bookmark89"/>
      <w:bookmarkEnd w:id="152"/>
      <w:bookmarkStart w:id="153" w:name="_Toc1313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  初步评审</w:t>
      </w:r>
      <w:bookmarkEnd w:id="153"/>
    </w:p>
    <w:p w14:paraId="049780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2004C4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3.1.2 投标人有以下情形之一的，评标委员会应当否决其投标：</w:t>
      </w:r>
    </w:p>
    <w:p w14:paraId="4FE8B8C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（1）投标文件没有对招标文件的实质性要求和条件作出响应，或者对招标文件的偏差超出招标文件规定的偏差范围或最高项数；</w:t>
      </w:r>
    </w:p>
    <w:p w14:paraId="1AAB29D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（2）有串通投标、弄虚作假、行贿等违法行为。</w:t>
      </w:r>
    </w:p>
    <w:p w14:paraId="3E77A20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）两个（含两个）以上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投标人加密打包投标文件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工程量清单编制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机器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硬件信息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一致的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979BED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3.1.3 投标报价有算术错误及其他错误的，评标委员会按以下原则要求投标人对投标报价进行修正，并要求投标人书面澄清确认。投标人拒不澄清确认的，评标委员会应当否决其投标：</w:t>
      </w:r>
    </w:p>
    <w:p w14:paraId="1BA75D1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（1）投标文件中的大写金额与小写金额不一致的，以大写金额为准；</w:t>
      </w:r>
    </w:p>
    <w:p w14:paraId="035621B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（2）总价金额与单价金额不一致的，以单价金额为准，但单价金额小数点有明显错误的除外。</w:t>
      </w:r>
    </w:p>
    <w:p w14:paraId="70EFFD9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54" w:name="bookmark90"/>
      <w:bookmarkEnd w:id="154"/>
      <w:bookmarkStart w:id="155" w:name="_Toc2673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  详细评审</w:t>
      </w:r>
      <w:bookmarkEnd w:id="155"/>
    </w:p>
    <w:p w14:paraId="25BE621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3.2.1 评标委员会按本章第 2.2 款规定的量化因素和分值进行打分，并计算出综合评估得分。</w:t>
      </w:r>
    </w:p>
    <w:p w14:paraId="3C13BB4C">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（1）按本章第2.2.4（1）目规定的评审因素和分值对资信业绩部分计算出得分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资信业绩</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评审得分A为各评标专家打分的算术平均值</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AF63E1A">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（2）按本章第2.2.4（2）目规定的评审因素和分值对监理大纲部分计算出得分B</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instrText xml:space="preserve"> = 1 \* GB3 \* MERGEFORMAT </w:instrTex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①</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监理大纲</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部分评审得分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为从各评标专家打分中去掉一个最高分和去掉一个最低分后的剩余评标专家打分的算术平均值</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instrText xml:space="preserve"> = 2 \* GB3 \* MERGEFORMAT </w:instrTex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②</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监理大纲部分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评审得分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为各评标专家打分的算术平均值</w:t>
      </w:r>
      <w:r>
        <w:rPr>
          <w:rFonts w:hint="eastAsia" w:asciiTheme="minorEastAsia" w:hAnsiTheme="minorEastAsia" w:eastAsiaTheme="minorEastAsia" w:cstheme="minorEastAsia"/>
          <w:i/>
          <w:iCs/>
          <w:color w:val="000000" w:themeColor="text1"/>
          <w:sz w:val="24"/>
          <w:szCs w:val="24"/>
          <w:highlight w:val="none"/>
          <w:u w:val="single"/>
          <w:lang w:eastAsia="zh-CN"/>
          <w14:textFill>
            <w14:solidFill>
              <w14:schemeClr w14:val="tx1"/>
            </w14:solidFill>
          </w14:textFill>
        </w:rPr>
        <w:t>（二选一，招标人自行选择）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396A51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（3）按本章第2.2.4（3）目规定的评审因素和分值对投标报价计算出得分C；</w:t>
      </w:r>
    </w:p>
    <w:p w14:paraId="0771174F">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（4）按本章第2.2.4（4）目规定的评审因素和分值对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诚信评价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计算出得分D</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75B1F22">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3.2.2 评分分值计算保留小数点后两位，小数点后第三位“四舍五入”。</w:t>
      </w:r>
    </w:p>
    <w:p w14:paraId="118E62E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3.2.3 投标人得分=A+B+C+D。</w:t>
      </w:r>
    </w:p>
    <w:p w14:paraId="363DCAF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1F9583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56" w:name="bookmark91"/>
      <w:bookmarkEnd w:id="156"/>
      <w:bookmarkStart w:id="157" w:name="_Toc2172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  投标文件的澄清</w:t>
      </w:r>
      <w:bookmarkEnd w:id="157"/>
    </w:p>
    <w:p w14:paraId="040D498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3.3.1 在评标过程中，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经评标委员会中两人以上（含两人）以书面形式提出动议，评标委员会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3007418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3.3.2 澄清、说明或补正不得超出投标文件的范围且不得改变投标文件的实质性内容，并构成投标文件的组成部分。</w:t>
      </w:r>
    </w:p>
    <w:p w14:paraId="274B079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3.3.3 评标委员会对投标人提交的澄清、说明或补正有疑问的，可以要求投标人进一步澄清、 说明或补正，直至满足评标委员会的要求。</w:t>
      </w:r>
    </w:p>
    <w:p w14:paraId="14D6045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58" w:name="bookmark92"/>
      <w:bookmarkEnd w:id="158"/>
      <w:bookmarkStart w:id="159" w:name="_Toc1601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  评标结果</w:t>
      </w:r>
      <w:bookmarkEnd w:id="159"/>
    </w:p>
    <w:p w14:paraId="0DE5817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3.4.1 除第二章“投标人须知”前附表授权直接确定中标人外，评标委员会按照得分由高到低 的顺序推荐中标候选人，并标明排序。</w:t>
      </w:r>
    </w:p>
    <w:p w14:paraId="3AA1A148">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3.4.2 评标委员会完成评标后，应当向招标人提交书面评标报告和中标候选人名单。</w:t>
      </w:r>
    </w:p>
    <w:p w14:paraId="1CED351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headerReference r:id="rId8" w:type="default"/>
          <w:pgSz w:w="11905" w:h="16838"/>
          <w:pgMar w:top="1417" w:right="1417" w:bottom="1417" w:left="1417" w:header="992" w:footer="992" w:gutter="0"/>
          <w:lnNumType w:countBy="0" w:distance="360"/>
          <w:cols w:space="720" w:num="1"/>
        </w:sectPr>
      </w:pPr>
    </w:p>
    <w:p w14:paraId="69B91003">
      <w:pPr>
        <w:pStyle w:val="4"/>
        <w:outlineLvl w:val="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bookmarkStart w:id="160" w:name="bookmark93"/>
      <w:bookmarkEnd w:id="160"/>
      <w:bookmarkStart w:id="161" w:name="_Toc15665"/>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第四章</w:t>
      </w:r>
      <w:r>
        <w:rPr>
          <w:rFonts w:hint="eastAsia" w:asciiTheme="minorEastAsia" w:hAnsiTheme="minorEastAsia" w:eastAsiaTheme="minorEastAsia" w:cstheme="minorEastAsia"/>
          <w:color w:val="000000" w:themeColor="text1"/>
          <w:sz w:val="4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合同条款及格式</w:t>
      </w:r>
      <w:bookmarkEnd w:id="161"/>
    </w:p>
    <w:p w14:paraId="2CBD1F87">
      <w:pPr>
        <w:pStyle w:val="11"/>
        <w:kinsoku w:val="0"/>
        <w:overflowPunct w:val="0"/>
        <w:ind w:left="0"/>
        <w:rPr>
          <w:rFonts w:hint="eastAsia" w:asciiTheme="minorEastAsia" w:hAnsiTheme="minorEastAsia" w:eastAsiaTheme="minorEastAsia" w:cstheme="minorEastAsia"/>
          <w:b/>
          <w:color w:val="000000" w:themeColor="text1"/>
          <w:sz w:val="20"/>
          <w:szCs w:val="24"/>
          <w:highlight w:val="none"/>
          <w14:textFill>
            <w14:solidFill>
              <w14:schemeClr w14:val="tx1"/>
            </w14:solidFill>
          </w14:textFill>
        </w:rPr>
      </w:pPr>
    </w:p>
    <w:p w14:paraId="4577BFFD">
      <w:pPr>
        <w:autoSpaceDE/>
        <w:autoSpaceDN/>
        <w:adjustRightInd/>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3789AD1B">
      <w:pPr>
        <w:autoSpaceDE w:val="0"/>
        <w:autoSpaceDN w:val="0"/>
        <w:adjustRightInd w:val="0"/>
        <w:spacing w:line="360" w:lineRule="auto"/>
        <w:rPr>
          <w:rFonts w:hint="eastAsia" w:ascii="宋体" w:hAnsi="宋体" w:cs="宋体"/>
          <w:color w:val="000000" w:themeColor="text1"/>
          <w:sz w:val="24"/>
          <w:highlight w:val="none"/>
          <w14:textFill>
            <w14:solidFill>
              <w14:schemeClr w14:val="tx1"/>
            </w14:solidFill>
          </w14:textFill>
        </w:rPr>
      </w:pPr>
    </w:p>
    <w:p w14:paraId="6B0B9DB1">
      <w:pPr>
        <w:autoSpaceDE w:val="0"/>
        <w:autoSpaceDN w:val="0"/>
        <w:adjustRightInd w:val="0"/>
        <w:spacing w:line="360" w:lineRule="auto"/>
        <w:rPr>
          <w:rFonts w:hint="eastAsia" w:ascii="宋体" w:hAnsi="宋体" w:cs="宋体"/>
          <w:color w:val="000000" w:themeColor="text1"/>
          <w:sz w:val="24"/>
          <w:highlight w:val="none"/>
          <w14:textFill>
            <w14:solidFill>
              <w14:schemeClr w14:val="tx1"/>
            </w14:solidFill>
          </w14:textFill>
        </w:rPr>
      </w:pPr>
    </w:p>
    <w:p w14:paraId="56C363A5">
      <w:pPr>
        <w:autoSpaceDE w:val="0"/>
        <w:autoSpaceDN w:val="0"/>
        <w:adjustRightInd w:val="0"/>
        <w:spacing w:line="360" w:lineRule="auto"/>
        <w:rPr>
          <w:rFonts w:hint="eastAsia" w:ascii="宋体" w:hAnsi="宋体" w:cs="宋体"/>
          <w:color w:val="000000" w:themeColor="text1"/>
          <w:sz w:val="24"/>
          <w:highlight w:val="none"/>
          <w14:textFill>
            <w14:solidFill>
              <w14:schemeClr w14:val="tx1"/>
            </w14:solidFill>
          </w14:textFill>
        </w:rPr>
      </w:pPr>
    </w:p>
    <w:p w14:paraId="3570322E">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 同 编 号：</w:t>
      </w:r>
    </w:p>
    <w:p w14:paraId="69108890">
      <w:pPr>
        <w:pStyle w:val="11"/>
        <w:rPr>
          <w:rFonts w:hint="eastAsia"/>
          <w:color w:val="000000" w:themeColor="text1"/>
          <w:highlight w:val="none"/>
          <w14:textFill>
            <w14:solidFill>
              <w14:schemeClr w14:val="tx1"/>
            </w14:solidFill>
          </w14:textFill>
        </w:rPr>
      </w:pPr>
    </w:p>
    <w:p w14:paraId="2D6BBA3D">
      <w:pPr>
        <w:autoSpaceDE w:val="0"/>
        <w:autoSpaceDN w:val="0"/>
        <w:adjustRightInd w:val="0"/>
        <w:spacing w:line="360" w:lineRule="auto"/>
        <w:jc w:val="center"/>
        <w:rPr>
          <w:rFonts w:hint="eastAsia" w:ascii="宋体" w:hAnsi="宋体" w:cs="宋体"/>
          <w:bCs/>
          <w:color w:val="000000" w:themeColor="text1"/>
          <w:spacing w:val="20"/>
          <w:sz w:val="44"/>
          <w:highlight w:val="none"/>
          <w14:textFill>
            <w14:solidFill>
              <w14:schemeClr w14:val="tx1"/>
            </w14:solidFill>
          </w14:textFill>
        </w:rPr>
      </w:pPr>
      <w:r>
        <w:rPr>
          <w:rFonts w:hint="eastAsia" w:ascii="宋体" w:hAnsi="宋体" w:cs="宋体"/>
          <w:bCs/>
          <w:color w:val="000000" w:themeColor="text1"/>
          <w:sz w:val="44"/>
          <w:highlight w:val="none"/>
          <w14:textFill>
            <w14:solidFill>
              <w14:schemeClr w14:val="tx1"/>
            </w14:solidFill>
          </w14:textFill>
        </w:rPr>
        <w:t>建 设 工 程 委 托 监 理 合 同</w:t>
      </w:r>
    </w:p>
    <w:p w14:paraId="32A1849C">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735428DA">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42FB4F12">
      <w:pPr>
        <w:autoSpaceDE w:val="0"/>
        <w:autoSpaceDN w:val="0"/>
        <w:adjustRightInd w:val="0"/>
        <w:spacing w:line="360" w:lineRule="auto"/>
        <w:jc w:val="center"/>
        <w:rPr>
          <w:rFonts w:hint="eastAsia" w:ascii="宋体" w:hAnsi="宋体" w:cs="宋体"/>
          <w:color w:val="000000" w:themeColor="text1"/>
          <w:spacing w:val="20"/>
          <w:sz w:val="24"/>
          <w:highlight w:val="none"/>
          <w14:textFill>
            <w14:solidFill>
              <w14:schemeClr w14:val="tx1"/>
            </w14:solidFill>
          </w14:textFill>
        </w:rPr>
      </w:pPr>
    </w:p>
    <w:p w14:paraId="272BB955">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37B493BA">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5968DD76">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48D8252A">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566F2C46">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28E17687">
      <w:pPr>
        <w:spacing w:line="480" w:lineRule="auto"/>
        <w:ind w:left="2496" w:leftChars="590" w:hanging="1080" w:hangingChars="4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工程名称：</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天河龙洞粮库建设工程（水利水电工程）监理</w:t>
      </w:r>
    </w:p>
    <w:p w14:paraId="70FD5244">
      <w:pPr>
        <w:spacing w:line="480" w:lineRule="auto"/>
        <w:ind w:left="2496" w:leftChars="590" w:hanging="1080" w:hangingChars="45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广州市天河区龙洞街道迎龙路东侧</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012DF35">
      <w:pPr>
        <w:spacing w:line="480" w:lineRule="auto"/>
        <w:ind w:left="2496" w:leftChars="590" w:hanging="1080" w:hangingChars="4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 托 人：</w:t>
      </w:r>
      <w:r>
        <w:rPr>
          <w:rFonts w:hint="eastAsia" w:ascii="宋体" w:hAnsi="宋体" w:cs="宋体"/>
          <w:color w:val="000000" w:themeColor="text1"/>
          <w:sz w:val="24"/>
          <w:highlight w:val="none"/>
          <w:u w:val="single"/>
          <w14:textFill>
            <w14:solidFill>
              <w14:schemeClr w14:val="tx1"/>
            </w14:solidFill>
          </w14:textFill>
        </w:rPr>
        <w:t xml:space="preserve">广州市天河区建设工程项目代建局       </w:t>
      </w:r>
    </w:p>
    <w:p w14:paraId="4058DF98">
      <w:pPr>
        <w:spacing w:line="480" w:lineRule="auto"/>
        <w:ind w:left="2496" w:leftChars="590" w:hanging="1080" w:hangingChars="45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 理 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EEFCBA7">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00F6156B">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60A64699">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6C4DB984">
      <w:pPr>
        <w:autoSpaceDE w:val="0"/>
        <w:autoSpaceDN w:val="0"/>
        <w:adjustRightInd w:val="0"/>
        <w:spacing w:line="360" w:lineRule="auto"/>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住房和城乡建设部</w:t>
      </w:r>
    </w:p>
    <w:p w14:paraId="16C66434">
      <w:pPr>
        <w:autoSpaceDE w:val="0"/>
        <w:autoSpaceDN w:val="0"/>
        <w:adjustRightIn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制定</w:t>
      </w:r>
    </w:p>
    <w:p w14:paraId="30D5FF2D">
      <w:pPr>
        <w:autoSpaceDE w:val="0"/>
        <w:autoSpaceDN w:val="0"/>
        <w:adjustRightInd w:val="0"/>
        <w:spacing w:line="360" w:lineRule="auto"/>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国家工商行政管理局</w:t>
      </w:r>
    </w:p>
    <w:p w14:paraId="51A9A5A8">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68474B0B">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02E0CD8D">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1A5A2ADC">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54561DCB">
      <w:pPr>
        <w:autoSpaceDE w:val="0"/>
        <w:autoSpaceDN w:val="0"/>
        <w:adjustRightInd w:val="0"/>
        <w:spacing w:line="360" w:lineRule="auto"/>
        <w:rPr>
          <w:rFonts w:hint="eastAsia" w:ascii="宋体" w:hAnsi="宋体" w:cs="宋体"/>
          <w:color w:val="000000" w:themeColor="text1"/>
          <w:spacing w:val="20"/>
          <w:sz w:val="24"/>
          <w:highlight w:val="none"/>
          <w14:textFill>
            <w14:solidFill>
              <w14:schemeClr w14:val="tx1"/>
            </w14:solidFill>
          </w14:textFill>
        </w:rPr>
      </w:pPr>
    </w:p>
    <w:p w14:paraId="1513AE1F">
      <w:pPr>
        <w:adjustRightInd w:val="0"/>
        <w:snapToGrid w:val="0"/>
        <w:spacing w:line="360" w:lineRule="auto"/>
        <w:ind w:right="11"/>
        <w:jc w:val="center"/>
        <w:rPr>
          <w:rFonts w:hint="eastAsia"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kern w:val="0"/>
          <w:sz w:val="32"/>
          <w:szCs w:val="32"/>
          <w:highlight w:val="none"/>
          <w14:textFill>
            <w14:solidFill>
              <w14:schemeClr w14:val="tx1"/>
            </w14:solidFill>
          </w14:textFill>
        </w:rPr>
        <w:t>使 用 说 明</w:t>
      </w:r>
    </w:p>
    <w:p w14:paraId="2356BAB4">
      <w:pPr>
        <w:adjustRightInd w:val="0"/>
        <w:snapToGrid w:val="0"/>
        <w:spacing w:line="360" w:lineRule="auto"/>
        <w:ind w:right="11"/>
        <w:rPr>
          <w:rFonts w:hint="eastAsia" w:ascii="宋体" w:hAnsi="宋体" w:cs="宋体"/>
          <w:snapToGrid w:val="0"/>
          <w:color w:val="000000" w:themeColor="text1"/>
          <w:kern w:val="0"/>
          <w:sz w:val="24"/>
          <w:highlight w:val="none"/>
          <w14:textFill>
            <w14:solidFill>
              <w14:schemeClr w14:val="tx1"/>
            </w14:solidFill>
          </w14:textFill>
        </w:rPr>
      </w:pPr>
    </w:p>
    <w:p w14:paraId="33D78267">
      <w:pPr>
        <w:adjustRightInd w:val="0"/>
        <w:snapToGrid w:val="0"/>
        <w:spacing w:line="360" w:lineRule="auto"/>
        <w:ind w:right="11"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范本根据我局实际情况，以及参考《建设工程监理合同（示范文本）》（GF－2012－0202）编制，由《委托监理协议书》、《标准条件》、《专用条件》和《合同附件》四大部分组成。《委托监理协议书》中需要根据工程项目实际情况编写的内容按标准化模式设置可选项，采用“×”或“</w:t>
      </w:r>
      <w:r>
        <w:rPr>
          <w:rFonts w:ascii="Arial" w:hAnsi="Arial" w:cs="Arial"/>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”予以选择。合同中此部分内容，标注“×”的选项即为本合同不采用，标注“</w:t>
      </w:r>
      <w:r>
        <w:rPr>
          <w:rFonts w:ascii="Arial" w:hAnsi="Arial" w:cs="Arial"/>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”的选项为本合同采用。廉政合同作为本合同的附件，与合同正文一同签署、装订。</w:t>
      </w:r>
    </w:p>
    <w:p w14:paraId="2EC0D5D7">
      <w:pPr>
        <w:adjustRightInd w:val="0"/>
        <w:snapToGrid w:val="0"/>
        <w:spacing w:line="360" w:lineRule="auto"/>
        <w:ind w:right="11" w:firstLine="883" w:firstLineChars="200"/>
        <w:outlineLvl w:val="1"/>
        <w:rPr>
          <w:rFonts w:hint="eastAsia" w:ascii="宋体" w:hAnsi="宋体" w:cs="宋体"/>
          <w:b/>
          <w:snapToGrid w:val="0"/>
          <w:color w:val="000000" w:themeColor="text1"/>
          <w:kern w:val="0"/>
          <w:sz w:val="44"/>
          <w:szCs w:val="44"/>
          <w:highlight w:val="none"/>
          <w14:textFill>
            <w14:solidFill>
              <w14:schemeClr w14:val="tx1"/>
            </w14:solidFill>
          </w14:textFill>
        </w:rPr>
      </w:pPr>
      <w:r>
        <w:rPr>
          <w:rFonts w:hint="eastAsia" w:ascii="宋体" w:hAnsi="宋体" w:cs="宋体"/>
          <w:b/>
          <w:snapToGrid w:val="0"/>
          <w:color w:val="000000" w:themeColor="text1"/>
          <w:kern w:val="0"/>
          <w:sz w:val="44"/>
          <w:szCs w:val="44"/>
          <w:highlight w:val="none"/>
          <w14:textFill>
            <w14:solidFill>
              <w14:schemeClr w14:val="tx1"/>
            </w14:solidFill>
          </w14:textFill>
        </w:rPr>
        <w:br w:type="page"/>
      </w:r>
      <w:bookmarkStart w:id="162" w:name="_Toc32647"/>
      <w:bookmarkStart w:id="163" w:name="_Toc24949"/>
      <w:bookmarkStart w:id="164" w:name="_Toc31355"/>
      <w:bookmarkStart w:id="165" w:name="_Toc11136"/>
      <w:r>
        <w:rPr>
          <w:rFonts w:hint="eastAsia" w:ascii="宋体" w:hAnsi="宋体" w:cs="宋体"/>
          <w:b/>
          <w:snapToGrid w:val="0"/>
          <w:color w:val="000000" w:themeColor="text1"/>
          <w:kern w:val="0"/>
          <w:sz w:val="44"/>
          <w:szCs w:val="44"/>
          <w:highlight w:val="none"/>
          <w14:textFill>
            <w14:solidFill>
              <w14:schemeClr w14:val="tx1"/>
            </w14:solidFill>
          </w14:textFill>
        </w:rPr>
        <w:t>第一部分  建设工程委托监理协议书</w:t>
      </w:r>
      <w:bookmarkEnd w:id="162"/>
      <w:bookmarkEnd w:id="163"/>
      <w:bookmarkEnd w:id="164"/>
      <w:bookmarkEnd w:id="165"/>
    </w:p>
    <w:p w14:paraId="6CCBEFD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广州市天河区建设工程项目代建局（以下称委托人）与</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以下称监理人）依照《中华人民共和国民法典》、《中华人民共和国建筑法》和他有关法律、行政法规、部门规章、地方性法规、规章，以及国家和广东省、广州市、天河区的有关文件，遵循平等、自愿、公平和诚实信用的原则，双方就委托人委托监理人对</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天河龙洞粮库建设工程（水利水电工程）</w:t>
      </w: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snapToGrid w:val="0"/>
          <w:color w:val="000000" w:themeColor="text1"/>
          <w:kern w:val="0"/>
          <w:szCs w:val="21"/>
          <w:highlight w:val="none"/>
          <w14:textFill>
            <w14:solidFill>
              <w14:schemeClr w14:val="tx1"/>
            </w14:solidFill>
          </w14:textFill>
        </w:rPr>
        <w:t>进行监理之事宜协商达成一致，订立本合同，以资双方共同遵守。</w:t>
      </w:r>
    </w:p>
    <w:p w14:paraId="2B826294">
      <w:pPr>
        <w:adjustRightInd w:val="0"/>
        <w:snapToGrid w:val="0"/>
        <w:spacing w:line="360" w:lineRule="auto"/>
        <w:ind w:firstLine="482" w:firstLineChars="20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一、</w:t>
      </w:r>
      <w:r>
        <w:rPr>
          <w:rFonts w:hint="eastAsia" w:ascii="宋体" w:hAnsi="宋体" w:cs="宋体"/>
          <w:snapToGrid w:val="0"/>
          <w:color w:val="000000" w:themeColor="text1"/>
          <w:kern w:val="0"/>
          <w:szCs w:val="21"/>
          <w:highlight w:val="none"/>
          <w14:textFill>
            <w14:solidFill>
              <w14:schemeClr w14:val="tx1"/>
            </w14:solidFill>
          </w14:textFill>
        </w:rPr>
        <w:t>监理工程概况</w:t>
      </w:r>
    </w:p>
    <w:p w14:paraId="39BFA3F1">
      <w:pPr>
        <w:adjustRightInd w:val="0"/>
        <w:snapToGrid w:val="0"/>
        <w:spacing w:line="360" w:lineRule="auto"/>
        <w:ind w:firstLine="48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（1）工程名称：</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天河龙洞粮库建设工程（水利水电工程）监理</w:t>
      </w:r>
      <w:r>
        <w:rPr>
          <w:rFonts w:hint="eastAsia" w:ascii="宋体" w:hAnsi="宋体" w:cs="宋体"/>
          <w:color w:val="000000" w:themeColor="text1"/>
          <w:szCs w:val="21"/>
          <w:highlight w:val="none"/>
          <w:u w:val="single"/>
          <w14:textFill>
            <w14:solidFill>
              <w14:schemeClr w14:val="tx1"/>
            </w14:solidFill>
          </w14:textFill>
        </w:rPr>
        <w:t xml:space="preserve"> </w:t>
      </w:r>
    </w:p>
    <w:p w14:paraId="7C2EF216">
      <w:pPr>
        <w:adjustRightInd w:val="0"/>
        <w:snapToGrid w:val="0"/>
        <w:spacing w:line="360" w:lineRule="auto"/>
        <w:ind w:firstLine="480" w:firstLineChars="200"/>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（2）工程地点：</w:t>
      </w:r>
      <w:r>
        <w:rPr>
          <w:rFonts w:hint="eastAsia" w:ascii="宋体" w:hAnsi="宋体" w:eastAsia="宋体" w:cs="宋体"/>
          <w:snapToGrid/>
          <w:color w:val="000000" w:themeColor="text1"/>
          <w:kern w:val="2"/>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广州市天河区龙洞街道迎龙路东侧</w:t>
      </w:r>
      <w:r>
        <w:rPr>
          <w:rFonts w:hint="eastAsia" w:ascii="宋体" w:hAnsi="宋体" w:eastAsia="宋体" w:cs="宋体"/>
          <w:snapToGrid/>
          <w:color w:val="000000" w:themeColor="text1"/>
          <w:kern w:val="2"/>
          <w:szCs w:val="21"/>
          <w:highlight w:val="none"/>
          <w:u w:val="single"/>
          <w:lang w:eastAsia="zh-CN"/>
          <w14:textFill>
            <w14:solidFill>
              <w14:schemeClr w14:val="tx1"/>
            </w14:solidFill>
          </w14:textFill>
        </w:rPr>
        <w:t>。</w:t>
      </w:r>
    </w:p>
    <w:p w14:paraId="4AB26BAA">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（3）工程规模：</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项目规划总用地面积42535.22平方米，其中：河涌水域面积1866.10平方米。本次项目乌蛇坑涌综合整治提升工程包括乌蛇坑涌整治、新建桥梁、乌蛇坑水库溢洪道堰改闸、乌蛇坑水库大坝加固。结合天河龙洞粮库建设工程总体布置：</w:t>
      </w:r>
    </w:p>
    <w:p w14:paraId="3A3454F9">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乌蛇坑涌整治：项目对粮库地块内的乌蛇涌河段沿原线路拓宽，拓宽后河涌宽度10m，实施河段长度190m，起点为乌蛇坑水库溢洪道末端，终点为乌蛇坑涌（河道桩号190m）。两岸10m范围内进行园林绿化布置，总体与龙洞粮库风格协调统一。</w:t>
      </w:r>
    </w:p>
    <w:p w14:paraId="436E6F95">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（2）新建桥梁：根据粮库流线新建2座跨涌桥梁衔接两岸，北侧1#桥梁跨径18m，桥面净宽10m；南侧2#桥梁跨径18m，桥面净宽7.5m。</w:t>
      </w:r>
    </w:p>
    <w:p w14:paraId="15B2CDAA">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（3）乌蛇坑水库溢流堰改造为水闸，水闸单孔宽6m，溢洪道下穿迎龙路，长50m，宽6.0m，高2.8m。</w:t>
      </w:r>
    </w:p>
    <w:p w14:paraId="653237BA">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（4）乌蛇坑水库大坝加固：对乌蛇坑水库大坝迎龙路段进行充填灌浆加固。</w:t>
      </w:r>
    </w:p>
    <w:p w14:paraId="00C07B6F">
      <w:pPr>
        <w:adjustRightInd w:val="0"/>
        <w:snapToGrid w:val="0"/>
        <w:spacing w:line="360" w:lineRule="auto"/>
        <w:ind w:firstLine="480" w:firstLineChars="20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乌蛇坑水库为小（2）型水库，设计洪水标准10年一遇，校核洪水标准50年一遇。根据《水利水电工程等级划分及洪水标准》（SL252-2017），水闸建筑物级别为5级。根据《堤防工程设计规范》（GB50826-2013），堤防工程级别为2级，主要建筑物级别为2级，次要建筑物为3级</w:t>
      </w:r>
      <w:r>
        <w:rPr>
          <w:rFonts w:hint="eastAsia" w:ascii="宋体" w:hAnsi="宋体" w:eastAsia="宋体" w:cs="宋体"/>
          <w:strike w:val="0"/>
          <w:color w:val="000000" w:themeColor="text1"/>
          <w:sz w:val="21"/>
          <w:szCs w:val="21"/>
          <w:highlight w:val="none"/>
          <w:u w:val="single"/>
          <w:lang w:val="en-US" w:eastAsia="zh-CN"/>
          <w14:textFill>
            <w14:solidFill>
              <w14:schemeClr w14:val="tx1"/>
            </w14:solidFill>
          </w14:textFill>
        </w:rPr>
        <w:t>。</w:t>
      </w:r>
    </w:p>
    <w:p w14:paraId="186E95A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（4）工程总投资：</w:t>
      </w:r>
      <w:r>
        <w:rPr>
          <w:rFonts w:hint="eastAsia" w:cs="宋体"/>
          <w:color w:val="000000" w:themeColor="text1"/>
          <w:kern w:val="0"/>
          <w:highlight w:val="none"/>
          <w:u w:val="single"/>
          <w14:textFill>
            <w14:solidFill>
              <w14:schemeClr w14:val="tx1"/>
            </w14:solidFill>
          </w14:textFill>
        </w:rPr>
        <w:t>项目估算</w:t>
      </w:r>
      <w:r>
        <w:rPr>
          <w:rFonts w:hint="eastAsia" w:asciiTheme="majorEastAsia" w:hAnsiTheme="majorEastAsia" w:eastAsiaTheme="majorEastAsia" w:cstheme="majorEastAsia"/>
          <w:color w:val="000000" w:themeColor="text1"/>
          <w:kern w:val="0"/>
          <w:highlight w:val="none"/>
          <w:u w:val="single"/>
          <w14:textFill>
            <w14:solidFill>
              <w14:schemeClr w14:val="tx1"/>
            </w14:solidFill>
          </w14:textFill>
        </w:rPr>
        <w:t>总投资约</w:t>
      </w:r>
      <w:r>
        <w:rPr>
          <w:rFonts w:hint="eastAsia" w:asciiTheme="majorEastAsia" w:hAnsiTheme="majorEastAsia" w:eastAsiaTheme="majorEastAsia" w:cstheme="majorEastAsia"/>
          <w:color w:val="000000" w:themeColor="text1"/>
          <w:kern w:val="0"/>
          <w:highlight w:val="none"/>
          <w:u w:val="single"/>
          <w:lang w:val="en-US" w:eastAsia="zh-CN"/>
          <w14:textFill>
            <w14:solidFill>
              <w14:schemeClr w14:val="tx1"/>
            </w14:solidFill>
          </w14:textFill>
        </w:rPr>
        <w:t>64003.79</w:t>
      </w:r>
      <w:r>
        <w:rPr>
          <w:rFonts w:hint="eastAsia" w:asciiTheme="majorEastAsia" w:hAnsiTheme="majorEastAsia" w:eastAsiaTheme="majorEastAsia" w:cstheme="majorEastAsia"/>
          <w:color w:val="000000" w:themeColor="text1"/>
          <w:kern w:val="0"/>
          <w:highlight w:val="none"/>
          <w:u w:val="single"/>
          <w14:textFill>
            <w14:solidFill>
              <w14:schemeClr w14:val="tx1"/>
            </w14:solidFill>
          </w14:textFill>
        </w:rPr>
        <w:t>万元，其中工程费</w:t>
      </w:r>
      <w:r>
        <w:rPr>
          <w:rFonts w:hint="eastAsia" w:asciiTheme="majorEastAsia" w:hAnsiTheme="majorEastAsia" w:eastAsiaTheme="majorEastAsia" w:cstheme="majorEastAsia"/>
          <w:color w:val="000000" w:themeColor="text1"/>
          <w:kern w:val="0"/>
          <w:highlight w:val="none"/>
          <w:u w:val="single"/>
          <w:lang w:eastAsia="zh-CN"/>
          <w14:textFill>
            <w14:solidFill>
              <w14:schemeClr w14:val="tx1"/>
            </w14:solidFill>
          </w14:textFill>
        </w:rPr>
        <w:t>39203.47</w:t>
      </w:r>
      <w:r>
        <w:rPr>
          <w:rFonts w:hint="eastAsia" w:asciiTheme="majorEastAsia" w:hAnsiTheme="majorEastAsia" w:eastAsiaTheme="majorEastAsia" w:cstheme="majorEastAsia"/>
          <w:color w:val="000000" w:themeColor="text1"/>
          <w:kern w:val="0"/>
          <w:highlight w:val="none"/>
          <w:u w:val="single"/>
          <w14:textFill>
            <w14:solidFill>
              <w14:schemeClr w14:val="tx1"/>
            </w14:solidFill>
          </w14:textFill>
        </w:rPr>
        <w:t>万元，工程建设其他费</w:t>
      </w:r>
      <w:r>
        <w:rPr>
          <w:rFonts w:hint="eastAsia" w:asciiTheme="majorEastAsia" w:hAnsiTheme="majorEastAsia" w:eastAsiaTheme="majorEastAsia" w:cstheme="majorEastAsia"/>
          <w:color w:val="000000" w:themeColor="text1"/>
          <w:kern w:val="0"/>
          <w:highlight w:val="none"/>
          <w:u w:val="single"/>
          <w:lang w:eastAsia="zh-CN"/>
          <w14:textFill>
            <w14:solidFill>
              <w14:schemeClr w14:val="tx1"/>
            </w14:solidFill>
          </w14:textFill>
        </w:rPr>
        <w:t>23501.58</w:t>
      </w:r>
      <w:r>
        <w:rPr>
          <w:rFonts w:hint="eastAsia" w:asciiTheme="majorEastAsia" w:hAnsiTheme="majorEastAsia" w:eastAsiaTheme="majorEastAsia" w:cstheme="majorEastAsia"/>
          <w:color w:val="000000" w:themeColor="text1"/>
          <w:kern w:val="0"/>
          <w:highlight w:val="none"/>
          <w:u w:val="single"/>
          <w14:textFill>
            <w14:solidFill>
              <w14:schemeClr w14:val="tx1"/>
            </w14:solidFill>
          </w14:textFill>
        </w:rPr>
        <w:t>万元（含土地费用</w:t>
      </w:r>
      <w:r>
        <w:rPr>
          <w:rFonts w:hint="eastAsia" w:asciiTheme="majorEastAsia" w:hAnsiTheme="majorEastAsia" w:eastAsiaTheme="majorEastAsia" w:cstheme="majorEastAsia"/>
          <w:color w:val="000000" w:themeColor="text1"/>
          <w:kern w:val="0"/>
          <w:highlight w:val="none"/>
          <w:u w:val="single"/>
          <w:lang w:eastAsia="zh-CN"/>
          <w14:textFill>
            <w14:solidFill>
              <w14:schemeClr w14:val="tx1"/>
            </w14:solidFill>
          </w14:textFill>
        </w:rPr>
        <w:t>19413.86</w:t>
      </w:r>
      <w:r>
        <w:rPr>
          <w:rFonts w:hint="eastAsia" w:asciiTheme="majorEastAsia" w:hAnsiTheme="majorEastAsia" w:eastAsiaTheme="majorEastAsia" w:cstheme="majorEastAsia"/>
          <w:color w:val="000000" w:themeColor="text1"/>
          <w:kern w:val="0"/>
          <w:highlight w:val="none"/>
          <w:u w:val="single"/>
          <w14:textFill>
            <w14:solidFill>
              <w14:schemeClr w14:val="tx1"/>
            </w14:solidFill>
          </w14:textFill>
        </w:rPr>
        <w:t>万元），预备费</w:t>
      </w:r>
      <w:r>
        <w:rPr>
          <w:rFonts w:hint="eastAsia" w:asciiTheme="majorEastAsia" w:hAnsiTheme="majorEastAsia" w:eastAsiaTheme="majorEastAsia" w:cstheme="majorEastAsia"/>
          <w:color w:val="000000" w:themeColor="text1"/>
          <w:kern w:val="0"/>
          <w:highlight w:val="none"/>
          <w:u w:val="single"/>
          <w:lang w:eastAsia="zh-CN"/>
          <w14:textFill>
            <w14:solidFill>
              <w14:schemeClr w14:val="tx1"/>
            </w14:solidFill>
          </w14:textFill>
        </w:rPr>
        <w:t>1298.74</w:t>
      </w:r>
      <w:r>
        <w:rPr>
          <w:rFonts w:hint="eastAsia" w:asciiTheme="majorEastAsia" w:hAnsiTheme="majorEastAsia" w:eastAsiaTheme="majorEastAsia" w:cstheme="majorEastAsia"/>
          <w:color w:val="000000" w:themeColor="text1"/>
          <w:kern w:val="0"/>
          <w:highlight w:val="none"/>
          <w:u w:val="single"/>
          <w14:textFill>
            <w14:solidFill>
              <w14:schemeClr w14:val="tx1"/>
            </w14:solidFill>
          </w14:textFill>
        </w:rPr>
        <w:t>万元</w:t>
      </w:r>
      <w:r>
        <w:rPr>
          <w:rFonts w:hint="eastAsia" w:asciiTheme="majorEastAsia" w:hAnsiTheme="majorEastAsia" w:eastAsiaTheme="majorEastAsia" w:cstheme="majorEastAsia"/>
          <w:color w:val="000000" w:themeColor="text1"/>
          <w:kern w:val="0"/>
          <w:highlight w:val="none"/>
          <w:u w:val="singl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highlight w:val="none"/>
          <w:u w:val="single"/>
          <w:lang w:val="en-US" w:eastAsia="zh-CN"/>
          <w14:textFill>
            <w14:solidFill>
              <w14:schemeClr w14:val="tx1"/>
            </w14:solidFill>
          </w14:textFill>
        </w:rPr>
        <w:t>其中水利水电工程1792.87万元</w:t>
      </w:r>
      <w:r>
        <w:rPr>
          <w:rFonts w:hint="eastAsia" w:ascii="宋体" w:hAnsi="宋体" w:cs="宋体"/>
          <w:snapToGrid w:val="0"/>
          <w:color w:val="000000" w:themeColor="text1"/>
          <w:kern w:val="0"/>
          <w:szCs w:val="21"/>
          <w:highlight w:val="none"/>
          <w:u w:val="single"/>
          <w14:textFill>
            <w14:solidFill>
              <w14:schemeClr w14:val="tx1"/>
            </w14:solidFill>
          </w14:textFill>
        </w:rPr>
        <w:t>。</w:t>
      </w:r>
    </w:p>
    <w:p w14:paraId="0001574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（5）质量标准：</w:t>
      </w:r>
      <w:r>
        <w:rPr>
          <w:rFonts w:hint="eastAsia" w:ascii="宋体" w:hAnsi="宋体" w:cs="宋体"/>
          <w:bCs/>
          <w:snapToGrid w:val="0"/>
          <w:color w:val="000000" w:themeColor="text1"/>
          <w:kern w:val="0"/>
          <w:szCs w:val="21"/>
          <w:highlight w:val="none"/>
          <w14:textFill>
            <w14:solidFill>
              <w14:schemeClr w14:val="tx1"/>
            </w14:solidFill>
          </w14:textFill>
        </w:rPr>
        <w:t>达到工程施工质量验收规范合格标准及国家现行相关专业有关施工质量验收规范标准，一次验收合格</w:t>
      </w:r>
      <w:r>
        <w:rPr>
          <w:rFonts w:hint="eastAsia" w:ascii="宋体" w:hAnsi="宋体" w:cs="宋体"/>
          <w:bCs/>
          <w:strike w:val="0"/>
          <w:snapToGrid w:val="0"/>
          <w:color w:val="000000" w:themeColor="text1"/>
          <w:kern w:val="0"/>
          <w:szCs w:val="21"/>
          <w:highlight w:val="none"/>
          <w14:textFill>
            <w14:solidFill>
              <w14:schemeClr w14:val="tx1"/>
            </w14:solidFill>
          </w14:textFill>
        </w:rPr>
        <w:t>，且</w:t>
      </w:r>
      <w:r>
        <w:rPr>
          <w:rFonts w:hint="eastAsia" w:ascii="宋体" w:hAnsi="宋体" w:cs="宋体"/>
          <w:bCs/>
          <w:snapToGrid w:val="0"/>
          <w:color w:val="000000" w:themeColor="text1"/>
          <w:kern w:val="0"/>
          <w:szCs w:val="21"/>
          <w:highlight w:val="none"/>
          <w14:textFill>
            <w14:solidFill>
              <w14:schemeClr w14:val="tx1"/>
            </w14:solidFill>
          </w14:textFill>
        </w:rPr>
        <w:t>：</w:t>
      </w:r>
    </w:p>
    <w:p w14:paraId="0BCD96FA">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  1）争创广州市优良样板工程。</w:t>
      </w:r>
    </w:p>
    <w:p w14:paraId="1F1E8ACA">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  2）确保广州市优良样板工程，争创广东省优良样板工程。</w:t>
      </w:r>
    </w:p>
    <w:p w14:paraId="1C486061">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  3）确保广东省优良样板工程，争创国家优质工程。</w:t>
      </w:r>
    </w:p>
    <w:p w14:paraId="69CEDC08">
      <w:pPr>
        <w:adjustRightInd w:val="0"/>
        <w:snapToGrid w:val="0"/>
        <w:spacing w:line="360" w:lineRule="auto"/>
        <w:ind w:firstLine="480" w:firstLineChars="200"/>
        <w:rPr>
          <w:rFonts w:ascii="宋体" w:hAnsi="宋体" w:cs="宋体"/>
          <w:snapToGrid w:val="0"/>
          <w:color w:val="000000" w:themeColor="text1"/>
          <w:kern w:val="0"/>
          <w:szCs w:val="21"/>
          <w:highlight w:val="none"/>
          <w:lang w:val="zh-CN"/>
          <w14:textFill>
            <w14:solidFill>
              <w14:schemeClr w14:val="tx1"/>
            </w14:solidFill>
          </w14:textFill>
        </w:rPr>
      </w:pPr>
      <w:r>
        <w:rPr>
          <w:rFonts w:hint="eastAsia" w:ascii="MS Mincho" w:hAnsi="MS Mincho" w:eastAsia="宋体" w:cs="MS Mincho"/>
          <w:bCs/>
          <w:snapToGrid w:val="0"/>
          <w:color w:val="000000" w:themeColor="text1"/>
          <w:kern w:val="0"/>
          <w:szCs w:val="21"/>
          <w:highlight w:val="none"/>
          <w:lang w:eastAsia="zh-CN"/>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 xml:space="preserve">  4）其他</w:t>
      </w:r>
      <w:r>
        <w:rPr>
          <w:rFonts w:hint="eastAsia" w:ascii="宋体" w:hAnsi="宋体" w:cs="宋体"/>
          <w:snapToGrid w:val="0"/>
          <w:color w:val="000000" w:themeColor="text1"/>
          <w:kern w:val="0"/>
          <w:szCs w:val="21"/>
          <w:highlight w:val="none"/>
          <w:lang w:val="zh-CN"/>
          <w14:textFill>
            <w14:solidFill>
              <w14:schemeClr w14:val="tx1"/>
            </w14:solidFill>
          </w14:textFill>
        </w:rPr>
        <w:t>：</w:t>
      </w:r>
      <w:r>
        <w:rPr>
          <w:rFonts w:hint="eastAsia" w:ascii="宋体" w:hAnsi="宋体" w:cs="宋体"/>
          <w:strike w:val="0"/>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lang w:val="zh-CN"/>
          <w14:textFill>
            <w14:solidFill>
              <w14:schemeClr w14:val="tx1"/>
            </w14:solidFill>
          </w14:textFill>
        </w:rPr>
        <w:t>。</w:t>
      </w:r>
    </w:p>
    <w:p w14:paraId="589ECF6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（6）合同工期：监理服务期自监理人收到中标通知书或签订监理合同（以时间最早发生的为准）之日起，至本合同工程保修期结束且本合同工程结算经政府终审部门审定之日止。</w:t>
      </w:r>
    </w:p>
    <w:p w14:paraId="2B6E9AC2">
      <w:pPr>
        <w:pStyle w:val="11"/>
        <w:spacing w:line="360" w:lineRule="auto"/>
        <w:ind w:left="0" w:firstLine="480" w:firstLineChars="200"/>
        <w:rPr>
          <w:rFonts w:hint="eastAsia"/>
          <w:color w:val="000000" w:themeColor="text1"/>
          <w:sz w:val="24"/>
          <w:szCs w:val="24"/>
          <w:highlight w:val="none"/>
          <w14:textFill>
            <w14:solidFill>
              <w14:schemeClr w14:val="tx1"/>
            </w14:solidFill>
          </w14:textFill>
        </w:rPr>
      </w:pPr>
      <w:r>
        <w:rPr>
          <w:rFonts w:hint="eastAsia" w:ascii="宋体" w:hAnsi="宋体" w:cs="宋体"/>
          <w:snapToGrid w:val="0"/>
          <w:color w:val="000000" w:themeColor="text1"/>
          <w:sz w:val="24"/>
          <w:szCs w:val="24"/>
          <w:highlight w:val="none"/>
          <w14:textFill>
            <w14:solidFill>
              <w14:schemeClr w14:val="tx1"/>
            </w14:solidFill>
          </w14:textFill>
        </w:rPr>
        <w:t>（7）投资控制目标：</w:t>
      </w:r>
      <w:r>
        <w:rPr>
          <w:rFonts w:hint="eastAsia" w:ascii="MS Mincho" w:hAnsi="MS Mincho" w:eastAsia="宋体" w:cs="MS Mincho"/>
          <w:bCs/>
          <w:snapToGrid w:val="0"/>
          <w:color w:val="000000" w:themeColor="text1"/>
          <w:sz w:val="24"/>
          <w:szCs w:val="24"/>
          <w:highlight w:val="none"/>
          <w:lang w:eastAsia="zh-CN"/>
          <w14:textFill>
            <w14:solidFill>
              <w14:schemeClr w14:val="tx1"/>
            </w14:solidFill>
          </w14:textFill>
        </w:rPr>
        <w:t>□</w:t>
      </w:r>
      <w:r>
        <w:rPr>
          <w:rFonts w:hint="eastAsia" w:ascii="宋体" w:hAnsi="宋体" w:cs="宋体"/>
          <w:bCs/>
          <w:snapToGrid w:val="0"/>
          <w:color w:val="000000" w:themeColor="text1"/>
          <w:sz w:val="24"/>
          <w:szCs w:val="24"/>
          <w:highlight w:val="none"/>
          <w14:textFill>
            <w14:solidFill>
              <w14:schemeClr w14:val="tx1"/>
            </w14:solidFill>
          </w14:textFill>
        </w:rPr>
        <w:t xml:space="preserve"> </w:t>
      </w:r>
      <w:r>
        <w:rPr>
          <w:rFonts w:hint="eastAsia" w:ascii="宋体" w:hAnsi="宋体" w:cs="宋体"/>
          <w:snapToGrid w:val="0"/>
          <w:color w:val="000000" w:themeColor="text1"/>
          <w:sz w:val="24"/>
          <w:szCs w:val="24"/>
          <w:highlight w:val="none"/>
          <w14:textFill>
            <w14:solidFill>
              <w14:schemeClr w14:val="tx1"/>
            </w14:solidFill>
          </w14:textFill>
        </w:rPr>
        <w:t>设计和概预算阶段协助委托人做好按概算等投资控制工作。</w:t>
      </w:r>
      <w:r>
        <w:rPr>
          <w:rFonts w:hint="eastAsia" w:ascii="MS Mincho" w:hAnsi="MS Mincho" w:eastAsia="MS Mincho" w:cs="MS Mincho"/>
          <w:bCs/>
          <w:snapToGrid w:val="0"/>
          <w:color w:val="000000" w:themeColor="text1"/>
          <w:sz w:val="24"/>
          <w:szCs w:val="24"/>
          <w:highlight w:val="none"/>
          <w14:textFill>
            <w14:solidFill>
              <w14:schemeClr w14:val="tx1"/>
            </w14:solidFill>
          </w14:textFill>
        </w:rPr>
        <w:t>☑</w:t>
      </w:r>
      <w:r>
        <w:rPr>
          <w:rFonts w:hint="eastAsia" w:ascii="宋体" w:hAnsi="宋体" w:cs="宋体"/>
          <w:snapToGrid w:val="0"/>
          <w:color w:val="000000" w:themeColor="text1"/>
          <w:sz w:val="24"/>
          <w:szCs w:val="24"/>
          <w:highlight w:val="none"/>
          <w14:textFill>
            <w14:solidFill>
              <w14:schemeClr w14:val="tx1"/>
            </w14:solidFill>
          </w14:textFill>
        </w:rPr>
        <w:t>施工阶段所监理项目的结算的建安工程费不超过该项目概算批复中对应的建安工程费。</w:t>
      </w:r>
    </w:p>
    <w:p w14:paraId="15F04EBA">
      <w:pPr>
        <w:adjustRightInd w:val="0"/>
        <w:snapToGrid w:val="0"/>
        <w:spacing w:line="360" w:lineRule="auto"/>
        <w:ind w:firstLine="482" w:firstLineChars="20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二、</w:t>
      </w:r>
      <w:r>
        <w:rPr>
          <w:rFonts w:hint="eastAsia" w:ascii="宋体" w:hAnsi="宋体" w:cs="宋体"/>
          <w:snapToGrid w:val="0"/>
          <w:color w:val="000000" w:themeColor="text1"/>
          <w:kern w:val="0"/>
          <w:szCs w:val="21"/>
          <w:highlight w:val="none"/>
          <w14:textFill>
            <w14:solidFill>
              <w14:schemeClr w14:val="tx1"/>
            </w14:solidFill>
          </w14:textFill>
        </w:rPr>
        <w:t>监理服务范围及工作内容</w:t>
      </w:r>
    </w:p>
    <w:p w14:paraId="03A195C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负责本项目立项（含可研）范围内所有工程内容</w:t>
      </w:r>
      <w:r>
        <w:rPr>
          <w:rFonts w:hint="eastAsia" w:ascii="MS Mincho" w:hAnsi="MS Mincho" w:eastAsia="MS Mincho" w:cs="MS Mincho"/>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 xml:space="preserve"> 前期阶段[含前期建（构）筑物拆除、绿化及管线设施迁移</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如有）</w:t>
      </w:r>
      <w:r>
        <w:rPr>
          <w:rFonts w:hint="eastAsia" w:ascii="宋体" w:hAnsi="宋体" w:cs="宋体"/>
          <w:snapToGrid w:val="0"/>
          <w:color w:val="000000" w:themeColor="text1"/>
          <w:kern w:val="0"/>
          <w:szCs w:val="21"/>
          <w:highlight w:val="none"/>
          <w14:textFill>
            <w14:solidFill>
              <w14:schemeClr w14:val="tx1"/>
            </w14:solidFill>
          </w14:textFill>
        </w:rPr>
        <w:t>的监理工作等]、</w:t>
      </w:r>
      <w:r>
        <w:rPr>
          <w:rFonts w:hint="eastAsia" w:ascii="MS Mincho" w:hAnsi="MS Mincho" w:eastAsia="宋体" w:cs="MS Mincho"/>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 xml:space="preserve"> 勘察阶段、</w:t>
      </w:r>
      <w:r>
        <w:rPr>
          <w:rFonts w:hint="eastAsia" w:ascii="MS Mincho" w:hAnsi="MS Mincho" w:eastAsia="宋体" w:cs="MS Mincho"/>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 xml:space="preserve"> 设计阶段、</w:t>
      </w:r>
      <w:r>
        <w:rPr>
          <w:rFonts w:hint="eastAsia" w:ascii="MS Mincho" w:hAnsi="MS Mincho" w:eastAsia="宋体" w:cs="MS Mincho"/>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 xml:space="preserve"> 概算、预算阶段、</w:t>
      </w:r>
      <w:r>
        <w:rPr>
          <w:rFonts w:hint="eastAsia" w:ascii="MS Mincho" w:hAnsi="MS Mincho" w:eastAsia="MS Mincho" w:cs="MS Mincho"/>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施工准备阶段（包含施工临时用水</w:t>
      </w:r>
      <w:r>
        <w:rPr>
          <w:rFonts w:hint="eastAsia" w:ascii="宋体" w:hAnsi="宋体" w:eastAsia="宋体" w:cs="宋体"/>
          <w:snapToGrid w:val="0"/>
          <w:color w:val="000000" w:themeColor="text1"/>
          <w:kern w:val="0"/>
          <w:sz w:val="21"/>
          <w:szCs w:val="21"/>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如有）</w:t>
      </w:r>
      <w:r>
        <w:rPr>
          <w:rFonts w:hint="eastAsia" w:ascii="宋体" w:hAnsi="宋体" w:cs="宋体"/>
          <w:snapToGrid w:val="0"/>
          <w:color w:val="000000" w:themeColor="text1"/>
          <w:kern w:val="0"/>
          <w:szCs w:val="21"/>
          <w:highlight w:val="none"/>
          <w14:textFill>
            <w14:solidFill>
              <w14:schemeClr w14:val="tx1"/>
            </w14:solidFill>
          </w14:textFill>
        </w:rPr>
        <w:t>、施工临时用电（如有）等）、</w:t>
      </w:r>
      <w:r>
        <w:rPr>
          <w:rFonts w:hint="eastAsia" w:ascii="MS Mincho" w:hAnsi="MS Mincho" w:eastAsia="MS Mincho" w:cs="MS Mincho"/>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施工阶段(包含超前钻（如有）、土石方工程</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风雨廊-土建工程</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景观工程</w:t>
      </w:r>
      <w:r>
        <w:rPr>
          <w:rFonts w:hint="eastAsia" w:ascii="宋体" w:hAnsi="宋体" w:cs="宋体"/>
          <w:snapToGrid w:val="0"/>
          <w:color w:val="000000" w:themeColor="text1"/>
          <w:kern w:val="0"/>
          <w:szCs w:val="21"/>
          <w:highlight w:val="none"/>
          <w:lang w:eastAsia="zh-CN"/>
          <w14:textFill>
            <w14:solidFill>
              <w14:schemeClr w14:val="tx1"/>
            </w14:solidFill>
          </w14:textFill>
        </w:rPr>
        <w:t>（含绿化工程、园建工程、电气工程、给排水工程）、桥梁工程、</w:t>
      </w:r>
      <w:r>
        <w:rPr>
          <w:rFonts w:hint="eastAsia" w:ascii="宋体" w:hAnsi="宋体" w:cs="宋体"/>
          <w:snapToGrid w:val="0"/>
          <w:color w:val="000000" w:themeColor="text1"/>
          <w:kern w:val="0"/>
          <w:szCs w:val="21"/>
          <w:highlight w:val="none"/>
          <w14:textFill>
            <w14:solidFill>
              <w14:schemeClr w14:val="tx1"/>
            </w14:solidFill>
          </w14:textFill>
        </w:rPr>
        <w:t>水利水电工程等)、</w:t>
      </w: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工程收尾阶段（包括竣工验收、整改、工程移交及工程结算）及工程质量保修期阶段的质量控制，安全生产监督管理、投资控制、进度控制、合同管理、信息收集管理、组织协调、工程创优（如有）等全过程监理工作（□含项目管理）工作，包括但不限于：</w:t>
      </w:r>
    </w:p>
    <w:p w14:paraId="4A7D10B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MS Mincho" w:hAnsi="MS Mincho" w:eastAsia="宋体" w:cs="MS Mincho"/>
          <w:bCs/>
          <w:snapToGrid w:val="0"/>
          <w:color w:val="000000" w:themeColor="text1"/>
          <w:kern w:val="0"/>
          <w:szCs w:val="21"/>
          <w:highlight w:val="none"/>
          <w:lang w:eastAsia="zh-CN"/>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14:textFill>
            <w14:solidFill>
              <w14:schemeClr w14:val="tx1"/>
            </w14:solidFill>
          </w14:textFill>
        </w:rPr>
        <w:t>前期阶段：统筹及协调项目各层面、各参建单位、各项工作的关系；编制项目总控计划，经委托人审定后，跟踪项目总控计划实时情况，如计划出现偏差，分析偏差原因，提出解决方案报委托人审批。对项目建设功能、规模、标准进行充分研究，实施过程中与委托人、业主单位沟通协调，将业主的功能需求落实到设计任务书、设计文件、造价文件中。</w:t>
      </w:r>
    </w:p>
    <w:p w14:paraId="30A81CF8">
      <w:pPr>
        <w:adjustRightInd w:val="0"/>
        <w:snapToGrid w:val="0"/>
        <w:spacing w:line="360" w:lineRule="auto"/>
        <w:ind w:firstLine="480" w:firstLineChars="200"/>
        <w:rPr>
          <w:rFonts w:hint="eastAsia" w:ascii="宋体" w:hAnsi="宋体" w:cs="宋体"/>
          <w:snapToGrid w:val="0"/>
          <w:color w:val="000000" w:themeColor="text1"/>
          <w:kern w:val="0"/>
          <w:szCs w:val="21"/>
          <w:highlight w:val="none"/>
          <w:lang w:eastAsia="zh-Hans"/>
          <w14:textFill>
            <w14:solidFill>
              <w14:schemeClr w14:val="tx1"/>
            </w14:solidFill>
          </w14:textFill>
        </w:rPr>
      </w:pPr>
      <w:r>
        <w:rPr>
          <w:rFonts w:hint="eastAsia" w:ascii="MS Mincho" w:hAnsi="MS Mincho" w:eastAsia="宋体" w:cs="MS Mincho"/>
          <w:bCs/>
          <w:snapToGrid w:val="0"/>
          <w:color w:val="000000" w:themeColor="text1"/>
          <w:kern w:val="0"/>
          <w:szCs w:val="21"/>
          <w:highlight w:val="none"/>
          <w:lang w:eastAsia="zh-CN"/>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勘察</w:t>
      </w:r>
      <w:r>
        <w:rPr>
          <w:rFonts w:hint="eastAsia" w:ascii="宋体" w:hAnsi="宋体" w:cs="宋体"/>
          <w:snapToGrid w:val="0"/>
          <w:color w:val="000000" w:themeColor="text1"/>
          <w:kern w:val="0"/>
          <w:szCs w:val="21"/>
          <w:highlight w:val="none"/>
          <w:lang w:eastAsia="zh-Hans"/>
          <w14:textFill>
            <w14:solidFill>
              <w14:schemeClr w14:val="tx1"/>
            </w14:solidFill>
          </w14:textFill>
        </w:rPr>
        <w:t>阶段</w:t>
      </w:r>
      <w:r>
        <w:rPr>
          <w:rFonts w:hint="eastAsia" w:ascii="宋体" w:hAnsi="宋体" w:cs="宋体"/>
          <w:snapToGrid w:val="0"/>
          <w:color w:val="000000" w:themeColor="text1"/>
          <w:kern w:val="0"/>
          <w:szCs w:val="21"/>
          <w:highlight w:val="none"/>
          <w14:textFill>
            <w14:solidFill>
              <w14:schemeClr w14:val="tx1"/>
            </w14:solidFill>
          </w14:textFill>
        </w:rPr>
        <w:t>：提供</w:t>
      </w:r>
      <w:r>
        <w:rPr>
          <w:rFonts w:hint="eastAsia" w:ascii="宋体" w:hAnsi="宋体" w:cs="宋体"/>
          <w:snapToGrid w:val="0"/>
          <w:color w:val="000000" w:themeColor="text1"/>
          <w:kern w:val="0"/>
          <w:szCs w:val="21"/>
          <w:highlight w:val="none"/>
          <w:lang w:eastAsia="zh-Hans"/>
          <w14:textFill>
            <w14:solidFill>
              <w14:schemeClr w14:val="tx1"/>
            </w14:solidFill>
          </w14:textFill>
        </w:rPr>
        <w:t>跟进</w:t>
      </w:r>
      <w:r>
        <w:rPr>
          <w:rFonts w:ascii="宋体" w:hAnsi="宋体" w:cs="宋体"/>
          <w:snapToGrid w:val="0"/>
          <w:color w:val="000000" w:themeColor="text1"/>
          <w:kern w:val="0"/>
          <w:szCs w:val="21"/>
          <w:highlight w:val="none"/>
          <w:lang w:eastAsia="zh-Hans"/>
          <w14:textFill>
            <w14:solidFill>
              <w14:schemeClr w14:val="tx1"/>
            </w14:solidFill>
          </w14:textFill>
        </w:rPr>
        <w:t>、</w:t>
      </w:r>
      <w:r>
        <w:rPr>
          <w:rFonts w:hint="eastAsia" w:ascii="宋体" w:hAnsi="宋体" w:cs="宋体"/>
          <w:snapToGrid w:val="0"/>
          <w:color w:val="000000" w:themeColor="text1"/>
          <w:kern w:val="0"/>
          <w:szCs w:val="21"/>
          <w:highlight w:val="none"/>
          <w:lang w:eastAsia="zh-Hans"/>
          <w14:textFill>
            <w14:solidFill>
              <w14:schemeClr w14:val="tx1"/>
            </w14:solidFill>
          </w14:textFill>
        </w:rPr>
        <w:t>旁站</w:t>
      </w:r>
      <w:r>
        <w:rPr>
          <w:rFonts w:ascii="宋体" w:hAnsi="宋体" w:cs="宋体"/>
          <w:snapToGrid w:val="0"/>
          <w:color w:val="000000" w:themeColor="text1"/>
          <w:kern w:val="0"/>
          <w:szCs w:val="21"/>
          <w:highlight w:val="none"/>
          <w:lang w:eastAsia="zh-Hans"/>
          <w14:textFill>
            <w14:solidFill>
              <w14:schemeClr w14:val="tx1"/>
            </w14:solidFill>
          </w14:textFill>
        </w:rPr>
        <w:t>、</w:t>
      </w:r>
      <w:r>
        <w:rPr>
          <w:rFonts w:hint="eastAsia" w:ascii="宋体" w:hAnsi="宋体" w:cs="宋体"/>
          <w:snapToGrid w:val="0"/>
          <w:color w:val="000000" w:themeColor="text1"/>
          <w:kern w:val="0"/>
          <w:szCs w:val="21"/>
          <w:highlight w:val="none"/>
          <w:lang w:eastAsia="zh-Hans"/>
          <w14:textFill>
            <w14:solidFill>
              <w14:schemeClr w14:val="tx1"/>
            </w14:solidFill>
          </w14:textFill>
        </w:rPr>
        <w:t>协调勘查工作</w:t>
      </w:r>
      <w:r>
        <w:rPr>
          <w:rFonts w:ascii="宋体" w:hAnsi="宋体" w:cs="宋体"/>
          <w:snapToGrid w:val="0"/>
          <w:color w:val="000000" w:themeColor="text1"/>
          <w:kern w:val="0"/>
          <w:szCs w:val="21"/>
          <w:highlight w:val="none"/>
          <w:lang w:eastAsia="zh-Hans"/>
          <w14:textFill>
            <w14:solidFill>
              <w14:schemeClr w14:val="tx1"/>
            </w14:solidFill>
          </w14:textFill>
        </w:rPr>
        <w:t>、</w:t>
      </w:r>
      <w:r>
        <w:rPr>
          <w:rFonts w:hint="eastAsia" w:ascii="宋体" w:hAnsi="宋体" w:cs="宋体"/>
          <w:snapToGrid w:val="0"/>
          <w:color w:val="000000" w:themeColor="text1"/>
          <w:kern w:val="0"/>
          <w:szCs w:val="21"/>
          <w:highlight w:val="none"/>
          <w:lang w:eastAsia="zh-Hans"/>
          <w14:textFill>
            <w14:solidFill>
              <w14:schemeClr w14:val="tx1"/>
            </w14:solidFill>
          </w14:textFill>
        </w:rPr>
        <w:t>审核勘查报告等监理服务。</w:t>
      </w:r>
    </w:p>
    <w:p w14:paraId="76D5BA01">
      <w:pPr>
        <w:adjustRightInd w:val="0"/>
        <w:snapToGrid w:val="0"/>
        <w:spacing w:line="360" w:lineRule="auto"/>
        <w:ind w:firstLine="480" w:firstLineChars="200"/>
        <w:rPr>
          <w:rFonts w:ascii="宋体" w:hAnsi="宋体" w:cs="宋体"/>
          <w:snapToGrid w:val="0"/>
          <w:color w:val="000000" w:themeColor="text1"/>
          <w:kern w:val="0"/>
          <w:szCs w:val="21"/>
          <w:highlight w:val="none"/>
          <w:lang w:eastAsia="zh-Hans"/>
          <w14:textFill>
            <w14:solidFill>
              <w14:schemeClr w14:val="tx1"/>
            </w14:solidFill>
          </w14:textFill>
        </w:rPr>
      </w:pPr>
      <w:r>
        <w:rPr>
          <w:rFonts w:hint="eastAsia" w:ascii="MS Mincho" w:hAnsi="MS Mincho" w:eastAsia="宋体" w:cs="MS Mincho"/>
          <w:bCs/>
          <w:snapToGrid w:val="0"/>
          <w:color w:val="000000" w:themeColor="text1"/>
          <w:kern w:val="0"/>
          <w:szCs w:val="21"/>
          <w:highlight w:val="none"/>
          <w:lang w:eastAsia="zh-CN"/>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设计</w:t>
      </w:r>
      <w:r>
        <w:rPr>
          <w:rFonts w:hint="eastAsia" w:ascii="宋体" w:hAnsi="宋体" w:cs="宋体"/>
          <w:snapToGrid w:val="0"/>
          <w:color w:val="000000" w:themeColor="text1"/>
          <w:kern w:val="0"/>
          <w:szCs w:val="21"/>
          <w:highlight w:val="none"/>
          <w:lang w:eastAsia="zh-Hans"/>
          <w14:textFill>
            <w14:solidFill>
              <w14:schemeClr w14:val="tx1"/>
            </w14:solidFill>
          </w14:textFill>
        </w:rPr>
        <w:t>阶段</w:t>
      </w:r>
      <w:r>
        <w:rPr>
          <w:rFonts w:hint="eastAsia" w:ascii="宋体" w:hAnsi="宋体" w:cs="宋体"/>
          <w:snapToGrid w:val="0"/>
          <w:color w:val="000000" w:themeColor="text1"/>
          <w:kern w:val="0"/>
          <w:szCs w:val="21"/>
          <w:highlight w:val="none"/>
          <w14:textFill>
            <w14:solidFill>
              <w14:schemeClr w14:val="tx1"/>
            </w14:solidFill>
          </w14:textFill>
        </w:rPr>
        <w:t>：对工程设计质量、进度、投资控制、合同、信息管理等进行全过程管理，协助委托人制定设计管理工作各项制度，明确设计管理的工作目标、管理模式、管理方法等，使工程项目建设达到预期的质量、工期和经济目标；参与设计方案</w:t>
      </w:r>
      <w:r>
        <w:rPr>
          <w:rFonts w:hint="eastAsia" w:ascii="宋体" w:hAnsi="宋体" w:cs="宋体"/>
          <w:snapToGrid w:val="0"/>
          <w:color w:val="000000" w:themeColor="text1"/>
          <w:kern w:val="0"/>
          <w:szCs w:val="21"/>
          <w:highlight w:val="none"/>
          <w:lang w:eastAsia="zh-Hans"/>
          <w14:textFill>
            <w14:solidFill>
              <w14:schemeClr w14:val="tx1"/>
            </w14:solidFill>
          </w14:textFill>
        </w:rPr>
        <w:t>和初步设计评审</w:t>
      </w:r>
      <w:r>
        <w:rPr>
          <w:rFonts w:hint="eastAsia" w:ascii="宋体" w:hAnsi="宋体" w:cs="宋体"/>
          <w:snapToGrid w:val="0"/>
          <w:color w:val="000000" w:themeColor="text1"/>
          <w:kern w:val="0"/>
          <w:szCs w:val="21"/>
          <w:highlight w:val="none"/>
          <w14:textFill>
            <w14:solidFill>
              <w14:schemeClr w14:val="tx1"/>
            </w14:solidFill>
          </w14:textFill>
        </w:rPr>
        <w:t>，提供相关优化意见，跟踪方案设计优化意见的落实及修改情况，并跟进设计方案和初步设计工作进度。</w:t>
      </w:r>
      <w:r>
        <w:rPr>
          <w:rFonts w:hint="eastAsia" w:ascii="宋体" w:hAnsi="宋体" w:cs="宋体"/>
          <w:snapToGrid w:val="0"/>
          <w:color w:val="000000" w:themeColor="text1"/>
          <w:kern w:val="0"/>
          <w:szCs w:val="21"/>
          <w:highlight w:val="none"/>
          <w:lang w:eastAsia="zh-Hans"/>
          <w14:textFill>
            <w14:solidFill>
              <w14:schemeClr w14:val="tx1"/>
            </w14:solidFill>
          </w14:textFill>
        </w:rPr>
        <w:t>参与施工图的审核</w:t>
      </w:r>
      <w:r>
        <w:rPr>
          <w:rFonts w:ascii="宋体" w:hAnsi="宋体" w:cs="宋体"/>
          <w:snapToGrid w:val="0"/>
          <w:color w:val="000000" w:themeColor="text1"/>
          <w:kern w:val="0"/>
          <w:szCs w:val="21"/>
          <w:highlight w:val="none"/>
          <w:lang w:eastAsia="zh-Hans"/>
          <w14:textFill>
            <w14:solidFill>
              <w14:schemeClr w14:val="tx1"/>
            </w14:solidFill>
          </w14:textFill>
        </w:rPr>
        <w:t>，</w:t>
      </w:r>
      <w:r>
        <w:rPr>
          <w:rFonts w:hint="eastAsia" w:ascii="宋体" w:hAnsi="宋体" w:cs="宋体"/>
          <w:snapToGrid w:val="0"/>
          <w:color w:val="000000" w:themeColor="text1"/>
          <w:kern w:val="0"/>
          <w:szCs w:val="21"/>
          <w:highlight w:val="none"/>
          <w:lang w:eastAsia="zh-Hans"/>
          <w14:textFill>
            <w14:solidFill>
              <w14:schemeClr w14:val="tx1"/>
            </w14:solidFill>
          </w14:textFill>
        </w:rPr>
        <w:t>提供相关优化意见</w:t>
      </w:r>
      <w:r>
        <w:rPr>
          <w:rFonts w:ascii="宋体" w:hAnsi="宋体" w:cs="宋体"/>
          <w:snapToGrid w:val="0"/>
          <w:color w:val="000000" w:themeColor="text1"/>
          <w:kern w:val="0"/>
          <w:szCs w:val="21"/>
          <w:highlight w:val="none"/>
          <w:lang w:eastAsia="zh-Hans"/>
          <w14:textFill>
            <w14:solidFill>
              <w14:schemeClr w14:val="tx1"/>
            </w14:solidFill>
          </w14:textFill>
        </w:rPr>
        <w:t>，</w:t>
      </w:r>
      <w:r>
        <w:rPr>
          <w:rFonts w:hint="eastAsia" w:ascii="宋体" w:hAnsi="宋体" w:cs="宋体"/>
          <w:snapToGrid w:val="0"/>
          <w:color w:val="000000" w:themeColor="text1"/>
          <w:kern w:val="0"/>
          <w:szCs w:val="21"/>
          <w:highlight w:val="none"/>
          <w:lang w:eastAsia="zh-Hans"/>
          <w14:textFill>
            <w14:solidFill>
              <w14:schemeClr w14:val="tx1"/>
            </w14:solidFill>
          </w14:textFill>
        </w:rPr>
        <w:t>跟踪审核意见的落实和修改情况</w:t>
      </w:r>
      <w:r>
        <w:rPr>
          <w:rFonts w:ascii="宋体" w:hAnsi="宋体" w:cs="宋体"/>
          <w:snapToGrid w:val="0"/>
          <w:color w:val="000000" w:themeColor="text1"/>
          <w:kern w:val="0"/>
          <w:szCs w:val="21"/>
          <w:highlight w:val="none"/>
          <w:lang w:eastAsia="zh-Hans"/>
          <w14:textFill>
            <w14:solidFill>
              <w14:schemeClr w14:val="tx1"/>
            </w14:solidFill>
          </w14:textFill>
        </w:rPr>
        <w:t>，</w:t>
      </w:r>
      <w:r>
        <w:rPr>
          <w:rFonts w:hint="eastAsia" w:ascii="宋体" w:hAnsi="宋体" w:cs="宋体"/>
          <w:snapToGrid w:val="0"/>
          <w:color w:val="000000" w:themeColor="text1"/>
          <w:kern w:val="0"/>
          <w:szCs w:val="21"/>
          <w:highlight w:val="none"/>
          <w:lang w:eastAsia="zh-Hans"/>
          <w14:textFill>
            <w14:solidFill>
              <w14:schemeClr w14:val="tx1"/>
            </w14:solidFill>
          </w14:textFill>
        </w:rPr>
        <w:t>并跟进施工图审核工作进度</w:t>
      </w:r>
      <w:r>
        <w:rPr>
          <w:rFonts w:ascii="宋体" w:hAnsi="宋体" w:cs="宋体"/>
          <w:snapToGrid w:val="0"/>
          <w:color w:val="000000" w:themeColor="text1"/>
          <w:kern w:val="0"/>
          <w:szCs w:val="21"/>
          <w:highlight w:val="none"/>
          <w:lang w:eastAsia="zh-Hans"/>
          <w14:textFill>
            <w14:solidFill>
              <w14:schemeClr w14:val="tx1"/>
            </w14:solidFill>
          </w14:textFill>
        </w:rPr>
        <w:t>。</w:t>
      </w:r>
    </w:p>
    <w:p w14:paraId="44EBAB4F">
      <w:pPr>
        <w:adjustRightInd w:val="0"/>
        <w:snapToGrid w:val="0"/>
        <w:spacing w:line="360" w:lineRule="auto"/>
        <w:ind w:firstLine="480" w:firstLineChars="200"/>
        <w:rPr>
          <w:rFonts w:hint="eastAsia"/>
          <w:color w:val="000000" w:themeColor="text1"/>
          <w:highlight w:val="none"/>
          <w14:textFill>
            <w14:solidFill>
              <w14:schemeClr w14:val="tx1"/>
            </w14:solidFill>
          </w14:textFill>
        </w:rPr>
      </w:pPr>
      <w:r>
        <w:rPr>
          <w:rFonts w:hint="eastAsia" w:ascii="MS Mincho" w:hAnsi="MS Mincho" w:eastAsia="宋体" w:cs="MS Mincho"/>
          <w:bCs/>
          <w:snapToGrid w:val="0"/>
          <w:color w:val="000000" w:themeColor="text1"/>
          <w:kern w:val="0"/>
          <w:szCs w:val="21"/>
          <w:highlight w:val="none"/>
          <w:lang w:eastAsia="zh-CN"/>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概算、预算</w:t>
      </w:r>
      <w:r>
        <w:rPr>
          <w:rFonts w:hint="eastAsia" w:ascii="宋体" w:hAnsi="宋体" w:cs="宋体"/>
          <w:snapToGrid w:val="0"/>
          <w:color w:val="000000" w:themeColor="text1"/>
          <w:kern w:val="0"/>
          <w:szCs w:val="21"/>
          <w:highlight w:val="none"/>
          <w:lang w:eastAsia="zh-Hans"/>
          <w14:textFill>
            <w14:solidFill>
              <w14:schemeClr w14:val="tx1"/>
            </w14:solidFill>
          </w14:textFill>
        </w:rPr>
        <w:t>阶段</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Hans"/>
          <w14:textFill>
            <w14:solidFill>
              <w14:schemeClr w14:val="tx1"/>
            </w14:solidFill>
          </w14:textFill>
        </w:rPr>
        <w:t>参与工程概预算的编制和审核</w:t>
      </w:r>
      <w:r>
        <w:rPr>
          <w:rFonts w:ascii="宋体" w:hAnsi="宋体" w:cs="宋体"/>
          <w:snapToGrid w:val="0"/>
          <w:color w:val="000000" w:themeColor="text1"/>
          <w:kern w:val="0"/>
          <w:szCs w:val="21"/>
          <w:highlight w:val="none"/>
          <w:lang w:eastAsia="zh-Hans"/>
          <w14:textFill>
            <w14:solidFill>
              <w14:schemeClr w14:val="tx1"/>
            </w14:solidFill>
          </w14:textFill>
        </w:rPr>
        <w:t>，提供相关优化意见，跟踪审核意见的落实和修改情况，并跟进</w:t>
      </w:r>
      <w:r>
        <w:rPr>
          <w:rFonts w:hint="eastAsia" w:ascii="宋体" w:hAnsi="宋体" w:cs="宋体"/>
          <w:snapToGrid w:val="0"/>
          <w:color w:val="000000" w:themeColor="text1"/>
          <w:kern w:val="0"/>
          <w:szCs w:val="21"/>
          <w:highlight w:val="none"/>
          <w:lang w:eastAsia="zh-Hans"/>
          <w14:textFill>
            <w14:solidFill>
              <w14:schemeClr w14:val="tx1"/>
            </w14:solidFill>
          </w14:textFill>
        </w:rPr>
        <w:t>概预算</w:t>
      </w:r>
      <w:r>
        <w:rPr>
          <w:rFonts w:ascii="宋体" w:hAnsi="宋体" w:cs="宋体"/>
          <w:snapToGrid w:val="0"/>
          <w:color w:val="000000" w:themeColor="text1"/>
          <w:kern w:val="0"/>
          <w:szCs w:val="21"/>
          <w:highlight w:val="none"/>
          <w:lang w:eastAsia="zh-Hans"/>
          <w14:textFill>
            <w14:solidFill>
              <w14:schemeClr w14:val="tx1"/>
            </w14:solidFill>
          </w14:textFill>
        </w:rPr>
        <w:t>审核工作进度</w:t>
      </w:r>
      <w:r>
        <w:rPr>
          <w:rFonts w:hint="eastAsia" w:ascii="宋体" w:hAnsi="宋体" w:cs="宋体"/>
          <w:snapToGrid w:val="0"/>
          <w:color w:val="000000" w:themeColor="text1"/>
          <w:kern w:val="0"/>
          <w:szCs w:val="21"/>
          <w:highlight w:val="none"/>
          <w14:textFill>
            <w14:solidFill>
              <w14:schemeClr w14:val="tx1"/>
            </w14:solidFill>
          </w14:textFill>
        </w:rPr>
        <w:t>。</w:t>
      </w:r>
    </w:p>
    <w:p w14:paraId="60C6469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施工监理：对工程建设各项内容提供监理服务，包括但不限于以下内容：前期阶段（含前期建（构）筑物拆除、绿化及管线设施迁移（如有）的监理工作等），施工准备阶段（包含施工临时用水（如有）、施工临时用电（如有）等）、施工阶段(包含超前钻（如有）、土石方工程</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风雨廊-土建工程</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景观工程</w:t>
      </w:r>
      <w:r>
        <w:rPr>
          <w:rFonts w:hint="eastAsia" w:ascii="宋体" w:hAnsi="宋体" w:cs="宋体"/>
          <w:snapToGrid w:val="0"/>
          <w:color w:val="000000" w:themeColor="text1"/>
          <w:kern w:val="0"/>
          <w:szCs w:val="21"/>
          <w:highlight w:val="none"/>
          <w:lang w:eastAsia="zh-CN"/>
          <w14:textFill>
            <w14:solidFill>
              <w14:schemeClr w14:val="tx1"/>
            </w14:solidFill>
          </w14:textFill>
        </w:rPr>
        <w:t>（含绿化工程、园建工程、电气工程、给排水工程）、桥梁工程、</w:t>
      </w:r>
      <w:r>
        <w:rPr>
          <w:rFonts w:hint="eastAsia" w:ascii="宋体" w:hAnsi="宋体" w:cs="宋体"/>
          <w:snapToGrid w:val="0"/>
          <w:color w:val="000000" w:themeColor="text1"/>
          <w:kern w:val="0"/>
          <w:szCs w:val="21"/>
          <w:highlight w:val="none"/>
          <w14:textFill>
            <w14:solidFill>
              <w14:schemeClr w14:val="tx1"/>
            </w14:solidFill>
          </w14:textFill>
        </w:rPr>
        <w:t>水利水电工程等)、工程收尾阶段（包括但不限于竣工验收、整改、工程移交、工程结算等）、工程质量保修阶段的质量控制、安全生产监督管理、投资控制（包括但不限于投标清单复核（清标）、施工款、设计变更、现场签证等）、进度控制、合同管理、信息管理、组织协调、设备监造、会同承包人编制检测（监测）方案以及协调委托人和工程建设有关各方的工作关系等，具体以实际实施的监理范围为准。按委托人的要求提前进场参与开工前期的准备和筹划工作，协助委托人制定各项工程管理办法及制度。监理人需严格执行委托人现行的设计变更管理办法和签证管理办法等，否则监理人还应按本合同专用条款第二十六条的约定承担违约责任。对项目的建设条件进行分析，了解场地周边情况如交通、临时设施、施工条件，向承包人作好交底工作，会同承包人共同研究施工组织方案的可行性。组织施工总承包单位完成工程开工及验收所需的各项报监、报建、报验手续，做好报批报建管理工作。监理人应组织参建各方开展工程投标清单复核（清标）工作，做到早发现，早控制，早解决，严格控制项目造价，合理使用项目资金。当增加的总造价超过50%暂列金时，监理人需向委托方提交造价控制预警报告；当增加的总造价超过暂列金时，监理人需书面向委托方报告资金使用情况。</w:t>
      </w:r>
    </w:p>
    <w:p w14:paraId="6C3261A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（6）监理人应负责本项目工程竣工结算审核工作，收集和整理工程结算资料，并在收到承包人报送的结算文件后7日内提交结算审核计划，（</w:t>
      </w: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30日、□60日）内向委托人出具结算审核报告，配合有权审核部门开展结算评审工作。委托人将保留监理酬金总额10%的支配权，由委托人视监理人结算审核工作质量情况在竣工结算阶段予以支付（委托人将对监理人结算审核工作进行考核，具体详见附件3《结算审核工作质量情况考评细则》）。监理人应确保本项目工程竣工结算审核工作质量，如监理人达不到结算审核能力，委托人有权要求监理人选择相应的造价咨询服务单位协助其完成本项目工程竣工结算审核工作，所需结算审核费用由监理人承担；监理人须无条件配合，且仍需对本项目工程竣工结算审核工作承担主要责任。若监理人审核的结算金额与有权审核部门审定的结算金额的偏差率绝对值大于5%的，监理人还应按本合同专用条款第二十六条的约定承担违约责任。</w:t>
      </w:r>
    </w:p>
    <w:p w14:paraId="20E552C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（7）</w:t>
      </w:r>
      <w:r>
        <w:rPr>
          <w:rFonts w:hint="eastAsia" w:ascii="宋体" w:hAnsi="宋体" w:cs="宋体"/>
          <w:snapToGrid w:val="0"/>
          <w:color w:val="000000" w:themeColor="text1"/>
          <w:kern w:val="0"/>
          <w:szCs w:val="21"/>
          <w:highlight w:val="none"/>
          <w14:textFill>
            <w14:solidFill>
              <w14:schemeClr w14:val="tx1"/>
            </w14:solidFill>
          </w14:textFill>
        </w:rPr>
        <w:t>监理人需严格审核防雷、检测、监测、施工等单位提交的请款资料（含完成工作等），并出具书面的审核意见。开工前，监理人必须组织参建各方梳理图纸深化、材料定版、样板引路的计划清单，并对深化的图纸进行审核，出具书面的意见。施工过程中，监理人需根据工程进度及计划清单组织参建各方开展材料定版、样板引路工作，做到样板先行，稳步推进。项目完成竣工验收后，监理人应在14天内向委托人报审质保期间的维保工作方案。</w:t>
      </w:r>
    </w:p>
    <w:p w14:paraId="15F5A65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（8）监理人需根据服务范围及项目的实际情况，严格落实附件2中各阶段工作成果文件的要求。监理人如未根据合同及现场实际情况及时提供给委托人，委托人有权拒绝支付监理费。</w:t>
      </w:r>
    </w:p>
    <w:p w14:paraId="01286484">
      <w:pPr>
        <w:shd w:val="clear" w:color="auto" w:fill="FFFFFF"/>
        <w:adjustRightInd w:val="0"/>
        <w:spacing w:line="360" w:lineRule="auto"/>
        <w:ind w:firstLine="420" w:firstLineChars="175"/>
        <w:jc w:val="left"/>
        <w:rPr>
          <w:rFonts w:hint="eastAsia" w:ascii="宋体" w:hAnsi="宋体" w:cs="宋体"/>
          <w:snapToGrid w:val="0"/>
          <w:color w:val="000000" w:themeColor="text1"/>
          <w:kern w:val="0"/>
          <w:sz w:val="24"/>
          <w:szCs w:val="24"/>
          <w:highlight w:val="none"/>
          <w:u w:val="single"/>
          <w14:textFill>
            <w14:solidFill>
              <w14:schemeClr w14:val="tx1"/>
            </w14:solidFill>
          </w14:textFill>
        </w:rPr>
      </w:pPr>
      <w:r>
        <w:rPr>
          <w:rFonts w:hint="eastAsia" w:ascii="MS Mincho" w:hAnsi="MS Mincho" w:eastAsia="宋体" w:cs="MS Mincho"/>
          <w:bCs/>
          <w:snapToGrid w:val="0"/>
          <w:color w:val="000000" w:themeColor="text1"/>
          <w:kern w:val="0"/>
          <w:szCs w:val="21"/>
          <w:highlight w:val="none"/>
          <w:lang w:eastAsia="zh-CN"/>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（9）</w:t>
      </w:r>
      <w:r>
        <w:rPr>
          <w:rFonts w:hint="eastAsia" w:ascii="宋体" w:hAnsi="宋体" w:cs="宋体"/>
          <w:snapToGrid w:val="0"/>
          <w:color w:val="000000" w:themeColor="text1"/>
          <w:kern w:val="0"/>
          <w:szCs w:val="21"/>
          <w:highlight w:val="none"/>
          <w14:textFill>
            <w14:solidFill>
              <w14:schemeClr w14:val="tx1"/>
            </w14:solidFill>
          </w14:textFill>
        </w:rPr>
        <w:t>监理人按</w:t>
      </w:r>
      <w:r>
        <w:rPr>
          <w:rFonts w:hint="eastAsia" w:ascii="Times New Roman" w:hAnsi="Times New Roman" w:cs="Courier New"/>
          <w:color w:val="000000" w:themeColor="text1"/>
          <w:szCs w:val="21"/>
          <w:highlight w:val="none"/>
          <w14:textFill>
            <w14:solidFill>
              <w14:schemeClr w14:val="tx1"/>
            </w14:solidFill>
          </w14:textFill>
        </w:rPr>
        <w:t>照委托人要求对项目资金进行工程资金监管，具体监管方式和流程以委托人相关规定为准。</w:t>
      </w:r>
    </w:p>
    <w:p w14:paraId="0D1B343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p>
    <w:p w14:paraId="76A8E9C2">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三、</w:t>
      </w:r>
      <w:r>
        <w:rPr>
          <w:rFonts w:hint="eastAsia" w:ascii="宋体" w:hAnsi="宋体" w:cs="宋体"/>
          <w:snapToGrid w:val="0"/>
          <w:color w:val="000000" w:themeColor="text1"/>
          <w:kern w:val="0"/>
          <w:szCs w:val="21"/>
          <w:highlight w:val="none"/>
          <w14:textFill>
            <w14:solidFill>
              <w14:schemeClr w14:val="tx1"/>
            </w14:solidFill>
          </w14:textFill>
        </w:rPr>
        <w:t>监理酬金及其支付方式</w:t>
      </w:r>
    </w:p>
    <w:p w14:paraId="0EC2ED73">
      <w:pPr>
        <w:tabs>
          <w:tab w:val="left" w:pos="0"/>
        </w:tabs>
        <w:adjustRightInd w:val="0"/>
        <w:snapToGrid w:val="0"/>
        <w:spacing w:line="360" w:lineRule="auto"/>
        <w:ind w:left="1030" w:leftChars="229" w:hanging="480" w:hanging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3.1</w:t>
      </w:r>
      <w:r>
        <w:rPr>
          <w:rFonts w:hint="eastAsia" w:ascii="宋体" w:hAnsi="宋体" w:cs="宋体"/>
          <w:snapToGrid w:val="0"/>
          <w:color w:val="000000" w:themeColor="text1"/>
          <w:kern w:val="0"/>
          <w:szCs w:val="21"/>
          <w:highlight w:val="none"/>
          <w14:textFill>
            <w14:solidFill>
              <w14:schemeClr w14:val="tx1"/>
            </w14:solidFill>
          </w14:textFill>
        </w:rPr>
        <w:t>监理酬金</w:t>
      </w:r>
      <w:r>
        <w:rPr>
          <w:rFonts w:hint="eastAsia" w:ascii="宋体" w:hAnsi="宋体" w:cs="宋体"/>
          <w:bCs/>
          <w:snapToGrid w:val="0"/>
          <w:color w:val="000000" w:themeColor="text1"/>
          <w:kern w:val="0"/>
          <w:szCs w:val="21"/>
          <w:highlight w:val="none"/>
          <w14:textFill>
            <w14:solidFill>
              <w14:schemeClr w14:val="tx1"/>
            </w14:solidFill>
          </w14:textFill>
        </w:rPr>
        <w:t>的计取</w:t>
      </w:r>
    </w:p>
    <w:p w14:paraId="1931CF53">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w:t>
      </w:r>
      <w:r>
        <w:rPr>
          <w:rFonts w:hint="eastAsia" w:ascii="宋体" w:hAnsi="宋体" w:cs="宋体"/>
          <w:bCs/>
          <w:snapToGrid w:val="0"/>
          <w:color w:val="000000" w:themeColor="text1"/>
          <w:kern w:val="0"/>
          <w:szCs w:val="21"/>
          <w:highlight w:val="none"/>
          <w14:textFill>
            <w14:solidFill>
              <w14:schemeClr w14:val="tx1"/>
            </w14:solidFill>
          </w14:textFill>
        </w:rPr>
        <w:t>结合本合同工程的特点，委托人、监理人一致同意按如下约定计取监理酬金：参照《国家发展改革委、建设部关于印发&lt;建设工程监理与相关服务收费管理规定&gt;的通知》（发改价格〔2007〕670号）的有关规定，经双方协商一致，具体按以下约定计算：</w:t>
      </w:r>
    </w:p>
    <w:p w14:paraId="7E614E90">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①监理酬金=施工监理服务收费基准价×（1+浮动幅度值）×（1-|投标下浮率|）。</w:t>
      </w:r>
    </w:p>
    <w:p w14:paraId="2DB38FD4">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②施工监理服务收费基准价=施工监理服务收费基价×专业调整系数×工程复杂程度调整系数×高程调整系数。</w:t>
      </w:r>
    </w:p>
    <w:p w14:paraId="2A406EEB">
      <w:pPr>
        <w:adjustRightInd w:val="0"/>
        <w:snapToGrid w:val="0"/>
        <w:spacing w:line="360" w:lineRule="auto"/>
        <w:ind w:left="787" w:leftChars="228" w:right="11" w:hanging="240" w:hangingChars="1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其中：a) 专业调整系数为</w:t>
      </w:r>
      <w:r>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t>0.9</w:t>
      </w:r>
      <w:r>
        <w:rPr>
          <w:rFonts w:hint="eastAsia" w:ascii="宋体" w:hAnsi="宋体" w:cs="宋体"/>
          <w:bCs/>
          <w:snapToGrid w:val="0"/>
          <w:color w:val="000000" w:themeColor="text1"/>
          <w:kern w:val="0"/>
          <w:szCs w:val="21"/>
          <w:highlight w:val="none"/>
          <w14:textFill>
            <w14:solidFill>
              <w14:schemeClr w14:val="tx1"/>
            </w14:solidFill>
          </w14:textFill>
        </w:rPr>
        <w:t>、工程复杂程度调整系数</w:t>
      </w:r>
      <w:r>
        <w:rPr>
          <w:rFonts w:hint="eastAsia" w:ascii="宋体" w:hAnsi="宋体" w:cs="宋体"/>
          <w:bCs/>
          <w:snapToGrid w:val="0"/>
          <w:color w:val="000000" w:themeColor="text1"/>
          <w:kern w:val="0"/>
          <w:szCs w:val="21"/>
          <w:highlight w:val="none"/>
          <w:u w:val="single"/>
          <w14:textFill>
            <w14:solidFill>
              <w14:schemeClr w14:val="tx1"/>
            </w14:solidFill>
          </w14:textFill>
        </w:rPr>
        <w:t>1.</w:t>
      </w:r>
      <w:r>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t>15</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、高程调整系数为</w:t>
      </w:r>
      <w:r>
        <w:rPr>
          <w:rFonts w:hint="eastAsia" w:ascii="宋体" w:hAnsi="宋体" w:cs="宋体"/>
          <w:bCs/>
          <w:snapToGrid w:val="0"/>
          <w:color w:val="000000" w:themeColor="text1"/>
          <w:kern w:val="0"/>
          <w:szCs w:val="21"/>
          <w:highlight w:val="none"/>
          <w:u w:val="single"/>
          <w14:textFill>
            <w14:solidFill>
              <w14:schemeClr w14:val="tx1"/>
            </w14:solidFill>
          </w14:textFill>
        </w:rPr>
        <w:t>1.0。</w:t>
      </w:r>
    </w:p>
    <w:p w14:paraId="19C77BB5">
      <w:pPr>
        <w:adjustRightInd w:val="0"/>
        <w:snapToGrid w:val="0"/>
        <w:spacing w:line="360" w:lineRule="auto"/>
        <w:ind w:left="821" w:leftChars="342"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b) 施工监理服务收费的计费额指有权审核部门审定的本合同监理人实际监理范围内所有概算中的建筑安装工程费</w:t>
      </w:r>
      <w:r>
        <w:rPr>
          <w:rFonts w:hint="eastAsia" w:ascii="宋体" w:hAnsi="宋体" w:cs="宋体"/>
          <w:bCs/>
          <w:snapToGrid w:val="0"/>
          <w:color w:val="000000" w:themeColor="text1"/>
          <w:kern w:val="0"/>
          <w:szCs w:val="21"/>
          <w:highlight w:val="none"/>
          <w:lang w:val="en-US" w:eastAsia="zh-CN"/>
          <w14:textFill>
            <w14:solidFill>
              <w14:schemeClr w14:val="tx1"/>
            </w14:solidFill>
          </w14:textFill>
        </w:rPr>
        <w:t>中水利水电工程部分</w:t>
      </w:r>
      <w:r>
        <w:rPr>
          <w:rFonts w:hint="eastAsia" w:ascii="宋体" w:hAnsi="宋体" w:cs="宋体"/>
          <w:bCs/>
          <w:snapToGrid w:val="0"/>
          <w:color w:val="000000" w:themeColor="text1"/>
          <w:kern w:val="0"/>
          <w:szCs w:val="21"/>
          <w:highlight w:val="none"/>
          <w14:textFill>
            <w14:solidFill>
              <w14:schemeClr w14:val="tx1"/>
            </w14:solidFill>
          </w14:textFill>
        </w:rPr>
        <w:t>。</w:t>
      </w:r>
    </w:p>
    <w:p w14:paraId="0995B292">
      <w:pPr>
        <w:adjustRightInd w:val="0"/>
        <w:snapToGrid w:val="0"/>
        <w:spacing w:line="360" w:lineRule="auto"/>
        <w:ind w:left="821" w:leftChars="342"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c) 施工监理服务收费的计费额处于两个数值区间的，采用直线内插法确定施工监理服务收费基价。</w:t>
      </w:r>
    </w:p>
    <w:p w14:paraId="2269766E">
      <w:pPr>
        <w:adjustRightInd w:val="0"/>
        <w:snapToGrid w:val="0"/>
        <w:spacing w:line="360" w:lineRule="auto"/>
        <w:ind w:left="821" w:leftChars="342"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d) 本合同浮动幅度值为</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-20%   </w:t>
      </w:r>
      <w:r>
        <w:rPr>
          <w:rFonts w:hint="eastAsia" w:ascii="宋体" w:hAnsi="宋体" w:cs="宋体"/>
          <w:bCs/>
          <w:snapToGrid w:val="0"/>
          <w:color w:val="000000" w:themeColor="text1"/>
          <w:kern w:val="0"/>
          <w:szCs w:val="21"/>
          <w:highlight w:val="none"/>
          <w14:textFill>
            <w14:solidFill>
              <w14:schemeClr w14:val="tx1"/>
            </w14:solidFill>
          </w14:textFill>
        </w:rPr>
        <w:t>。</w:t>
      </w:r>
    </w:p>
    <w:p w14:paraId="54663F76">
      <w:pPr>
        <w:adjustRightInd w:val="0"/>
        <w:snapToGrid w:val="0"/>
        <w:spacing w:line="360" w:lineRule="auto"/>
        <w:ind w:left="821" w:leftChars="342" w:right="11" w:firstLine="480" w:firstLineChars="200"/>
        <w:rPr>
          <w:color w:val="000000" w:themeColor="text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e) 投标下浮率为</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w:t>
      </w:r>
    </w:p>
    <w:p w14:paraId="5FABF00E">
      <w:pPr>
        <w:adjustRightInd w:val="0"/>
        <w:snapToGrid w:val="0"/>
        <w:spacing w:line="360" w:lineRule="auto"/>
        <w:ind w:left="0" w:leftChars="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③以本工程</w:t>
      </w:r>
      <w:r>
        <w:rPr>
          <w:rFonts w:hint="eastAsia" w:ascii="宋体" w:hAnsi="宋体" w:cs="宋体"/>
          <w:bCs/>
          <w:snapToGrid w:val="0"/>
          <w:color w:val="000000" w:themeColor="text1"/>
          <w:kern w:val="0"/>
          <w:szCs w:val="21"/>
          <w:highlight w:val="none"/>
          <w:lang w:val="en-US" w:eastAsia="zh-CN"/>
          <w14:textFill>
            <w14:solidFill>
              <w14:schemeClr w14:val="tx1"/>
            </w14:solidFill>
          </w14:textFill>
        </w:rPr>
        <w:t>水利水电工程部分</w:t>
      </w:r>
      <w:r>
        <w:rPr>
          <w:rFonts w:hint="eastAsia" w:ascii="宋体" w:hAnsi="宋体" w:cs="宋体"/>
          <w:bCs/>
          <w:snapToGrid w:val="0"/>
          <w:color w:val="000000" w:themeColor="text1"/>
          <w:kern w:val="0"/>
          <w:szCs w:val="21"/>
          <w:highlight w:val="none"/>
          <w14:textFill>
            <w14:solidFill>
              <w14:schemeClr w14:val="tx1"/>
            </w14:solidFill>
          </w14:textFill>
        </w:rPr>
        <w:t>建安工程费</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 xml:space="preserve">万计费基数计算，本工程监理酬金暂定合同总价为 </w:t>
      </w:r>
      <w:r>
        <w:rPr>
          <w:rFonts w:hint="eastAsia" w:ascii="宋体" w:hAnsi="宋体" w:cs="宋体"/>
          <w:bCs/>
          <w:snapToGrid w:val="0"/>
          <w:color w:val="000000" w:themeColor="text1"/>
          <w:kern w:val="0"/>
          <w:szCs w:val="21"/>
          <w:highlight w:val="none"/>
          <w:u w:val="single"/>
          <w14:textFill>
            <w14:solidFill>
              <w14:schemeClr w14:val="tx1"/>
            </w14:solidFill>
          </w14:textFill>
        </w:rPr>
        <w:t>￥</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万</w:t>
      </w:r>
      <w:r>
        <w:rPr>
          <w:rFonts w:hint="eastAsia" w:ascii="宋体" w:hAnsi="宋体" w:cs="宋体"/>
          <w:bCs/>
          <w:snapToGrid w:val="0"/>
          <w:color w:val="000000" w:themeColor="text1"/>
          <w:kern w:val="0"/>
          <w:szCs w:val="21"/>
          <w:highlight w:val="none"/>
          <w14:textFill>
            <w14:solidFill>
              <w14:schemeClr w14:val="tx1"/>
            </w14:solidFill>
          </w14:textFill>
        </w:rPr>
        <w:t>（人民币</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大写： </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），其中并以此作为各阶段监理酬金支付的依据。</w:t>
      </w:r>
    </w:p>
    <w:p w14:paraId="2FD4AB5E">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 xml:space="preserve">3.1.2 </w:t>
      </w:r>
      <w:r>
        <w:rPr>
          <w:rFonts w:hint="eastAsia" w:ascii="宋体" w:hAnsi="宋体" w:cs="宋体"/>
          <w:snapToGrid w:val="0"/>
          <w:color w:val="000000" w:themeColor="text1"/>
          <w:kern w:val="0"/>
          <w:szCs w:val="21"/>
          <w:highlight w:val="none"/>
          <w:u w:val="none"/>
          <w14:textFill>
            <w14:solidFill>
              <w14:schemeClr w14:val="tx1"/>
            </w14:solidFill>
          </w14:textFill>
        </w:rPr>
        <w:t>由于财政投资项目施工过程的特殊性，委托人有调整局部服务范围的权利，即部分解除或部分增加服务范围。监理费最终按财政评审后的监理范围内的所有建筑安装工程费</w:t>
      </w:r>
      <w:r>
        <w:rPr>
          <w:rFonts w:hint="eastAsia" w:ascii="宋体" w:hAnsi="宋体" w:cs="宋体"/>
          <w:bCs/>
          <w:snapToGrid w:val="0"/>
          <w:color w:val="000000" w:themeColor="text1"/>
          <w:kern w:val="0"/>
          <w:szCs w:val="21"/>
          <w:highlight w:val="none"/>
          <w:u w:val="none"/>
          <w:lang w:val="en-US" w:eastAsia="zh-CN"/>
          <w14:textFill>
            <w14:solidFill>
              <w14:schemeClr w14:val="tx1"/>
            </w14:solidFill>
          </w14:textFill>
        </w:rPr>
        <w:t>中水利水电工程部分</w:t>
      </w:r>
      <w:r>
        <w:rPr>
          <w:rFonts w:hint="eastAsia" w:ascii="宋体" w:hAnsi="宋体" w:cs="宋体"/>
          <w:snapToGrid w:val="0"/>
          <w:color w:val="000000" w:themeColor="text1"/>
          <w:kern w:val="0"/>
          <w:szCs w:val="21"/>
          <w:highlight w:val="none"/>
          <w:u w:val="none"/>
          <w14:textFill>
            <w14:solidFill>
              <w14:schemeClr w14:val="tx1"/>
            </w14:solidFill>
          </w14:textFill>
        </w:rPr>
        <w:t>结算价为</w:t>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本工程</w:t>
      </w:r>
      <w:r>
        <w:rPr>
          <w:rFonts w:hint="eastAsia" w:ascii="宋体" w:hAnsi="宋体" w:cs="宋体"/>
          <w:snapToGrid w:val="0"/>
          <w:color w:val="000000" w:themeColor="text1"/>
          <w:kern w:val="0"/>
          <w:szCs w:val="21"/>
          <w:highlight w:val="none"/>
          <w:u w:val="none"/>
          <w14:textFill>
            <w14:solidFill>
              <w14:schemeClr w14:val="tx1"/>
            </w14:solidFill>
          </w14:textFill>
        </w:rPr>
        <w:t>施工监理服务收费的计费额进行结算，但浮动幅度值不调整，且最终监理费结算总价不超过本工程监理酬金暂定合同总价。</w:t>
      </w:r>
    </w:p>
    <w:p w14:paraId="3F69FC1F">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3.1.3本合同约定的监理服务期间，其各种费率和费用不因物价变动导致监理酬金的增减而给予弥补或调整，双方另有约定的除外。</w:t>
      </w:r>
    </w:p>
    <w:p w14:paraId="0228AA5E">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3.1.4在本合同约定的监理范围内，非因监理人原因造成工程延期，致使监理服务期出现延长，监理人的责任期也应相应延长，本合同监理酬金总额不为此作调整，双方另有约定的除外。</w:t>
      </w:r>
    </w:p>
    <w:p w14:paraId="447AFE9D">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3.1.5如在工程实施期间，因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14:paraId="54E1FE0E">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3.1.6如在工程实施期间，因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因此作调整。</w:t>
      </w:r>
    </w:p>
    <w:p w14:paraId="6BB4714C">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3.2</w:t>
      </w:r>
      <w:r>
        <w:rPr>
          <w:rFonts w:hint="eastAsia" w:ascii="宋体" w:hAnsi="宋体" w:cs="宋体"/>
          <w:snapToGrid w:val="0"/>
          <w:color w:val="000000" w:themeColor="text1"/>
          <w:kern w:val="0"/>
          <w:szCs w:val="21"/>
          <w:highlight w:val="none"/>
          <w14:textFill>
            <w14:solidFill>
              <w14:schemeClr w14:val="tx1"/>
            </w14:solidFill>
          </w14:textFill>
        </w:rPr>
        <w:t>监理酬金</w:t>
      </w:r>
      <w:r>
        <w:rPr>
          <w:rFonts w:hint="eastAsia" w:ascii="宋体" w:hAnsi="宋体" w:cs="宋体"/>
          <w:bCs/>
          <w:snapToGrid w:val="0"/>
          <w:color w:val="000000" w:themeColor="text1"/>
          <w:kern w:val="0"/>
          <w:szCs w:val="21"/>
          <w:highlight w:val="none"/>
          <w14:textFill>
            <w14:solidFill>
              <w14:schemeClr w14:val="tx1"/>
            </w14:solidFill>
          </w14:textFill>
        </w:rPr>
        <w:t>的支付</w:t>
      </w:r>
    </w:p>
    <w:p w14:paraId="753AF2AC">
      <w:pPr>
        <w:tabs>
          <w:tab w:val="left" w:pos="3060"/>
        </w:tabs>
        <w:adjustRightInd w:val="0"/>
        <w:snapToGrid w:val="0"/>
        <w:spacing w:line="360" w:lineRule="auto"/>
        <w:ind w:right="11"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3.2.1 本合同价款的拨付按照广东省、广州市和天河区财政投资项目资金管理的有关规定执行。</w:t>
      </w:r>
    </w:p>
    <w:p w14:paraId="4D5954D4">
      <w:pPr>
        <w:tabs>
          <w:tab w:val="left" w:pos="3060"/>
        </w:tabs>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3.2.2监理人向委托人承诺，将按照本合同的约定完成本合同监理服务的工作内容且相关的监理服务须达到令委托人满意的程度。监理人如未能</w:t>
      </w:r>
      <w:r>
        <w:rPr>
          <w:rFonts w:hint="eastAsia" w:ascii="宋体" w:hAnsi="宋体" w:cs="宋体"/>
          <w:bCs/>
          <w:snapToGrid w:val="0"/>
          <w:color w:val="000000" w:themeColor="text1"/>
          <w:kern w:val="0"/>
          <w:szCs w:val="21"/>
          <w:highlight w:val="none"/>
          <w14:textFill>
            <w14:solidFill>
              <w14:schemeClr w14:val="tx1"/>
            </w14:solidFill>
          </w14:textFill>
        </w:rPr>
        <w:t>按</w:t>
      </w:r>
      <w:r>
        <w:rPr>
          <w:rFonts w:hint="eastAsia" w:ascii="宋体" w:hAnsi="宋体" w:cs="宋体"/>
          <w:snapToGrid w:val="0"/>
          <w:color w:val="000000" w:themeColor="text1"/>
          <w:kern w:val="0"/>
          <w:szCs w:val="21"/>
          <w:highlight w:val="none"/>
          <w14:textFill>
            <w14:solidFill>
              <w14:schemeClr w14:val="tx1"/>
            </w14:solidFill>
          </w14:textFill>
        </w:rPr>
        <w:t>合同</w:t>
      </w:r>
      <w:r>
        <w:rPr>
          <w:rFonts w:hint="eastAsia" w:ascii="宋体" w:hAnsi="宋体" w:cs="宋体"/>
          <w:bCs/>
          <w:snapToGrid w:val="0"/>
          <w:color w:val="000000" w:themeColor="text1"/>
          <w:kern w:val="0"/>
          <w:szCs w:val="21"/>
          <w:highlight w:val="none"/>
          <w14:textFill>
            <w14:solidFill>
              <w14:schemeClr w14:val="tx1"/>
            </w14:solidFill>
          </w14:textFill>
        </w:rPr>
        <w:t>约定完成相关工作内容的工作成果，或完成的工作成果未能达到约定的支付审核标准，或委托人对监理工作情况的检查结果未能达到约定的令人满意的程度，均视为监理人对该承诺的违反，委托人将在合同监理酬金总额中扣减相关监理服务项目的酬金。监理人对于履行监理职责方面的违约责任按照本合同专用条件第二十六条的相关约定执行。</w:t>
      </w:r>
    </w:p>
    <w:p w14:paraId="014CD4EC">
      <w:pPr>
        <w:tabs>
          <w:tab w:val="left" w:pos="3060"/>
        </w:tabs>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3.2.3各阶段监理酬金的支付</w:t>
      </w:r>
    </w:p>
    <w:p w14:paraId="081143D1">
      <w:pPr>
        <w:tabs>
          <w:tab w:val="left" w:pos="900"/>
        </w:tabs>
        <w:autoSpaceDE w:val="0"/>
        <w:autoSpaceDN w:val="0"/>
        <w:adjustRightInd w:val="0"/>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Hans"/>
          <w14:textFill>
            <w14:solidFill>
              <w14:schemeClr w14:val="tx1"/>
            </w14:solidFill>
          </w14:textFill>
        </w:rPr>
        <w:t>.</w:t>
      </w:r>
      <w:r>
        <w:rPr>
          <w:rFonts w:ascii="宋体" w:hAnsi="宋体" w:cs="宋体"/>
          <w:color w:val="000000" w:themeColor="text1"/>
          <w:szCs w:val="21"/>
          <w:highlight w:val="none"/>
          <w:lang w:eastAsia="zh-Hans"/>
          <w14:textFill>
            <w14:solidFill>
              <w14:schemeClr w14:val="tx1"/>
            </w14:solidFill>
          </w14:textFill>
        </w:rPr>
        <w:t>2</w:t>
      </w:r>
      <w:r>
        <w:rPr>
          <w:rFonts w:hint="eastAsia" w:ascii="宋体" w:hAnsi="宋体" w:cs="宋体"/>
          <w:color w:val="000000" w:themeColor="text1"/>
          <w:szCs w:val="21"/>
          <w:highlight w:val="none"/>
          <w:lang w:eastAsia="zh-Hans"/>
          <w14:textFill>
            <w14:solidFill>
              <w14:schemeClr w14:val="tx1"/>
            </w14:solidFill>
          </w14:textFill>
        </w:rPr>
        <w:t>.</w:t>
      </w:r>
      <w:r>
        <w:rPr>
          <w:rFonts w:ascii="宋体" w:hAnsi="宋体" w:cs="宋体"/>
          <w:color w:val="000000" w:themeColor="text1"/>
          <w:szCs w:val="21"/>
          <w:highlight w:val="none"/>
          <w:lang w:eastAsia="zh-Hans"/>
          <w14:textFill>
            <w14:solidFill>
              <w14:schemeClr w14:val="tx1"/>
            </w14:solidFill>
          </w14:textFill>
        </w:rPr>
        <w:t>3</w:t>
      </w:r>
      <w:r>
        <w:rPr>
          <w:rFonts w:hint="eastAsia" w:ascii="宋体" w:hAnsi="宋体" w:cs="宋体"/>
          <w:color w:val="000000" w:themeColor="text1"/>
          <w:szCs w:val="21"/>
          <w:highlight w:val="none"/>
          <w:lang w:eastAsia="zh-Hans"/>
          <w14:textFill>
            <w14:solidFill>
              <w14:schemeClr w14:val="tx1"/>
            </w14:solidFill>
          </w14:textFill>
        </w:rPr>
        <w:t>.</w:t>
      </w:r>
      <w:r>
        <w:rPr>
          <w:rFonts w:ascii="宋体" w:hAnsi="宋体" w:cs="宋体"/>
          <w:color w:val="000000" w:themeColor="text1"/>
          <w:szCs w:val="21"/>
          <w:highlight w:val="none"/>
          <w:lang w:eastAsia="zh-Hans"/>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根据监理的服务范围，分阶段、按节点支付监理酬金</w:t>
      </w:r>
      <w:r>
        <w:rPr>
          <w:rFonts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前期阶段</w:t>
      </w:r>
      <w:r>
        <w:rPr>
          <w:rFonts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可研经相关部门批复</w:t>
      </w:r>
      <w:r>
        <w:rPr>
          <w:rFonts w:hint="eastAsia" w:ascii="宋体" w:hAnsi="宋体" w:cs="宋体"/>
          <w:color w:val="000000" w:themeColor="text1"/>
          <w:szCs w:val="21"/>
          <w:highlight w:val="none"/>
          <w14:textFill>
            <w14:solidFill>
              <w14:schemeClr w14:val="tx1"/>
            </w14:solidFill>
          </w14:textFill>
        </w:rPr>
        <w:t>，支付2%的监理酬金暂定合同价</w:t>
      </w:r>
      <w:r>
        <w:rPr>
          <w:rFonts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勘察</w:t>
      </w:r>
      <w:r>
        <w:rPr>
          <w:rFonts w:ascii="宋体" w:hAnsi="宋体" w:cs="宋体"/>
          <w:color w:val="000000" w:themeColor="text1"/>
          <w:szCs w:val="21"/>
          <w:highlight w:val="none"/>
          <w:lang w:eastAsia="zh-Hans"/>
          <w14:textFill>
            <w14:solidFill>
              <w14:schemeClr w14:val="tx1"/>
            </w14:solidFill>
          </w14:textFill>
        </w:rPr>
        <w:t>阶段</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勘查单位提供勘查报告</w:t>
      </w:r>
      <w:r>
        <w:rPr>
          <w:rFonts w:hint="eastAsia" w:ascii="宋体" w:hAnsi="宋体" w:cs="宋体"/>
          <w:color w:val="000000" w:themeColor="text1"/>
          <w:szCs w:val="21"/>
          <w:highlight w:val="none"/>
          <w14:textFill>
            <w14:solidFill>
              <w14:schemeClr w14:val="tx1"/>
            </w14:solidFill>
          </w14:textFill>
        </w:rPr>
        <w:t>，支付1%的监理酬金暂定合同价</w:t>
      </w:r>
      <w:r>
        <w:rPr>
          <w:rFonts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设计</w:t>
      </w:r>
      <w:r>
        <w:rPr>
          <w:rFonts w:ascii="宋体" w:hAnsi="宋体" w:cs="宋体"/>
          <w:color w:val="000000" w:themeColor="text1"/>
          <w:szCs w:val="21"/>
          <w:highlight w:val="none"/>
          <w:lang w:eastAsia="zh-Hans"/>
          <w14:textFill>
            <w14:solidFill>
              <w14:schemeClr w14:val="tx1"/>
            </w14:solidFill>
          </w14:textFill>
        </w:rPr>
        <w:t>阶段：</w:t>
      </w:r>
      <w:r>
        <w:rPr>
          <w:rFonts w:hint="eastAsia" w:ascii="宋体" w:hAnsi="宋体" w:cs="宋体"/>
          <w:color w:val="000000" w:themeColor="text1"/>
          <w:szCs w:val="21"/>
          <w:highlight w:val="none"/>
          <w:lang w:eastAsia="zh-Hans"/>
          <w14:textFill>
            <w14:solidFill>
              <w14:schemeClr w14:val="tx1"/>
            </w14:solidFill>
          </w14:textFill>
        </w:rPr>
        <w:t>施工图经</w:t>
      </w:r>
      <w:r>
        <w:rPr>
          <w:rFonts w:hint="eastAsia" w:ascii="宋体" w:hAnsi="宋体" w:cs="宋体"/>
          <w:color w:val="000000" w:themeColor="text1"/>
          <w:szCs w:val="21"/>
          <w:highlight w:val="none"/>
          <w14:textFill>
            <w14:solidFill>
              <w14:schemeClr w14:val="tx1"/>
            </w14:solidFill>
          </w14:textFill>
        </w:rPr>
        <w:t>审查</w:t>
      </w:r>
      <w:r>
        <w:rPr>
          <w:rFonts w:hint="eastAsia" w:ascii="宋体" w:hAnsi="宋体" w:cs="宋体"/>
          <w:color w:val="000000" w:themeColor="text1"/>
          <w:szCs w:val="21"/>
          <w:highlight w:val="none"/>
          <w:lang w:eastAsia="zh-Hans"/>
          <w14:textFill>
            <w14:solidFill>
              <w14:schemeClr w14:val="tx1"/>
            </w14:solidFill>
          </w14:textFill>
        </w:rPr>
        <w:t>合格</w:t>
      </w:r>
      <w:r>
        <w:rPr>
          <w:rFonts w:hint="eastAsia" w:ascii="宋体" w:hAnsi="宋体" w:cs="宋体"/>
          <w:color w:val="000000" w:themeColor="text1"/>
          <w:szCs w:val="21"/>
          <w:highlight w:val="none"/>
          <w14:textFill>
            <w14:solidFill>
              <w14:schemeClr w14:val="tx1"/>
            </w14:solidFill>
          </w14:textFill>
        </w:rPr>
        <w:t>，支付4%的监理酬金暂定合同价</w:t>
      </w:r>
      <w:r>
        <w:rPr>
          <w:rFonts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概算、预算阶段</w:t>
      </w:r>
      <w:r>
        <w:rPr>
          <w:rFonts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概预算经相关部门审定</w:t>
      </w:r>
      <w:r>
        <w:rPr>
          <w:rFonts w:hint="eastAsia" w:ascii="宋体" w:hAnsi="宋体" w:cs="宋体"/>
          <w:color w:val="000000" w:themeColor="text1"/>
          <w:szCs w:val="21"/>
          <w:highlight w:val="none"/>
          <w14:textFill>
            <w14:solidFill>
              <w14:schemeClr w14:val="tx1"/>
            </w14:solidFill>
          </w14:textFill>
        </w:rPr>
        <w:t>，支付3%的监理酬金暂定合同价</w:t>
      </w:r>
      <w:r>
        <w:rPr>
          <w:rFonts w:ascii="宋体" w:hAnsi="宋体" w:cs="宋体"/>
          <w:color w:val="000000" w:themeColor="text1"/>
          <w:szCs w:val="21"/>
          <w:highlight w:val="none"/>
          <w:lang w:eastAsia="zh-Hans"/>
          <w14:textFill>
            <w14:solidFill>
              <w14:schemeClr w14:val="tx1"/>
            </w14:solidFill>
          </w14:textFill>
        </w:rPr>
        <w:t>。其余监理酬金由委托人按</w:t>
      </w:r>
      <w:r>
        <w:rPr>
          <w:rFonts w:hint="eastAsia" w:ascii="宋体" w:hAnsi="宋体" w:cs="宋体"/>
          <w:color w:val="000000" w:themeColor="text1"/>
          <w:szCs w:val="21"/>
          <w:highlight w:val="none"/>
          <w:lang w:eastAsia="zh-Hans"/>
          <w14:textFill>
            <w14:solidFill>
              <w14:schemeClr w14:val="tx1"/>
            </w14:solidFill>
          </w14:textFill>
        </w:rPr>
        <w:t>施工</w:t>
      </w:r>
      <w:r>
        <w:rPr>
          <w:rFonts w:ascii="宋体" w:hAnsi="宋体" w:cs="宋体"/>
          <w:color w:val="000000" w:themeColor="text1"/>
          <w:szCs w:val="21"/>
          <w:highlight w:val="none"/>
          <w:lang w:eastAsia="zh-Hans"/>
          <w14:textFill>
            <w14:solidFill>
              <w14:schemeClr w14:val="tx1"/>
            </w14:solidFill>
          </w14:textFill>
        </w:rPr>
        <w:t>进度计付，公式为：施工进度款×监理费率（监理费率=投标监理报价</w:t>
      </w:r>
      <w:r>
        <w:rPr>
          <w:rFonts w:hint="eastAsia" w:ascii="宋体" w:hAnsi="宋体" w:cs="宋体"/>
          <w:color w:val="000000" w:themeColor="text1"/>
          <w:szCs w:val="21"/>
          <w:highlight w:val="none"/>
          <w14:textFill>
            <w14:solidFill>
              <w14:schemeClr w14:val="tx1"/>
            </w14:solidFill>
          </w14:textFill>
        </w:rPr>
        <w:t>×90%</w:t>
      </w:r>
      <w:r>
        <w:rPr>
          <w:rFonts w:ascii="宋体" w:hAnsi="宋体" w:cs="宋体"/>
          <w:color w:val="000000" w:themeColor="text1"/>
          <w:szCs w:val="21"/>
          <w:highlight w:val="none"/>
          <w:lang w:eastAsia="zh-Hans"/>
          <w14:textFill>
            <w14:solidFill>
              <w14:schemeClr w14:val="tx1"/>
            </w14:solidFill>
          </w14:textFill>
        </w:rPr>
        <w:t>÷施工合同价）。到工程完工时，委托人最多支付至本工程监理酬金暂定总金额的85％。</w:t>
      </w:r>
    </w:p>
    <w:p w14:paraId="6AEDDEDF">
      <w:pPr>
        <w:tabs>
          <w:tab w:val="left" w:pos="900"/>
        </w:tabs>
        <w:autoSpaceDE w:val="0"/>
        <w:autoSpaceDN w:val="0"/>
        <w:adjustRightInd w:val="0"/>
        <w:spacing w:line="360" w:lineRule="auto"/>
        <w:ind w:firstLine="48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3.2.3.</w:t>
      </w:r>
      <w:r>
        <w:rPr>
          <w:rFonts w:ascii="宋体" w:hAnsi="宋体" w:cs="宋体"/>
          <w:bCs/>
          <w:snapToGrid w:val="0"/>
          <w:color w:val="000000" w:themeColor="text1"/>
          <w:kern w:val="0"/>
          <w:szCs w:val="21"/>
          <w:highlight w:val="none"/>
          <w14:textFill>
            <w14:solidFill>
              <w14:schemeClr w14:val="tx1"/>
            </w14:solidFill>
          </w14:textFill>
        </w:rPr>
        <w:t>2</w:t>
      </w:r>
      <w:r>
        <w:rPr>
          <w:rFonts w:hint="eastAsia" w:ascii="宋体" w:hAnsi="宋体" w:cs="宋体"/>
          <w:bCs/>
          <w:snapToGrid w:val="0"/>
          <w:color w:val="000000" w:themeColor="text1"/>
          <w:kern w:val="0"/>
          <w:szCs w:val="21"/>
          <w:highlight w:val="none"/>
          <w14:textFill>
            <w14:solidFill>
              <w14:schemeClr w14:val="tx1"/>
            </w14:solidFill>
          </w14:textFill>
        </w:rPr>
        <w:t xml:space="preserve"> □ 无监理酬金预付款。</w:t>
      </w:r>
      <w:r>
        <w:rPr>
          <w:rFonts w:hint="eastAsia" w:ascii="MS Mincho" w:hAnsi="MS Mincho" w:eastAsia="MS Mincho" w:cs="MS Mincho"/>
          <w:bCs/>
          <w:snapToGrid w:val="0"/>
          <w:color w:val="000000" w:themeColor="text1"/>
          <w:kern w:val="0"/>
          <w:szCs w:val="21"/>
          <w:highlight w:val="none"/>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 xml:space="preserve"> 有监理酬金预付款，</w:t>
      </w:r>
      <w:r>
        <w:rPr>
          <w:rFonts w:hint="eastAsia" w:ascii="宋体" w:hAnsi="宋体" w:cs="宋体"/>
          <w:color w:val="000000" w:themeColor="text1"/>
          <w:szCs w:val="21"/>
          <w:highlight w:val="none"/>
          <w14:textFill>
            <w14:solidFill>
              <w14:schemeClr w14:val="tx1"/>
            </w14:solidFill>
          </w14:textFill>
        </w:rPr>
        <w:t>自本监理合同生效之日起</w:t>
      </w:r>
      <w:r>
        <w:rPr>
          <w:rFonts w:hint="eastAsia" w:ascii="宋体" w:hAnsi="宋体" w:cs="宋体"/>
          <w:bCs/>
          <w:snapToGrid w:val="0"/>
          <w:color w:val="000000" w:themeColor="text1"/>
          <w:kern w:val="0"/>
          <w:szCs w:val="21"/>
          <w:highlight w:val="none"/>
          <w14:textFill>
            <w14:solidFill>
              <w14:schemeClr w14:val="tx1"/>
            </w14:solidFill>
          </w14:textFill>
        </w:rPr>
        <w:t>的15日内，监理人提出书面申请，委托人办理财政集中支付手续通过银行转账或支票方式向监理人预付施</w:t>
      </w:r>
      <w:r>
        <w:rPr>
          <w:rFonts w:hint="eastAsia" w:ascii="宋体" w:hAnsi="宋体" w:cs="宋体"/>
          <w:color w:val="000000" w:themeColor="text1"/>
          <w:szCs w:val="21"/>
          <w:highlight w:val="none"/>
          <w14:textFill>
            <w14:solidFill>
              <w14:schemeClr w14:val="tx1"/>
            </w14:solidFill>
          </w14:textFill>
        </w:rPr>
        <w:t>工阶段监理酬金的10</w:t>
      </w:r>
      <w:r>
        <w:rPr>
          <w:rFonts w:hint="eastAsia" w:ascii="宋体" w:hAnsi="宋体" w:cs="宋体"/>
          <w:bCs/>
          <w:snapToGrid w:val="0"/>
          <w:color w:val="000000" w:themeColor="text1"/>
          <w:kern w:val="0"/>
          <w:szCs w:val="21"/>
          <w:highlight w:val="none"/>
          <w14:textFill>
            <w14:solidFill>
              <w14:schemeClr w14:val="tx1"/>
            </w14:solidFill>
          </w14:textFill>
        </w:rPr>
        <w:t>％即￥</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（人民币大写：</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）作为预付款，其余监理酬金由委托人按</w:t>
      </w:r>
      <w:r>
        <w:rPr>
          <w:rFonts w:hint="eastAsia" w:ascii="宋体" w:hAnsi="宋体" w:cs="宋体"/>
          <w:bCs/>
          <w:snapToGrid w:val="0"/>
          <w:color w:val="000000" w:themeColor="text1"/>
          <w:kern w:val="0"/>
          <w:szCs w:val="21"/>
          <w:highlight w:val="none"/>
          <w:lang w:eastAsia="zh-Hans"/>
          <w14:textFill>
            <w14:solidFill>
              <w14:schemeClr w14:val="tx1"/>
            </w14:solidFill>
          </w14:textFill>
        </w:rPr>
        <w:t>施工</w:t>
      </w:r>
      <w:r>
        <w:rPr>
          <w:rFonts w:hint="eastAsia" w:ascii="宋体" w:hAnsi="宋体" w:cs="宋体"/>
          <w:bCs/>
          <w:snapToGrid w:val="0"/>
          <w:color w:val="000000" w:themeColor="text1"/>
          <w:kern w:val="0"/>
          <w:szCs w:val="21"/>
          <w:highlight w:val="none"/>
          <w14:textFill>
            <w14:solidFill>
              <w14:schemeClr w14:val="tx1"/>
            </w14:solidFill>
          </w14:textFill>
        </w:rPr>
        <w:t>进度计付，公式为：施工</w:t>
      </w:r>
      <w:r>
        <w:rPr>
          <w:rFonts w:hint="eastAsia" w:ascii="宋体" w:hAnsi="宋体" w:cs="宋体"/>
          <w:color w:val="000000" w:themeColor="text1"/>
          <w:szCs w:val="21"/>
          <w:highlight w:val="none"/>
          <w14:textFill>
            <w14:solidFill>
              <w14:schemeClr w14:val="tx1"/>
            </w14:solidFill>
          </w14:textFill>
        </w:rPr>
        <w:t>进度款×监理费率（监理费率=投标监理报价÷施工合同价）。到工程完工时，委托人最多支付至</w:t>
      </w:r>
      <w:r>
        <w:rPr>
          <w:rFonts w:hint="eastAsia" w:ascii="宋体" w:hAnsi="宋体" w:cs="宋体"/>
          <w:bCs/>
          <w:color w:val="000000" w:themeColor="text1"/>
          <w:szCs w:val="21"/>
          <w:highlight w:val="none"/>
          <w14:textFill>
            <w14:solidFill>
              <w14:schemeClr w14:val="tx1"/>
            </w14:solidFill>
          </w14:textFill>
        </w:rPr>
        <w:t>本工程</w:t>
      </w:r>
      <w:r>
        <w:rPr>
          <w:rFonts w:hint="eastAsia" w:ascii="宋体" w:hAnsi="宋体" w:cs="宋体"/>
          <w:color w:val="000000" w:themeColor="text1"/>
          <w:szCs w:val="21"/>
          <w:highlight w:val="none"/>
          <w14:textFill>
            <w14:solidFill>
              <w14:schemeClr w14:val="tx1"/>
            </w14:solidFill>
          </w14:textFill>
        </w:rPr>
        <w:t>监理酬金</w:t>
      </w:r>
      <w:r>
        <w:rPr>
          <w:rFonts w:hint="eastAsia" w:ascii="宋体" w:hAnsi="宋体" w:cs="宋体"/>
          <w:bCs/>
          <w:color w:val="000000" w:themeColor="text1"/>
          <w:szCs w:val="21"/>
          <w:highlight w:val="none"/>
          <w14:textFill>
            <w14:solidFill>
              <w14:schemeClr w14:val="tx1"/>
            </w14:solidFill>
          </w14:textFill>
        </w:rPr>
        <w:t>暂定总金额</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bCs/>
          <w:snapToGrid w:val="0"/>
          <w:color w:val="000000" w:themeColor="text1"/>
          <w:kern w:val="0"/>
          <w:szCs w:val="21"/>
          <w:highlight w:val="none"/>
          <w14:textFill>
            <w14:solidFill>
              <w14:schemeClr w14:val="tx1"/>
            </w14:solidFill>
          </w14:textFill>
        </w:rPr>
        <w:t>85％</w:t>
      </w:r>
      <w:r>
        <w:rPr>
          <w:rFonts w:hint="eastAsia" w:ascii="宋体" w:hAnsi="宋体" w:cs="宋体"/>
          <w:color w:val="000000" w:themeColor="text1"/>
          <w:szCs w:val="21"/>
          <w:highlight w:val="none"/>
          <w14:textFill>
            <w14:solidFill>
              <w14:schemeClr w14:val="tx1"/>
            </w14:solidFill>
          </w14:textFill>
        </w:rPr>
        <w:t>。</w:t>
      </w:r>
    </w:p>
    <w:p w14:paraId="09D1132F">
      <w:pPr>
        <w:tabs>
          <w:tab w:val="left" w:pos="3060"/>
        </w:tabs>
        <w:adjustRightInd w:val="0"/>
        <w:snapToGrid w:val="0"/>
        <w:spacing w:line="360" w:lineRule="auto"/>
        <w:ind w:right="11"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3.2.3.</w:t>
      </w:r>
      <w:r>
        <w:rPr>
          <w:rFonts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当委托人累计支付的金额达到</w:t>
      </w:r>
      <w:r>
        <w:rPr>
          <w:rFonts w:hint="eastAsia" w:ascii="宋体" w:hAnsi="宋体" w:cs="宋体"/>
          <w:bCs/>
          <w:snapToGrid w:val="0"/>
          <w:color w:val="000000" w:themeColor="text1"/>
          <w:kern w:val="0"/>
          <w:szCs w:val="21"/>
          <w:highlight w:val="none"/>
          <w14:textFill>
            <w14:solidFill>
              <w14:schemeClr w14:val="tx1"/>
            </w14:solidFill>
          </w14:textFill>
        </w:rPr>
        <w:t>本合同监理酬金暂定总金额的85%时</w:t>
      </w:r>
      <w:r>
        <w:rPr>
          <w:rFonts w:hint="eastAsia" w:ascii="宋体" w:hAnsi="宋体" w:cs="宋体"/>
          <w:snapToGrid w:val="0"/>
          <w:color w:val="000000" w:themeColor="text1"/>
          <w:kern w:val="0"/>
          <w:szCs w:val="21"/>
          <w:highlight w:val="none"/>
          <w14:textFill>
            <w14:solidFill>
              <w14:schemeClr w14:val="tx1"/>
            </w14:solidFill>
          </w14:textFill>
        </w:rPr>
        <w:t>，委托人暂停本合同任何款项的申请审核及支付，余下监理酬金的支付按本条第3.2.3.4款的约定执行。</w:t>
      </w:r>
    </w:p>
    <w:p w14:paraId="3E30A9CD">
      <w:pPr>
        <w:tabs>
          <w:tab w:val="left" w:pos="3060"/>
        </w:tabs>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3.2.3.</w:t>
      </w:r>
      <w:r>
        <w:rPr>
          <w:rFonts w:ascii="宋体" w:hAnsi="宋体" w:cs="宋体"/>
          <w:bCs/>
          <w:snapToGrid w:val="0"/>
          <w:color w:val="000000" w:themeColor="text1"/>
          <w:kern w:val="0"/>
          <w:szCs w:val="21"/>
          <w:highlight w:val="none"/>
          <w14:textFill>
            <w14:solidFill>
              <w14:schemeClr w14:val="tx1"/>
            </w14:solidFill>
          </w14:textFill>
        </w:rPr>
        <w:t>4</w:t>
      </w:r>
      <w:r>
        <w:rPr>
          <w:rFonts w:hint="eastAsia" w:ascii="宋体" w:hAnsi="宋体" w:cs="宋体"/>
          <w:bCs/>
          <w:snapToGrid w:val="0"/>
          <w:color w:val="000000" w:themeColor="text1"/>
          <w:kern w:val="0"/>
          <w:szCs w:val="21"/>
          <w:highlight w:val="none"/>
          <w14:textFill>
            <w14:solidFill>
              <w14:schemeClr w14:val="tx1"/>
            </w14:solidFill>
          </w14:textFill>
        </w:rPr>
        <w:t>监理人完成本合同约定的全部监理工作且本工程整体竣工结算（含本合同结算）被政府终审部门确认，监理人督促承包人按时完整移交工程竣工档案后，委托人累计支付至本工程监理酬金结算总价的97%，留下本工程监理酬金结算总价的3%作为质量保修阶段的酬金。在工程竣工验收合格后满两年且本合同工程整体竣工结算被确认，若监理人未出现违约情形，委托人应在收到监理人的款项申请手续后14日内将质量保修阶段的酬金即本工程监理酬金结算总价的3%支付给监理人。</w:t>
      </w:r>
    </w:p>
    <w:p w14:paraId="71533BD2">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3.2.4本合同结算监理酬金审定后，委托人发现监理酬金超付的，则监理人必须在14日内无条件退还委托人；若监理人迟延退还超付的监理酬金，除须继续向委托人退还超付的监理酬金外，还应每天向委托人支付该超付监理酬金2‰的违约金。</w:t>
      </w:r>
    </w:p>
    <w:p w14:paraId="29E75B06">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3.2.5监理人应在委托人每期办理财政集中支付手续前【</w:t>
      </w:r>
      <w:r>
        <w:rPr>
          <w:rFonts w:hint="eastAsia" w:ascii="宋体" w:hAnsi="宋体" w:cs="宋体"/>
          <w:bCs/>
          <w:snapToGrid w:val="0"/>
          <w:color w:val="000000" w:themeColor="text1"/>
          <w:kern w:val="0"/>
          <w:szCs w:val="21"/>
          <w:highlight w:val="none"/>
          <w14:textFill>
            <w14:solidFill>
              <w14:schemeClr w14:val="tx1"/>
            </w14:solidFill>
          </w14:textFill>
        </w:rPr>
        <w:t>7</w:t>
      </w:r>
      <w:r>
        <w:rPr>
          <w:rFonts w:hint="eastAsia" w:ascii="宋体" w:hAnsi="宋体" w:cs="宋体"/>
          <w:bCs/>
          <w:snapToGrid w:val="0"/>
          <w:color w:val="000000" w:themeColor="text1"/>
          <w:kern w:val="0"/>
          <w:szCs w:val="21"/>
          <w:highlight w:val="none"/>
          <w:lang w:val="zh-TW"/>
          <w14:textFill>
            <w14:solidFill>
              <w14:schemeClr w14:val="tx1"/>
            </w14:solidFill>
          </w14:textFill>
        </w:rPr>
        <w:t>】个工作日向委托人提供与当期应付款项等额的合法有效的国家正式发票（□增值税专用发票；□增值税普通发票）及书面付款申请（一式四份），供委托人审核确认后办理财政集中支付手续。</w:t>
      </w:r>
    </w:p>
    <w:p w14:paraId="7125E894">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委托人指定开具发票的基本信息如下：</w:t>
      </w:r>
    </w:p>
    <w:p w14:paraId="5AA6C576">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名        称： 广州市天河区建设工程项目代建局</w:t>
      </w:r>
    </w:p>
    <w:p w14:paraId="602B69BD">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纳税人识别号：</w:t>
      </w:r>
      <w:r>
        <w:rPr>
          <w:rFonts w:ascii="宋体" w:hAnsi="宋体" w:cs="宋体"/>
          <w:bCs/>
          <w:snapToGrid w:val="0"/>
          <w:color w:val="000000" w:themeColor="text1"/>
          <w:kern w:val="0"/>
          <w:szCs w:val="21"/>
          <w:highlight w:val="none"/>
          <w:lang w:val="zh-TW"/>
          <w14:textFill>
            <w14:solidFill>
              <w14:schemeClr w14:val="tx1"/>
            </w14:solidFill>
          </w14:textFill>
        </w:rPr>
        <w:t xml:space="preserve"> </w:t>
      </w:r>
      <w:r>
        <w:rPr>
          <w:rFonts w:hint="eastAsia" w:ascii="宋体" w:hAnsi="宋体" w:cs="宋体"/>
          <w:bCs/>
          <w:snapToGrid w:val="0"/>
          <w:color w:val="000000" w:themeColor="text1"/>
          <w:kern w:val="0"/>
          <w:szCs w:val="21"/>
          <w:highlight w:val="none"/>
          <w:lang w:val="zh-TW"/>
          <w14:textFill>
            <w14:solidFill>
              <w14:schemeClr w14:val="tx1"/>
            </w14:solidFill>
          </w14:textFill>
        </w:rPr>
        <w:t>124401066852360589</w:t>
      </w:r>
    </w:p>
    <w:p w14:paraId="266C087C">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地址、电话： 广州市天河区黄埔大道</w:t>
      </w:r>
      <w:r>
        <w:rPr>
          <w:rFonts w:hint="eastAsia" w:ascii="宋体" w:hAnsi="宋体" w:cs="宋体"/>
          <w:bCs/>
          <w:snapToGrid w:val="0"/>
          <w:color w:val="000000" w:themeColor="text1"/>
          <w:kern w:val="0"/>
          <w:szCs w:val="21"/>
          <w:highlight w:val="none"/>
          <w14:textFill>
            <w14:solidFill>
              <w14:schemeClr w14:val="tx1"/>
            </w14:solidFill>
          </w14:textFill>
        </w:rPr>
        <w:t>中</w:t>
      </w:r>
      <w:r>
        <w:rPr>
          <w:rFonts w:hint="eastAsia" w:ascii="宋体" w:hAnsi="宋体" w:cs="宋体"/>
          <w:bCs/>
          <w:snapToGrid w:val="0"/>
          <w:color w:val="000000" w:themeColor="text1"/>
          <w:kern w:val="0"/>
          <w:szCs w:val="21"/>
          <w:highlight w:val="none"/>
          <w:lang w:val="zh-TW"/>
          <w14:textFill>
            <w14:solidFill>
              <w14:schemeClr w14:val="tx1"/>
            </w14:solidFill>
          </w14:textFill>
        </w:rPr>
        <w:t>300号润都大厦15楼</w:t>
      </w:r>
    </w:p>
    <w:p w14:paraId="327CCA9D">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开户行： 工商银行广州员村支行</w:t>
      </w:r>
      <w:r>
        <w:rPr>
          <w:rFonts w:hint="eastAsia" w:ascii="宋体" w:hAnsi="宋体" w:cs="宋体"/>
          <w:bCs/>
          <w:snapToGrid w:val="0"/>
          <w:color w:val="000000" w:themeColor="text1"/>
          <w:kern w:val="0"/>
          <w:szCs w:val="21"/>
          <w:highlight w:val="none"/>
          <w14:textFill>
            <w14:solidFill>
              <w14:schemeClr w14:val="tx1"/>
            </w14:solidFill>
          </w14:textFill>
        </w:rPr>
        <w:t xml:space="preserve">  账号：</w:t>
      </w:r>
      <w:r>
        <w:rPr>
          <w:rFonts w:hint="eastAsia" w:ascii="宋体" w:hAnsi="宋体" w:cs="宋体"/>
          <w:bCs/>
          <w:snapToGrid w:val="0"/>
          <w:color w:val="000000" w:themeColor="text1"/>
          <w:kern w:val="0"/>
          <w:szCs w:val="21"/>
          <w:highlight w:val="none"/>
          <w:lang w:val="zh-TW"/>
          <w14:textFill>
            <w14:solidFill>
              <w14:schemeClr w14:val="tx1"/>
            </w14:solidFill>
          </w14:textFill>
        </w:rPr>
        <w:t>3602005309200186668</w:t>
      </w:r>
    </w:p>
    <w:p w14:paraId="38C09F79">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货物或应税劳务、服务名称：</w:t>
      </w:r>
    </w:p>
    <w:p w14:paraId="6C3D0966">
      <w:pPr>
        <w:tabs>
          <w:tab w:val="left" w:pos="3060"/>
        </w:tabs>
        <w:adjustRightInd w:val="0"/>
        <w:snapToGrid w:val="0"/>
        <w:spacing w:line="360" w:lineRule="auto"/>
        <w:ind w:right="11" w:firstLine="480" w:firstLineChars="200"/>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3.2.6监理人确认本合同落款盖章处载明的银行账户为其指定的唯一的收款账户。如监理人需更改银行账户信息须于委托人办理财政集中支付手续3个工作日前以书面方式通知委托人，否则，委托人向前述账户支付款项到账后，视为已支付款项，监理人自行承担怠于通知的不利后果。</w:t>
      </w:r>
    </w:p>
    <w:p w14:paraId="69F8649A">
      <w:pPr>
        <w:tabs>
          <w:tab w:val="left" w:pos="3060"/>
        </w:tabs>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3.2.7鉴于委托人使用的是财政资金，委托人在第3.2.3款约定的时间内办理财政集中支付手续的（不含政府财政支付部门审核的时间），视为委托人已按约支付。由于财政拨款不到位、监理人未及时提供合法有效的发票或不可抗力原因导致监理人收款延误的，委托人不承担延迟付款的责任，并且此情况不能成为监理人中止或拒绝履行本合同项下义务的理由。</w:t>
      </w:r>
    </w:p>
    <w:p w14:paraId="35BD6696">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四、</w:t>
      </w:r>
      <w:r>
        <w:rPr>
          <w:rFonts w:hint="eastAsia" w:ascii="宋体" w:hAnsi="宋体" w:cs="宋体"/>
          <w:snapToGrid w:val="0"/>
          <w:color w:val="000000" w:themeColor="text1"/>
          <w:kern w:val="0"/>
          <w:szCs w:val="21"/>
          <w:highlight w:val="none"/>
          <w14:textFill>
            <w14:solidFill>
              <w14:schemeClr w14:val="tx1"/>
            </w14:solidFill>
          </w14:textFill>
        </w:rPr>
        <w:t>本协议书中的有关词语含义与本合同《专用条件》、《标准条件》中赋予它们的定义相同。</w:t>
      </w:r>
    </w:p>
    <w:p w14:paraId="60FB7836">
      <w:pPr>
        <w:adjustRightInd w:val="0"/>
        <w:snapToGrid w:val="0"/>
        <w:spacing w:line="360" w:lineRule="auto"/>
        <w:ind w:right="11" w:firstLine="482"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五、</w:t>
      </w:r>
      <w:r>
        <w:rPr>
          <w:rFonts w:hint="eastAsia" w:ascii="宋体" w:hAnsi="宋体" w:cs="宋体"/>
          <w:bCs/>
          <w:snapToGrid w:val="0"/>
          <w:color w:val="000000" w:themeColor="text1"/>
          <w:kern w:val="0"/>
          <w:szCs w:val="21"/>
          <w:highlight w:val="none"/>
          <w14:textFill>
            <w14:solidFill>
              <w14:schemeClr w14:val="tx1"/>
            </w14:solidFill>
          </w14:textFill>
        </w:rPr>
        <w:t>下列文件应被认为是组成本合同的一部分，并互为补充和解释，如各文件存在冲突之处，以如下排列次序在前者优先适用：</w:t>
      </w:r>
    </w:p>
    <w:p w14:paraId="3DEFC8CD">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（1）本合同履行期间委托人与监理人双方签订的补充合同（协议）或修正文件；</w:t>
      </w:r>
    </w:p>
    <w:p w14:paraId="090AD35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（2）本协议书；</w:t>
      </w:r>
    </w:p>
    <w:p w14:paraId="666262A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（3）中标通知书（如有）；</w:t>
      </w:r>
    </w:p>
    <w:p w14:paraId="11CE8A4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（4）本合同专用条件；</w:t>
      </w:r>
    </w:p>
    <w:p w14:paraId="2037F6E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（5）委托人制定的各项制度、规定；</w:t>
      </w:r>
    </w:p>
    <w:p w14:paraId="2B1B095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（6）本合同附件；</w:t>
      </w:r>
    </w:p>
    <w:p w14:paraId="14A4540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（7）本合同标准条件；</w:t>
      </w:r>
    </w:p>
    <w:p w14:paraId="252678A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（8）本合同工程监理招标文件</w:t>
      </w:r>
      <w:r>
        <w:rPr>
          <w:rFonts w:hint="eastAsia" w:ascii="宋体" w:hAnsi="宋体" w:cs="宋体"/>
          <w:bCs/>
          <w:snapToGrid w:val="0"/>
          <w:color w:val="000000" w:themeColor="text1"/>
          <w:kern w:val="0"/>
          <w:szCs w:val="21"/>
          <w:highlight w:val="none"/>
          <w14:textFill>
            <w14:solidFill>
              <w14:schemeClr w14:val="tx1"/>
            </w14:solidFill>
          </w14:textFill>
        </w:rPr>
        <w:t>（含招标文件补充文件、澄清文件、答疑文件等，属本条第7项内容的除外）</w:t>
      </w:r>
      <w:r>
        <w:rPr>
          <w:rFonts w:hint="eastAsia" w:ascii="宋体" w:hAnsi="宋体" w:cs="宋体"/>
          <w:snapToGrid w:val="0"/>
          <w:color w:val="000000" w:themeColor="text1"/>
          <w:kern w:val="0"/>
          <w:szCs w:val="21"/>
          <w:highlight w:val="none"/>
          <w14:textFill>
            <w14:solidFill>
              <w14:schemeClr w14:val="tx1"/>
            </w14:solidFill>
          </w14:textFill>
        </w:rPr>
        <w:t>；</w:t>
      </w:r>
    </w:p>
    <w:p w14:paraId="65ED3E9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（9）本合同工程监理投标文件</w:t>
      </w:r>
      <w:r>
        <w:rPr>
          <w:rFonts w:hint="eastAsia" w:ascii="宋体" w:hAnsi="宋体" w:cs="宋体"/>
          <w:bCs/>
          <w:snapToGrid w:val="0"/>
          <w:color w:val="000000" w:themeColor="text1"/>
          <w:kern w:val="0"/>
          <w:szCs w:val="21"/>
          <w:highlight w:val="none"/>
          <w14:textFill>
            <w14:solidFill>
              <w14:schemeClr w14:val="tx1"/>
            </w14:solidFill>
          </w14:textFill>
        </w:rPr>
        <w:t>（含投标文件澄清等，属本条第(7)项内容的除外）</w:t>
      </w:r>
      <w:r>
        <w:rPr>
          <w:rFonts w:hint="eastAsia" w:ascii="宋体" w:hAnsi="宋体" w:cs="宋体"/>
          <w:snapToGrid w:val="0"/>
          <w:color w:val="000000" w:themeColor="text1"/>
          <w:kern w:val="0"/>
          <w:szCs w:val="21"/>
          <w:highlight w:val="none"/>
          <w14:textFill>
            <w14:solidFill>
              <w14:schemeClr w14:val="tx1"/>
            </w14:solidFill>
          </w14:textFill>
        </w:rPr>
        <w:t>；</w:t>
      </w:r>
    </w:p>
    <w:p w14:paraId="3E2DD02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（10）组成本合同的其他文件。</w:t>
      </w:r>
    </w:p>
    <w:p w14:paraId="75799B62">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通过上述顺序解释仍无法明确的事项，由委托人与监理人协商解决；如协商不成，由委托人按照公平合理和有利于本合同工程建设的原则作出决定，监理人应无条件执行。如监理人认为因此给其造成了损失，可按</w:t>
      </w:r>
      <w:r>
        <w:rPr>
          <w:rFonts w:hint="eastAsia" w:ascii="宋体" w:hAnsi="宋体" w:cs="宋体"/>
          <w:bCs/>
          <w:snapToGrid w:val="0"/>
          <w:color w:val="000000" w:themeColor="text1"/>
          <w:kern w:val="0"/>
          <w:szCs w:val="21"/>
          <w:highlight w:val="none"/>
          <w14:textFill>
            <w14:solidFill>
              <w14:schemeClr w14:val="tx1"/>
            </w14:solidFill>
          </w14:textFill>
        </w:rPr>
        <w:t>本合同专用条件第四十九条的约定处理。</w:t>
      </w:r>
    </w:p>
    <w:p w14:paraId="099274BF">
      <w:pPr>
        <w:adjustRightInd w:val="0"/>
        <w:snapToGrid w:val="0"/>
        <w:spacing w:line="360" w:lineRule="auto"/>
        <w:ind w:firstLine="472" w:firstLineChars="196"/>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六、</w:t>
      </w:r>
      <w:r>
        <w:rPr>
          <w:rFonts w:hint="eastAsia" w:ascii="宋体" w:hAnsi="宋体" w:cs="宋体"/>
          <w:bCs/>
          <w:snapToGrid w:val="0"/>
          <w:color w:val="000000" w:themeColor="text1"/>
          <w:kern w:val="0"/>
          <w:szCs w:val="21"/>
          <w:highlight w:val="none"/>
          <w14:textFill>
            <w14:solidFill>
              <w14:schemeClr w14:val="tx1"/>
            </w14:solidFill>
          </w14:textFill>
        </w:rPr>
        <w:t>监理人承诺遵守委托人所制订的针对本合同工程建设管理的各项制度、规定，这些管理制度、规定必须符合下列原则：</w:t>
      </w:r>
    </w:p>
    <w:p w14:paraId="03D3C8AF">
      <w:pPr>
        <w:adjustRightInd w:val="0"/>
        <w:snapToGrid w:val="0"/>
        <w:spacing w:line="360" w:lineRule="auto"/>
        <w:ind w:left="405"/>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（1）符合国家、广东省、广州市的有关政策、法规、规范和标准；</w:t>
      </w:r>
    </w:p>
    <w:p w14:paraId="2FCCC882">
      <w:pPr>
        <w:adjustRightInd w:val="0"/>
        <w:snapToGrid w:val="0"/>
        <w:spacing w:line="360" w:lineRule="auto"/>
        <w:ind w:left="405"/>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（2）符合对本合同工程进行有效管理的基本精神和要求；</w:t>
      </w:r>
    </w:p>
    <w:p w14:paraId="20A1FC7E">
      <w:pPr>
        <w:adjustRightInd w:val="0"/>
        <w:snapToGrid w:val="0"/>
        <w:spacing w:line="360" w:lineRule="auto"/>
        <w:ind w:left="405"/>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（3）为确保工程质量、进度、安全文明及职业健康管理所必须；</w:t>
      </w:r>
    </w:p>
    <w:p w14:paraId="2B650C84">
      <w:pPr>
        <w:adjustRightInd w:val="0"/>
        <w:snapToGrid w:val="0"/>
        <w:spacing w:line="360" w:lineRule="auto"/>
        <w:ind w:left="405"/>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（4）不是针对某一特定的监理人或承包人。</w:t>
      </w:r>
    </w:p>
    <w:p w14:paraId="3111C204">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七、</w:t>
      </w:r>
      <w:r>
        <w:rPr>
          <w:rFonts w:hint="eastAsia" w:ascii="宋体" w:hAnsi="宋体" w:cs="宋体"/>
          <w:snapToGrid w:val="0"/>
          <w:color w:val="000000" w:themeColor="text1"/>
          <w:kern w:val="0"/>
          <w:szCs w:val="21"/>
          <w:highlight w:val="none"/>
          <w14:textFill>
            <w14:solidFill>
              <w14:schemeClr w14:val="tx1"/>
            </w14:solidFill>
          </w14:textFill>
        </w:rPr>
        <w:t>监理人应投入足够的合格人员确保及时准确地按委托人要求进行信息报送。</w:t>
      </w:r>
    </w:p>
    <w:p w14:paraId="6B059B2A">
      <w:pPr>
        <w:adjustRightInd w:val="0"/>
        <w:snapToGrid w:val="0"/>
        <w:spacing w:line="360" w:lineRule="auto"/>
        <w:ind w:right="11" w:firstLine="482"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八、</w:t>
      </w:r>
      <w:r>
        <w:rPr>
          <w:rFonts w:hint="eastAsia" w:ascii="宋体" w:hAnsi="宋体" w:cs="宋体"/>
          <w:bCs/>
          <w:snapToGrid w:val="0"/>
          <w:color w:val="000000" w:themeColor="text1"/>
          <w:kern w:val="0"/>
          <w:szCs w:val="21"/>
          <w:highlight w:val="none"/>
          <w14:textFill>
            <w14:solidFill>
              <w14:schemeClr w14:val="tx1"/>
            </w14:solidFill>
          </w14:textFill>
        </w:rPr>
        <w:t>本合同自</w:t>
      </w:r>
      <w:r>
        <w:rPr>
          <w:rFonts w:hint="eastAsia" w:ascii="宋体" w:hAnsi="宋体" w:cs="宋体"/>
          <w:snapToGrid w:val="0"/>
          <w:color w:val="000000" w:themeColor="text1"/>
          <w:kern w:val="0"/>
          <w:szCs w:val="21"/>
          <w:highlight w:val="none"/>
          <w14:textFill>
            <w14:solidFill>
              <w14:schemeClr w14:val="tx1"/>
            </w14:solidFill>
          </w14:textFill>
        </w:rPr>
        <w:t>委托人</w:t>
      </w:r>
      <w:r>
        <w:rPr>
          <w:rFonts w:hint="eastAsia" w:ascii="宋体" w:hAnsi="宋体" w:cs="宋体"/>
          <w:bCs/>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监理人</w:t>
      </w:r>
      <w:r>
        <w:rPr>
          <w:rFonts w:hint="eastAsia" w:ascii="宋体" w:hAnsi="宋体" w:cs="宋体"/>
          <w:bCs/>
          <w:snapToGrid w:val="0"/>
          <w:color w:val="000000" w:themeColor="text1"/>
          <w:kern w:val="0"/>
          <w:szCs w:val="21"/>
          <w:highlight w:val="none"/>
          <w14:textFill>
            <w14:solidFill>
              <w14:schemeClr w14:val="tx1"/>
            </w14:solidFill>
          </w14:textFill>
        </w:rPr>
        <w:t>双方</w:t>
      </w: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法定代表人（或其委托代理人）签名或加盖公章</w:t>
      </w:r>
      <w:r>
        <w:rPr>
          <w:rFonts w:hint="eastAsia" w:ascii="宋体" w:hAnsi="宋体" w:cs="宋体"/>
          <w:bCs/>
          <w:snapToGrid w:val="0"/>
          <w:color w:val="000000" w:themeColor="text1"/>
          <w:kern w:val="0"/>
          <w:szCs w:val="21"/>
          <w:highlight w:val="none"/>
          <w14:textFill>
            <w14:solidFill>
              <w14:schemeClr w14:val="tx1"/>
            </w14:solidFill>
          </w14:textFill>
        </w:rPr>
        <w:t>之日起生效，生效时间以在后一方签署的日期为据。若由委托代理人签署的，须提供授权委托书、委托代理人身份证明及工作证明材料作为本合同的附件。本合同至本合同工程质量保修期满、竣工结算完成、本合同工程竣工结算经政府终审部门审定满60日且同时双方的责任、义务履行完毕时终止。</w:t>
      </w:r>
    </w:p>
    <w:p w14:paraId="56E87867">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九、</w:t>
      </w:r>
      <w:r>
        <w:rPr>
          <w:rFonts w:hint="eastAsia" w:ascii="宋体" w:hAnsi="宋体" w:cs="宋体"/>
          <w:bCs/>
          <w:snapToGrid w:val="0"/>
          <w:color w:val="000000" w:themeColor="text1"/>
          <w:kern w:val="0"/>
          <w:szCs w:val="21"/>
          <w:highlight w:val="none"/>
          <w14:textFill>
            <w14:solidFill>
              <w14:schemeClr w14:val="tx1"/>
            </w14:solidFill>
          </w14:textFill>
        </w:rPr>
        <w:t>本合同正本一式两份，委托人、监理人各执一份；副本八份，委托人执六份，监理人执二份。</w:t>
      </w:r>
      <w:r>
        <w:rPr>
          <w:rFonts w:hint="eastAsia" w:ascii="宋体" w:hAnsi="宋体" w:cs="宋体"/>
          <w:snapToGrid w:val="0"/>
          <w:color w:val="000000" w:themeColor="text1"/>
          <w:kern w:val="0"/>
          <w:szCs w:val="21"/>
          <w:highlight w:val="none"/>
          <w14:textFill>
            <w14:solidFill>
              <w14:schemeClr w14:val="tx1"/>
            </w14:solidFill>
          </w14:textFill>
        </w:rPr>
        <w:t>合同正、副本具有同等效力，但当合同正本与副本的表述不一致时，以合同正本为准。</w:t>
      </w:r>
    </w:p>
    <w:p w14:paraId="261043BE">
      <w:pPr>
        <w:adjustRightInd w:val="0"/>
        <w:snapToGrid w:val="0"/>
        <w:spacing w:line="360" w:lineRule="auto"/>
        <w:ind w:firstLine="48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十、其他约定事项： </w:t>
      </w:r>
    </w:p>
    <w:p w14:paraId="59A38AA8">
      <w:pPr>
        <w:adjustRightInd w:val="0"/>
        <w:snapToGrid w:val="0"/>
        <w:spacing w:line="360" w:lineRule="auto"/>
        <w:ind w:firstLine="480" w:firstLineChars="200"/>
        <w:rPr>
          <w:rFonts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10.1</w:t>
      </w:r>
      <w:r>
        <w:rPr>
          <w:rFonts w:hint="eastAsia" w:ascii="宋体" w:hAnsi="宋体" w:cs="宋体"/>
          <w:snapToGrid w:val="0"/>
          <w:color w:val="000000" w:themeColor="text1"/>
          <w:kern w:val="0"/>
          <w:szCs w:val="21"/>
          <w:highlight w:val="none"/>
          <w14:textFill>
            <w14:solidFill>
              <w14:schemeClr w14:val="tx1"/>
            </w14:solidFill>
          </w14:textFill>
        </w:rPr>
        <w:t>本合同未尽事宜，由双方友好协商并签订书面补充协议予以确定，补充协议与本合同具有同等法律效力。若补充协议与本协议就同一事项约定不一致的，除双方另有约定外， 以补充协议为准。</w:t>
      </w:r>
    </w:p>
    <w:p w14:paraId="5E350CA1">
      <w:pPr>
        <w:adjustRightInd w:val="0"/>
        <w:snapToGrid w:val="0"/>
        <w:spacing w:line="360" w:lineRule="auto"/>
        <w:ind w:firstLine="480" w:firstLineChars="200"/>
        <w:rPr>
          <w:rFonts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10.2</w:t>
      </w:r>
      <w:r>
        <w:rPr>
          <w:rFonts w:hint="eastAsia" w:ascii="宋体" w:hAnsi="宋体" w:cs="宋体"/>
          <w:snapToGrid w:val="0"/>
          <w:color w:val="000000" w:themeColor="text1"/>
          <w:kern w:val="0"/>
          <w:szCs w:val="21"/>
          <w:highlight w:val="none"/>
          <w14:textFill>
            <w14:solidFill>
              <w14:schemeClr w14:val="tx1"/>
            </w14:solidFill>
          </w14:textFill>
        </w:rPr>
        <w:t>在执行本合同的过程中，所有经双方共同签署确认的文件（包括但不限于会议纪要、补充协议、往来信函、传真等）即成为本合同的有效组成部分，其生效日期为双方签署确认日期。前述文件与本合同之间内容应认为是互为补充和解释，但如有就同一事项（内容）约定存在互相矛盾之处,除双方另有约定外，以形成时间在后的文件准。</w:t>
      </w:r>
    </w:p>
    <w:p w14:paraId="55AE4E4E">
      <w:pPr>
        <w:adjustRightInd w:val="0"/>
        <w:snapToGrid w:val="0"/>
        <w:spacing w:line="360" w:lineRule="auto"/>
        <w:ind w:firstLine="48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10.3</w:t>
      </w:r>
      <w:r>
        <w:rPr>
          <w:rFonts w:hint="eastAsia" w:ascii="宋体" w:hAnsi="宋体" w:cs="宋体"/>
          <w:snapToGrid w:val="0"/>
          <w:color w:val="000000" w:themeColor="text1"/>
          <w:kern w:val="0"/>
          <w:szCs w:val="21"/>
          <w:highlight w:val="none"/>
          <w14:textFill>
            <w14:solidFill>
              <w14:schemeClr w14:val="tx1"/>
            </w14:solidFill>
          </w14:textFill>
        </w:rPr>
        <w:t>任何与本合同有关的由双方当事人发出的文件、通知及其他通讯往来，必须采取书面形式，并送达至本合同落款盖章处载明的通讯地址或双方书面通知的其他地址，任一方变更通讯地址未在变更当日按照本合同约定书面通知对方的，对方按照前述联络方式送达的，视为有效送达，怠于通知一方自行承担送达不能的不利后果。双方确认，本合同项下的所有通知和其他联系均须采取书面形式，各类通知送达的时间分别定为：</w:t>
      </w:r>
    </w:p>
    <w:p w14:paraId="566303B7">
      <w:pPr>
        <w:adjustRightInd w:val="0"/>
        <w:snapToGrid w:val="0"/>
        <w:spacing w:line="360" w:lineRule="auto"/>
        <w:ind w:firstLine="48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（1）专人递交以收件时为准；</w:t>
      </w:r>
    </w:p>
    <w:p w14:paraId="2CAF7BB6">
      <w:pPr>
        <w:adjustRightInd w:val="0"/>
        <w:snapToGrid w:val="0"/>
        <w:spacing w:line="360" w:lineRule="auto"/>
        <w:ind w:firstLine="48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（2）要求回执的挂号邮件以投寄后满七日为准；</w:t>
      </w:r>
    </w:p>
    <w:p w14:paraId="69E4C59B">
      <w:pPr>
        <w:adjustRightInd w:val="0"/>
        <w:snapToGrid w:val="0"/>
        <w:spacing w:line="360" w:lineRule="auto"/>
        <w:ind w:firstLine="48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（3）传真以收到对方确认时为准。</w:t>
      </w:r>
    </w:p>
    <w:p w14:paraId="7E9A79A3">
      <w:pPr>
        <w:adjustRightInd w:val="0"/>
        <w:snapToGrid w:val="0"/>
        <w:spacing w:line="360" w:lineRule="auto"/>
        <w:ind w:firstLine="480" w:firstLineChars="200"/>
        <w:rPr>
          <w:rFonts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（4）电子邮件以进入对方当事人指定的邮箱并且能够检索识别为准。</w:t>
      </w:r>
    </w:p>
    <w:p w14:paraId="7BD16682">
      <w:pPr>
        <w:adjustRightInd w:val="0"/>
        <w:snapToGrid w:val="0"/>
        <w:spacing w:line="360" w:lineRule="auto"/>
        <w:ind w:firstLine="480" w:firstLineChars="200"/>
        <w:rPr>
          <w:rFonts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10.4</w:t>
      </w:r>
      <w:r>
        <w:rPr>
          <w:rFonts w:hint="eastAsia" w:ascii="宋体" w:hAnsi="宋体" w:cs="宋体"/>
          <w:snapToGrid w:val="0"/>
          <w:color w:val="000000" w:themeColor="text1"/>
          <w:kern w:val="0"/>
          <w:szCs w:val="21"/>
          <w:highlight w:val="none"/>
          <w14:textFill>
            <w14:solidFill>
              <w14:schemeClr w14:val="tx1"/>
            </w14:solidFill>
          </w14:textFill>
        </w:rPr>
        <w:t>未经委托人事先书面同意，监理人不得擅自将本合同项下委托监理事项转委托或分包委托给任何第三方。</w:t>
      </w:r>
    </w:p>
    <w:p w14:paraId="1D081044">
      <w:pPr>
        <w:adjustRightInd w:val="0"/>
        <w:snapToGrid w:val="0"/>
        <w:spacing w:line="360" w:lineRule="auto"/>
        <w:ind w:firstLine="48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10.5</w:t>
      </w:r>
      <w:r>
        <w:rPr>
          <w:rFonts w:hint="eastAsia" w:ascii="宋体" w:hAnsi="宋体" w:cs="宋体"/>
          <w:snapToGrid w:val="0"/>
          <w:color w:val="000000" w:themeColor="text1"/>
          <w:kern w:val="0"/>
          <w:szCs w:val="21"/>
          <w:highlight w:val="none"/>
          <w14:textFill>
            <w14:solidFill>
              <w14:schemeClr w14:val="tx1"/>
            </w14:solidFill>
          </w14:textFill>
        </w:rPr>
        <w:t>以下文件作为附件，是本合同不可或缺的重要组成部分，与本合同具有同等法律效力：</w:t>
      </w:r>
    </w:p>
    <w:p w14:paraId="7A1613FE">
      <w:pPr>
        <w:adjustRightInd w:val="0"/>
        <w:snapToGrid w:val="0"/>
        <w:spacing w:line="360" w:lineRule="auto"/>
        <w:ind w:firstLine="480" w:firstLineChars="200"/>
        <w:rPr>
          <w:rFonts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ascii="宋体" w:hAnsi="宋体" w:cs="宋体"/>
          <w:snapToGrid w:val="0"/>
          <w:color w:val="000000" w:themeColor="text1"/>
          <w:kern w:val="0"/>
          <w:szCs w:val="21"/>
          <w:highlight w:val="none"/>
          <w14:textFill>
            <w14:solidFill>
              <w14:schemeClr w14:val="tx1"/>
            </w14:solidFill>
          </w14:textFill>
        </w:rPr>
        <w:t xml:space="preserve"> </w:t>
      </w:r>
      <w:r>
        <w:rPr>
          <w:rFonts w:ascii="宋体" w:hAnsi="宋体" w:cs="宋体"/>
          <w:snapToGrid w:val="0"/>
          <w:color w:val="000000" w:themeColor="text1"/>
          <w:kern w:val="0"/>
          <w:szCs w:val="21"/>
          <w:highlight w:val="none"/>
          <w:lang w:val="zh-TW"/>
          <w14:textFill>
            <w14:solidFill>
              <w14:schemeClr w14:val="tx1"/>
            </w14:solidFill>
          </w14:textFill>
        </w:rPr>
        <w:t xml:space="preserve">  </w:t>
      </w:r>
      <w:r>
        <w:rPr>
          <w:rFonts w:hint="eastAsia" w:ascii="宋体" w:hAnsi="宋体" w:cs="宋体"/>
          <w:snapToGrid w:val="0"/>
          <w:color w:val="000000" w:themeColor="text1"/>
          <w:kern w:val="0"/>
          <w:szCs w:val="21"/>
          <w:highlight w:val="none"/>
          <w:lang w:val="zh-TW"/>
          <w14:textFill>
            <w14:solidFill>
              <w14:schemeClr w14:val="tx1"/>
            </w14:solidFill>
          </w14:textFill>
        </w:rPr>
        <w:t>附件1：《廉政合同》</w:t>
      </w:r>
    </w:p>
    <w:p w14:paraId="769675CD">
      <w:pPr>
        <w:adjustRightInd w:val="0"/>
        <w:snapToGrid w:val="0"/>
        <w:spacing w:line="360" w:lineRule="auto"/>
        <w:ind w:firstLine="480" w:firstLineChars="200"/>
        <w:rPr>
          <w:rFonts w:hint="eastAsia"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 xml:space="preserve"> </w:t>
      </w:r>
      <w:r>
        <w:rPr>
          <w:rFonts w:ascii="宋体" w:hAnsi="宋体" w:cs="宋体"/>
          <w:snapToGrid w:val="0"/>
          <w:color w:val="000000" w:themeColor="text1"/>
          <w:kern w:val="0"/>
          <w:szCs w:val="21"/>
          <w:highlight w:val="none"/>
          <w:lang w:val="zh-TW"/>
          <w14:textFill>
            <w14:solidFill>
              <w14:schemeClr w14:val="tx1"/>
            </w14:solidFill>
          </w14:textFill>
        </w:rPr>
        <w:t xml:space="preserve">   </w:t>
      </w:r>
      <w:r>
        <w:rPr>
          <w:rFonts w:hint="eastAsia" w:ascii="宋体" w:hAnsi="宋体" w:cs="宋体"/>
          <w:snapToGrid w:val="0"/>
          <w:color w:val="000000" w:themeColor="text1"/>
          <w:kern w:val="0"/>
          <w:szCs w:val="21"/>
          <w:highlight w:val="none"/>
          <w:lang w:val="zh-TW"/>
          <w14:textFill>
            <w14:solidFill>
              <w14:schemeClr w14:val="tx1"/>
            </w14:solidFill>
          </w14:textFill>
        </w:rPr>
        <w:t>附件2：《各阶段工作成果文件的要求》</w:t>
      </w:r>
    </w:p>
    <w:p w14:paraId="2BC5FFE2">
      <w:pPr>
        <w:adjustRightInd w:val="0"/>
        <w:snapToGrid w:val="0"/>
        <w:spacing w:line="360" w:lineRule="auto"/>
        <w:ind w:firstLine="960" w:firstLineChars="400"/>
        <w:rPr>
          <w:rFonts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附件3：《结算审核工作质量情况考评细则》</w:t>
      </w:r>
    </w:p>
    <w:p w14:paraId="12AEFC23">
      <w:pPr>
        <w:adjustRightInd w:val="0"/>
        <w:snapToGrid w:val="0"/>
        <w:spacing w:line="360" w:lineRule="auto"/>
        <w:ind w:firstLine="480" w:firstLineChars="200"/>
        <w:rPr>
          <w:rFonts w:ascii="宋体" w:hAnsi="宋体" w:cs="宋体"/>
          <w:snapToGrid w:val="0"/>
          <w:color w:val="000000" w:themeColor="text1"/>
          <w:kern w:val="0"/>
          <w:szCs w:val="21"/>
          <w:highlight w:val="none"/>
          <w:lang w:val="zh-TW"/>
          <w14:textFill>
            <w14:solidFill>
              <w14:schemeClr w14:val="tx1"/>
            </w14:solidFill>
          </w14:textFill>
        </w:rPr>
      </w:pPr>
      <w:r>
        <w:rPr>
          <w:rFonts w:hint="eastAsia" w:ascii="宋体" w:hAnsi="宋体" w:cs="宋体"/>
          <w:snapToGrid w:val="0"/>
          <w:color w:val="000000" w:themeColor="text1"/>
          <w:kern w:val="0"/>
          <w:szCs w:val="21"/>
          <w:highlight w:val="none"/>
          <w:lang w:val="zh-TW"/>
          <w14:textFill>
            <w14:solidFill>
              <w14:schemeClr w14:val="tx1"/>
            </w14:solidFill>
          </w14:textFill>
        </w:rPr>
        <w:t>（以下</w:t>
      </w:r>
      <w:r>
        <w:rPr>
          <w:rFonts w:hint="eastAsia" w:ascii="宋体" w:hAnsi="宋体" w:cs="宋体"/>
          <w:snapToGrid w:val="0"/>
          <w:color w:val="000000" w:themeColor="text1"/>
          <w:kern w:val="0"/>
          <w:szCs w:val="21"/>
          <w:highlight w:val="none"/>
          <w14:textFill>
            <w14:solidFill>
              <w14:schemeClr w14:val="tx1"/>
            </w14:solidFill>
          </w14:textFill>
        </w:rPr>
        <w:t>部分</w:t>
      </w:r>
      <w:r>
        <w:rPr>
          <w:rFonts w:hint="eastAsia" w:ascii="宋体" w:hAnsi="宋体" w:cs="宋体"/>
          <w:snapToGrid w:val="0"/>
          <w:color w:val="000000" w:themeColor="text1"/>
          <w:kern w:val="0"/>
          <w:szCs w:val="21"/>
          <w:highlight w:val="none"/>
          <w:lang w:val="zh-TW"/>
          <w14:textFill>
            <w14:solidFill>
              <w14:schemeClr w14:val="tx1"/>
            </w14:solidFill>
          </w14:textFill>
        </w:rPr>
        <w:t>无《建设工程委托监理合同》第一部分《建设工程委托监理协议书》正文内容，为签章处）</w:t>
      </w:r>
    </w:p>
    <w:p w14:paraId="5AFB632E">
      <w:pPr>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2259BAD3">
      <w:pPr>
        <w:adjustRightInd/>
        <w:snapToGrid/>
        <w:spacing w:line="240" w:lineRule="auto"/>
        <w:ind w:right="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14:paraId="3ECF5E54">
      <w:pPr>
        <w:adjustRightInd w:val="0"/>
        <w:snapToGrid w:val="0"/>
        <w:spacing w:line="480" w:lineRule="auto"/>
        <w:ind w:right="11"/>
        <w:rPr>
          <w:rFonts w:ascii="宋体" w:hAnsi="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（本页无《建设工程委托监理合同》第一部分《建设工程委托监理协议书》正文内容，为签章页）</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8A7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4258" w:type="dxa"/>
            <w:noWrap w:val="0"/>
            <w:vAlign w:val="top"/>
          </w:tcPr>
          <w:p w14:paraId="25B16433">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spacing w:val="-20"/>
                <w:kern w:val="0"/>
                <w:szCs w:val="21"/>
                <w:highlight w:val="none"/>
                <w14:textFill>
                  <w14:solidFill>
                    <w14:schemeClr w14:val="tx1"/>
                  </w14:solidFill>
                </w14:textFill>
              </w:rPr>
              <w:t>委托人</w:t>
            </w:r>
            <w:r>
              <w:rPr>
                <w:rFonts w:hint="eastAsia" w:ascii="宋体" w:hAnsi="宋体" w:cs="宋体"/>
                <w:snapToGrid w:val="0"/>
                <w:color w:val="000000" w:themeColor="text1"/>
                <w:kern w:val="0"/>
                <w:szCs w:val="21"/>
                <w:highlight w:val="none"/>
                <w14:textFill>
                  <w14:solidFill>
                    <w14:schemeClr w14:val="tx1"/>
                  </w14:solidFill>
                </w14:textFill>
              </w:rPr>
              <w:t>盖章）</w:t>
            </w:r>
            <w:r>
              <w:rPr>
                <w:rFonts w:hint="eastAsia" w:ascii="宋体" w:hAnsi="宋体" w:cs="宋体"/>
                <w:snapToGrid w:val="0"/>
                <w:color w:val="000000" w:themeColor="text1"/>
                <w:spacing w:val="-20"/>
                <w:kern w:val="0"/>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广州市天河区建设工程项目代建局</w:t>
            </w:r>
          </w:p>
        </w:tc>
        <w:tc>
          <w:tcPr>
            <w:tcW w:w="4258" w:type="dxa"/>
            <w:noWrap w:val="0"/>
            <w:vAlign w:val="top"/>
          </w:tcPr>
          <w:p w14:paraId="041544A0">
            <w:pPr>
              <w:keepNext w:val="0"/>
              <w:keepLines w:val="0"/>
              <w:suppressLineNumbers w:val="0"/>
              <w:adjustRightInd w:val="0"/>
              <w:snapToGrid w:val="0"/>
              <w:spacing w:before="0" w:beforeAutospacing="0" w:after="0" w:afterAutospacing="0" w:line="480" w:lineRule="auto"/>
              <w:ind w:left="0" w:right="11"/>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spacing w:val="-20"/>
                <w:kern w:val="0"/>
                <w:szCs w:val="21"/>
                <w:highlight w:val="none"/>
                <w14:textFill>
                  <w14:solidFill>
                    <w14:schemeClr w14:val="tx1"/>
                  </w14:solidFill>
                </w14:textFill>
              </w:rPr>
              <w:t xml:space="preserve">  监理人 </w:t>
            </w:r>
            <w:r>
              <w:rPr>
                <w:rFonts w:hint="eastAsia" w:ascii="宋体" w:hAnsi="宋体" w:cs="宋体"/>
                <w:snapToGrid w:val="0"/>
                <w:color w:val="000000" w:themeColor="text1"/>
                <w:kern w:val="0"/>
                <w:szCs w:val="21"/>
                <w:highlight w:val="none"/>
                <w14:textFill>
                  <w14:solidFill>
                    <w14:schemeClr w14:val="tx1"/>
                  </w14:solidFill>
                </w14:textFill>
              </w:rPr>
              <w:t>（盖章）</w:t>
            </w:r>
            <w:r>
              <w:rPr>
                <w:rFonts w:hint="eastAsia" w:ascii="宋体" w:hAnsi="宋体" w:cs="宋体"/>
                <w:snapToGrid w:val="0"/>
                <w:color w:val="000000" w:themeColor="text1"/>
                <w:spacing w:val="-20"/>
                <w:kern w:val="0"/>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p>
          <w:p w14:paraId="3DAE679E">
            <w:pPr>
              <w:keepNext w:val="0"/>
              <w:keepLines w:val="0"/>
              <w:suppressLineNumbers w:val="0"/>
              <w:adjustRightInd w:val="0"/>
              <w:snapToGrid w:val="0"/>
              <w:spacing w:before="0" w:beforeAutospacing="0" w:after="0" w:afterAutospacing="0" w:line="360" w:lineRule="auto"/>
              <w:ind w:left="0" w:right="0"/>
              <w:jc w:val="center"/>
              <w:outlineLvl w:val="1"/>
              <w:rPr>
                <w:rFonts w:ascii="宋体" w:hAnsi="宋体" w:cs="宋体"/>
                <w:b/>
                <w:bCs/>
                <w:snapToGrid w:val="0"/>
                <w:color w:val="000000" w:themeColor="text1"/>
                <w:kern w:val="0"/>
                <w:szCs w:val="21"/>
                <w:highlight w:val="none"/>
                <w14:textFill>
                  <w14:solidFill>
                    <w14:schemeClr w14:val="tx1"/>
                  </w14:solidFill>
                </w14:textFill>
              </w:rPr>
            </w:pPr>
          </w:p>
        </w:tc>
      </w:tr>
      <w:tr w14:paraId="22F1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noWrap w:val="0"/>
            <w:vAlign w:val="top"/>
          </w:tcPr>
          <w:p w14:paraId="3E5CA19A">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法定代表人（签名）：</w:t>
            </w:r>
          </w:p>
        </w:tc>
        <w:tc>
          <w:tcPr>
            <w:tcW w:w="4258" w:type="dxa"/>
            <w:noWrap w:val="0"/>
            <w:vAlign w:val="top"/>
          </w:tcPr>
          <w:p w14:paraId="51C1C4B3">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法定代表人（签名）：</w:t>
            </w:r>
          </w:p>
        </w:tc>
      </w:tr>
      <w:tr w14:paraId="46D5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noWrap w:val="0"/>
            <w:vAlign w:val="top"/>
          </w:tcPr>
          <w:p w14:paraId="75BD5345">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或委托代理人（签名）：</w:t>
            </w:r>
          </w:p>
        </w:tc>
        <w:tc>
          <w:tcPr>
            <w:tcW w:w="4258" w:type="dxa"/>
            <w:noWrap w:val="0"/>
            <w:vAlign w:val="top"/>
          </w:tcPr>
          <w:p w14:paraId="0B3B7123">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或委托代理人（签名）</w:t>
            </w:r>
          </w:p>
        </w:tc>
      </w:tr>
      <w:tr w14:paraId="493D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noWrap w:val="0"/>
            <w:vAlign w:val="top"/>
          </w:tcPr>
          <w:p w14:paraId="60963334">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住所：广州市天河区黄埔大道中300号</w:t>
            </w:r>
          </w:p>
        </w:tc>
        <w:tc>
          <w:tcPr>
            <w:tcW w:w="4258" w:type="dxa"/>
            <w:noWrap w:val="0"/>
            <w:vAlign w:val="top"/>
          </w:tcPr>
          <w:p w14:paraId="68F822CC">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住所： </w:t>
            </w:r>
            <w:r>
              <w:rPr>
                <w:rFonts w:ascii="宋体" w:hAnsi="宋体" w:cs="宋体"/>
                <w:snapToGrid w:val="0"/>
                <w:color w:val="000000" w:themeColor="text1"/>
                <w:kern w:val="0"/>
                <w:szCs w:val="21"/>
                <w:highlight w:val="none"/>
                <w14:textFill>
                  <w14:solidFill>
                    <w14:schemeClr w14:val="tx1"/>
                  </w14:solidFill>
                </w14:textFill>
              </w:rPr>
              <w:t xml:space="preserve">         </w:t>
            </w:r>
          </w:p>
        </w:tc>
      </w:tr>
      <w:tr w14:paraId="3CF2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noWrap w:val="0"/>
            <w:vAlign w:val="top"/>
          </w:tcPr>
          <w:p w14:paraId="3B169BB4">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电话：020-38085152    </w:t>
            </w:r>
          </w:p>
        </w:tc>
        <w:tc>
          <w:tcPr>
            <w:tcW w:w="4258" w:type="dxa"/>
            <w:noWrap w:val="0"/>
            <w:vAlign w:val="top"/>
          </w:tcPr>
          <w:p w14:paraId="50CD65EC">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电话：</w:t>
            </w:r>
            <w:r>
              <w:rPr>
                <w:rFonts w:ascii="宋体" w:hAnsi="宋体" w:cs="宋体"/>
                <w:snapToGrid w:val="0"/>
                <w:color w:val="000000" w:themeColor="text1"/>
                <w:kern w:val="0"/>
                <w:szCs w:val="21"/>
                <w:highlight w:val="none"/>
                <w14:textFill>
                  <w14:solidFill>
                    <w14:schemeClr w14:val="tx1"/>
                  </w14:solidFill>
                </w14:textFill>
              </w:rPr>
              <w:t xml:space="preserve"> </w:t>
            </w:r>
          </w:p>
        </w:tc>
      </w:tr>
      <w:tr w14:paraId="302C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noWrap w:val="0"/>
            <w:vAlign w:val="top"/>
          </w:tcPr>
          <w:p w14:paraId="41A0C249">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传真： </w:t>
            </w:r>
          </w:p>
        </w:tc>
        <w:tc>
          <w:tcPr>
            <w:tcW w:w="4258" w:type="dxa"/>
            <w:noWrap w:val="0"/>
            <w:vAlign w:val="top"/>
          </w:tcPr>
          <w:p w14:paraId="19AB79C5">
            <w:pPr>
              <w:keepNext w:val="0"/>
              <w:keepLines w:val="0"/>
              <w:suppressLineNumbers w:val="0"/>
              <w:adjustRightInd w:val="0"/>
              <w:snapToGrid w:val="0"/>
              <w:spacing w:before="0" w:beforeAutospacing="0" w:after="0" w:afterAutospacing="0" w:line="360" w:lineRule="auto"/>
              <w:ind w:left="0" w:right="0"/>
              <w:outlineLvl w:val="1"/>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传真：</w:t>
            </w:r>
            <w:r>
              <w:rPr>
                <w:rFonts w:ascii="宋体" w:hAnsi="宋体"/>
                <w:bCs/>
                <w:color w:val="000000" w:themeColor="text1"/>
                <w:szCs w:val="21"/>
                <w:highlight w:val="none"/>
                <w:lang w:eastAsia="en-US"/>
                <w14:textFill>
                  <w14:solidFill>
                    <w14:schemeClr w14:val="tx1"/>
                  </w14:solidFill>
                </w14:textFill>
              </w:rPr>
              <w:t xml:space="preserve"> </w:t>
            </w:r>
          </w:p>
        </w:tc>
      </w:tr>
      <w:tr w14:paraId="6DD4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noWrap w:val="0"/>
            <w:vAlign w:val="top"/>
          </w:tcPr>
          <w:p w14:paraId="2D8D926D">
            <w:pPr>
              <w:keepNext w:val="0"/>
              <w:keepLines w:val="0"/>
              <w:suppressLineNumbers w:val="0"/>
              <w:adjustRightInd w:val="0"/>
              <w:snapToGrid w:val="0"/>
              <w:spacing w:before="0" w:beforeAutospacing="0" w:after="0" w:afterAutospacing="0" w:line="360" w:lineRule="auto"/>
              <w:ind w:left="0" w:right="0"/>
              <w:outlineLvl w:val="1"/>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开户银行：工行广州员村支行  </w:t>
            </w:r>
          </w:p>
        </w:tc>
        <w:tc>
          <w:tcPr>
            <w:tcW w:w="4258" w:type="dxa"/>
            <w:noWrap w:val="0"/>
            <w:vAlign w:val="top"/>
          </w:tcPr>
          <w:p w14:paraId="7A56857C">
            <w:pPr>
              <w:keepNext w:val="0"/>
              <w:keepLines w:val="0"/>
              <w:suppressLineNumbers w:val="0"/>
              <w:adjustRightInd w:val="0"/>
              <w:snapToGrid w:val="0"/>
              <w:spacing w:before="0" w:beforeAutospacing="0" w:after="0" w:afterAutospacing="0" w:line="360" w:lineRule="auto"/>
              <w:ind w:left="0" w:right="0"/>
              <w:outlineLvl w:val="1"/>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r>
              <w:rPr>
                <w:rFonts w:hint="eastAsia" w:ascii="宋体" w:hAnsi="宋体"/>
                <w:color w:val="000000" w:themeColor="text1"/>
                <w:szCs w:val="21"/>
                <w:highlight w:val="none"/>
                <w14:textFill>
                  <w14:solidFill>
                    <w14:schemeClr w14:val="tx1"/>
                  </w14:solidFill>
                </w14:textFill>
              </w:rPr>
              <w:t xml:space="preserve"> </w:t>
            </w:r>
          </w:p>
        </w:tc>
      </w:tr>
      <w:tr w14:paraId="1F8B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noWrap w:val="0"/>
            <w:vAlign w:val="top"/>
          </w:tcPr>
          <w:p w14:paraId="6AF6BE92">
            <w:pPr>
              <w:keepNext w:val="0"/>
              <w:keepLines w:val="0"/>
              <w:suppressLineNumbers w:val="0"/>
              <w:adjustRightInd w:val="0"/>
              <w:snapToGrid w:val="0"/>
              <w:spacing w:before="0" w:beforeAutospacing="0" w:after="0" w:afterAutospacing="0" w:line="360" w:lineRule="auto"/>
              <w:ind w:left="0" w:right="0"/>
              <w:outlineLvl w:val="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账号：</w:t>
            </w:r>
            <w:r>
              <w:rPr>
                <w:rFonts w:ascii="宋体" w:hAnsi="宋体" w:cs="宋体"/>
                <w:snapToGrid w:val="0"/>
                <w:color w:val="000000" w:themeColor="text1"/>
                <w:kern w:val="0"/>
                <w:szCs w:val="21"/>
                <w:highlight w:val="none"/>
                <w14:textFill>
                  <w14:solidFill>
                    <w14:schemeClr w14:val="tx1"/>
                  </w14:solidFill>
                </w14:textFill>
              </w:rPr>
              <w:t>3602005309200186668</w:t>
            </w:r>
          </w:p>
        </w:tc>
        <w:tc>
          <w:tcPr>
            <w:tcW w:w="4258" w:type="dxa"/>
            <w:noWrap w:val="0"/>
            <w:vAlign w:val="top"/>
          </w:tcPr>
          <w:p w14:paraId="57358890">
            <w:pPr>
              <w:keepNext w:val="0"/>
              <w:keepLines w:val="0"/>
              <w:suppressLineNumbers w:val="0"/>
              <w:adjustRightInd w:val="0"/>
              <w:snapToGrid w:val="0"/>
              <w:spacing w:before="0" w:beforeAutospacing="0" w:after="0" w:afterAutospacing="0" w:line="360" w:lineRule="auto"/>
              <w:ind w:left="0" w:right="0"/>
              <w:outlineLvl w:val="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账号：</w:t>
            </w:r>
            <w:r>
              <w:rPr>
                <w:rFonts w:ascii="宋体" w:hAnsi="宋体"/>
                <w:color w:val="000000" w:themeColor="text1"/>
                <w:szCs w:val="21"/>
                <w:highlight w:val="none"/>
                <w14:textFill>
                  <w14:solidFill>
                    <w14:schemeClr w14:val="tx1"/>
                  </w14:solidFill>
                </w14:textFill>
              </w:rPr>
              <w:t xml:space="preserve"> </w:t>
            </w:r>
          </w:p>
        </w:tc>
      </w:tr>
      <w:tr w14:paraId="34C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258" w:type="dxa"/>
            <w:noWrap w:val="0"/>
            <w:vAlign w:val="top"/>
          </w:tcPr>
          <w:p w14:paraId="38F83F11">
            <w:pPr>
              <w:keepNext w:val="0"/>
              <w:keepLines w:val="0"/>
              <w:suppressLineNumbers w:val="0"/>
              <w:adjustRightInd w:val="0"/>
              <w:snapToGrid w:val="0"/>
              <w:spacing w:before="0" w:beforeAutospacing="0" w:after="0" w:afterAutospacing="0" w:line="360" w:lineRule="auto"/>
              <w:ind w:left="0" w:right="0"/>
              <w:outlineLvl w:val="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签约日期：</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   月   日</w:t>
            </w:r>
          </w:p>
        </w:tc>
        <w:tc>
          <w:tcPr>
            <w:tcW w:w="4258" w:type="dxa"/>
            <w:noWrap w:val="0"/>
            <w:vAlign w:val="top"/>
          </w:tcPr>
          <w:p w14:paraId="4416A6CD">
            <w:pPr>
              <w:keepNext w:val="0"/>
              <w:keepLines w:val="0"/>
              <w:suppressLineNumbers w:val="0"/>
              <w:adjustRightInd w:val="0"/>
              <w:snapToGrid w:val="0"/>
              <w:spacing w:before="0" w:beforeAutospacing="0" w:after="0" w:afterAutospacing="0" w:line="360" w:lineRule="auto"/>
              <w:ind w:left="0" w:right="0"/>
              <w:outlineLvl w:val="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签约日期：</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      月   日</w:t>
            </w:r>
          </w:p>
          <w:p w14:paraId="3ADDC0C0">
            <w:pPr>
              <w:keepNext w:val="0"/>
              <w:keepLines w:val="0"/>
              <w:suppressLineNumbers w:val="0"/>
              <w:adjustRightInd w:val="0"/>
              <w:snapToGrid w:val="0"/>
              <w:spacing w:before="0" w:beforeAutospacing="0" w:after="0" w:afterAutospacing="0" w:line="360" w:lineRule="auto"/>
              <w:ind w:left="0" w:right="0"/>
              <w:outlineLvl w:val="1"/>
              <w:rPr>
                <w:rFonts w:hint="eastAsia" w:ascii="宋体" w:hAnsi="宋体" w:cs="宋体"/>
                <w:snapToGrid w:val="0"/>
                <w:color w:val="000000" w:themeColor="text1"/>
                <w:kern w:val="0"/>
                <w:szCs w:val="21"/>
                <w:highlight w:val="none"/>
                <w14:textFill>
                  <w14:solidFill>
                    <w14:schemeClr w14:val="tx1"/>
                  </w14:solidFill>
                </w14:textFill>
              </w:rPr>
            </w:pPr>
          </w:p>
        </w:tc>
      </w:tr>
      <w:tr w14:paraId="41BF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16" w:type="dxa"/>
            <w:gridSpan w:val="2"/>
            <w:noWrap w:val="0"/>
            <w:vAlign w:val="top"/>
          </w:tcPr>
          <w:p w14:paraId="2687C352">
            <w:pPr>
              <w:keepNext w:val="0"/>
              <w:keepLines w:val="0"/>
              <w:suppressLineNumbers w:val="0"/>
              <w:adjustRightInd w:val="0"/>
              <w:snapToGrid w:val="0"/>
              <w:spacing w:before="0" w:beforeAutospacing="0" w:after="0" w:afterAutospacing="0" w:line="480" w:lineRule="auto"/>
              <w:ind w:left="0" w:right="0" w:firstLine="2640" w:firstLineChars="11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签订地点：广州市天河区</w:t>
            </w:r>
          </w:p>
        </w:tc>
      </w:tr>
    </w:tbl>
    <w:p w14:paraId="6D223F3F">
      <w:pPr>
        <w:adjustRightInd w:val="0"/>
        <w:snapToGrid w:val="0"/>
        <w:spacing w:line="360" w:lineRule="auto"/>
        <w:jc w:val="center"/>
        <w:rPr>
          <w:rFonts w:ascii="宋体" w:hAnsi="宋体" w:cs="宋体"/>
          <w:b/>
          <w:bCs/>
          <w:snapToGrid w:val="0"/>
          <w:color w:val="000000" w:themeColor="text1"/>
          <w:kern w:val="0"/>
          <w:szCs w:val="21"/>
          <w:highlight w:val="none"/>
          <w14:textFill>
            <w14:solidFill>
              <w14:schemeClr w14:val="tx1"/>
            </w14:solidFill>
          </w14:textFill>
        </w:rPr>
      </w:pPr>
    </w:p>
    <w:p w14:paraId="581EF3C8">
      <w:pPr>
        <w:adjustRightInd w:val="0"/>
        <w:snapToGrid w:val="0"/>
        <w:spacing w:line="360" w:lineRule="auto"/>
        <w:jc w:val="center"/>
        <w:rPr>
          <w:rFonts w:ascii="宋体" w:hAnsi="宋体" w:cs="宋体"/>
          <w:b/>
          <w:bCs/>
          <w:snapToGrid w:val="0"/>
          <w:color w:val="000000" w:themeColor="text1"/>
          <w:kern w:val="0"/>
          <w:szCs w:val="21"/>
          <w:highlight w:val="none"/>
          <w14:textFill>
            <w14:solidFill>
              <w14:schemeClr w14:val="tx1"/>
            </w14:solidFill>
          </w14:textFill>
        </w:rPr>
      </w:pPr>
    </w:p>
    <w:p w14:paraId="402FEF54">
      <w:pPr>
        <w:adjustRightInd w:val="0"/>
        <w:snapToGrid w:val="0"/>
        <w:spacing w:line="360" w:lineRule="auto"/>
        <w:jc w:val="center"/>
        <w:outlineLvl w:val="1"/>
        <w:rPr>
          <w:rFonts w:hint="eastAsia" w:ascii="宋体" w:hAnsi="宋体" w:cs="宋体"/>
          <w:b/>
          <w:bCs/>
          <w:snapToGrid w:val="0"/>
          <w:color w:val="000000" w:themeColor="text1"/>
          <w:kern w:val="0"/>
          <w:szCs w:val="21"/>
          <w:highlight w:val="none"/>
          <w14:textFill>
            <w14:solidFill>
              <w14:schemeClr w14:val="tx1"/>
            </w14:solidFill>
          </w14:textFill>
        </w:rPr>
      </w:pPr>
      <w:r>
        <w:rPr>
          <w:rFonts w:ascii="宋体" w:hAnsi="宋体" w:cs="宋体"/>
          <w:b/>
          <w:bCs/>
          <w:snapToGrid w:val="0"/>
          <w:color w:val="000000" w:themeColor="text1"/>
          <w:kern w:val="0"/>
          <w:szCs w:val="21"/>
          <w:highlight w:val="none"/>
          <w14:textFill>
            <w14:solidFill>
              <w14:schemeClr w14:val="tx1"/>
            </w14:solidFill>
          </w14:textFill>
        </w:rPr>
        <w:br w:type="page"/>
      </w:r>
      <w:bookmarkStart w:id="166" w:name="_Toc22870"/>
      <w:bookmarkStart w:id="167" w:name="_Toc13926"/>
      <w:bookmarkStart w:id="168" w:name="_Toc6546"/>
      <w:bookmarkStart w:id="169" w:name="_Toc31620"/>
      <w:r>
        <w:rPr>
          <w:rFonts w:hint="eastAsia" w:ascii="宋体" w:hAnsi="宋体" w:cs="宋体"/>
          <w:b/>
          <w:bCs/>
          <w:snapToGrid w:val="0"/>
          <w:color w:val="000000" w:themeColor="text1"/>
          <w:kern w:val="0"/>
          <w:szCs w:val="21"/>
          <w:highlight w:val="none"/>
          <w14:textFill>
            <w14:solidFill>
              <w14:schemeClr w14:val="tx1"/>
            </w14:solidFill>
          </w14:textFill>
        </w:rPr>
        <w:t>第二部分  标准条件</w:t>
      </w:r>
      <w:bookmarkEnd w:id="166"/>
      <w:bookmarkEnd w:id="167"/>
      <w:bookmarkEnd w:id="168"/>
      <w:bookmarkEnd w:id="169"/>
    </w:p>
    <w:p w14:paraId="0F4C142E">
      <w:pPr>
        <w:adjustRightInd w:val="0"/>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p>
    <w:p w14:paraId="21169EBA">
      <w:pPr>
        <w:adjustRightInd w:val="0"/>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词语定义、适用范围和法规</w:t>
      </w:r>
    </w:p>
    <w:p w14:paraId="4E92D381">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第一条  </w:t>
      </w:r>
      <w:r>
        <w:rPr>
          <w:rFonts w:hint="eastAsia" w:ascii="宋体" w:hAnsi="宋体" w:cs="宋体"/>
          <w:snapToGrid w:val="0"/>
          <w:color w:val="000000" w:themeColor="text1"/>
          <w:kern w:val="0"/>
          <w:szCs w:val="21"/>
          <w:highlight w:val="none"/>
          <w14:textFill>
            <w14:solidFill>
              <w14:schemeClr w14:val="tx1"/>
            </w14:solidFill>
          </w14:textFill>
        </w:rPr>
        <w:t>下列名词和用语，除上下文另有规定外，有如下含义：</w:t>
      </w:r>
    </w:p>
    <w:p w14:paraId="0B925E47">
      <w:pPr>
        <w:adjustRightInd w:val="0"/>
        <w:snapToGrid w:val="0"/>
        <w:spacing w:line="360" w:lineRule="auto"/>
        <w:ind w:firstLine="42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（1）“工程”是指</w:t>
      </w:r>
      <w:r>
        <w:rPr>
          <w:rFonts w:hint="eastAsia" w:ascii="宋体" w:hAnsi="宋体" w:cs="宋体"/>
          <w:bCs/>
          <w:snapToGrid w:val="0"/>
          <w:color w:val="000000" w:themeColor="text1"/>
          <w:kern w:val="0"/>
          <w:szCs w:val="21"/>
          <w:highlight w:val="none"/>
          <w14:textFill>
            <w14:solidFill>
              <w14:schemeClr w14:val="tx1"/>
            </w14:solidFill>
          </w14:textFill>
        </w:rPr>
        <w:t>按照本合同约定实施监理与相关服务的建设工程。</w:t>
      </w:r>
    </w:p>
    <w:p w14:paraId="7BAAF6C4">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（2）“委托人”是指</w:t>
      </w:r>
      <w:r>
        <w:rPr>
          <w:rFonts w:hint="eastAsia" w:ascii="宋体" w:hAnsi="宋体" w:cs="宋体"/>
          <w:bCs/>
          <w:snapToGrid w:val="0"/>
          <w:color w:val="000000" w:themeColor="text1"/>
          <w:kern w:val="0"/>
          <w:szCs w:val="21"/>
          <w:highlight w:val="none"/>
          <w14:textFill>
            <w14:solidFill>
              <w14:schemeClr w14:val="tx1"/>
            </w14:solidFill>
          </w14:textFill>
        </w:rPr>
        <w:t>本合同中委托监理与相关服务</w:t>
      </w:r>
      <w:r>
        <w:rPr>
          <w:rFonts w:hint="eastAsia" w:ascii="宋体" w:hAnsi="宋体" w:cs="宋体"/>
          <w:snapToGrid w:val="0"/>
          <w:color w:val="000000" w:themeColor="text1"/>
          <w:kern w:val="0"/>
          <w:szCs w:val="21"/>
          <w:highlight w:val="none"/>
          <w14:textFill>
            <w14:solidFill>
              <w14:schemeClr w14:val="tx1"/>
            </w14:solidFill>
          </w14:textFill>
        </w:rPr>
        <w:t>的一方以及其合法继承人。</w:t>
      </w:r>
    </w:p>
    <w:p w14:paraId="57FC9060">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（3）“监理人”是指承担监理业务和监理责任的一方以及其合法继承人。</w:t>
      </w:r>
    </w:p>
    <w:p w14:paraId="1DB8B59E">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（4）“项目监理机构”是指监理人派驻本合同工程现场实施监理业务的组织。</w:t>
      </w:r>
    </w:p>
    <w:p w14:paraId="6E1BA81B">
      <w:pPr>
        <w:adjustRightInd w:val="0"/>
        <w:snapToGrid w:val="0"/>
        <w:spacing w:line="360" w:lineRule="auto"/>
        <w:ind w:firstLine="42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（5）“总监理工程师”是指</w:t>
      </w:r>
      <w:r>
        <w:rPr>
          <w:rFonts w:hint="eastAsia" w:ascii="宋体" w:hAnsi="宋体" w:cs="宋体"/>
          <w:bCs/>
          <w:snapToGrid w:val="0"/>
          <w:color w:val="000000" w:themeColor="text1"/>
          <w:kern w:val="0"/>
          <w:szCs w:val="21"/>
          <w:highlight w:val="none"/>
          <w14:textFill>
            <w14:solidFill>
              <w14:schemeClr w14:val="tx1"/>
            </w14:solidFill>
          </w14:textFill>
        </w:rPr>
        <w:t>由监理人的法定代表人书面授权，经委托人同意，全面负责履行本合同、主持项目监理机构工作的注册监理工程师。</w:t>
      </w:r>
    </w:p>
    <w:p w14:paraId="38ABD41D">
      <w:pPr>
        <w:adjustRightInd w:val="0"/>
        <w:snapToGrid w:val="0"/>
        <w:spacing w:line="360" w:lineRule="auto"/>
        <w:ind w:firstLine="42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（6）“承包人”是指在</w:t>
      </w:r>
      <w:r>
        <w:rPr>
          <w:rFonts w:hint="eastAsia" w:ascii="宋体" w:hAnsi="宋体" w:cs="宋体"/>
          <w:bCs/>
          <w:snapToGrid w:val="0"/>
          <w:color w:val="000000" w:themeColor="text1"/>
          <w:kern w:val="0"/>
          <w:szCs w:val="21"/>
          <w:highlight w:val="none"/>
          <w14:textFill>
            <w14:solidFill>
              <w14:schemeClr w14:val="tx1"/>
            </w14:solidFill>
          </w14:textFill>
        </w:rPr>
        <w:t>工程范围内与委托人签订勘察、设计、施工等有关合同的当事人，及其合法的继承人。</w:t>
      </w:r>
    </w:p>
    <w:p w14:paraId="47813A87">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（7）“工程监理的正常工作”是指双方在专用条件中约定，委托人委托的监理工作范围和内容。</w:t>
      </w:r>
    </w:p>
    <w:p w14:paraId="49EDA2DA">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（8）“工程监理的附加工作”是指：①委托人委托监理范围以外，通过双方书面协议另外增加的工作内容；②由于委托人或承包人原因，使监理工作受到阻碍或延误，因增加工作量或持续时间而增加的工作。</w:t>
      </w:r>
    </w:p>
    <w:p w14:paraId="0317B02D">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（9）“工程监理的额外工作”是指正常工作和附加工作以外，根据第三十八条规定监理人必须完成的工作，或非监理人自己的原因而暂停或终止监理业务，其善后工作及恢复监理业务的工作。</w:t>
      </w:r>
    </w:p>
    <w:p w14:paraId="6190D248">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（10）“日”是指任何一日零时至第二日零时的时间段。</w:t>
      </w:r>
    </w:p>
    <w:p w14:paraId="24C936DC">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（11）“月”是指根据公历从一个月份中任何一日开始到下一个月相应日期的前一日的时间段。</w:t>
      </w:r>
    </w:p>
    <w:p w14:paraId="27ABB58F">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第二条  </w:t>
      </w:r>
      <w:r>
        <w:rPr>
          <w:rFonts w:hint="eastAsia" w:ascii="宋体" w:hAnsi="宋体" w:cs="宋体"/>
          <w:snapToGrid w:val="0"/>
          <w:color w:val="000000" w:themeColor="text1"/>
          <w:kern w:val="0"/>
          <w:szCs w:val="21"/>
          <w:highlight w:val="none"/>
          <w14:textFill>
            <w14:solidFill>
              <w14:schemeClr w14:val="tx1"/>
            </w14:solidFill>
          </w14:textFill>
        </w:rPr>
        <w:t>建设工程施工监理合同适用的法律是指国家的法律、行政法规，以及专用条件中议定的部门规章或工程所在地的地方法规、地方规章。</w:t>
      </w:r>
    </w:p>
    <w:p w14:paraId="6E513D6D">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第三条  </w:t>
      </w:r>
      <w:r>
        <w:rPr>
          <w:rFonts w:hint="eastAsia" w:ascii="宋体" w:hAnsi="宋体" w:cs="宋体"/>
          <w:snapToGrid w:val="0"/>
          <w:color w:val="000000" w:themeColor="text1"/>
          <w:kern w:val="0"/>
          <w:szCs w:val="21"/>
          <w:highlight w:val="none"/>
          <w14:textFill>
            <w14:solidFill>
              <w14:schemeClr w14:val="tx1"/>
            </w14:solidFill>
          </w14:textFill>
        </w:rPr>
        <w:t>本合同文件使用汉语语言文字书写、解释和说明。如专用条件约定使用两种以上（含两种）语言文字时，汉语应为解释和说明本合同的标准语言文字。</w:t>
      </w:r>
    </w:p>
    <w:p w14:paraId="7C82ABD9">
      <w:pPr>
        <w:adjustRightInd w:val="0"/>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p>
    <w:p w14:paraId="316B9C71">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监理人义务</w:t>
      </w:r>
    </w:p>
    <w:p w14:paraId="75E0F868">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14:paraId="707FA396">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第五条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监理人在履行本合同的义务期间，应认真、勤奋地工作，为委托人提供与其水平相适应的咨询意见，公正维护各方面的合法权益。</w:t>
      </w:r>
    </w:p>
    <w:p w14:paraId="3B32075C">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第六条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监理人使用委托人提供的设施和物品属委托人的财产。在监理工作完成或中止时，应将其设施和剩余的物品按合同约定的时间和方式移交给委托人。</w:t>
      </w:r>
    </w:p>
    <w:p w14:paraId="6154F42A">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第七条</w:t>
      </w:r>
      <w:r>
        <w:rPr>
          <w:rFonts w:hint="eastAsia" w:ascii="宋体" w:hAnsi="宋体" w:cs="宋体"/>
          <w:snapToGrid w:val="0"/>
          <w:color w:val="000000" w:themeColor="text1"/>
          <w:kern w:val="0"/>
          <w:szCs w:val="21"/>
          <w:highlight w:val="none"/>
          <w14:textFill>
            <w14:solidFill>
              <w14:schemeClr w14:val="tx1"/>
            </w14:solidFill>
          </w14:textFill>
        </w:rPr>
        <w:t xml:space="preserve">  在合同期内或合同终止后，未征得有关方同意，不得泄露与本合同工程、本合同业务有关的保密资料。</w:t>
      </w:r>
    </w:p>
    <w:p w14:paraId="3061E7CE">
      <w:pPr>
        <w:adjustRightInd w:val="0"/>
        <w:snapToGrid w:val="0"/>
        <w:spacing w:line="360" w:lineRule="auto"/>
        <w:rPr>
          <w:rFonts w:ascii="宋体" w:hAnsi="宋体" w:cs="宋体"/>
          <w:b/>
          <w:bCs/>
          <w:snapToGrid w:val="0"/>
          <w:color w:val="000000" w:themeColor="text1"/>
          <w:kern w:val="0"/>
          <w:szCs w:val="21"/>
          <w:highlight w:val="none"/>
          <w14:textFill>
            <w14:solidFill>
              <w14:schemeClr w14:val="tx1"/>
            </w14:solidFill>
          </w14:textFill>
        </w:rPr>
      </w:pPr>
    </w:p>
    <w:p w14:paraId="30F4F3E3">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3A52195F">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委托人义务</w:t>
      </w:r>
    </w:p>
    <w:p w14:paraId="13073FAD">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第八条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委托人在监理人开展监理业务之前应向监理人支付预付款。</w:t>
      </w:r>
    </w:p>
    <w:p w14:paraId="2CA71F66">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第九条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委托人应当负责工程建设的所有外部关系的协调，为监理工作提供外部条件。根据需要，如将部分或全部协调工作委托监理人承担，则应在专用条件中明确委托的工作和相应的酬金。</w:t>
      </w:r>
    </w:p>
    <w:p w14:paraId="77503817">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委托人应当在双方约定的时间内免费向监理人提供与工程有关的为监理工作所需要的工程资料。</w:t>
      </w:r>
    </w:p>
    <w:p w14:paraId="3FB9E69C">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第十一条  </w:t>
      </w:r>
      <w:r>
        <w:rPr>
          <w:rFonts w:hint="eastAsia" w:ascii="宋体" w:hAnsi="宋体" w:cs="宋体"/>
          <w:snapToGrid w:val="0"/>
          <w:color w:val="000000" w:themeColor="text1"/>
          <w:kern w:val="0"/>
          <w:szCs w:val="21"/>
          <w:highlight w:val="none"/>
          <w14:textFill>
            <w14:solidFill>
              <w14:schemeClr w14:val="tx1"/>
            </w14:solidFill>
          </w14:textFill>
        </w:rPr>
        <w:t>委托人应当在专用条件约定的时间内就监理人书面提交并要求做出决定的一切事宜作出书面决定。</w:t>
      </w:r>
    </w:p>
    <w:p w14:paraId="14BE620B">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第十二条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委托人应当授权一名熟悉工程情况、能在规定时间内做出决定的常驻代表（在专用条件中约定），负责与监理人联系。更换常驻代表，要提前通知监理人。</w:t>
      </w:r>
    </w:p>
    <w:p w14:paraId="1AEE05CA">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第十三条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委托人应当将授予监理人的监理权利，以及监理人主要成员的职能分工、监理权限及时书面通知已选定的承包合同的承包人，并在与第三人签订的合同中予以明确。</w:t>
      </w:r>
    </w:p>
    <w:p w14:paraId="1806DA30">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第十四条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委托人应在不影响监理人开展监理工作的时间内提供如下资料：</w:t>
      </w:r>
    </w:p>
    <w:p w14:paraId="17AEF1F0">
      <w:pPr>
        <w:adjustRightInd w:val="0"/>
        <w:snapToGrid w:val="0"/>
        <w:spacing w:line="360" w:lineRule="auto"/>
        <w:ind w:left="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（1）与本合同工程合作的原材料、构配件、设备等生产厂家名录。</w:t>
      </w:r>
    </w:p>
    <w:p w14:paraId="271756D1">
      <w:pPr>
        <w:adjustRightInd w:val="0"/>
        <w:snapToGrid w:val="0"/>
        <w:spacing w:line="360" w:lineRule="auto"/>
        <w:ind w:left="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（2）提供与本合同工程有关的协作单位、配合单位的名录。</w:t>
      </w:r>
    </w:p>
    <w:p w14:paraId="4BBDF8A6">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第十五条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委托人免费向监理人提供办公用房、通讯设施、监理人员工地住房及合同专用条件约定的设施，对监理人自备的设施给予合理的经济补偿（补偿金额=设施在工程使用时间占折旧年限的比例×设施原值+管理费）。</w:t>
      </w:r>
    </w:p>
    <w:p w14:paraId="5E1E3783">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第十六条</w:t>
      </w:r>
      <w:r>
        <w:rPr>
          <w:rFonts w:hint="eastAsia" w:ascii="宋体" w:hAnsi="宋体" w:cs="宋体"/>
          <w:snapToGrid w:val="0"/>
          <w:color w:val="000000" w:themeColor="text1"/>
          <w:kern w:val="0"/>
          <w:szCs w:val="21"/>
          <w:highlight w:val="none"/>
          <w14:textFill>
            <w14:solidFill>
              <w14:schemeClr w14:val="tx1"/>
            </w14:solidFill>
          </w14:textFill>
        </w:rPr>
        <w:t xml:space="preserve">  根据情况需要，如果双方约定，由委托人免费向监理人提供其他人员，应在监理合同专用条件中予以明确。</w:t>
      </w:r>
    </w:p>
    <w:p w14:paraId="40BF2564">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55140169">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监理人权利</w:t>
      </w:r>
    </w:p>
    <w:p w14:paraId="322F8C31">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第十七条  </w:t>
      </w:r>
      <w:r>
        <w:rPr>
          <w:rFonts w:hint="eastAsia" w:ascii="宋体" w:hAnsi="宋体" w:cs="宋体"/>
          <w:snapToGrid w:val="0"/>
          <w:color w:val="000000" w:themeColor="text1"/>
          <w:kern w:val="0"/>
          <w:szCs w:val="21"/>
          <w:highlight w:val="none"/>
          <w14:textFill>
            <w14:solidFill>
              <w14:schemeClr w14:val="tx1"/>
            </w14:solidFill>
          </w14:textFill>
        </w:rPr>
        <w:t>监理人在委托人委托的工程范围内，享有以下权利：</w:t>
      </w:r>
    </w:p>
    <w:p w14:paraId="384D2816">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（1）选择工程总承包人的建议权。</w:t>
      </w:r>
    </w:p>
    <w:p w14:paraId="5083DEC7">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（2）选择工程分包人的认可权。</w:t>
      </w:r>
    </w:p>
    <w:p w14:paraId="7D32F99B">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（3）对工程建设有关事项包括工程规模、设计标准、规划设计、生产工艺设计和使用功能要求，向委托人的建议权。</w:t>
      </w:r>
    </w:p>
    <w:p w14:paraId="35A18AD0">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64B66DB0">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（5）审批工程施工组织设计和技术方案，按照保质量、保工期和降低成本的原则，向承包人提出建议，并向委托人提出书面报告。</w:t>
      </w:r>
    </w:p>
    <w:p w14:paraId="40697837">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（6）主持工程建设有关协作单位的组织协调，重要协调事项应当事先向委托人报告。</w:t>
      </w:r>
    </w:p>
    <w:p w14:paraId="06588ACA">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（7）征得委托人同意，监理人有权发布开工令、停工令、复工令，但应当事先向委托人报告。如在紧急情况下未能事先报告时，则应在24小时内向委托人做出书面报告。</w:t>
      </w:r>
    </w:p>
    <w:p w14:paraId="40C34780">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4FF7903D">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（9）工程施工进度的检查、监督权，以及工程实际竣工日期提前或超过工程施工合同规定的竣工期限的签认权。</w:t>
      </w:r>
    </w:p>
    <w:p w14:paraId="510C270A">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（10）在工程施工合同约定的工程价格范围内，工程款支付的审核和签认权，以及工程结算的复核确认权与否决权。未经总监理工程师签名确认，委托人不支付工程款。</w:t>
      </w:r>
    </w:p>
    <w:p w14:paraId="1CB4BED4">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第十八条  </w:t>
      </w:r>
      <w:r>
        <w:rPr>
          <w:rFonts w:hint="eastAsia" w:ascii="宋体" w:hAnsi="宋体" w:cs="宋体"/>
          <w:snapToGrid w:val="0"/>
          <w:color w:val="000000" w:themeColor="text1"/>
          <w:kern w:val="0"/>
          <w:szCs w:val="21"/>
          <w:highlight w:val="none"/>
          <w14:textFill>
            <w14:solidFill>
              <w14:schemeClr w14:val="tx1"/>
            </w14:solidFill>
          </w14:textFill>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14:paraId="4476EAE8">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第十九条</w:t>
      </w:r>
      <w:r>
        <w:rPr>
          <w:rFonts w:hint="eastAsia" w:ascii="宋体" w:hAnsi="宋体" w:cs="宋体"/>
          <w:snapToGrid w:val="0"/>
          <w:color w:val="000000" w:themeColor="text1"/>
          <w:kern w:val="0"/>
          <w:szCs w:val="21"/>
          <w:highlight w:val="none"/>
          <w14:textFill>
            <w14:solidFill>
              <w14:schemeClr w14:val="tx1"/>
            </w14:solidFill>
          </w14:textFill>
        </w:rPr>
        <w:t xml:space="preserve">  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仲裁机关仲裁时，监理人应当提供作证的事实材料。</w:t>
      </w:r>
    </w:p>
    <w:p w14:paraId="60403E39">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03C3AB6D">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委托人权利</w:t>
      </w:r>
    </w:p>
    <w:p w14:paraId="466E3727">
      <w:pPr>
        <w:adjustRightInd w:val="0"/>
        <w:snapToGrid w:val="0"/>
        <w:spacing w:line="360" w:lineRule="auto"/>
        <w:ind w:left="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委托人有选定工程总承包人，以及与其订立合同的权利。</w:t>
      </w:r>
    </w:p>
    <w:p w14:paraId="75AD1329">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第二十一条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委托人有对工程规模、设计标准、规划设计、生产工艺设计和设计使用功能要求的认定权，以及对工程设计变更的审批权。</w:t>
      </w:r>
    </w:p>
    <w:p w14:paraId="026BB9DE">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第二十二条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监理人调换总监理工程师须事先经委托人同意。</w:t>
      </w:r>
    </w:p>
    <w:p w14:paraId="0B527CC9">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第二十三条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委托人有权要求监理人提交监理工作月报及监理业务范围内的专项报告。</w:t>
      </w:r>
    </w:p>
    <w:p w14:paraId="22522C3F">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第二十四条</w:t>
      </w:r>
      <w:r>
        <w:rPr>
          <w:rFonts w:hint="eastAsia" w:ascii="宋体" w:hAnsi="宋体" w:cs="宋体"/>
          <w:snapToGrid w:val="0"/>
          <w:color w:val="000000" w:themeColor="text1"/>
          <w:kern w:val="0"/>
          <w:szCs w:val="21"/>
          <w:highlight w:val="none"/>
          <w14:textFill>
            <w14:solidFill>
              <w14:schemeClr w14:val="tx1"/>
            </w14:solidFill>
          </w14:textFill>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14:paraId="57043FC1">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61AF6C53">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监理人责任</w:t>
      </w:r>
    </w:p>
    <w:p w14:paraId="603693D1">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第二十五条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监理人的责任期即本施工监理合同有效期。在监理过程中，如果因工程建设进度的推迟或延误而超过书面约定的日期，双方应进一步约定相应延长的合同期。</w:t>
      </w:r>
    </w:p>
    <w:p w14:paraId="7623BA5C">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第二十六条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监理人在责任期内，应当履行约定的义务，如果因监理人过失而造成了委托人的经济损失，应当向委托人赔偿。累计赔偿总额（除本合同第二十四条规定以外）不应超过监理酬金总额（除去税金）。</w:t>
      </w:r>
    </w:p>
    <w:p w14:paraId="302AE308">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第二十七条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14:paraId="389D2413">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第二十八条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监理人向委托人提出赔偿要求不能成立时，监理人应当补偿由于该索赔所导致委托人的各种费用支出。</w:t>
      </w:r>
    </w:p>
    <w:p w14:paraId="67C71CD9">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59626E4C">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委托人责任</w:t>
      </w:r>
    </w:p>
    <w:p w14:paraId="65798EC5">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第二十九条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委托人应当履行本合同约定的义务，如有违反则应当承担违约责任，赔偿给监理人造成的经济损失。</w:t>
      </w:r>
    </w:p>
    <w:p w14:paraId="77927CA8">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监理人处理委托业务时，因非监理人原因的事由受到损失的，可以向委托人要求补偿损失。</w:t>
      </w:r>
    </w:p>
    <w:p w14:paraId="69BCB619">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委托人如果向监理人提出赔偿的要求不能成立，则应当补偿由该索赔所引起的监理人的各种费用支出。</w:t>
      </w:r>
    </w:p>
    <w:p w14:paraId="325C2620">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71263887">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合同生效、变更与终止</w:t>
      </w:r>
    </w:p>
    <w:p w14:paraId="53EF0B44">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第三十一条</w:t>
      </w:r>
      <w:r>
        <w:rPr>
          <w:rFonts w:hint="eastAsia" w:ascii="宋体" w:hAnsi="宋体" w:cs="宋体"/>
          <w:snapToGrid w:val="0"/>
          <w:color w:val="000000" w:themeColor="text1"/>
          <w:kern w:val="0"/>
          <w:szCs w:val="21"/>
          <w:highlight w:val="none"/>
          <w14:textFill>
            <w14:solidFill>
              <w14:schemeClr w14:val="tx1"/>
            </w14:solidFill>
          </w14:textFill>
        </w:rPr>
        <w:t xml:space="preserve">  由于委托人或承包人的原因使监理工作受到阻碍或延误，以致发生了附加工作或延长了持续时间，则监理人应当将此情况与可能产生的影响及时通知委托人。完成监理业务的时间相应延长，并得到附加工作的酬金。</w:t>
      </w:r>
    </w:p>
    <w:p w14:paraId="6A130047">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第三十二条</w:t>
      </w:r>
      <w:r>
        <w:rPr>
          <w:rFonts w:hint="eastAsia" w:ascii="宋体" w:hAnsi="宋体" w:cs="宋体"/>
          <w:snapToGrid w:val="0"/>
          <w:color w:val="000000" w:themeColor="text1"/>
          <w:kern w:val="0"/>
          <w:szCs w:val="21"/>
          <w:highlight w:val="none"/>
          <w14:textFill>
            <w14:solidFill>
              <w14:schemeClr w14:val="tx1"/>
            </w14:solidFill>
          </w14:textFill>
        </w:rPr>
        <w:t xml:space="preserve">  在本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酬金。</w:t>
      </w:r>
    </w:p>
    <w:p w14:paraId="39DCC044">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第三十三条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监理人向委托人办理完竣工验收或工程移交手续，承包人和委托人已签订工程保修责任书，监理人收到监理酬金尾款，本合同即终止。保修期间的责任，双方在专用条件中约定。</w:t>
      </w:r>
    </w:p>
    <w:p w14:paraId="53F7611A">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第三十四条</w:t>
      </w:r>
      <w:r>
        <w:rPr>
          <w:rFonts w:hint="eastAsia" w:ascii="宋体" w:hAnsi="宋体" w:cs="宋体"/>
          <w:snapToGrid w:val="0"/>
          <w:color w:val="000000" w:themeColor="text1"/>
          <w:kern w:val="0"/>
          <w:szCs w:val="21"/>
          <w:highlight w:val="none"/>
          <w14:textFill>
            <w14:solidFill>
              <w14:schemeClr w14:val="tx1"/>
            </w14:solidFill>
          </w14:textFill>
        </w:rPr>
        <w:t xml:space="preserve">  当事人一方要求变更或解除合同时，应当在42日前通知对方，因解除合同使一方遭受损失的，除依法可以免除责任的外，应由责任方负责赔偿。</w:t>
      </w:r>
    </w:p>
    <w:p w14:paraId="04CCCEFD">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变更或解除合同的通知或协议必须采取书面形式，协议未达成之前，原合同仍然有效。</w:t>
      </w:r>
    </w:p>
    <w:p w14:paraId="44016440">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第三十五条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在应当获得监理酬金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14:paraId="0CE5A565">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第三十六条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监理人由于非自己的原因而暂停或终止执行监理业务，其善后工作以及恢复执行监理业务的工作，应当视为额外工作，有权得到额外的酬金。</w:t>
      </w:r>
    </w:p>
    <w:p w14:paraId="3E8C0BAA">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第三十七条</w:t>
      </w:r>
      <w:r>
        <w:rPr>
          <w:rFonts w:hint="eastAsia" w:ascii="宋体" w:hAnsi="宋体" w:cs="宋体"/>
          <w:snapToGrid w:val="0"/>
          <w:color w:val="000000" w:themeColor="text1"/>
          <w:kern w:val="0"/>
          <w:szCs w:val="21"/>
          <w:highlight w:val="none"/>
          <w14:textFill>
            <w14:solidFill>
              <w14:schemeClr w14:val="tx1"/>
            </w14:solidFill>
          </w14:textFill>
        </w:rPr>
        <w:t xml:space="preserve">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14:paraId="1E9C6B6F">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第三十八条</w:t>
      </w:r>
      <w:r>
        <w:rPr>
          <w:rFonts w:hint="eastAsia" w:ascii="宋体" w:hAnsi="宋体" w:cs="宋体"/>
          <w:snapToGrid w:val="0"/>
          <w:color w:val="000000" w:themeColor="text1"/>
          <w:kern w:val="0"/>
          <w:szCs w:val="21"/>
          <w:highlight w:val="none"/>
          <w14:textFill>
            <w14:solidFill>
              <w14:schemeClr w14:val="tx1"/>
            </w14:solidFill>
          </w14:textFill>
        </w:rPr>
        <w:t xml:space="preserve">  合同协议的终止并不影响各方应有的权利和应当承担的责任。</w:t>
      </w:r>
    </w:p>
    <w:p w14:paraId="4C1FDBC7">
      <w:pPr>
        <w:adjustRightInd w:val="0"/>
        <w:snapToGrid w:val="0"/>
        <w:spacing w:line="360" w:lineRule="auto"/>
        <w:rPr>
          <w:rFonts w:ascii="宋体" w:hAnsi="宋体" w:cs="宋体"/>
          <w:b/>
          <w:bCs/>
          <w:snapToGrid w:val="0"/>
          <w:color w:val="000000" w:themeColor="text1"/>
          <w:kern w:val="0"/>
          <w:szCs w:val="21"/>
          <w:highlight w:val="none"/>
          <w14:textFill>
            <w14:solidFill>
              <w14:schemeClr w14:val="tx1"/>
            </w14:solidFill>
          </w14:textFill>
        </w:rPr>
      </w:pPr>
    </w:p>
    <w:p w14:paraId="08A6141D">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监理酬金</w:t>
      </w:r>
    </w:p>
    <w:p w14:paraId="5C6F6FDF">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第三十九条 </w:t>
      </w:r>
      <w:r>
        <w:rPr>
          <w:rFonts w:hint="eastAsia" w:ascii="宋体" w:hAnsi="宋体" w:cs="宋体"/>
          <w:snapToGrid w:val="0"/>
          <w:color w:val="000000" w:themeColor="text1"/>
          <w:kern w:val="0"/>
          <w:szCs w:val="21"/>
          <w:highlight w:val="none"/>
          <w14:textFill>
            <w14:solidFill>
              <w14:schemeClr w14:val="tx1"/>
            </w14:solidFill>
          </w14:textFill>
        </w:rPr>
        <w:t xml:space="preserve"> 正常的监理工作、附加工作和额外工作的酬金，按照监理合同专用条件中第三十九条的方法计算，并按约定的时间和数额支付。</w:t>
      </w:r>
    </w:p>
    <w:p w14:paraId="103839F9">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第四十条</w:t>
      </w:r>
      <w:r>
        <w:rPr>
          <w:rFonts w:hint="eastAsia" w:ascii="宋体" w:hAnsi="宋体" w:cs="宋体"/>
          <w:snapToGrid w:val="0"/>
          <w:color w:val="000000" w:themeColor="text1"/>
          <w:kern w:val="0"/>
          <w:szCs w:val="21"/>
          <w:highlight w:val="none"/>
          <w14:textFill>
            <w14:solidFill>
              <w14:schemeClr w14:val="tx1"/>
            </w14:solidFill>
          </w14:textFill>
        </w:rPr>
        <w:t xml:space="preserve">  如果委托人在规定的支付期限内未支付监理酬金，自规定之日起，还应向监理人支付滞纳金。滞纳金从规定支付期限最后一日起计算。</w:t>
      </w:r>
    </w:p>
    <w:p w14:paraId="43CC4556">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第四十一条</w:t>
      </w:r>
      <w:r>
        <w:rPr>
          <w:rFonts w:hint="eastAsia" w:ascii="宋体" w:hAnsi="宋体" w:cs="宋体"/>
          <w:snapToGrid w:val="0"/>
          <w:color w:val="000000" w:themeColor="text1"/>
          <w:kern w:val="0"/>
          <w:szCs w:val="21"/>
          <w:highlight w:val="none"/>
          <w14:textFill>
            <w14:solidFill>
              <w14:schemeClr w14:val="tx1"/>
            </w14:solidFill>
          </w14:textFill>
        </w:rPr>
        <w:t xml:space="preserve">  支付监理酬金所采取的货币币种、汇率由合同专用条件约定。</w:t>
      </w:r>
    </w:p>
    <w:p w14:paraId="5DC36952">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第四十二条</w:t>
      </w:r>
      <w:r>
        <w:rPr>
          <w:rFonts w:hint="eastAsia" w:ascii="宋体" w:hAnsi="宋体" w:cs="宋体"/>
          <w:snapToGrid w:val="0"/>
          <w:color w:val="000000" w:themeColor="text1"/>
          <w:kern w:val="0"/>
          <w:szCs w:val="21"/>
          <w:highlight w:val="none"/>
          <w14:textFill>
            <w14:solidFill>
              <w14:schemeClr w14:val="tx1"/>
            </w14:solidFill>
          </w14:textFill>
        </w:rPr>
        <w:t xml:space="preserve">  如果委托人对监理人提交的支付通知中酬金或部分酬金项目提出异议，应当在收到支付通知书24小时内向监理人发出表示异议的通知，但委托人不得拖延其他无异议酬金项目的支付。</w:t>
      </w:r>
    </w:p>
    <w:p w14:paraId="7739CA1F">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5F5ACC85">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其他</w:t>
      </w:r>
    </w:p>
    <w:p w14:paraId="55FD85F6">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第四十三条</w:t>
      </w:r>
      <w:r>
        <w:rPr>
          <w:rFonts w:hint="eastAsia" w:ascii="宋体" w:hAnsi="宋体" w:cs="宋体"/>
          <w:snapToGrid w:val="0"/>
          <w:color w:val="000000" w:themeColor="text1"/>
          <w:kern w:val="0"/>
          <w:szCs w:val="21"/>
          <w:highlight w:val="none"/>
          <w14:textFill>
            <w14:solidFill>
              <w14:schemeClr w14:val="tx1"/>
            </w14:solidFill>
          </w14:textFill>
        </w:rPr>
        <w:t xml:space="preserve">  委托的建设工程监理所必要的监理人员出外考察、材料设备复试，其费用支出经委托人同意的，在预算范围内向委托人实报实销。</w:t>
      </w:r>
    </w:p>
    <w:p w14:paraId="1AD003B3">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第四十四条</w:t>
      </w:r>
      <w:r>
        <w:rPr>
          <w:rFonts w:hint="eastAsia" w:ascii="宋体" w:hAnsi="宋体" w:cs="宋体"/>
          <w:snapToGrid w:val="0"/>
          <w:color w:val="000000" w:themeColor="text1"/>
          <w:kern w:val="0"/>
          <w:szCs w:val="21"/>
          <w:highlight w:val="none"/>
          <w14:textFill>
            <w14:solidFill>
              <w14:schemeClr w14:val="tx1"/>
            </w14:solidFill>
          </w14:textFill>
        </w:rPr>
        <w:t xml:space="preserve">  在监理业务范围内，如需聘用专家咨询或协助，由监理人聘用的，其费用由监理人承担；由委托人聘用的，其费用由委托人承担。</w:t>
      </w:r>
    </w:p>
    <w:p w14:paraId="7AE52847">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第四十五条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监理人在监理工作过程中提出的合理化建议，使委托人得到了经济效益，委托人应按专用条件中的约定给予经济奖励。</w:t>
      </w:r>
    </w:p>
    <w:p w14:paraId="5F061854">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第四十六条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监理人驻地项目监理机构及其职员不得接受监理工程项目承包人的任何酬金或者经济利益。</w:t>
      </w:r>
    </w:p>
    <w:p w14:paraId="1D71FCEB">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监理人不得参与可能与合同规定的与委托人的利益相冲突的任何活动。</w:t>
      </w:r>
    </w:p>
    <w:p w14:paraId="7577F296">
      <w:pPr>
        <w:adjustRightInd w:val="0"/>
        <w:snapToGrid w:val="0"/>
        <w:spacing w:line="360" w:lineRule="auto"/>
        <w:ind w:firstLine="42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第四十七条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监理人在监理过程中，不得泄露委托人申明的秘密，监理人亦不得泄露设计人、承包人等提供并申明的秘密。</w:t>
      </w:r>
    </w:p>
    <w:p w14:paraId="6B4B0227">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第四十八条</w:t>
      </w:r>
      <w:r>
        <w:rPr>
          <w:rFonts w:hint="eastAsia" w:ascii="宋体" w:hAnsi="宋体" w:cs="宋体"/>
          <w:snapToGrid w:val="0"/>
          <w:color w:val="000000" w:themeColor="text1"/>
          <w:kern w:val="0"/>
          <w:szCs w:val="21"/>
          <w:highlight w:val="none"/>
          <w14:textFill>
            <w14:solidFill>
              <w14:schemeClr w14:val="tx1"/>
            </w14:solidFill>
          </w14:textFill>
        </w:rPr>
        <w:t xml:space="preserve">  监理人对于由其编制的所有文件拥有版权，委托人仅有权为本合同工程使用或复制此类文件。</w:t>
      </w:r>
    </w:p>
    <w:p w14:paraId="7F7DAB2D">
      <w:pPr>
        <w:adjustRightInd w:val="0"/>
        <w:snapToGrid w:val="0"/>
        <w:spacing w:line="360" w:lineRule="auto"/>
        <w:rPr>
          <w:rFonts w:hint="eastAsia" w:ascii="宋体" w:hAnsi="宋体" w:cs="宋体"/>
          <w:b/>
          <w:bCs/>
          <w:snapToGrid w:val="0"/>
          <w:color w:val="000000" w:themeColor="text1"/>
          <w:kern w:val="0"/>
          <w:szCs w:val="21"/>
          <w:highlight w:val="none"/>
          <w14:textFill>
            <w14:solidFill>
              <w14:schemeClr w14:val="tx1"/>
            </w14:solidFill>
          </w14:textFill>
        </w:rPr>
      </w:pPr>
    </w:p>
    <w:p w14:paraId="1CB95BD7">
      <w:pPr>
        <w:adjustRightInd w:val="0"/>
        <w:snapToGrid w:val="0"/>
        <w:spacing w:line="360" w:lineRule="auto"/>
        <w:jc w:val="center"/>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争议的解决</w:t>
      </w:r>
    </w:p>
    <w:p w14:paraId="28630B12">
      <w:pPr>
        <w:adjustRightInd w:val="0"/>
        <w:snapToGrid w:val="0"/>
        <w:spacing w:line="360" w:lineRule="auto"/>
        <w:ind w:firstLine="472" w:firstLineChars="196"/>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第四十九条  </w:t>
      </w:r>
      <w:r>
        <w:rPr>
          <w:rFonts w:hint="eastAsia" w:ascii="宋体" w:hAnsi="宋体" w:cs="宋体"/>
          <w:bCs/>
          <w:snapToGrid w:val="0"/>
          <w:color w:val="000000" w:themeColor="text1"/>
          <w:kern w:val="0"/>
          <w:szCs w:val="21"/>
          <w:highlight w:val="none"/>
          <w14:textFill>
            <w14:solidFill>
              <w14:schemeClr w14:val="tx1"/>
            </w14:solidFill>
          </w14:textFill>
        </w:rPr>
        <w:t>因违反或终止合同而引起的对对方损失和损害的赔偿，双方应当协商解决，如未能达成一致，可提交主管部门协调，如仍未能达成一致时，根据双方约定提交仲裁机关仲裁，或向人民法院起诉。</w:t>
      </w:r>
    </w:p>
    <w:p w14:paraId="685276EC">
      <w:pPr>
        <w:pStyle w:val="2"/>
        <w:rPr>
          <w:rFonts w:hint="eastAsia"/>
          <w:color w:val="000000" w:themeColor="text1"/>
          <w:highlight w:val="none"/>
          <w14:textFill>
            <w14:solidFill>
              <w14:schemeClr w14:val="tx1"/>
            </w14:solidFill>
          </w14:textFill>
        </w:rPr>
      </w:pPr>
      <w:r>
        <w:rPr>
          <w:rFonts w:hint="eastAsia" w:hAnsi="宋体" w:cs="宋体"/>
          <w:snapToGrid w:val="0"/>
          <w:color w:val="000000" w:themeColor="text1"/>
          <w:highlight w:val="none"/>
          <w14:textFill>
            <w14:solidFill>
              <w14:schemeClr w14:val="tx1"/>
            </w14:solidFill>
          </w14:textFill>
        </w:rPr>
        <w:t>（以下部分无《建设工程委托监理合同》第二部分标准条件正文内容）</w:t>
      </w:r>
    </w:p>
    <w:p w14:paraId="5F103031">
      <w:pPr>
        <w:tabs>
          <w:tab w:val="left" w:pos="5460"/>
        </w:tabs>
        <w:adjustRightInd w:val="0"/>
        <w:snapToGrid w:val="0"/>
        <w:spacing w:line="360" w:lineRule="auto"/>
        <w:ind w:right="11"/>
        <w:jc w:val="center"/>
        <w:outlineLvl w:val="1"/>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bookmarkStart w:id="170" w:name="_Toc18379"/>
      <w:bookmarkStart w:id="171" w:name="_Toc32182"/>
      <w:bookmarkStart w:id="172" w:name="_Toc15643"/>
      <w:bookmarkStart w:id="173" w:name="_Toc4110"/>
      <w:r>
        <w:rPr>
          <w:rFonts w:hint="eastAsia" w:ascii="宋体" w:hAnsi="宋体" w:cs="宋体"/>
          <w:b/>
          <w:bCs/>
          <w:snapToGrid w:val="0"/>
          <w:color w:val="000000" w:themeColor="text1"/>
          <w:kern w:val="0"/>
          <w:szCs w:val="21"/>
          <w:highlight w:val="none"/>
          <w14:textFill>
            <w14:solidFill>
              <w14:schemeClr w14:val="tx1"/>
            </w14:solidFill>
          </w14:textFill>
        </w:rPr>
        <w:t>第三部分  专用条件</w:t>
      </w:r>
      <w:bookmarkEnd w:id="170"/>
      <w:bookmarkEnd w:id="171"/>
      <w:bookmarkEnd w:id="172"/>
      <w:bookmarkEnd w:id="173"/>
    </w:p>
    <w:p w14:paraId="64EC08CA">
      <w:pPr>
        <w:adjustRightInd w:val="0"/>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部分条款的编号与标准条件的编号相对应，是根据本合同工程的实际情况对标准条件中相对应条款进行修改、补充或否定，其适用顺序优先于标准条件。本部分条款未阐明的内容，则按标准条件的有关约定执行）</w:t>
      </w:r>
    </w:p>
    <w:p w14:paraId="3DDE1115">
      <w:pPr>
        <w:adjustRightInd w:val="0"/>
        <w:snapToGrid w:val="0"/>
        <w:spacing w:line="360" w:lineRule="auto"/>
        <w:rPr>
          <w:rFonts w:hint="eastAsia" w:ascii="宋体" w:hAnsi="宋体" w:cs="宋体"/>
          <w:bCs/>
          <w:snapToGrid w:val="0"/>
          <w:color w:val="000000" w:themeColor="text1"/>
          <w:kern w:val="0"/>
          <w:szCs w:val="21"/>
          <w:highlight w:val="none"/>
          <w14:textFill>
            <w14:solidFill>
              <w14:schemeClr w14:val="tx1"/>
            </w14:solidFill>
          </w14:textFill>
        </w:rPr>
      </w:pPr>
    </w:p>
    <w:p w14:paraId="0884BB77">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第一条</w:t>
      </w: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b/>
          <w:bCs/>
          <w:snapToGrid w:val="0"/>
          <w:color w:val="000000" w:themeColor="text1"/>
          <w:kern w:val="0"/>
          <w:szCs w:val="21"/>
          <w:highlight w:val="none"/>
          <w14:textFill>
            <w14:solidFill>
              <w14:schemeClr w14:val="tx1"/>
            </w14:solidFill>
          </w14:textFill>
        </w:rPr>
        <w:t>词语定义</w:t>
      </w:r>
    </w:p>
    <w:p w14:paraId="41419D35">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（1）“本合同工程”指委托人委托监理人监理的工程。</w:t>
      </w:r>
    </w:p>
    <w:p w14:paraId="5D25B3E0">
      <w:pPr>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（2）委托人</w:t>
      </w:r>
    </w:p>
    <w:p w14:paraId="1C375AD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14:textFill>
            <w14:solidFill>
              <w14:schemeClr w14:val="tx1"/>
            </w14:solidFill>
          </w14:textFill>
        </w:rPr>
        <w:t>“委托人”在本合同中特指</w:t>
      </w:r>
      <w:r>
        <w:rPr>
          <w:rFonts w:hint="eastAsia" w:ascii="宋体" w:hAnsi="宋体" w:cs="宋体"/>
          <w:color w:val="000000" w:themeColor="text1"/>
          <w:szCs w:val="21"/>
          <w:highlight w:val="none"/>
          <w:u w:val="single"/>
          <w14:textFill>
            <w14:solidFill>
              <w14:schemeClr w14:val="tx1"/>
            </w14:solidFill>
          </w14:textFill>
        </w:rPr>
        <w:t>广州市天河区建设工程项目代建局</w:t>
      </w:r>
      <w:r>
        <w:rPr>
          <w:rFonts w:hint="eastAsia" w:ascii="宋体" w:hAnsi="宋体" w:cs="宋体"/>
          <w:snapToGrid w:val="0"/>
          <w:color w:val="000000" w:themeColor="text1"/>
          <w:kern w:val="0"/>
          <w:szCs w:val="21"/>
          <w:highlight w:val="none"/>
          <w14:textFill>
            <w14:solidFill>
              <w14:schemeClr w14:val="tx1"/>
            </w14:solidFill>
          </w14:textFill>
        </w:rPr>
        <w:t>。</w:t>
      </w:r>
    </w:p>
    <w:p w14:paraId="13EAD7F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合法继承人”指工程竣工验收合格后，委托人依据政府部门的规定，将工程移交给其承接使用的产权管理单位。在继承生效后，合法继承人享有委托人在本合同中的一切权利及承担相应的义务。</w:t>
      </w:r>
    </w:p>
    <w:p w14:paraId="4F94A9DE">
      <w:pPr>
        <w:widowControl/>
        <w:adjustRightInd w:val="0"/>
        <w:snapToGrid w:val="0"/>
        <w:spacing w:line="360" w:lineRule="auto"/>
        <w:ind w:firstLine="48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（5）“总监理工程师代表”指经监理人法定代表人同意，由总监理工程师书面授权，代表总监理工程师行使其部分职责和权力的项目监理机构中的监理工程师。</w:t>
      </w:r>
    </w:p>
    <w:p w14:paraId="24ADDF41">
      <w:pPr>
        <w:widowControl/>
        <w:adjustRightInd w:val="0"/>
        <w:snapToGrid w:val="0"/>
        <w:spacing w:line="360" w:lineRule="auto"/>
        <w:ind w:firstLine="48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（12）“临时延期批准”是指当发生非承包人原因造成的持续性影响工期的事件，总监理工程师所作出暂时延长合同工期的批准。</w:t>
      </w:r>
    </w:p>
    <w:p w14:paraId="0AC9EF67">
      <w:pPr>
        <w:widowControl/>
        <w:adjustRightInd w:val="0"/>
        <w:snapToGrid w:val="0"/>
        <w:spacing w:line="360" w:lineRule="auto"/>
        <w:ind w:firstLine="48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（13）“延期批准”指当发生非承包人原因造成的持续性影响工期事件，总监理工程师所作出的最终延长合同工期的批准。</w:t>
      </w:r>
    </w:p>
    <w:p w14:paraId="1DBFEBEC">
      <w:pPr>
        <w:widowControl/>
        <w:adjustRightInd w:val="0"/>
        <w:snapToGrid w:val="0"/>
        <w:spacing w:line="360" w:lineRule="auto"/>
        <w:ind w:firstLine="480" w:firstLineChars="200"/>
        <w:jc w:val="left"/>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w:t>
      </w:r>
      <w:r>
        <w:rPr>
          <w:rFonts w:hint="eastAsia" w:ascii="宋体" w:hAnsi="宋体" w:cs="宋体"/>
          <w:bCs/>
          <w:snapToGrid w:val="0"/>
          <w:color w:val="000000" w:themeColor="text1"/>
          <w:kern w:val="0"/>
          <w:szCs w:val="21"/>
          <w:highlight w:val="none"/>
          <w14:textFill>
            <w14:solidFill>
              <w14:schemeClr w14:val="tx1"/>
            </w14:solidFill>
          </w14:textFill>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3A426751">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（15）“通知”指合同中所提及的各方之间传达意思表示的方式，包括但不限于申请、报告、同意、答复、批准、指令、证书、决定，等等。除本合同专用条件有特别约定外，只有采用书面形式的通知才有效。</w:t>
      </w:r>
    </w:p>
    <w:p w14:paraId="6E62E9F1">
      <w:pPr>
        <w:adjustRightInd w:val="0"/>
        <w:snapToGrid w:val="0"/>
        <w:spacing w:line="360" w:lineRule="auto"/>
        <w:ind w:firstLine="480" w:firstLineChars="200"/>
        <w:rPr>
          <w:rFonts w:hint="eastAsia" w:ascii="宋体" w:hAnsi="宋体" w:cs="宋体"/>
          <w:bCs/>
          <w:strike/>
          <w:snapToGrid w:val="0"/>
          <w:color w:val="000000" w:themeColor="text1"/>
          <w:kern w:val="0"/>
          <w:szCs w:val="21"/>
          <w:highlight w:val="none"/>
          <w:u w:val="singl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（16）“重大事故”指在工程建设过程中由于责任过失造成工程倒塌或报废、机械设备毁坏和安全设施失当等原因造成人身伤亡或者重大经济损失的事故。</w:t>
      </w:r>
    </w:p>
    <w:p w14:paraId="7E551EE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1）“一级重大事故”指死亡30人以上或直接经济损失达300万元以上的事故。</w:t>
      </w:r>
    </w:p>
    <w:p w14:paraId="5B9250B6">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2）“二级重大事故”指死亡10人以上29人以下或直接经济损失达100万元以上不满300万元的事故。</w:t>
      </w:r>
    </w:p>
    <w:p w14:paraId="796DCE3C">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3）“三级重大事故”指死亡3人以上9人以下，或者重伤20人以上，或直接经济损失达30万元以上不满100万元的事故。</w:t>
      </w:r>
    </w:p>
    <w:p w14:paraId="07A52181">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4）“四级重大事故”指死亡1～2人，或重伤3人以上19人以下，或直接经济损失达10万元以上不满30万元的事故。</w:t>
      </w:r>
    </w:p>
    <w:p w14:paraId="69CEF3FE">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（17）“质量事故”指因质量原因导致损失或造成人身伤亡的事故，包括“一般质量事故”、“严重质量事故”及“重大质量事故”。</w:t>
      </w:r>
    </w:p>
    <w:p w14:paraId="28565637">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1)“一般质量事故”指直接经济损失达5千元以上不满5万元，或影响适用功能和工程结构安全造成永久质量缺陷的事故；</w:t>
      </w:r>
    </w:p>
    <w:p w14:paraId="19B307D4">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2)“重大质量事故”指直接经济损失达5万元以上不满10万元，或事故性质恶劣，或造成2人以下重伤，或严重影响适用功能或工程结构安全的事故；</w:t>
      </w:r>
    </w:p>
    <w:p w14:paraId="0D0CDF89">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3)“重大质量事故”指工程倒塌或报废，或造成人员死亡或重伤3人以上，或直接经济损失10万元以上的事故。</w:t>
      </w:r>
    </w:p>
    <w:p w14:paraId="5E6EBC65">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（18）“委托管理单位”指受委托人委托对本合同工程建设进行管理的单位，包括监理人和技术督导单位、</w:t>
      </w:r>
      <w:r>
        <w:rPr>
          <w:rFonts w:hint="eastAsia" w:ascii="宋体" w:hAnsi="宋体" w:cs="宋体"/>
          <w:snapToGrid w:val="0"/>
          <w:color w:val="000000" w:themeColor="text1"/>
          <w:kern w:val="0"/>
          <w:szCs w:val="21"/>
          <w:highlight w:val="none"/>
          <w14:textFill>
            <w14:solidFill>
              <w14:schemeClr w14:val="tx1"/>
            </w14:solidFill>
          </w14:textFill>
        </w:rPr>
        <w:t>材料设备管理服务单位</w:t>
      </w:r>
      <w:r>
        <w:rPr>
          <w:rFonts w:hint="eastAsia" w:ascii="宋体" w:hAnsi="宋体" w:cs="宋体"/>
          <w:bCs/>
          <w:snapToGrid w:val="0"/>
          <w:color w:val="000000" w:themeColor="text1"/>
          <w:kern w:val="0"/>
          <w:szCs w:val="21"/>
          <w:highlight w:val="none"/>
          <w14:textFill>
            <w14:solidFill>
              <w14:schemeClr w14:val="tx1"/>
            </w14:solidFill>
          </w14:textFill>
        </w:rPr>
        <w:t>等。</w:t>
      </w:r>
    </w:p>
    <w:p w14:paraId="5BA9507A">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第二条</w:t>
      </w:r>
      <w:r>
        <w:rPr>
          <w:rFonts w:hint="eastAsia" w:ascii="宋体" w:hAnsi="宋体" w:cs="宋体"/>
          <w:b/>
          <w:snapToGrid w:val="0"/>
          <w:color w:val="000000" w:themeColor="text1"/>
          <w:kern w:val="0"/>
          <w:szCs w:val="21"/>
          <w:highlight w:val="none"/>
          <w14:textFill>
            <w14:solidFill>
              <w14:schemeClr w14:val="tx1"/>
            </w14:solidFill>
          </w14:textFill>
        </w:rPr>
        <w:t xml:space="preserve">  本合同适用的法律法规及监理依据</w:t>
      </w:r>
    </w:p>
    <w:p w14:paraId="1AE314F1">
      <w:pPr>
        <w:adjustRightInd w:val="0"/>
        <w:snapToGrid w:val="0"/>
        <w:spacing w:line="360" w:lineRule="auto"/>
        <w:ind w:right="11" w:firstLine="460" w:firstLineChars="192"/>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（1）中华人民共和国的法律、法规、合同约定的部门规章及工程所在地的地方法规；</w:t>
      </w:r>
    </w:p>
    <w:p w14:paraId="2FF505D8">
      <w:pPr>
        <w:adjustRightInd w:val="0"/>
        <w:snapToGrid w:val="0"/>
        <w:spacing w:line="360" w:lineRule="auto"/>
        <w:ind w:left="428"/>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（2）《建设工程监理规范》（GB/T50319-2013）；</w:t>
      </w:r>
    </w:p>
    <w:p w14:paraId="781164A6">
      <w:pPr>
        <w:adjustRightInd w:val="0"/>
        <w:snapToGrid w:val="0"/>
        <w:spacing w:line="360" w:lineRule="auto"/>
        <w:ind w:left="428"/>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（3）国家和地方现行的建设工程质量评定标准、设计及施工验收规范；</w:t>
      </w:r>
    </w:p>
    <w:p w14:paraId="26BE0A36">
      <w:pPr>
        <w:adjustRightInd w:val="0"/>
        <w:snapToGrid w:val="0"/>
        <w:spacing w:line="360" w:lineRule="auto"/>
        <w:ind w:left="428"/>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（4）经批准的施工图纸及说明，以及经图纸会审确定的修改设计通知书；</w:t>
      </w:r>
    </w:p>
    <w:p w14:paraId="26F3B2F9">
      <w:pPr>
        <w:adjustRightInd w:val="0"/>
        <w:snapToGrid w:val="0"/>
        <w:spacing w:line="360" w:lineRule="auto"/>
        <w:ind w:left="428"/>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（5）本合同工程的设计、施工、安装、招投标文件及合同；</w:t>
      </w:r>
    </w:p>
    <w:p w14:paraId="45E2FF90">
      <w:pPr>
        <w:adjustRightInd w:val="0"/>
        <w:snapToGrid w:val="0"/>
        <w:spacing w:line="360" w:lineRule="auto"/>
        <w:ind w:left="428"/>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（6）委托人发出的有关本合同工程建设的指令；</w:t>
      </w:r>
    </w:p>
    <w:p w14:paraId="7D17A40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（7）委托人制定的有关本合同工程建设的管理制度。</w:t>
      </w:r>
    </w:p>
    <w:p w14:paraId="14994B56">
      <w:pPr>
        <w:adjustRightInd w:val="0"/>
        <w:snapToGrid w:val="0"/>
        <w:spacing w:line="360" w:lineRule="auto"/>
        <w:ind w:firstLine="48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第四条  监理工作内容、项目监理机构及监理人员</w:t>
      </w:r>
    </w:p>
    <w:p w14:paraId="6F298CAC">
      <w:pPr>
        <w:adjustRightInd w:val="0"/>
        <w:snapToGrid w:val="0"/>
        <w:spacing w:line="360" w:lineRule="auto"/>
        <w:ind w:firstLine="472" w:firstLineChars="196"/>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4.1监理服务工作内容</w:t>
      </w:r>
      <w:r>
        <w:rPr>
          <w:rFonts w:hint="eastAsia" w:ascii="宋体" w:hAnsi="宋体" w:cs="宋体"/>
          <w:bCs/>
          <w:snapToGrid w:val="0"/>
          <w:color w:val="000000" w:themeColor="text1"/>
          <w:kern w:val="0"/>
          <w:szCs w:val="21"/>
          <w:highlight w:val="none"/>
          <w14:textFill>
            <w14:solidFill>
              <w14:schemeClr w14:val="tx1"/>
            </w14:solidFill>
          </w14:textFill>
        </w:rPr>
        <w:t>（根据监理的服务范围，负责各阶段的监理工作）</w:t>
      </w:r>
    </w:p>
    <w:p w14:paraId="33F15625">
      <w:pPr>
        <w:adjustRightInd w:val="0"/>
        <w:snapToGrid w:val="0"/>
        <w:spacing w:line="360" w:lineRule="auto"/>
        <w:ind w:firstLine="472" w:firstLineChars="196"/>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4.1.1建设工程监理一般规定</w:t>
      </w:r>
    </w:p>
    <w:p w14:paraId="4584F24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（1）实行总监理工程师负责制。</w:t>
      </w:r>
    </w:p>
    <w:p w14:paraId="2868E86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（2）监理人应公正、独立、自主地开展监理工作，维护委托人和承包人的合法权益。</w:t>
      </w:r>
    </w:p>
    <w:p w14:paraId="23BEDE59">
      <w:pPr>
        <w:adjustRightInd w:val="0"/>
        <w:snapToGrid w:val="0"/>
        <w:spacing w:line="360" w:lineRule="auto"/>
        <w:ind w:firstLine="480"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（3）建设工程监理除应符合《建设工程监理规范》（GB/T50319-2013）外，还应符合国家现行的有关强制性标准、规范的规定。</w:t>
      </w:r>
    </w:p>
    <w:p w14:paraId="1FD1DC4A">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4.1.2前期阶段的监理工作（包括但不限于以下内容）</w:t>
      </w:r>
    </w:p>
    <w:p w14:paraId="0110EDBF">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ascii="宋体" w:hAnsi="宋体" w:cs="宋体"/>
          <w:bCs/>
          <w:snapToGrid w:val="0"/>
          <w:color w:val="000000" w:themeColor="text1"/>
          <w:kern w:val="0"/>
          <w:szCs w:val="21"/>
          <w:highlight w:val="none"/>
          <w14:textFill>
            <w14:solidFill>
              <w14:schemeClr w14:val="tx1"/>
            </w14:solidFill>
          </w14:textFill>
        </w:rPr>
        <w:t>（1）含前期建（构）筑物拆除、绿化及管线设施迁移、超前钻（如有）工程的监理工作等。</w:t>
      </w:r>
    </w:p>
    <w:p w14:paraId="314FD258">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ascii="宋体" w:hAnsi="宋体" w:cs="宋体"/>
          <w:bCs/>
          <w:snapToGrid w:val="0"/>
          <w:color w:val="000000" w:themeColor="text1"/>
          <w:kern w:val="0"/>
          <w:szCs w:val="21"/>
          <w:highlight w:val="none"/>
          <w14:textFill>
            <w14:solidFill>
              <w14:schemeClr w14:val="tx1"/>
            </w14:solidFill>
          </w14:textFill>
        </w:rPr>
        <w:t>（2）计划及统筹管理：统筹及协调项目各层面、各参建单位、各项工作的关系；编制项目总控计划，经委托人审定后，跟踪项目总控计划实时情况，如计划出现偏差，分析偏差原因，提出解决方案报委托人审批。</w:t>
      </w:r>
    </w:p>
    <w:p w14:paraId="2523C19E">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ascii="宋体" w:hAnsi="宋体" w:cs="宋体"/>
          <w:bCs/>
          <w:snapToGrid w:val="0"/>
          <w:color w:val="000000" w:themeColor="text1"/>
          <w:kern w:val="0"/>
          <w:szCs w:val="21"/>
          <w:highlight w:val="none"/>
          <w14:textFill>
            <w14:solidFill>
              <w14:schemeClr w14:val="tx1"/>
            </w14:solidFill>
          </w14:textFill>
        </w:rPr>
        <w:t>（3）需求管理：对项目建设功能、规模、标准进行充分研究，实施过程中与委托人、业主单位沟通协调，将业主的功能需求落实到设计任务书、设计文件、造价文件中。</w:t>
      </w:r>
    </w:p>
    <w:p w14:paraId="31756FAE">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4.1.3勘察阶段的监理工作（包括但不限于以下内容）</w:t>
      </w:r>
    </w:p>
    <w:p w14:paraId="228062D0">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w:t>
      </w:r>
      <w:r>
        <w:rPr>
          <w:rFonts w:ascii="宋体" w:hAnsi="宋体" w:cs="宋体"/>
          <w:bCs/>
          <w:snapToGrid w:val="0"/>
          <w:color w:val="000000" w:themeColor="text1"/>
          <w:kern w:val="0"/>
          <w:szCs w:val="21"/>
          <w:highlight w:val="none"/>
          <w14:textFill>
            <w14:solidFill>
              <w14:schemeClr w14:val="tx1"/>
            </w14:solidFill>
          </w14:textFill>
        </w:rPr>
        <w:t>工程监理单位应检查勘察单位执行勘察方案的情况，对重要点位的勘探与测试应进行现场检查。</w:t>
      </w:r>
    </w:p>
    <w:p w14:paraId="2464209A">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w:t>
      </w:r>
      <w:r>
        <w:rPr>
          <w:rFonts w:ascii="宋体" w:hAnsi="宋体" w:cs="宋体"/>
          <w:bCs/>
          <w:snapToGrid w:val="0"/>
          <w:color w:val="000000" w:themeColor="text1"/>
          <w:kern w:val="0"/>
          <w:szCs w:val="21"/>
          <w:highlight w:val="none"/>
          <w14:textFill>
            <w14:solidFill>
              <w14:schemeClr w14:val="tx1"/>
            </w14:solidFill>
          </w14:textFill>
        </w:rPr>
        <w:t>工程监理单位应审查勘察单位提交的勘察成果报告，向建设单位提交勘察成果评估报告，并参与勘察成果验收。</w:t>
      </w:r>
    </w:p>
    <w:p w14:paraId="61DBAF4F">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ascii="宋体" w:hAnsi="宋体" w:cs="宋体"/>
          <w:bCs/>
          <w:snapToGrid w:val="0"/>
          <w:color w:val="000000" w:themeColor="text1"/>
          <w:kern w:val="0"/>
          <w:szCs w:val="21"/>
          <w:highlight w:val="none"/>
          <w14:textFill>
            <w14:solidFill>
              <w14:schemeClr w14:val="tx1"/>
            </w14:solidFill>
          </w14:textFill>
        </w:rPr>
        <w:t>（3）重要点位是指勘察方案中工程勘察所需要的控制点、作为持力层的关键层和一些重要层的变化处。对重要点位的勘探与测试实施旁站并审核勘察报告。</w:t>
      </w:r>
    </w:p>
    <w:p w14:paraId="7540F17B">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4.1.4设计阶段的监理工作（包括但不限于以下内容）</w:t>
      </w:r>
    </w:p>
    <w:p w14:paraId="70DE0555">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（1）审查设计成果主要审查方案设计是否符合规划设计要点，初步设计是否符合方案设计要求，施工图设计是否符合初步设计要求。</w:t>
      </w:r>
    </w:p>
    <w:p w14:paraId="6CF88437">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（2）根据工程规模和复杂程度，在取得建设单位同意后，对设计工作成果的评估可不区分方案设计、初步设计和施工图设计，只出具一份报告即可。</w:t>
      </w:r>
    </w:p>
    <w:p w14:paraId="35F45B4A">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对工程设计质量、进度、投资控制、合同、信息管理等进行全过程管理，协助委托人制定设计管理工作各项制度，明确设计管理的工作目标、管理模式、管理方法等，使工程项目建设达到预期的质量、工期和经济目标；参与设计方案和初步设计评审，提供相关优化意见，跟踪方案设计优化意见的落实及修改情况，并跟进设计方案和初步设计工作进度。参与施工图的审核，提供相关优化意见，跟踪审核意见的落实和修改情况，并跟进施工图审核工作进度。</w:t>
      </w:r>
    </w:p>
    <w:p w14:paraId="768E3DE1">
      <w:pPr>
        <w:adjustRightInd w:val="0"/>
        <w:snapToGrid w:val="0"/>
        <w:spacing w:line="360" w:lineRule="auto"/>
        <w:ind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4.1.5概算、预算阶段（包括但不限于以下内容）</w:t>
      </w:r>
    </w:p>
    <w:p w14:paraId="09EDFEAB">
      <w:pPr>
        <w:adjustRightInd w:val="0"/>
        <w:snapToGrid w:val="0"/>
        <w:spacing w:line="360" w:lineRule="auto"/>
        <w:ind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参与工程概预算的编制和审核，提供相关优化意见，跟踪审核意见的落实和修改情况，并跟进概预算审核工作进度。</w:t>
      </w:r>
    </w:p>
    <w:p w14:paraId="3B6C95AC">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4.1.6施工准备阶段的监理工作（包括但不限于以下内容）</w:t>
      </w:r>
    </w:p>
    <w:p w14:paraId="0BA4054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（1）在设计交底前，总监理工程师应组织监理人员熟悉设计文件，并对图纸中存在的问题通过委托人向设计单位提出书面意见和建议。</w:t>
      </w:r>
    </w:p>
    <w:p w14:paraId="6EFF31D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（2）项目监理人员应参加由委托人组织的设计技术交底会，总监理工程师应组织人员编写设计技术交底会议纪要并提交给委托人。</w:t>
      </w:r>
    </w:p>
    <w:p w14:paraId="4C2AD5C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（3）图纸会审由委托人组织，总监理工程师应组织人员做好图纸会审记录并提交给委托人。</w:t>
      </w:r>
    </w:p>
    <w:p w14:paraId="68D9DB4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（4）工程项目开工前，总监理工程师应组织专业监理工程师审查承包人报送的施工组织设计(方案)报审表，提出审查意见，并经总监理工程师审核、签认后报委托人。</w:t>
      </w:r>
    </w:p>
    <w:p w14:paraId="2B23FCE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工程项目开工前，总监理工程师应审查承包人现场项目管理机构的质量管理体系、环境管理体系和安全管理体系，确能保证工程项目施工质量时予以确认。对质量管理体系、环境管理体系和安全管理体系应审核以下内容：</w:t>
      </w:r>
    </w:p>
    <w:p w14:paraId="470ED6F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1）质量管理体系、环境管理体系和安全管理体系的组织及职责；</w:t>
      </w:r>
    </w:p>
    <w:p w14:paraId="2A1FD1E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2）质量管理体系、环境管理体系和安全管理体系各过程的识别与管理；</w:t>
      </w:r>
    </w:p>
    <w:p w14:paraId="1CE9C51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3）质量管理体系、环境管理体系和安全管理体系的持续改进措施。</w:t>
      </w:r>
    </w:p>
    <w:p w14:paraId="20B1148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（6）分包工程开工前，专业监理工程师应审查承包人报送的分包单位资格报审表和分包单位有关资质资料，符合有关规定后，由总监理工程师予以签认。对分包单位资格应审核以下内容：</w:t>
      </w:r>
    </w:p>
    <w:p w14:paraId="0D00254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1）分包单位的营业执照、企业资质等级证书、特殊行业施工许可证、国外(境外)企业在国内承包工程许可证；</w:t>
      </w:r>
    </w:p>
    <w:p w14:paraId="262463D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2）分包单位的业绩，尤其是类似工程施工的经验；</w:t>
      </w:r>
    </w:p>
    <w:p w14:paraId="0638027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3）拟分包工程的内容和范围；</w:t>
      </w:r>
    </w:p>
    <w:p w14:paraId="614BCA1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4）专职管理人员和特种作业人员的资格证、上岗证。</w:t>
      </w:r>
    </w:p>
    <w:p w14:paraId="36EC5FF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（7）专业监理工程师应按以下要求对承包人报送的测量放线控制方案成果及保护措施进行检查，符合要求时，专业监理工程师对承包人报送的施工测量资料予以签认：</w:t>
      </w:r>
    </w:p>
    <w:p w14:paraId="6D68089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1）检查承包人专职测量人员的岗位证书及测量设备检定证书；</w:t>
      </w:r>
    </w:p>
    <w:p w14:paraId="364A660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2）审核承包人提交的控制测量方案；</w:t>
      </w:r>
    </w:p>
    <w:p w14:paraId="25047B5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3）复核控制桩的校核成果、控制桩的保护措施以及平面控制网、高程控制网和临时水准点的测量成果。</w:t>
      </w:r>
    </w:p>
    <w:p w14:paraId="2F1C052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（8）专业监理工程师应审查承包人报送的工程开工报审表及相关资料，具备以下开工条件时，由总监理工程师签发，并报委托人：</w:t>
      </w:r>
    </w:p>
    <w:p w14:paraId="2F77C4E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1）施工许可证已获政府主管部门批准；</w:t>
      </w:r>
    </w:p>
    <w:p w14:paraId="0E22A4B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2）征地拆迁工作能满足工程进度的需要；</w:t>
      </w:r>
    </w:p>
    <w:p w14:paraId="418AADB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3）施工组织设计已获总监理工程师批准；</w:t>
      </w:r>
    </w:p>
    <w:p w14:paraId="7C2E42B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4）承包人现场管理人员已到位，机具、施工人员已进场，主要工程材料已落实；</w:t>
      </w:r>
    </w:p>
    <w:p w14:paraId="05F33B9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5）进场道路及水、电、通讯等已满足开工要求；</w:t>
      </w:r>
    </w:p>
    <w:p w14:paraId="4AE3096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6）施工测量、技术交底、作业指导书等各项技术准备工作是否已经完成。</w:t>
      </w:r>
    </w:p>
    <w:p w14:paraId="396D85F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（9）工程项目开工前，监理人员应参加由委托人主持召开的第一次工地会议。工地会议应包括以下主要内容：</w:t>
      </w:r>
    </w:p>
    <w:p w14:paraId="7DC0236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1）委托人、承包人和监理人分别介绍各自驻现场的组织机构、人员及其分工；</w:t>
      </w:r>
    </w:p>
    <w:p w14:paraId="6387A45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2）委托人根据委托监理合同宣布对总监理工程师的授权；</w:t>
      </w:r>
    </w:p>
    <w:p w14:paraId="2FF9B34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3）委托人介绍工程开工准备情况；</w:t>
      </w:r>
    </w:p>
    <w:p w14:paraId="7F2EBBB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4）承包人介绍施工准备情况；</w:t>
      </w:r>
    </w:p>
    <w:p w14:paraId="32DA518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5）委托人和总监理工程师对施工准备情况提出意见和要求；</w:t>
      </w:r>
    </w:p>
    <w:p w14:paraId="79AD777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6）总监理工程师介绍监理规划的主要内容；</w:t>
      </w:r>
    </w:p>
    <w:p w14:paraId="09E7F42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7）研究确定各方在施工过程中参加工地例会的主要人员，召开工地例会周期、地点及主要议题。</w:t>
      </w:r>
    </w:p>
    <w:p w14:paraId="6684934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第一次工地会议纪要应由项目监理机构负责起草，并经与会各方代表会签。</w:t>
      </w:r>
    </w:p>
    <w:p w14:paraId="61DEEB3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（10）制定监理规划</w:t>
      </w:r>
    </w:p>
    <w:p w14:paraId="6FFE961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1）监理规划的编制应针对项目的实际情况，明确项目监理机构的工作目标，确定具体的监理工作制度、程序、方法和措施，并应具有可操作性。</w:t>
      </w:r>
    </w:p>
    <w:p w14:paraId="37B299D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2）监理规划编制的程序与依据应符合下列规定：</w:t>
      </w:r>
    </w:p>
    <w:p w14:paraId="5C0D45A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a.监理规划应在签订委托监理合同及收到设计文件后开始编制，完成后必须经监理人技术负责人审核批准，并应在召开第一次工地会议前报送委托人；</w:t>
      </w:r>
    </w:p>
    <w:p w14:paraId="52CA84D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b.监理规划应由总监理工程师主持、专业监理工程师参加编制；</w:t>
      </w:r>
    </w:p>
    <w:p w14:paraId="0FBE330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c.编制监理规划应依据：</w:t>
      </w:r>
    </w:p>
    <w:p w14:paraId="714AF4A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——建设工程的相关法律、法规及项目审批文件；</w:t>
      </w:r>
    </w:p>
    <w:p w14:paraId="0D9A12C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——与建设工程项目有关的标准、设计文件、技术资料；</w:t>
      </w:r>
    </w:p>
    <w:p w14:paraId="6C8B329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——监理大纲、委托监理合同文件以及与建设工程项目相关的合同文件。</w:t>
      </w:r>
    </w:p>
    <w:p w14:paraId="2CBB8F2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——委托人制定的有关本合同工程建设的管理制度。</w:t>
      </w:r>
    </w:p>
    <w:p w14:paraId="4CC2E56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3）监理规划应包括以下主要内容：</w:t>
      </w:r>
    </w:p>
    <w:p w14:paraId="544CFAF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a.工程项目概况；</w:t>
      </w:r>
    </w:p>
    <w:p w14:paraId="2F37AE6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b.监理工作范围；</w:t>
      </w:r>
    </w:p>
    <w:p w14:paraId="5550551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c.监理工作内容；</w:t>
      </w:r>
    </w:p>
    <w:p w14:paraId="0277BD8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d.监理工作目标；</w:t>
      </w:r>
    </w:p>
    <w:p w14:paraId="7E63A0E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e.监理工作依据；</w:t>
      </w:r>
    </w:p>
    <w:p w14:paraId="3FBED2E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f.项目监理机构的组织形式；</w:t>
      </w:r>
    </w:p>
    <w:p w14:paraId="19D62ED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g.项目监理机构的人员配备计划；</w:t>
      </w:r>
    </w:p>
    <w:p w14:paraId="745450D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h.项目监理机构的人员岗位职责；</w:t>
      </w:r>
    </w:p>
    <w:p w14:paraId="7F91D9B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i.监理工作程序；</w:t>
      </w:r>
    </w:p>
    <w:p w14:paraId="62D71EB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j.监理工作方法及措施；</w:t>
      </w:r>
    </w:p>
    <w:p w14:paraId="64EE07A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k.监理工作制度；</w:t>
      </w:r>
    </w:p>
    <w:p w14:paraId="47813DD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l.监理设施。</w:t>
      </w:r>
    </w:p>
    <w:p w14:paraId="2A20E5F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4）在监理工作实施过程中，如实际情况或条件发生重大变化而需要调整监理规划时，应由总监理工程师组织专业监理工程师研究修改，按原报审程序经过批准后报委托人。</w:t>
      </w:r>
    </w:p>
    <w:p w14:paraId="3075D17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（11）制定监理实施细则</w:t>
      </w:r>
    </w:p>
    <w:p w14:paraId="4384B06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1）项目监理机构应编制监理实施细则。监理实施细则应符合监理规划的要求，并应结合工程项目的专业特点，做到详细具体、具有可操作性。</w:t>
      </w:r>
    </w:p>
    <w:p w14:paraId="408B014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2）监理实施细则的编制程序与依据应符合下列规定：</w:t>
      </w:r>
    </w:p>
    <w:p w14:paraId="076A54E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a.监理实施细则应在相应工程施工开始前编制完成，并必须经总监理工程师批准；</w:t>
      </w:r>
    </w:p>
    <w:p w14:paraId="6DB7639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b.监理实施细则应由专业监理工程师编制；</w:t>
      </w:r>
    </w:p>
    <w:p w14:paraId="567EDAA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c.编制监理实施细则的依据：</w:t>
      </w:r>
    </w:p>
    <w:p w14:paraId="0BCF0C3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——已批准的监理规划；</w:t>
      </w:r>
    </w:p>
    <w:p w14:paraId="107884B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——与专业工程相关的标准、设计文件和技术资料；</w:t>
      </w:r>
    </w:p>
    <w:p w14:paraId="23A44A3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——施工组织设计。</w:t>
      </w:r>
    </w:p>
    <w:p w14:paraId="397B473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——本合同工程的设计、施工、安装招投标文件及合同。</w:t>
      </w:r>
    </w:p>
    <w:p w14:paraId="48633F4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——委托人制定的有关本合同工程建设的管理制度。</w:t>
      </w:r>
    </w:p>
    <w:p w14:paraId="1EE1342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3）监理实施细则应包括下列主要内容：</w:t>
      </w:r>
    </w:p>
    <w:p w14:paraId="5EDD4E2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a.专业工程的特点；</w:t>
      </w:r>
    </w:p>
    <w:p w14:paraId="7F88E2A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b.监理工作的流程；</w:t>
      </w:r>
    </w:p>
    <w:p w14:paraId="70B7230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c.监理工作的控制要点及目标值；</w:t>
      </w:r>
    </w:p>
    <w:p w14:paraId="5BF6C66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d.监理工作的方法及措施。</w:t>
      </w:r>
    </w:p>
    <w:p w14:paraId="420704A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4）在监理工作实施过程中，监理实施细则应根据实际情况进行补充、修改和完善。</w:t>
      </w:r>
    </w:p>
    <w:p w14:paraId="546FFF2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（12）</w:t>
      </w:r>
      <w:r>
        <w:rPr>
          <w:rFonts w:hint="eastAsia" w:ascii="宋体" w:hAnsi="宋体" w:cs="宋体"/>
          <w:snapToGrid w:val="0"/>
          <w:color w:val="000000" w:themeColor="text1"/>
          <w:kern w:val="0"/>
          <w:szCs w:val="21"/>
          <w:highlight w:val="none"/>
          <w14:textFill>
            <w14:solidFill>
              <w14:schemeClr w14:val="tx1"/>
            </w14:solidFill>
          </w14:textFill>
        </w:rPr>
        <w:t>对合同管理实施控制工作程序化、规范化，建立定期和不定期的协商会办制度，根据合同文件的约定及委托人要求的图纸批准程序、工程变更程序、承包人索赔程序、承包人的账单审查程序、进度付款账单的审查批准程序、工程问题的请示报告程序等制定相关表格。</w:t>
      </w:r>
    </w:p>
    <w:p w14:paraId="63C483D2">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4.1.7施工阶段(包含</w:t>
      </w:r>
      <w:r>
        <w:rPr>
          <w:rFonts w:hint="eastAsia" w:ascii="宋体" w:hAnsi="宋体" w:cs="宋体"/>
          <w:b/>
          <w:snapToGrid w:val="0"/>
          <w:color w:val="000000" w:themeColor="text1"/>
          <w:kern w:val="0"/>
          <w:szCs w:val="21"/>
          <w:highlight w:val="none"/>
          <w:lang w:val="en-US" w:eastAsia="zh-CN"/>
          <w14:textFill>
            <w14:solidFill>
              <w14:schemeClr w14:val="tx1"/>
            </w14:solidFill>
          </w14:textFill>
        </w:rPr>
        <w:t>临时</w:t>
      </w:r>
      <w:r>
        <w:rPr>
          <w:rFonts w:hint="eastAsia" w:ascii="宋体" w:hAnsi="宋体" w:cs="宋体"/>
          <w:b/>
          <w:snapToGrid w:val="0"/>
          <w:color w:val="000000" w:themeColor="text1"/>
          <w:kern w:val="0"/>
          <w:szCs w:val="21"/>
          <w:highlight w:val="none"/>
          <w14:textFill>
            <w14:solidFill>
              <w14:schemeClr w14:val="tx1"/>
            </w14:solidFill>
          </w14:textFill>
        </w:rPr>
        <w:t>用水</w:t>
      </w:r>
      <w:r>
        <w:rPr>
          <w:rFonts w:hint="eastAsia" w:ascii="宋体" w:hAnsi="宋体" w:cs="宋体"/>
          <w:b/>
          <w:snapToGrid w:val="0"/>
          <w:color w:val="000000" w:themeColor="text1"/>
          <w:kern w:val="0"/>
          <w:szCs w:val="21"/>
          <w:highlight w:val="none"/>
          <w:lang w:eastAsia="zh-CN"/>
          <w14:textFill>
            <w14:solidFill>
              <w14:schemeClr w14:val="tx1"/>
            </w14:solidFill>
          </w14:textFill>
        </w:rPr>
        <w:t>（</w:t>
      </w:r>
      <w:r>
        <w:rPr>
          <w:rFonts w:hint="eastAsia" w:ascii="宋体" w:hAnsi="宋体" w:cs="宋体"/>
          <w:b/>
          <w:snapToGrid w:val="0"/>
          <w:color w:val="000000" w:themeColor="text1"/>
          <w:kern w:val="0"/>
          <w:szCs w:val="21"/>
          <w:highlight w:val="none"/>
          <w:lang w:val="en-US" w:eastAsia="zh-CN"/>
          <w14:textFill>
            <w14:solidFill>
              <w14:schemeClr w14:val="tx1"/>
            </w14:solidFill>
          </w14:textFill>
        </w:rPr>
        <w:t>如有）</w:t>
      </w:r>
      <w:r>
        <w:rPr>
          <w:rFonts w:hint="eastAsia" w:ascii="宋体" w:hAnsi="宋体" w:cs="宋体"/>
          <w:b/>
          <w:snapToGrid w:val="0"/>
          <w:color w:val="000000" w:themeColor="text1"/>
          <w:kern w:val="0"/>
          <w:szCs w:val="21"/>
          <w:highlight w:val="none"/>
          <w14:textFill>
            <w14:solidFill>
              <w14:schemeClr w14:val="tx1"/>
            </w14:solidFill>
          </w14:textFill>
        </w:rPr>
        <w:t>、</w:t>
      </w:r>
      <w:r>
        <w:rPr>
          <w:rFonts w:hint="eastAsia" w:ascii="宋体" w:hAnsi="宋体" w:cs="宋体"/>
          <w:b/>
          <w:snapToGrid w:val="0"/>
          <w:color w:val="000000" w:themeColor="text1"/>
          <w:kern w:val="0"/>
          <w:szCs w:val="21"/>
          <w:highlight w:val="none"/>
          <w:lang w:val="en-US" w:eastAsia="zh-CN"/>
          <w14:textFill>
            <w14:solidFill>
              <w14:schemeClr w14:val="tx1"/>
            </w14:solidFill>
          </w14:textFill>
        </w:rPr>
        <w:t>临时</w:t>
      </w:r>
      <w:r>
        <w:rPr>
          <w:rFonts w:hint="eastAsia" w:ascii="宋体" w:hAnsi="宋体" w:cs="宋体"/>
          <w:b/>
          <w:snapToGrid w:val="0"/>
          <w:color w:val="000000" w:themeColor="text1"/>
          <w:kern w:val="0"/>
          <w:szCs w:val="21"/>
          <w:highlight w:val="none"/>
          <w14:textFill>
            <w14:solidFill>
              <w14:schemeClr w14:val="tx1"/>
            </w14:solidFill>
          </w14:textFill>
        </w:rPr>
        <w:t>用电（如有）)的监理工作（包括但不限于以下内容）</w:t>
      </w:r>
    </w:p>
    <w:p w14:paraId="375405DC">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4.1.7.1工程质量控制工作</w:t>
      </w:r>
    </w:p>
    <w:p w14:paraId="336A6E4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（1）在施工过程中，当承包人对已批准的施工组织设计进行调整、补充或变动时，应经专业监理工程师审查，并应由总监理工程师签认。</w:t>
      </w:r>
    </w:p>
    <w:p w14:paraId="429C546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（2）专业监理工程师应要求承包人报送重点部位、关键工序的施工方案或作业指导和确保工程质量的措施，审核同意后予以签认。</w:t>
      </w:r>
    </w:p>
    <w:p w14:paraId="082A922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（3）当承包人采用新材料、新工艺、新技术、新设备时，专业监理工程师应要求承包人报送相应的施工工艺措施和证明材料，组织专题论证，经审定后予以签认。</w:t>
      </w:r>
    </w:p>
    <w:p w14:paraId="004505B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（4）项目监理机构应对承包人在施工过程中报送的施工测量放线成果进行复验和确认。</w:t>
      </w:r>
    </w:p>
    <w:p w14:paraId="75BFE3B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专业监理工程师应对承包人报送的拟进场工程材料、构配件和设备的工程材料/构配件/设备报审表及其质量证明资料进行审核，并对进场的实物按照委托监理合同约定或有关工程质量管理文件规定的比例采用平行检验或见证取样方式进行抽检。</w:t>
      </w:r>
    </w:p>
    <w:p w14:paraId="55C8330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对未经监理人员验收或验收不合格的工程材料、构配件、设备，监理人员应拒绝签认，并应签发监理工程师通知单，书面通知承包人限期将不合格的工程材料、构配件、设备撤出现场。</w:t>
      </w:r>
    </w:p>
    <w:p w14:paraId="4A3F552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（6）项目监理机构应定期检查承包人的直接影响工程质量的计量设备的技术状况。</w:t>
      </w:r>
    </w:p>
    <w:p w14:paraId="05E56B0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总监理工程师应安排监理人员对建筑材料设备的进场检验的全过程进行见证，对施工过程进行巡视和检查（包括重点检查、抽查及专项检查）。对工程中土方开挖回填，混凝土灌注桩浇筑，结构混凝土、防水混凝土浇筑，卷材防水层细部构造处理，钢结构安装和主体结构工程中梁柱节点钢筋隐蔽过程，混凝土浇筑，预应力张拉，装配式结构安装，钢结构安装，网架结构安装，索膜安装及业主要求的其它旁站工作等，专业监理工程师应安排监理员进行旁站，主要职责是：</w:t>
      </w:r>
    </w:p>
    <w:p w14:paraId="35D5B42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1）检查施工企业现场质检人员到岗、特殊工种人员持证上岗以及施工机械、建筑材料准备情况；</w:t>
      </w:r>
    </w:p>
    <w:p w14:paraId="7831519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2）在现场跟班监督关键部位、关键工序的施工执行施工方案以及工程建设强制性标准情况；</w:t>
      </w:r>
    </w:p>
    <w:p w14:paraId="167471D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3）核查进场建筑材料、建筑构配件、设备和商品混凝土的质量检验报告等，并可在现场监督施工企业进行检验或者委托具有资格的第三方进行复验；</w:t>
      </w:r>
    </w:p>
    <w:p w14:paraId="520D5EF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4）做好旁站监理记录和监理日记，保存旁站监理原始资料。</w:t>
      </w:r>
    </w:p>
    <w:p w14:paraId="6D3ACEA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名的，不得进行下一道工序施工。</w:t>
      </w:r>
    </w:p>
    <w:p w14:paraId="6FB1D16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6175730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旁站监理记录是监理工程师或者总监理工程师依法行使有关签名权的重要依据。对于需要旁站监理的关键部位、关键工序施工，凡没有实施旁站监理或者没有旁站监理记录的，监理工程师或者总监理工程师不得在相应文件上签名。在工程竣工验收后，监理企业应当将旁站监理记录存档备查。</w:t>
      </w:r>
    </w:p>
    <w:p w14:paraId="438145E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（8）专业监理工程师应根据承包人报送的隐蔽工程报验申请表和自检结果进行现场检查，符合要求予以签认。</w:t>
      </w:r>
    </w:p>
    <w:p w14:paraId="64F43F0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对未经监理人员验收或验收不合格的工序，监理人员应拒绝签认，并要求承包人严禁进行下一道工序的施工。</w:t>
      </w:r>
    </w:p>
    <w:p w14:paraId="46E67B0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1A63483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（10）施工阶段的工程质量控制中的其他监理工作</w:t>
      </w:r>
    </w:p>
    <w:p w14:paraId="7BF8D6D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1）对施工过程中出现的质量缺陷，专业监理工程师应及时下达监理工程师通知，要求承包人整改，并检查整改结果。</w:t>
      </w:r>
    </w:p>
    <w:p w14:paraId="15FEBD3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33C44F6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13744DF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4）总监理工程师应及时向委托人及本监理单位提交有关质量事故的书面报告，并应将完整的质量事故处理记录整理归档。</w:t>
      </w:r>
    </w:p>
    <w:p w14:paraId="391EC82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5）对承包人的试验室进行考核</w:t>
      </w:r>
    </w:p>
    <w:p w14:paraId="6179CDF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专业监理工程师应从以下五个方面进行考核：</w:t>
      </w:r>
    </w:p>
    <w:p w14:paraId="6F2FC02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a.试验室的资质等级及其试验范围；</w:t>
      </w:r>
    </w:p>
    <w:p w14:paraId="31B780C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b.法定计量部门对试验设备出具的计量检定证明；</w:t>
      </w:r>
    </w:p>
    <w:p w14:paraId="620BC84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c.试验室的管理制度；</w:t>
      </w:r>
    </w:p>
    <w:p w14:paraId="76DC20A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d.试验人员的资格证书；</w:t>
      </w:r>
    </w:p>
    <w:p w14:paraId="148DAB3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e.本工程的试验项目及其要求。</w:t>
      </w:r>
    </w:p>
    <w:p w14:paraId="32FF7E92">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4.1.7.2工程造价控制工作</w:t>
      </w:r>
    </w:p>
    <w:p w14:paraId="013A130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（1）项目监理机构应按下列程序进行工程计量和工程款支付工作：</w:t>
      </w:r>
    </w:p>
    <w:p w14:paraId="6614DCF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1）监理人应每日统计承包人实际完成的工程量，并记录于监理日志中。</w:t>
      </w:r>
    </w:p>
    <w:p w14:paraId="7B72884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2）专业监理工程师进行现场计量，复核当期验收合格的工程量，按施工合同的约定审核承包人提交的工程量清单和工程款支付申请表，并报总监理工程师审定。</w:t>
      </w:r>
    </w:p>
    <w:p w14:paraId="392F42D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3）总监理工程师对工程量清单和工程款支付申请表进行复核，并报委托人。</w:t>
      </w:r>
    </w:p>
    <w:p w14:paraId="4DBB94D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4）提交月度分包工程支付建议书给委托人。</w:t>
      </w:r>
    </w:p>
    <w:p w14:paraId="3E174F1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（2）项目监理机构应依据施工合同有关条款、施工图，对工程项目造价目标进行风险分析，并应制定防范性对策。</w:t>
      </w:r>
    </w:p>
    <w:p w14:paraId="0D40CBD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（3）项目监理机构应按施工合同约定的工程量计算规则和支付条款进行工程量计算和工程款支付。</w:t>
      </w:r>
    </w:p>
    <w:p w14:paraId="35F3EA4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（4）专业监理工程师应及时建立月完成工程量和工作量统计表，对实际完成量与计划完成量进行比较、分析，制定调整措施，并应在监理月报中向委托人报告。</w:t>
      </w:r>
    </w:p>
    <w:p w14:paraId="15E8F88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（5）未经监理人员质量验收合格的工程量，或不符合施工合同规定的工程量，监理人员应拒绝计量和该部分的工程款支付申请。</w:t>
      </w:r>
    </w:p>
    <w:p w14:paraId="5904A06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（6）工程变更的管理</w:t>
      </w:r>
    </w:p>
    <w:p w14:paraId="6322211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总监理工程师应从造价、项目的功能要求、质量和工期等方面审查工程变更的方案，并在工程变更实施前与委托人、承包人协商确定工程变更的价款。</w:t>
      </w:r>
    </w:p>
    <w:p w14:paraId="40467D1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1）项目监理机构应按下列程序处理工程变更：</w:t>
      </w:r>
    </w:p>
    <w:p w14:paraId="59D97C2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680EC87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项目监理机构应了解实际情况和收集与工程变更有关的资料。</w:t>
      </w:r>
    </w:p>
    <w:p w14:paraId="40B760D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总监理工程师必须根据实际情况、设计变更文件和其他有关资料，按照施工合同的有关条款，在指定专业监理工程师完成下列工作后，对工程变更的费用和工期作出评估：</w:t>
      </w:r>
    </w:p>
    <w:p w14:paraId="4A9B603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a.审核工程变更项目与原工程项目之间的类似程度和难易程度；</w:t>
      </w:r>
    </w:p>
    <w:p w14:paraId="3F591CB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b.审核工程变更项目的工程量；</w:t>
      </w:r>
    </w:p>
    <w:p w14:paraId="38CC563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c.审核工程变更的单价和总价；</w:t>
      </w:r>
    </w:p>
    <w:p w14:paraId="0BD7632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d.审核工程变更所引起的工期变化。</w:t>
      </w:r>
    </w:p>
    <w:p w14:paraId="198AD98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总监理工程师应就工程变更费用及工期的评估情况与承包人和委托人进行协调。</w:t>
      </w:r>
    </w:p>
    <w:p w14:paraId="2E70047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⑤ 工程变更单应包括工程变更要求、工程变更说明、工程变更费用和工期、必要的附件等内容，有设计变更文件的工程变更应附设计变更文件。</w:t>
      </w:r>
    </w:p>
    <w:p w14:paraId="43C572D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⑥ 项目监理机构应根据工程变更单监督承包人实施。</w:t>
      </w:r>
    </w:p>
    <w:p w14:paraId="487C0CB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2）项目监理机构处理工程变更应符合下列要求：</w:t>
      </w:r>
    </w:p>
    <w:p w14:paraId="334CEFE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项目监理机构在工程变更的质量、费用和工期方面取得委托人授权后，应按施工合同规定与承包人进行协商，经协商达成一致后，总监理工程师应将协商结果向委托人通报，并由委托人与承包人在变更文件上签名；</w:t>
      </w:r>
    </w:p>
    <w:p w14:paraId="59D89D4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在项目监理机构未能就工程变更的质量、费用和工期方面取得委托人授权时，总监理工程师应协助委托人和承包人进行协商，并达成一致；</w:t>
      </w:r>
    </w:p>
    <w:p w14:paraId="3476A92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3）在</w:t>
      </w:r>
      <w:r>
        <w:rPr>
          <w:rFonts w:hint="eastAsia" w:ascii="宋体" w:hAnsi="宋体" w:cs="宋体"/>
          <w:bCs/>
          <w:snapToGrid w:val="0"/>
          <w:color w:val="000000" w:themeColor="text1"/>
          <w:kern w:val="0"/>
          <w:szCs w:val="21"/>
          <w:highlight w:val="none"/>
          <w14:textFill>
            <w14:solidFill>
              <w14:schemeClr w14:val="tx1"/>
            </w14:solidFill>
          </w14:textFill>
        </w:rPr>
        <w:t>委托人</w:t>
      </w:r>
      <w:r>
        <w:rPr>
          <w:rFonts w:hint="eastAsia" w:ascii="宋体" w:hAnsi="宋体" w:cs="宋体"/>
          <w:snapToGrid w:val="0"/>
          <w:color w:val="000000" w:themeColor="text1"/>
          <w:kern w:val="0"/>
          <w:szCs w:val="21"/>
          <w:highlight w:val="none"/>
          <w14:textFill>
            <w14:solidFill>
              <w14:schemeClr w14:val="tx1"/>
            </w14:solidFill>
          </w14:textFill>
        </w:rPr>
        <w:t>签发工程变更单之前，承包人不得实施工程变更。</w:t>
      </w:r>
    </w:p>
    <w:p w14:paraId="76EAF5B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4）未经总监理工程师审查同意而实施的工程变更，项目监理机构不得予以计量。</w:t>
      </w:r>
    </w:p>
    <w:p w14:paraId="7DC1325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监理人必须按月度提交项目造价变更统计表给委托人。</w:t>
      </w:r>
    </w:p>
    <w:p w14:paraId="0816323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（7）工程签证的管理</w:t>
      </w:r>
    </w:p>
    <w:p w14:paraId="671047F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按委托人工程签证管理的相关规定对工程的现场签证进行管理，因监理人把关不严，致使该部分工程签证所发生的费用超过合理费用的（以政府主管部门审定价对照为准），由监理人按本合同专用条件第二十六条的有关约定承担违约责任。</w:t>
      </w:r>
    </w:p>
    <w:p w14:paraId="4E0DCBDA">
      <w:pPr>
        <w:adjustRightInd w:val="0"/>
        <w:snapToGrid w:val="0"/>
        <w:spacing w:line="360" w:lineRule="auto"/>
        <w:ind w:firstLine="472" w:firstLineChars="196"/>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4.1.7.3工程进度控制工作</w:t>
      </w:r>
    </w:p>
    <w:p w14:paraId="20C8427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（1）项目监理机构应按下列程序进行工程进度控制：</w:t>
      </w:r>
    </w:p>
    <w:p w14:paraId="5E75FA4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1）总监理工程师审批承包人报送的施工总进度计划；</w:t>
      </w:r>
    </w:p>
    <w:p w14:paraId="219A6A3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2）总监理工程师审批承包人编制的年、季、月度施工进度计划；</w:t>
      </w:r>
    </w:p>
    <w:p w14:paraId="0D8905A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3）专业监理工程师对进度计划实施情况检查、分析；</w:t>
      </w:r>
    </w:p>
    <w:p w14:paraId="1F89A2A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4）当实际进度符合计划进度时，应要求承包人编制下一期进度计划；当实际进度滞后于计划进度时，专业监理工程师应书面通知承包人采取纠偏措施并监督实施。</w:t>
      </w:r>
    </w:p>
    <w:p w14:paraId="2648703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（2）专业监理工程师应依据施工合同有关条款、施工图及经过批准的施工组织设计制定进度控制方案，对进度目标进行风险分析，制定防范性对策，经总监理工程师审定后报送委托人。</w:t>
      </w:r>
    </w:p>
    <w:p w14:paraId="19C0337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（3）专业监理工程师应检查进度计划的实施，并记录实际进度及其相关情况。</w:t>
      </w:r>
    </w:p>
    <w:p w14:paraId="6DAC929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（4）施工阶段的工程进度控制中的其他监理工作</w:t>
      </w:r>
    </w:p>
    <w:p w14:paraId="0C3D1FC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当发现实际进度滞后于计划进度时，应签发监理工程师通知单指令承包人采取调整措施。当实际进度严重滞后于计划进度时应及时报总监理工程师，由总监理工程师与委托人商定采取进一步措施。</w:t>
      </w:r>
    </w:p>
    <w:p w14:paraId="7ED1EEE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总监理工程师应在监理月报中向委托人报告工程进度和所采取进度控制措施的执行情况，并提出合理预防由委托人原因导致的工程延期及其相关费用索赔的建议。</w:t>
      </w:r>
    </w:p>
    <w:p w14:paraId="213BE257">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4.1.7.4工程安全控制工作</w:t>
      </w:r>
    </w:p>
    <w:p w14:paraId="4CFAA38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（1）工程安全控制应遵循下列程序：</w:t>
      </w:r>
    </w:p>
    <w:p w14:paraId="4C88BA6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1）确定施工安全目标。</w:t>
      </w:r>
    </w:p>
    <w:p w14:paraId="684B04C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2）编制工程安全保证计划。</w:t>
      </w:r>
    </w:p>
    <w:p w14:paraId="7DA79D7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3）实施工程安全计划。</w:t>
      </w:r>
    </w:p>
    <w:p w14:paraId="53CCEB6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4）工程安全保证计划验证。</w:t>
      </w:r>
    </w:p>
    <w:p w14:paraId="66934FC0">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5）持续改进。</w:t>
      </w:r>
    </w:p>
    <w:p w14:paraId="4C8EA12B">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（2）编制安全监理实施细则，对施工中人的不安全行为，物的不安全状态，作业环境的不安全因素和管理缺陷进行相应的安全控制。</w:t>
      </w:r>
    </w:p>
    <w:p w14:paraId="767587A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（3）检查项目施工安全目标的要求配置的资源是否满足需要。</w:t>
      </w:r>
    </w:p>
    <w:p w14:paraId="6E6C815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（4）要求承包人对结构复杂、施工难度大、专业性强的项目和达到一定规模的危险性较大的分部分项工程编制专项施工方案，必要时，组织专家进行论证、审查：</w:t>
      </w:r>
    </w:p>
    <w:p w14:paraId="5731213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1）基坑支护及降水工程；</w:t>
      </w:r>
    </w:p>
    <w:p w14:paraId="7C3DC7A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2）土方开挖工程；</w:t>
      </w:r>
    </w:p>
    <w:p w14:paraId="081E46BE">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3）模板工程；</w:t>
      </w:r>
    </w:p>
    <w:p w14:paraId="39FFF39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4）起重吊装工程；</w:t>
      </w:r>
    </w:p>
    <w:p w14:paraId="2BF1647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5）脚手架工程；</w:t>
      </w:r>
    </w:p>
    <w:p w14:paraId="3A31822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6）拆除、爆破工程；</w:t>
      </w:r>
    </w:p>
    <w:p w14:paraId="2C06DB2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7）其他危险性较大的工程。</w:t>
      </w:r>
    </w:p>
    <w:p w14:paraId="5490DD5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（5）定期组织安全控制计划的执行情况并进行检查考核和评价，对施工中存在的不安全行为和隐患，分析原因并制定相应整改防范措施。</w:t>
      </w:r>
    </w:p>
    <w:p w14:paraId="0CA09B2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（6）采取随机抽样、现场观察、实地检测相结合的方法进行安全检查，并记录检测结果。对现场管理人员的违章指挥和操作人员的违章作业行为应进行纠正。</w:t>
      </w:r>
    </w:p>
    <w:p w14:paraId="31B4AE7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（7）对检查结果进行分析，找出安全隐患部位，确定危险程度。</w:t>
      </w:r>
    </w:p>
    <w:p w14:paraId="6259EE00">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（8）对检查出的隐患立即发出安全隐患整改通知单。受检单位应对安全隐患原因进行分析，制定和落实纠正和预防措施。</w:t>
      </w:r>
    </w:p>
    <w:p w14:paraId="4093377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（9）对纠正预防措施的实施过程和实施效果应进行跟踪检查，保存验证记录。</w:t>
      </w:r>
    </w:p>
    <w:p w14:paraId="5527B1B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（10）安全质量事故的处理</w:t>
      </w:r>
    </w:p>
    <w:p w14:paraId="72628FD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对于发生的安全质量事故，监理人及时的向委托人及政府相关部门报告，同时应积极保护事故现场，收集相关的原始资料。监理人在调查事故情况并分析原因、责任后，应</w:t>
      </w:r>
      <w:r>
        <w:rPr>
          <w:rFonts w:hint="eastAsia" w:ascii="宋体" w:hAnsi="宋体" w:cs="宋体"/>
          <w:snapToGrid w:val="0"/>
          <w:color w:val="000000" w:themeColor="text1"/>
          <w:kern w:val="0"/>
          <w:szCs w:val="21"/>
          <w:highlight w:val="none"/>
          <w:u w:val="single"/>
          <w14:textFill>
            <w14:solidFill>
              <w14:schemeClr w14:val="tx1"/>
            </w14:solidFill>
          </w14:textFill>
        </w:rPr>
        <w:t>提交</w:t>
      </w:r>
      <w:r>
        <w:rPr>
          <w:rFonts w:hint="eastAsia" w:ascii="宋体" w:hAnsi="宋体" w:cs="宋体"/>
          <w:snapToGrid w:val="0"/>
          <w:color w:val="000000" w:themeColor="text1"/>
          <w:kern w:val="0"/>
          <w:szCs w:val="21"/>
          <w:highlight w:val="none"/>
          <w14:textFill>
            <w14:solidFill>
              <w14:schemeClr w14:val="tx1"/>
            </w14:solidFill>
          </w14:textFill>
        </w:rPr>
        <w:t>事故调查</w:t>
      </w:r>
      <w:r>
        <w:rPr>
          <w:rFonts w:hint="eastAsia" w:ascii="宋体" w:hAnsi="宋体" w:cs="宋体"/>
          <w:snapToGrid w:val="0"/>
          <w:color w:val="000000" w:themeColor="text1"/>
          <w:kern w:val="0"/>
          <w:szCs w:val="21"/>
          <w:highlight w:val="none"/>
          <w:u w:val="single"/>
          <w14:textFill>
            <w14:solidFill>
              <w14:schemeClr w14:val="tx1"/>
            </w14:solidFill>
          </w14:textFill>
        </w:rPr>
        <w:t>分析</w:t>
      </w:r>
      <w:r>
        <w:rPr>
          <w:rFonts w:hint="eastAsia" w:ascii="宋体" w:hAnsi="宋体" w:cs="宋体"/>
          <w:snapToGrid w:val="0"/>
          <w:color w:val="000000" w:themeColor="text1"/>
          <w:kern w:val="0"/>
          <w:szCs w:val="21"/>
          <w:highlight w:val="none"/>
          <w14:textFill>
            <w14:solidFill>
              <w14:schemeClr w14:val="tx1"/>
            </w14:solidFill>
          </w14:textFill>
        </w:rPr>
        <w:t>报告提交委托人及政府相关部门。监理人同时应提交相应的防范措施以防止同类事故再次发生。</w:t>
      </w:r>
    </w:p>
    <w:p w14:paraId="4B05DFD7">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4.1.7.5工程材料设备控制工作</w:t>
      </w:r>
    </w:p>
    <w:p w14:paraId="6E46F941">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（1）甲供材料设备的管理</w:t>
      </w:r>
    </w:p>
    <w:p w14:paraId="576C54D2">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1）审核施工单位编制的机电设备安装、调试、验收计划。</w:t>
      </w:r>
    </w:p>
    <w:p w14:paraId="42299AE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2）主持施工图交底审查会。</w:t>
      </w:r>
    </w:p>
    <w:p w14:paraId="350FBA1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3）检查施工单位为设备提供运输所需通道和卸货作业场地及设备仓库或符合要求的材料堆放场地的落实情况。</w:t>
      </w:r>
    </w:p>
    <w:p w14:paraId="14D9C1C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4）参加设备的到货验收、开箱检验，并签署相关文件。</w:t>
      </w:r>
    </w:p>
    <w:p w14:paraId="45292B72">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5）负责机电设备安装、调试、验收过程中的质量、安全、进度控制。</w:t>
      </w:r>
    </w:p>
    <w:p w14:paraId="1ECC9D7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（2）甲招乙供材料设备的管理</w:t>
      </w:r>
    </w:p>
    <w:p w14:paraId="1AF336D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1）协助委托人针对甲招乙供材料设备开展的公开招标活动。</w:t>
      </w:r>
    </w:p>
    <w:p w14:paraId="1189504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2）督促并审核施工单位签订材料设备供货合同及合同款的支付情况。</w:t>
      </w:r>
    </w:p>
    <w:p w14:paraId="4585CFC1">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3）审核并批准施工单位编制的材料设备生产和到货进度计划。</w:t>
      </w:r>
    </w:p>
    <w:p w14:paraId="52569D6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4）审核施工单位编制的机电设备安装、调试、验收计划。</w:t>
      </w:r>
    </w:p>
    <w:p w14:paraId="4945F02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5）检查施工单位为设备提供运输所需通道和卸货作业场地及设备仓库或符合要求的材料堆放场地的落实情况。</w:t>
      </w:r>
    </w:p>
    <w:p w14:paraId="3C9751D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6）参加设备的到货验收、开箱检验，并签署相关文件。</w:t>
      </w:r>
    </w:p>
    <w:p w14:paraId="6DC7A6A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7）负责机电设备安装、调试、验收过程中的投资、质量、进度控制。</w:t>
      </w:r>
    </w:p>
    <w:p w14:paraId="17A807C4">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8）审核施工单位提供的材料设备的结算资料。</w:t>
      </w:r>
    </w:p>
    <w:p w14:paraId="2EAEDC9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（3）甲管乙供材料设备的管理</w:t>
      </w:r>
    </w:p>
    <w:p w14:paraId="15FF6DA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1)协助委托人针对甲管乙供材料设备的公开择优竞价活动。</w:t>
      </w:r>
    </w:p>
    <w:p w14:paraId="046333D9">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2）督促并审核施工单位签订材料设备供货合同及合同款的支付情况。</w:t>
      </w:r>
    </w:p>
    <w:p w14:paraId="3A2081B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3）审核施工单位提供的材料设备数量。</w:t>
      </w:r>
    </w:p>
    <w:p w14:paraId="48BC9FF1">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4）审核并批准施工单位编制的材料设备生产和到货进度计划。</w:t>
      </w:r>
    </w:p>
    <w:p w14:paraId="379BE649">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5）监督检查施工单位对材料设备生产的质量控制。</w:t>
      </w:r>
    </w:p>
    <w:p w14:paraId="42020BFE">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6）参加出厂验收。</w:t>
      </w:r>
    </w:p>
    <w:p w14:paraId="3FF7E7C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7）审核施工单位编制的材料设备安装、调试、验收计划。</w:t>
      </w:r>
    </w:p>
    <w:p w14:paraId="59EDEF0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8）主持施工图交底审查会。</w:t>
      </w:r>
    </w:p>
    <w:p w14:paraId="55AD10CE">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9）检查施工单位为材料设备提供运输所需通道和卸货作业场地及材料设备仓库或符合要求的材料堆放场地的落实情况。</w:t>
      </w:r>
    </w:p>
    <w:p w14:paraId="4D82E55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10）参加材料设备的到货验收、开箱检验，并签署相关文件。</w:t>
      </w:r>
    </w:p>
    <w:p w14:paraId="4F814BDB">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11）负责材料设备安装、调试、验收过程中的投资、质量、进度控制。</w:t>
      </w:r>
    </w:p>
    <w:p w14:paraId="4137B29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12）审核施工单位提供的材料设备的结算资料。</w:t>
      </w:r>
    </w:p>
    <w:p w14:paraId="2C81D382">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13）检查质量保证期工作。</w:t>
      </w:r>
    </w:p>
    <w:p w14:paraId="3BE9351E">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（4）乙供材料设备的管理</w:t>
      </w:r>
    </w:p>
    <w:p w14:paraId="40556FA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1）审核工程总体材料设备使用计划和月度材料设备分批使用计划。</w:t>
      </w:r>
    </w:p>
    <w:p w14:paraId="159765A0">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2）审核施工单位选定的材料设备合格供货商并对样品进行封存。</w:t>
      </w:r>
    </w:p>
    <w:p w14:paraId="2231271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3）督促并审核施工单位签订材料设备供货合同。</w:t>
      </w:r>
    </w:p>
    <w:p w14:paraId="6B7CAF0E">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4）组织施工单位拟定准确的材料设备进场计划，及时进行材料设备的采购及供货。</w:t>
      </w:r>
    </w:p>
    <w:p w14:paraId="7EDF7D61">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5）组织施工单位认真清点到货材料设备，在安装材料设备过程中及安装后应进行监督、检验，把好质量关。</w:t>
      </w:r>
    </w:p>
    <w:p w14:paraId="6AA31A9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6）对施工单位所定材料设备规格、型号、数量、质量必须严格把关，发现货不对板情况应及时向委托人汇报。</w:t>
      </w:r>
    </w:p>
    <w:p w14:paraId="47533BB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7）负责材料设备安装、调试、验收过程中的投资、质量、进度控制。</w:t>
      </w:r>
    </w:p>
    <w:p w14:paraId="088EFC2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8）审核施工单位提供的材料设备的结算资料。</w:t>
      </w:r>
    </w:p>
    <w:p w14:paraId="23F76FB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9）检查质量保证期工作。</w:t>
      </w:r>
    </w:p>
    <w:p w14:paraId="48590A5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（5）建筑装饰材料的管理</w:t>
      </w:r>
    </w:p>
    <w:p w14:paraId="34519F40">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1）协助委托人进行材料管理及采购策划。</w:t>
      </w:r>
    </w:p>
    <w:p w14:paraId="050E8D2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2）协助委托人选定合格材料供货商。</w:t>
      </w:r>
    </w:p>
    <w:p w14:paraId="082F759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3）协助并督促施工单位签订材料供货合同。</w:t>
      </w:r>
    </w:p>
    <w:p w14:paraId="7346AAC2">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4）督促施工单位拟定准确的分批次订货计划，及时进行材料的采购及供货。</w:t>
      </w:r>
    </w:p>
    <w:p w14:paraId="4578E162">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5）对材料到货、施工过程中及施工后进行监督、检验，把好材料质量关。</w:t>
      </w:r>
    </w:p>
    <w:p w14:paraId="22A68B8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6）对材料变更费用进行预测及审核，提出专业意见及建议。</w:t>
      </w:r>
    </w:p>
    <w:p w14:paraId="67BB71B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7）负责供货单位与施工单位的协调。</w:t>
      </w:r>
    </w:p>
    <w:p w14:paraId="1A15A92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（6)材料设备采购监理资料</w:t>
      </w:r>
    </w:p>
    <w:p w14:paraId="5545EF1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应包括以下内容：</w:t>
      </w:r>
    </w:p>
    <w:p w14:paraId="37A3AD3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a.委托监理合同；</w:t>
      </w:r>
    </w:p>
    <w:p w14:paraId="64FB46F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b.设备采购方案计划；</w:t>
      </w:r>
    </w:p>
    <w:p w14:paraId="7D7EC7C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c.设计图纸和文件；</w:t>
      </w:r>
    </w:p>
    <w:p w14:paraId="29CC58D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d.市场调查、考察报告；</w:t>
      </w:r>
    </w:p>
    <w:p w14:paraId="3D3860A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e.设备采购招投标文件；</w:t>
      </w:r>
    </w:p>
    <w:p w14:paraId="343CD01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f.设备采购订货合同；</w:t>
      </w:r>
    </w:p>
    <w:p w14:paraId="0A8F469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g.设备采购监理工作总结。</w:t>
      </w:r>
    </w:p>
    <w:p w14:paraId="67C2875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（7）施工阶段材料设备控制中的其它监理工作</w:t>
      </w:r>
    </w:p>
    <w:p w14:paraId="2656933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1）根据委托人的委托实施设备监造工作。</w:t>
      </w:r>
    </w:p>
    <w:p w14:paraId="64BB4CB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a）监理人应根据设备监造阶段的监理工作内容，成立由总监理工程师和专业监理工程师组成的项目监理机构。项目监理机构应进驻设备制造现场。</w:t>
      </w:r>
    </w:p>
    <w:p w14:paraId="3EBB675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1192E65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c）总监理工程师应组织专业监理工程师编制设备监造规划，经监理人技术负责人审核批准后，在设备制造开始前十日内报送委托人。</w:t>
      </w:r>
    </w:p>
    <w:p w14:paraId="7C10CE2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d）总监理工程师应审查设备制造单位报送的设备制造生产计划和工艺方案，提出审查意见，符合要求后予以批准，并报委托人。</w:t>
      </w:r>
    </w:p>
    <w:p w14:paraId="6C6CC3C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e）总监理工程师应审核设备制造分包单位的资质情况、实际生产能力和质量保证体系，符合要求后予以确认。</w:t>
      </w:r>
    </w:p>
    <w:p w14:paraId="266F3AE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f）专业监理工程师应审查设备制造的检验计划和检验要求，确认各阶段的检验时间、内容、方法、标准以及检测手段、检测设备和仪器。</w:t>
      </w:r>
    </w:p>
    <w:p w14:paraId="6891D5A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g）专业监理工程师必须对设备制造过程中拟采用的新技术、新材料、新工艺的鉴定书和试验报告进行审核，并签署意见。</w:t>
      </w:r>
    </w:p>
    <w:p w14:paraId="7D06C68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h）专业监理工程师应审查主要及关键零件的生产工艺设备、操作规程和相关生产人员的上岗资格，并对设备制造和装配场所的环境进行检查。</w:t>
      </w:r>
    </w:p>
    <w:p w14:paraId="45B064E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i）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14:paraId="40ADE27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j）专业监理工程师应对设备制造过程进行监督和检查，对主要及关键零部件的制造工序应进行抽检或检验。</w:t>
      </w:r>
    </w:p>
    <w:p w14:paraId="0D54E14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k）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713A3F1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l）专业监理工程师应检查和监督设备的装配过程，符合要求后予以签认。</w:t>
      </w:r>
    </w:p>
    <w:p w14:paraId="662F27E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m）在设备制造过程中如需要对设备的原设计进行变更，专业监理工程师应审核设计变更，并审查因变更引起的费用增减和制造工期的变化。</w:t>
      </w:r>
    </w:p>
    <w:p w14:paraId="446DBAD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n）总监理工程师应组织专业监理工程师参加设备制造过程中的调试、整机性能检测和验证，符合要求后予以签认。</w:t>
      </w:r>
    </w:p>
    <w:p w14:paraId="067D6D9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o）在设备运往现场前，专业监理工程师应检查设备制造单位对待运设备采取的防护和包装措施，并应检查是否符合运输、装卸、储存、安装的要求，以及相关的随机文件、装箱单和附件是否齐全。</w:t>
      </w:r>
    </w:p>
    <w:p w14:paraId="1F775A3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p）设备全部运到现场后，总监理工程师应组织专业监理工程师参加由设备制造单位按合同规定与安装单位的交接工作，开箱清点、检查、验收、移交。</w:t>
      </w:r>
    </w:p>
    <w:p w14:paraId="09B7845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q）专业监理工程师应按设备采购合同的规定审核设备制造单位提交的进度付款单，提出审核意见，由总监理工程师复核后报委托人。</w:t>
      </w:r>
    </w:p>
    <w:p w14:paraId="435D517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r）专业监理工程师应审查委托人或设备制造单位提出的索赔文件，提出意见后报总监理工程师，由总监理工程师与委托人、设备制造单位进行协商，并提出审核报告。</w:t>
      </w:r>
    </w:p>
    <w:p w14:paraId="65F3C23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s）专业监理工程师应审核设备制造单位报送的设备制造结算文件，并提出审核意见，报总监理工程师审核，由总监理工程师与委托人、设备制造单位进行协商，并提出审核报告。</w:t>
      </w:r>
    </w:p>
    <w:p w14:paraId="574202D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t）在设备监造工作结束后，总监理工程师应组织编写设备监造工作总结。</w:t>
      </w:r>
    </w:p>
    <w:p w14:paraId="6A194E8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2）根据委托人委托的设备监造工作提交相关的监理资料</w:t>
      </w:r>
    </w:p>
    <w:p w14:paraId="020FB31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应包括以下内容：</w:t>
      </w:r>
    </w:p>
    <w:p w14:paraId="1BE5348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a.设备采购合同及委托监理合同；</w:t>
      </w:r>
    </w:p>
    <w:p w14:paraId="2B275DC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b.设备监造规划；</w:t>
      </w:r>
    </w:p>
    <w:p w14:paraId="121E648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c.设备制造的生产计划和工艺方案；</w:t>
      </w:r>
    </w:p>
    <w:p w14:paraId="1F2BCED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d.设备制造的检验计划和检验要求；</w:t>
      </w:r>
    </w:p>
    <w:p w14:paraId="72060CD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e.分包单位资格报审表；</w:t>
      </w:r>
    </w:p>
    <w:p w14:paraId="067D393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f.原材料、零配件等的质量证明文件和检验报告；</w:t>
      </w:r>
    </w:p>
    <w:p w14:paraId="2D9B5AD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g.开工／复工报审表、暂停令；</w:t>
      </w:r>
    </w:p>
    <w:p w14:paraId="6284F83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h.检验记录及试验报告；</w:t>
      </w:r>
    </w:p>
    <w:p w14:paraId="634606A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i.报验申请表；</w:t>
      </w:r>
    </w:p>
    <w:p w14:paraId="12EA305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j.设计变更文件；</w:t>
      </w:r>
    </w:p>
    <w:p w14:paraId="69E67A2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k.会议纪要；</w:t>
      </w:r>
    </w:p>
    <w:p w14:paraId="383370D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l.来往文件；</w:t>
      </w:r>
    </w:p>
    <w:p w14:paraId="6942DC0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m.监理日记；</w:t>
      </w:r>
    </w:p>
    <w:p w14:paraId="44080FA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n.监理工程师通知单；</w:t>
      </w:r>
    </w:p>
    <w:p w14:paraId="7943917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o.监理工作联系单；</w:t>
      </w:r>
    </w:p>
    <w:p w14:paraId="5F35DD2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p.监理月报；</w:t>
      </w:r>
    </w:p>
    <w:p w14:paraId="35317AF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q.质量事故处理文件；</w:t>
      </w:r>
    </w:p>
    <w:p w14:paraId="002A0A7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r.设备制造索赔文件；</w:t>
      </w:r>
    </w:p>
    <w:p w14:paraId="4E1038F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s.设备验收文件；</w:t>
      </w:r>
    </w:p>
    <w:p w14:paraId="701D396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t.设备交接文件；</w:t>
      </w:r>
    </w:p>
    <w:p w14:paraId="725DB95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u.支付证书和设备制造结算审核文件；</w:t>
      </w:r>
    </w:p>
    <w:p w14:paraId="3215A84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v.设备监造工作总结。</w:t>
      </w:r>
    </w:p>
    <w:p w14:paraId="46CEAC6B">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4.1.7.6工程</w:t>
      </w:r>
      <w:r>
        <w:rPr>
          <w:rFonts w:hint="eastAsia" w:ascii="宋体" w:hAnsi="宋体" w:cs="宋体"/>
          <w:b/>
          <w:bCs/>
          <w:snapToGrid w:val="0"/>
          <w:color w:val="000000" w:themeColor="text1"/>
          <w:kern w:val="0"/>
          <w:szCs w:val="21"/>
          <w:highlight w:val="none"/>
          <w14:textFill>
            <w14:solidFill>
              <w14:schemeClr w14:val="tx1"/>
            </w14:solidFill>
          </w14:textFill>
        </w:rPr>
        <w:t>合同管理工作</w:t>
      </w:r>
    </w:p>
    <w:p w14:paraId="40EE0DB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（1）建立合同实施的保证体系，使工程项目的全部合同事件处于控制中，保证合同目标的实现。</w:t>
      </w:r>
    </w:p>
    <w:p w14:paraId="57F470C4">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 xml:space="preserve">建立合同管理文档系统。应建立与相适应的编码系统和文档系统，将各种合同资料能方便的进行保存与查询。 </w:t>
      </w:r>
    </w:p>
    <w:p w14:paraId="0D20DE2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建立合同文件沟通方式。承包人和委托人、监理工程师、分包人之间的有关合同的文件沟通都应以书面形式进行。</w:t>
      </w:r>
    </w:p>
    <w:p w14:paraId="5D22EC3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合同实施监督：监督总承包人、分包人严格执行合同，并做好各分包人的协调和管理工作。同时也应督促委托人执行其合同责任，以保证工程顺利进行。</w:t>
      </w:r>
    </w:p>
    <w:p w14:paraId="073CDE7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合同跟踪和诊断</w:t>
      </w:r>
    </w:p>
    <w:p w14:paraId="447942E4">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1）全面收集并分析合同实施的信息与工程资料，将合同实施情况与合同分析资料进行对比分析，找出其中的偏离。</w:t>
      </w:r>
    </w:p>
    <w:p w14:paraId="19576F9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2）对合同履行情况做出诊断。合同诊断包括：合同执行差异的原因分析、合同差异责任分析、合同实施趋向预测。及时通报合同实施情况及问题，提出合同实施方面的意见、建议、甚至警告。</w:t>
      </w:r>
    </w:p>
    <w:p w14:paraId="3AF948A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3）对于发现的问题，及时采取对应的管理措施，防止问题的扩大和重复发生。</w:t>
      </w:r>
    </w:p>
    <w:p w14:paraId="34143CF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（6）严格合同变更管理，包括变更谈判、变更的处理程序，落实变更的措施，修改变更相关的资料，检查变更措施的落实情况。 </w:t>
      </w:r>
    </w:p>
    <w:p w14:paraId="2BAC0C49">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（7）</w:t>
      </w:r>
      <w:r>
        <w:rPr>
          <w:rFonts w:hint="eastAsia" w:ascii="宋体" w:hAnsi="宋体" w:cs="宋体"/>
          <w:snapToGrid w:val="0"/>
          <w:color w:val="000000" w:themeColor="text1"/>
          <w:kern w:val="0"/>
          <w:szCs w:val="21"/>
          <w:highlight w:val="none"/>
          <w14:textFill>
            <w14:solidFill>
              <w14:schemeClr w14:val="tx1"/>
            </w14:solidFill>
          </w14:textFill>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对收到的承包人的索赔报告应进行审查分析，收集反驳理由和证据，复核索赔值；如具备反索赔条件，应及时提出反索赔报告并附上相关证据。</w:t>
      </w:r>
    </w:p>
    <w:p w14:paraId="42D508E9">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（8）</w:t>
      </w:r>
      <w:r>
        <w:rPr>
          <w:rFonts w:hint="eastAsia" w:ascii="宋体" w:hAnsi="宋体" w:cs="宋体"/>
          <w:snapToGrid w:val="0"/>
          <w:color w:val="000000" w:themeColor="text1"/>
          <w:kern w:val="0"/>
          <w:szCs w:val="21"/>
          <w:highlight w:val="none"/>
          <w14:textFill>
            <w14:solidFill>
              <w14:schemeClr w14:val="tx1"/>
            </w14:solidFill>
          </w14:textFill>
        </w:rPr>
        <w:t>合同终止和后评价：合同按约定履行结束后，合同即告终止。及时进行合同后评价，总结合同签订和执行过程中的利弊得失、经验教训，作为改进以后工程合同管理工作的借鉴。</w:t>
      </w:r>
    </w:p>
    <w:p w14:paraId="492D8F3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（9）</w:t>
      </w:r>
      <w:r>
        <w:rPr>
          <w:rFonts w:hint="eastAsia" w:ascii="宋体" w:hAnsi="宋体" w:cs="宋体"/>
          <w:snapToGrid w:val="0"/>
          <w:color w:val="000000" w:themeColor="text1"/>
          <w:kern w:val="0"/>
          <w:szCs w:val="21"/>
          <w:highlight w:val="none"/>
          <w14:textFill>
            <w14:solidFill>
              <w14:schemeClr w14:val="tx1"/>
            </w14:solidFill>
          </w14:textFill>
        </w:rPr>
        <w:t>合同后评估应包括如下内容：</w:t>
      </w:r>
    </w:p>
    <w:p w14:paraId="55A49E62">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1）合同签订情况评价。</w:t>
      </w:r>
    </w:p>
    <w:p w14:paraId="761F241D">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2）合同执行情况评价。</w:t>
      </w:r>
    </w:p>
    <w:p w14:paraId="7B788F3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3）合同管理工作评价。</w:t>
      </w:r>
    </w:p>
    <w:p w14:paraId="41CBBFA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4）对本项目有重大影响的合同条款的评价。</w:t>
      </w:r>
    </w:p>
    <w:p w14:paraId="1961314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（10）合同管理中的其他监理工作</w:t>
      </w:r>
    </w:p>
    <w:p w14:paraId="3E33EFD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1）费用索赔的处理</w:t>
      </w:r>
    </w:p>
    <w:p w14:paraId="3E443C5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专业监理工程师应及时收集、整理有关的施工和监理资料，为处理可能发生的费用索赔提供证据。</w:t>
      </w:r>
    </w:p>
    <w:p w14:paraId="1F1355A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a）项目监理机构处理费用索赔应依据下列内容：</w:t>
      </w:r>
    </w:p>
    <w:p w14:paraId="365F753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国家有关的法律、法规和工程项目所在地的地方法规；</w:t>
      </w:r>
    </w:p>
    <w:p w14:paraId="295912F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本工程的施工合同文件；</w:t>
      </w:r>
    </w:p>
    <w:p w14:paraId="224A9D6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国家、部门和地方有关的标准、规范和定额；</w:t>
      </w:r>
    </w:p>
    <w:p w14:paraId="46D5D30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施工合同履行过程中与索赔事件有关的凭证。</w:t>
      </w:r>
    </w:p>
    <w:p w14:paraId="14B49DE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b）当承包人提出费用索赔的理由同时满足以下条件时，项目监理机构应予以受理：</w:t>
      </w:r>
    </w:p>
    <w:p w14:paraId="4B3CA4C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索赔事件造成了承包人直接经济损失；</w:t>
      </w:r>
    </w:p>
    <w:p w14:paraId="3023BA1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索赔事件是由于非承包人的责任发生的；</w:t>
      </w:r>
    </w:p>
    <w:p w14:paraId="522B078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承包人已按照施工合同规定的期限和程序提出费用索赔申请表，并附有索赔凭证材料。</w:t>
      </w:r>
    </w:p>
    <w:p w14:paraId="0241BAE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c）承包人向委托人提出费用索赔，项目监理机构应按下列程序处理：</w:t>
      </w:r>
    </w:p>
    <w:p w14:paraId="5979246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承包人在施工合同规定的期限内向项目监理机构提交对委托人的费用索赔意向通知书；</w:t>
      </w:r>
    </w:p>
    <w:p w14:paraId="5D61682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总监理工程师指定专业监理工程师收集与索赔有关的资料；</w:t>
      </w:r>
    </w:p>
    <w:p w14:paraId="648DD49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承包人在承包合同规定的期限内向项目监理机构提交对委托人的费用索赔申请表；</w:t>
      </w:r>
    </w:p>
    <w:p w14:paraId="62B8532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总监理工程师初步审查费用索赔申请表，符合上述b）款规定的条件时予以受理；</w:t>
      </w:r>
    </w:p>
    <w:p w14:paraId="5AE7990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⑤ 总监理工程师进行费用索赔审查，并在初步确定一个额度后，与承包人和委托人进行协商；</w:t>
      </w:r>
    </w:p>
    <w:p w14:paraId="2749ECB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⑥ 总监理工程师应在施工合同规定的期限内签署费用索赔审批表，或在施工合同规定的期限内发出要求承包人提交有关索赔报告的进一步详细资料的通知，待收到承包人提交的详细资料后，按上述的第④、⑤、⑥款的程序进行。</w:t>
      </w:r>
    </w:p>
    <w:p w14:paraId="1E2455B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d）当承包人的费用索赔要求与工程延期要求相关联时，总监理工程师在作出费用索赔的批准决定时，应与工程延期的批准联系起来，综合作出费用索赔和工程延期的决定。</w:t>
      </w:r>
    </w:p>
    <w:p w14:paraId="630151B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e）由于承包人的原因造成委托人的额外损失，委托人向承包人提出费用索赔时，总监理工程师在审查索赔报告后，应公正地与委托人和承包人进行协商，并及时作出答复。</w:t>
      </w:r>
    </w:p>
    <w:p w14:paraId="73C0DB3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2）合同争议的调解</w:t>
      </w:r>
    </w:p>
    <w:p w14:paraId="501DA06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a）项目监理机构接到合同争议的调解要求后应进行以下工作：</w:t>
      </w:r>
    </w:p>
    <w:p w14:paraId="3142FF1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及时了解合同争议的全部情况，包括进行调查和取证；</w:t>
      </w:r>
    </w:p>
    <w:p w14:paraId="053C1C8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及时与合同争议的双方进行磋商；</w:t>
      </w:r>
    </w:p>
    <w:p w14:paraId="68A9F88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在项目监理机构提出调解方案后，由总监理工程师进行争议调解；</w:t>
      </w:r>
    </w:p>
    <w:p w14:paraId="14A4F11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当调解未能达成一致时，总监理工程师应在施工合同规定的期限内提出处理该合同争议的意见；</w:t>
      </w:r>
    </w:p>
    <w:p w14:paraId="1D530BD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⑤ 在争议调解过程中，除已达到了施工合同规定的暂停履行合同的条件之外，项目监理机构应要求施工合同的双方继续履行施工合同。</w:t>
      </w:r>
    </w:p>
    <w:p w14:paraId="0C7721E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b）在总监理工程师签发合同争议处理意见后，委托人或承包人在施工合同规定的期限内未对合同争议处理决定提出异议，在符合施工合同的前提下，此意见应成为最后的决定，双方必须执行。</w:t>
      </w:r>
    </w:p>
    <w:p w14:paraId="6CBC919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c）在合同争议的仲裁或诉讼过程中，项目监理机构接到仲裁机关或法院要求提供有关证据的通知后，应公正地向仲裁机关或法院提供与争议有关的证据。</w:t>
      </w:r>
    </w:p>
    <w:p w14:paraId="5063D2F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3）合同解除的相关工作</w:t>
      </w:r>
    </w:p>
    <w:p w14:paraId="6D4EF66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a）施工合同的解除必须符合法律程序。</w:t>
      </w:r>
    </w:p>
    <w:p w14:paraId="606BDCC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b）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3B37232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承包人已完成的工程量表中所列的各项工作所应得的款项；</w:t>
      </w:r>
    </w:p>
    <w:p w14:paraId="2EC544A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按批准的采购计划订购工程材料、设备、构配件的款项；</w:t>
      </w:r>
    </w:p>
    <w:p w14:paraId="604D647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承包人撤离施工设备至原基地或其他目的地的合理费用；</w:t>
      </w:r>
    </w:p>
    <w:p w14:paraId="679C2BF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承包人所有人员的合理遣返费用；</w:t>
      </w:r>
    </w:p>
    <w:p w14:paraId="7E99EE9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⑤ 合理的利润补偿；</w:t>
      </w:r>
    </w:p>
    <w:p w14:paraId="73512B7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⑥ 施工合同规定的委托人应支付的违约金。</w:t>
      </w:r>
    </w:p>
    <w:p w14:paraId="39DFCB6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c）由于承包人违约导致施工合同终止后，项目监理机构应按下列程序清理承包人的应得款项，或偿还委托人的相关款项，并书面通知委托人和承包人：</w:t>
      </w:r>
    </w:p>
    <w:p w14:paraId="00BAE6C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施工合同终止时，清理承包人已按施工合同规定实际完成的工作所应得的款项和已经得到支付的款项；</w:t>
      </w:r>
    </w:p>
    <w:p w14:paraId="3C6A43E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施工现场余留的材料、设备及临时工程的价值；</w:t>
      </w:r>
    </w:p>
    <w:p w14:paraId="4836DCF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对已完工程进行检查和验收、移交工程资料、该部分工程的清理、质量缺陷修复等所需的费用；</w:t>
      </w:r>
    </w:p>
    <w:p w14:paraId="4C16822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施工合同规定的承包人应支付的违约金；</w:t>
      </w:r>
    </w:p>
    <w:p w14:paraId="148BC16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⑤ 总监理工程师按照施工合同的规定，在与委托人和承包人协商后，书面提交承包人应得款项或偿还委托人款项的证明。</w:t>
      </w:r>
    </w:p>
    <w:p w14:paraId="7F9CAA6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d）由于不可抗力或非委托人、承包人原因导致施工合同终止时，项目监理机构应按施工合同规定处理合同解除后的有关事宜。</w:t>
      </w:r>
    </w:p>
    <w:p w14:paraId="2D3D3AC8">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4.1.7.7工程</w:t>
      </w:r>
      <w:r>
        <w:rPr>
          <w:rFonts w:hint="eastAsia" w:ascii="宋体" w:hAnsi="宋体" w:cs="宋体"/>
          <w:b/>
          <w:bCs/>
          <w:snapToGrid w:val="0"/>
          <w:color w:val="000000" w:themeColor="text1"/>
          <w:kern w:val="0"/>
          <w:szCs w:val="21"/>
          <w:highlight w:val="none"/>
          <w14:textFill>
            <w14:solidFill>
              <w14:schemeClr w14:val="tx1"/>
            </w14:solidFill>
          </w14:textFill>
        </w:rPr>
        <w:t>信息管理工作</w:t>
      </w:r>
    </w:p>
    <w:p w14:paraId="65463C9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14:textFill>
            <w14:solidFill>
              <w14:schemeClr w14:val="tx1"/>
            </w14:solidFill>
          </w14:textFill>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196D870A">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1）有关政策文件、法规、技术规范、质量标准等。</w:t>
      </w:r>
    </w:p>
    <w:p w14:paraId="0FAAA1A4">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2）设计及有关批准文件、图纸会审记录、设计变更设计文件等。</w:t>
      </w:r>
    </w:p>
    <w:p w14:paraId="187CF36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3）招投标文件、工程建设合同、协议、补充协议等。</w:t>
      </w:r>
    </w:p>
    <w:p w14:paraId="4D73666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4）与委托人、承包人及工程有关单位之间的往来文件。</w:t>
      </w:r>
    </w:p>
    <w:p w14:paraId="031F294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5）承包人施工组织设计、临时工程设计、方案等资料。</w:t>
      </w:r>
    </w:p>
    <w:p w14:paraId="258ABEE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6）各种材料报验、材料、构配件、机械设备的技术资料、检测、试验报告等资料。</w:t>
      </w:r>
    </w:p>
    <w:p w14:paraId="543D0C9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7）各种报验、验收、报告、报表、计量、支付、施工记录、现场签证、质量、进度状况记录等资料。</w:t>
      </w:r>
    </w:p>
    <w:p w14:paraId="2682589E">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8）监理日记、巡查、旁站记录、工程照片、事故处理资料、关键的检查资料。</w:t>
      </w:r>
    </w:p>
    <w:p w14:paraId="6BA4C1B0">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9）监理通知、会议记要、备忘录、合同执行情况、监理月报、监理报告、总结、评估等。</w:t>
      </w:r>
    </w:p>
    <w:p w14:paraId="36F93FA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10）工序验收、检验批验收、分项验收、分部（或子分部）验收、中间验收、竣工验收资料。</w:t>
      </w:r>
    </w:p>
    <w:p w14:paraId="6F11DBD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11）消防验收、防疫验收、环保验收、装修室内辐射/空气等专项验收资料。</w:t>
      </w:r>
    </w:p>
    <w:p w14:paraId="4FBCE18B">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12）监理制度、规定与管理办法等内部文件。</w:t>
      </w:r>
    </w:p>
    <w:p w14:paraId="6565DDD0">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13）安全、文明生产控制资料等。</w:t>
      </w:r>
    </w:p>
    <w:p w14:paraId="79DBE3C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建立信息管理制度，严格信息采集、编排、查阅、归档保存的管理办法，由专人实施。监理资料的管理必须满足以下要求：</w:t>
      </w:r>
    </w:p>
    <w:p w14:paraId="23B894A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1）监理资料必须及时整理、真实完整、分类有序。</w:t>
      </w:r>
    </w:p>
    <w:p w14:paraId="10A9212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2）监理资料的管理应由总监理工程师负责，并指定专人具体实施。</w:t>
      </w:r>
    </w:p>
    <w:p w14:paraId="69EDAEF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3）监理资料应在各阶段监理工作结束后及时整理归档。</w:t>
      </w:r>
    </w:p>
    <w:p w14:paraId="28067F4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4）监理档案的编制及保存应按有关规定执行。</w:t>
      </w:r>
    </w:p>
    <w:p w14:paraId="131FD3EC">
      <w:pPr>
        <w:keepNext/>
        <w:keepLines/>
        <w:tabs>
          <w:tab w:val="left" w:pos="540"/>
        </w:tabs>
        <w:spacing w:before="60" w:after="60" w:line="416" w:lineRule="auto"/>
        <w:ind w:left="1304" w:hanging="737"/>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（3）计算机信息管理</w:t>
      </w:r>
    </w:p>
    <w:p w14:paraId="56B206FE">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565C8D0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（4）对所收集的信息必须进行分析，确保其准确、全面、来源可靠，且要求为正式资料。</w:t>
      </w:r>
    </w:p>
    <w:p w14:paraId="5B1EF98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及时将采集到的信息进行筛选分类，分别通报给有关领导、职能部门和有关人员审阅和签署意见。</w:t>
      </w:r>
    </w:p>
    <w:p w14:paraId="60300B25">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w:t>
      </w:r>
      <w:r>
        <w:rPr>
          <w:rFonts w:hint="eastAsia" w:ascii="宋体" w:hAnsi="宋体" w:cs="宋体"/>
          <w:snapToGrid w:val="0"/>
          <w:color w:val="000000" w:themeColor="text1"/>
          <w:kern w:val="0"/>
          <w:szCs w:val="21"/>
          <w:highlight w:val="none"/>
          <w14:textFill>
            <w14:solidFill>
              <w14:schemeClr w14:val="tx1"/>
            </w14:solidFill>
          </w14:textFill>
        </w:rPr>
        <w:t>建立主体数据库系统结构，及时对信息分类保存、要求列名事件、题目、来源、概要、经办人或其他基本情况。</w:t>
      </w:r>
    </w:p>
    <w:p w14:paraId="6F6D020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（7）</w:t>
      </w:r>
      <w:r>
        <w:rPr>
          <w:rFonts w:hint="eastAsia" w:ascii="宋体" w:hAnsi="宋体" w:cs="宋体"/>
          <w:snapToGrid w:val="0"/>
          <w:color w:val="000000" w:themeColor="text1"/>
          <w:kern w:val="0"/>
          <w:szCs w:val="21"/>
          <w:highlight w:val="none"/>
          <w14:textFill>
            <w14:solidFill>
              <w14:schemeClr w14:val="tx1"/>
            </w14:solidFill>
          </w14:textFill>
        </w:rPr>
        <w:t>对信息资料收集和反馈进行跟踪，对信息进行动态管理。</w:t>
      </w:r>
    </w:p>
    <w:p w14:paraId="785EB12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（8）</w:t>
      </w:r>
      <w:r>
        <w:rPr>
          <w:rFonts w:hint="eastAsia" w:ascii="宋体" w:hAnsi="宋体" w:cs="宋体"/>
          <w:snapToGrid w:val="0"/>
          <w:color w:val="000000" w:themeColor="text1"/>
          <w:kern w:val="0"/>
          <w:szCs w:val="21"/>
          <w:highlight w:val="none"/>
          <w14:textFill>
            <w14:solidFill>
              <w14:schemeClr w14:val="tx1"/>
            </w14:solidFill>
          </w14:textFill>
        </w:rPr>
        <w:t>涉及国家机密或各单位商业秘密的信息资料保管工作应制订保密管理细则，防止机密泄漏，避免造成经济损失和政治影响。</w:t>
      </w:r>
    </w:p>
    <w:p w14:paraId="3C4FDA0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（9）</w:t>
      </w:r>
      <w:r>
        <w:rPr>
          <w:rFonts w:hint="eastAsia" w:ascii="宋体" w:hAnsi="宋体" w:cs="宋体"/>
          <w:snapToGrid w:val="0"/>
          <w:color w:val="000000" w:themeColor="text1"/>
          <w:kern w:val="0"/>
          <w:szCs w:val="21"/>
          <w:highlight w:val="none"/>
          <w14:textFill>
            <w14:solidFill>
              <w14:schemeClr w14:val="tx1"/>
            </w14:solidFill>
          </w14:textFill>
        </w:rPr>
        <w:t>有保留价值的信息，经请示有关领导后可以消除，但应做好登记。</w:t>
      </w:r>
    </w:p>
    <w:p w14:paraId="6C6A49D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（10）</w:t>
      </w:r>
      <w:r>
        <w:rPr>
          <w:rFonts w:hint="eastAsia" w:ascii="宋体" w:hAnsi="宋体" w:cs="宋体"/>
          <w:snapToGrid w:val="0"/>
          <w:color w:val="000000" w:themeColor="text1"/>
          <w:kern w:val="0"/>
          <w:szCs w:val="21"/>
          <w:highlight w:val="none"/>
          <w14:textFill>
            <w14:solidFill>
              <w14:schemeClr w14:val="tx1"/>
            </w14:solidFill>
          </w14:textFill>
        </w:rPr>
        <w:t>工程结束后，信息的保管与处理按有关规定进行整理存档、移交，并办理好移交签收手续。</w:t>
      </w:r>
    </w:p>
    <w:p w14:paraId="0C36EE8A">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4.1.7.8工程</w:t>
      </w:r>
      <w:r>
        <w:rPr>
          <w:rFonts w:hint="eastAsia" w:ascii="宋体" w:hAnsi="宋体" w:cs="宋体"/>
          <w:b/>
          <w:bCs/>
          <w:snapToGrid w:val="0"/>
          <w:color w:val="000000" w:themeColor="text1"/>
          <w:kern w:val="0"/>
          <w:szCs w:val="21"/>
          <w:highlight w:val="none"/>
          <w14:textFill>
            <w14:solidFill>
              <w14:schemeClr w14:val="tx1"/>
            </w14:solidFill>
          </w14:textFill>
        </w:rPr>
        <w:t>项目沟通与协调</w:t>
      </w:r>
    </w:p>
    <w:p w14:paraId="2FEFCC7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14:textFill>
            <w14:solidFill>
              <w14:schemeClr w14:val="tx1"/>
            </w14:solidFill>
          </w14:textFill>
        </w:rPr>
        <w:t>建立项目沟通与协调管理系统，健全各项制度，并本着“严格守法、遵守公德”的原则，以维护各相关方的利益为前提，应用先进、实用的方法和手段，有效解决项目实施过程中的问题。</w:t>
      </w:r>
    </w:p>
    <w:p w14:paraId="6BC67F31">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制定项目沟通管理计划，按内容分主要有：施工进度、质量、安全、成本、资金、环保、设计变更、索赔、材料供应、设备使用、人力资源、文明工地建设、思想政治工作等；按时间分主要有：项目管理实施规划、年度计划、半年计划、季度计划、月计划、旬计划、周计划等。</w:t>
      </w:r>
    </w:p>
    <w:p w14:paraId="6FCD6FA7">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项目沟通管理计划明确沟通的具体内容、对象、方式、目标、责任人、完成时间、奖罚措施等，并定期或不定期地进行检查、考核和评价，确保沟通计划落到实处。</w:t>
      </w:r>
    </w:p>
    <w:p w14:paraId="3BFC2761">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61B5B1E0">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定期组织召开建设单位、设计、监理、质监站、安监站、承包人参加的工地现场会，协调施工过程中出现的各种矛盾和问题，会前一日，就质量、安全</w:t>
      </w:r>
      <w:r>
        <w:rPr>
          <w:rFonts w:hint="eastAsia" w:ascii="宋体" w:hAnsi="宋体" w:cs="宋体"/>
          <w:snapToGrid w:val="0"/>
          <w:color w:val="000000" w:themeColor="text1"/>
          <w:kern w:val="0"/>
          <w:szCs w:val="21"/>
          <w:highlight w:val="none"/>
          <w:u w:val="singl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进度、资金、技术、材料等需要协调的问题等议题征求意见，分送有关单位，以便会前做好充分准备，会后写出会议纪要发与会各单位，并督促执行。</w:t>
      </w:r>
    </w:p>
    <w:p w14:paraId="1D45976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w:t>
      </w:r>
      <w:r>
        <w:rPr>
          <w:rFonts w:hint="eastAsia" w:ascii="宋体" w:hAnsi="宋体" w:cs="宋体"/>
          <w:snapToGrid w:val="0"/>
          <w:color w:val="000000" w:themeColor="text1"/>
          <w:kern w:val="0"/>
          <w:szCs w:val="21"/>
          <w:highlight w:val="none"/>
          <w14:textFill>
            <w14:solidFill>
              <w14:schemeClr w14:val="tx1"/>
            </w14:solidFill>
          </w14:textFill>
        </w:rPr>
        <w:t>妥善处理各分项工程之间的施工配合，要求各承包人提出需要配合的问题，如施工场地的要求、施工用水、用电、交叉作业的相互影响，施工收口处理、建筑成品保护要求及需要采取的配合措施等。</w:t>
      </w:r>
    </w:p>
    <w:p w14:paraId="22C6CF3E">
      <w:pPr>
        <w:adjustRightInd w:val="0"/>
        <w:snapToGrid w:val="0"/>
        <w:spacing w:line="360" w:lineRule="auto"/>
        <w:ind w:firstLine="472" w:firstLineChars="196"/>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4.1.7.9 环境管理工作</w:t>
      </w:r>
    </w:p>
    <w:p w14:paraId="09ABA0C9">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监理人应对施工过程中影响环境的活动进行监督管理，以满足相关的法律法规对环境保护的要求。监理人环境管理工作的主要工作内容如下：</w:t>
      </w:r>
    </w:p>
    <w:p w14:paraId="4FFB5D4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（1）制定相关的监督检查工作的程序及制度提交委托人及政府相关部门核准；</w:t>
      </w:r>
    </w:p>
    <w:p w14:paraId="66E0D33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（2）根据相关的法律、法规、制度及程序等，对工程建设过程中污染环境、破坏生态的行为进行监督管理，如噪声、废气、污水等污染物排放应达标、减少水土流失和生态环境破坏；</w:t>
      </w:r>
    </w:p>
    <w:p w14:paraId="703F921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（3）对配套的环保工程进行施工监理，如对水处理设施、声屏障、绿化工程、水源保护区的保护等进行监理。</w:t>
      </w:r>
    </w:p>
    <w:p w14:paraId="1B6A6D5D">
      <w:pPr>
        <w:adjustRightInd w:val="0"/>
        <w:snapToGrid w:val="0"/>
        <w:spacing w:line="360" w:lineRule="auto"/>
        <w:ind w:firstLine="482"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4.1.7.10提交监理周报、月报</w:t>
      </w:r>
    </w:p>
    <w:p w14:paraId="4DFE639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监理周/月报应包括以下内容：</w:t>
      </w:r>
    </w:p>
    <w:p w14:paraId="3EA308A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（1）本周/月工程概况；</w:t>
      </w:r>
    </w:p>
    <w:p w14:paraId="2F493D4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（2）本周/月工程形象进度；</w:t>
      </w:r>
    </w:p>
    <w:p w14:paraId="632D01B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（3）工程进度：</w:t>
      </w:r>
    </w:p>
    <w:p w14:paraId="2302578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1)本周/月实际完成情况与计划进度比较；</w:t>
      </w:r>
    </w:p>
    <w:p w14:paraId="6144CA7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2)对进度完成情况及采取措施效果的分析。</w:t>
      </w:r>
    </w:p>
    <w:p w14:paraId="45AA8F1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（4）工程质量：</w:t>
      </w:r>
    </w:p>
    <w:p w14:paraId="102F568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1)本周/月工程质量情况分析；</w:t>
      </w:r>
    </w:p>
    <w:p w14:paraId="60FE8B2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2)本周/月采取的工程质量措施及效果。</w:t>
      </w:r>
    </w:p>
    <w:p w14:paraId="1CB1C56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（5）工程计量与工程款支付：</w:t>
      </w:r>
    </w:p>
    <w:p w14:paraId="67FA526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1)工程量审核情况；</w:t>
      </w:r>
    </w:p>
    <w:p w14:paraId="17A4CAE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2)工程款审批情况及支付情况；</w:t>
      </w:r>
    </w:p>
    <w:p w14:paraId="5126AB2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3)工程款支付情况分析；</w:t>
      </w:r>
    </w:p>
    <w:p w14:paraId="0750C67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4)本周/月采取的措施及效果。</w:t>
      </w:r>
    </w:p>
    <w:p w14:paraId="20763C1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（6）合同其他事项的处理情况：</w:t>
      </w:r>
    </w:p>
    <w:p w14:paraId="438D97B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1)工程变更；</w:t>
      </w:r>
    </w:p>
    <w:p w14:paraId="2DCD4B3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2)工程延期；</w:t>
      </w:r>
    </w:p>
    <w:p w14:paraId="40F75E7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3)费用索赔。</w:t>
      </w:r>
    </w:p>
    <w:p w14:paraId="2A5D8B0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（7）本周/月职业健康安全及环境等情况的综合评价及相关意见或建议。</w:t>
      </w:r>
    </w:p>
    <w:p w14:paraId="144ED55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（8）本周/月监理工作小结：</w:t>
      </w:r>
    </w:p>
    <w:p w14:paraId="26D16CE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1)对本周/月进度、质量、工程款支付、安全文明施工等方面情况的综合评价；</w:t>
      </w:r>
    </w:p>
    <w:p w14:paraId="6C0675D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2)本周/月监理工作情况；</w:t>
      </w:r>
    </w:p>
    <w:p w14:paraId="43DB82C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3)有关本工程的意见和建议；</w:t>
      </w:r>
    </w:p>
    <w:p w14:paraId="516835C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4)下周/月监理工作的重点。</w:t>
      </w:r>
    </w:p>
    <w:p w14:paraId="6752CD88">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监理周/月报应由总监理工程师组织编制及签认，签认后报委托人和本监理人总部。</w:t>
      </w:r>
    </w:p>
    <w:p w14:paraId="353585B6">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4.1.7.11施工阶段的其他监理工作</w:t>
      </w:r>
    </w:p>
    <w:p w14:paraId="6E79973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（1）工地例会</w:t>
      </w:r>
    </w:p>
    <w:p w14:paraId="4620AEE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1）在施工过程中，总监理工程师应定期主持召开工地例会。工地例会应按委托人提供的例会细则执行。会议纪要应由项目监理机构负责起草，并经与会各方代表会签。</w:t>
      </w:r>
    </w:p>
    <w:p w14:paraId="6758D6F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2）工地例会应包括以下主要内容：</w:t>
      </w:r>
    </w:p>
    <w:p w14:paraId="30B6A87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检查上次例会议定事项的落实情况，分析未完事项原因；</w:t>
      </w:r>
    </w:p>
    <w:p w14:paraId="740256F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检查分析工程项目进度计划完成情况，提出下一阶段进度目标及其落实措施；</w:t>
      </w:r>
    </w:p>
    <w:p w14:paraId="7B850D9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检查分析工程项目质量状况，针对存在的质量问题提出改进措施；</w:t>
      </w:r>
    </w:p>
    <w:p w14:paraId="74BAA3C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检查工程量核定及工程款支付情况；</w:t>
      </w:r>
    </w:p>
    <w:p w14:paraId="092EF90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⑤ 检讨工作联系单的相关内容的执行情况，解决需要协调的有关事项；</w:t>
      </w:r>
    </w:p>
    <w:p w14:paraId="3A66EBB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⑥ 本周职业健康安全及环境、文明施工等方面的综合情况，解决需要协调的有关事项。</w:t>
      </w:r>
    </w:p>
    <w:p w14:paraId="4455E65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⑦ 其他有关事宜。</w:t>
      </w:r>
    </w:p>
    <w:p w14:paraId="0C5143F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3）总监理工程师或专业监理工程师应根据需要及时组织专题会议，解决施工过程中的各种专项问题。</w:t>
      </w:r>
    </w:p>
    <w:p w14:paraId="27C0287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4）对于工地例会上提出的有关设计问题，监理人应积极把关控制，不应随意对相关问题做出定论。工地例会上的相关结论必须以设计变更的方式确定后方可实施。</w:t>
      </w:r>
    </w:p>
    <w:p w14:paraId="696E8E3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（2）工程暂停及复工的相关工作</w:t>
      </w:r>
    </w:p>
    <w:p w14:paraId="073296D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1）总监理工程师在签发工程暂停令时，应根据暂停工程的影响范围和影响程度，按照施工合同和委托监理合同的约定签发。</w:t>
      </w:r>
    </w:p>
    <w:p w14:paraId="02D6C5B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2）在发生下列情况之一时，总监理工程师可签发工程暂停令：</w:t>
      </w:r>
    </w:p>
    <w:p w14:paraId="32AD9C9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委托人要求暂停施工且工程需要暂停施工；</w:t>
      </w:r>
    </w:p>
    <w:p w14:paraId="0F273DC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为了保证工程质量而需要进行停工处理；</w:t>
      </w:r>
    </w:p>
    <w:p w14:paraId="1E967CB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施工出现了安全隐患，总监理工程师认为有必要停工以消除隐患；</w:t>
      </w:r>
    </w:p>
    <w:p w14:paraId="17B6E34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 发生了必须暂时停止施工的紧急事件；</w:t>
      </w:r>
    </w:p>
    <w:p w14:paraId="6F94D79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⑤ 承包人未经许可擅自施工或拒绝项目监理机构管理。</w:t>
      </w:r>
    </w:p>
    <w:p w14:paraId="621B5E9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3）总监理工程师在签发工程暂停令时，应根据停工原因的影响范围和影响程度，确定工程项目停工范围。</w:t>
      </w:r>
    </w:p>
    <w:p w14:paraId="01CF7BB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4）由于非承包人且非上述2）项中②、③、④、⑤款原因时，总监理工程师在签发工程暂停令之前，应就有关工期和费用等事宜与承包人进行协商。</w:t>
      </w:r>
    </w:p>
    <w:p w14:paraId="61A883F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5）由于委托人原因或其他非承包人原因导致工程暂停时，项目监理机构应如实记录所发生的实际情况。总监理工程师应在施工暂停原因消失、具备复工条件时，及时签署工程复工报审表，指令承包人继续施工。</w:t>
      </w:r>
    </w:p>
    <w:p w14:paraId="74F394A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6）由于承包人原因导致工程暂停，在具备恢复施工条件时，项目监理机构应审查承包人报送的复工申请及有关材料，同意后由总监理工程师签署工程复工报审表，指令承包人继续施工。</w:t>
      </w:r>
    </w:p>
    <w:p w14:paraId="356389D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7）总监理工程师在签发工程暂停令到签发工程复工报审表之间的时间内，应会同有关各方按照施工合同的约定，处理因工程暂停引起的与工期、费用等有关的问题。</w:t>
      </w:r>
    </w:p>
    <w:p w14:paraId="38C1958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（3）工程延期及工程延误的处理工作</w:t>
      </w:r>
    </w:p>
    <w:p w14:paraId="66B2037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1）当承包人提出工程延期要求符合施工合同文件的规定条件时，项目监理机构应予以受理。</w:t>
      </w:r>
    </w:p>
    <w:p w14:paraId="7060A74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3C82651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3）项目监理机构在作出临时工程延期批准或最终的工程延期批准之前，均应与委托人和承包人进行协商。</w:t>
      </w:r>
    </w:p>
    <w:p w14:paraId="351B74F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4）项目监理机构在审查工程延期时，应依下列情况确定批准工程延期的时间：</w:t>
      </w:r>
    </w:p>
    <w:p w14:paraId="3DF9744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 施工合同中有关工程延期的约定；</w:t>
      </w:r>
    </w:p>
    <w:p w14:paraId="14F2FF0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 工期拖延和影响工期事件的事实和程度；</w:t>
      </w:r>
    </w:p>
    <w:p w14:paraId="524DD70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 影响工期事件对工期影响的量化程度。</w:t>
      </w:r>
    </w:p>
    <w:p w14:paraId="354422F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5）工程延期造成承包人提出费用索赔时，项目监理机构应按本条4.1.3.6-（10）-1）款的约定处理。</w:t>
      </w:r>
    </w:p>
    <w:p w14:paraId="3A62DF3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6）当承包人未能按照施工合同要求的工期竣工交付造成工期延误时，项目监理机构应按施工合同规定从承包人应得款项中扣除误期损害赔偿费。</w:t>
      </w:r>
    </w:p>
    <w:p w14:paraId="0D753D12">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4.1.8工程收尾阶段的监理工作（包括但不限于以下内容）</w:t>
      </w:r>
    </w:p>
    <w:p w14:paraId="1E50571F">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4.1.8.1工程收尾阶段包括竣工扫尾、验收、整改、移交、结算、考核评价等方面的管理。监理人应制定工作计划，提出各项管理要求。项目结束阶段管理应包括以下内容：</w:t>
      </w:r>
    </w:p>
    <w:p w14:paraId="07AA7A0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14:textFill>
            <w14:solidFill>
              <w14:schemeClr w14:val="tx1"/>
            </w14:solidFill>
          </w14:textFill>
        </w:rPr>
        <w:t>项目的竣工扫尾；</w:t>
      </w:r>
    </w:p>
    <w:p w14:paraId="0741C9A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项目的竣工验收、整改及移交；</w:t>
      </w:r>
    </w:p>
    <w:p w14:paraId="34501A66">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项目的竣工结算；</w:t>
      </w:r>
    </w:p>
    <w:p w14:paraId="20C857F3">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项目的回访保修；</w:t>
      </w:r>
    </w:p>
    <w:p w14:paraId="6007692C">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项目的考核评价。</w:t>
      </w:r>
    </w:p>
    <w:p w14:paraId="49664F2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4.1.8.2竣工验收</w:t>
      </w:r>
    </w:p>
    <w:p w14:paraId="77E19FC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名。</w:t>
      </w:r>
    </w:p>
    <w:p w14:paraId="7F58D04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4A1C9CE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（3）组织或协助委托人、承包人和产权管理单位对项目进行移交。</w:t>
      </w:r>
    </w:p>
    <w:p w14:paraId="01A5F5B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（4）根据现场的实际竣工情况对承包人提交的竣工图纸（包括设备移交资料等）进行复核确认。</w:t>
      </w:r>
    </w:p>
    <w:p w14:paraId="0DB8D87F">
      <w:pPr>
        <w:adjustRightInd w:val="0"/>
        <w:snapToGrid w:val="0"/>
        <w:spacing w:line="360" w:lineRule="auto"/>
        <w:ind w:firstLine="480"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4.1.8.3审核竣工结算</w:t>
      </w:r>
    </w:p>
    <w:p w14:paraId="333F788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（1）结算的总体要求</w:t>
      </w:r>
    </w:p>
    <w:p w14:paraId="672F654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监理人应根据有关合同约定及工程进展的实际情况，于竣工后2周内编制工程竣工结算计划报委托人批准后实施。监理人负责组织有关单位按核准的结算计划中的时间要求提交竣工结算书及竣工结算资料。</w:t>
      </w:r>
    </w:p>
    <w:p w14:paraId="14A9EEE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（2）工程结算资料必须实事求是、完整、真实准确，并按财政评审部门的要求及时提交。</w:t>
      </w:r>
    </w:p>
    <w:p w14:paraId="7E69CC4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（3）财政评审部门结算审核过程中的相关工作</w:t>
      </w:r>
    </w:p>
    <w:p w14:paraId="5942B1A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1）监理人应积极组织并督促承包人配合政府主管部门对本合同工程结算书（结算资料）的审核工作，以推动结算工作的顺利进行。</w:t>
      </w:r>
    </w:p>
    <w:p w14:paraId="380E96F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2）监理人应按委托人要求，派出相关人员参加政府主管部门组织的针对本合同工程结算审核工作的相关会议（如结算工作会议、结算工程量核对会议等）。</w:t>
      </w:r>
    </w:p>
    <w:p w14:paraId="22AA429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3）监理人应根据政府主管部门对本合同工程结算提出的意见，向委托人提出解决本合同工程结算争议的合理建议。</w:t>
      </w:r>
    </w:p>
    <w:p w14:paraId="593D604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4.1.8.4提交监理工作总结</w:t>
      </w:r>
    </w:p>
    <w:p w14:paraId="5D65DA7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监理工作结束时，监理人应向委托人提交监理工作总结。监理工作总结包括但不限于以下内容：</w:t>
      </w:r>
    </w:p>
    <w:p w14:paraId="0A539C4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（1）工程概况；</w:t>
      </w:r>
    </w:p>
    <w:p w14:paraId="4594E2C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（2）监理组织机构、监理人员和投入的监理设施；</w:t>
      </w:r>
    </w:p>
    <w:p w14:paraId="535AEE3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（3）监理合同履行情况；</w:t>
      </w:r>
    </w:p>
    <w:p w14:paraId="22ABE88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（4）监理工作成效；</w:t>
      </w:r>
    </w:p>
    <w:p w14:paraId="0D2D2D2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（5）施工过程中出现的问题及其处理情况和建议；</w:t>
      </w:r>
    </w:p>
    <w:p w14:paraId="2F613D8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（6）工程照片(有必要时)。</w:t>
      </w:r>
    </w:p>
    <w:p w14:paraId="5CCA8240">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4.1.9工程质量保修期的监理工作</w:t>
      </w:r>
    </w:p>
    <w:p w14:paraId="28D069C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（1）监理人应依据委托监理合同约定的工程质量保修期监理工作的时间、范围和内容开展工作。</w:t>
      </w:r>
    </w:p>
    <w:p w14:paraId="556C49D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（2）承担质量保修期监理工作时，监理人应安排监理人员对委托人提出的工程质量缺陷进行检查和记录，对承包人进行修复的工程质量进行验收，合格后予以签认。</w:t>
      </w:r>
    </w:p>
    <w:p w14:paraId="19D40B2B">
      <w:pPr>
        <w:adjustRightInd w:val="0"/>
        <w:snapToGrid w:val="0"/>
        <w:spacing w:line="360" w:lineRule="auto"/>
        <w:ind w:firstLine="480" w:firstLineChars="200"/>
        <w:rPr>
          <w:rFonts w:hint="eastAsia"/>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（3）监理人员应对工程质量缺陷原因进行调查分析并确定责任归属，对非承包人原因造成的工程质量缺陷，监理人员应核实修复工程的费用和签署工程款支付证书，并报委托人。</w:t>
      </w:r>
    </w:p>
    <w:p w14:paraId="664FD299">
      <w:pPr>
        <w:autoSpaceDE w:val="0"/>
        <w:autoSpaceDN w:val="0"/>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4.2项目监理机构</w:t>
      </w:r>
    </w:p>
    <w:p w14:paraId="5A1AD45B">
      <w:pPr>
        <w:adjustRightInd w:val="0"/>
        <w:snapToGrid w:val="0"/>
        <w:spacing w:line="360" w:lineRule="auto"/>
        <w:ind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4.2.1项目监理机构</w:t>
      </w:r>
    </w:p>
    <w:p w14:paraId="461A459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（1）监理人必须在施工现场建立项目监理机构。项目监理机构在完成委托监理合同约定的监理工作后可撤离施工现场。</w:t>
      </w:r>
    </w:p>
    <w:p w14:paraId="5DBD2B3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（2）监理人必须在委托人发出进场通知后，按委托人具体的要求进场，并立即开始履行本合同约定的服务。监理人必须按照其投标文件和监理规划的承诺，足额、按时派驻监理人员和投入设备。</w:t>
      </w:r>
    </w:p>
    <w:p w14:paraId="0DC891B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（3）监理人员应包括总监理工程师、专业监理工程师和监理员，必要时可配备总监理工程师代表。</w:t>
      </w:r>
    </w:p>
    <w:p w14:paraId="545D774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14:paraId="735FA39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（5）监理人派驻到项目所在地履行监理服务的监理人员，必须常驻现场。</w:t>
      </w:r>
    </w:p>
    <w:p w14:paraId="412EE31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14:paraId="0E0B72C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监理人必须保证参与本项目监理人员的稳定性，未征得委托人同意不可撤换，否则必须承担相应责任。监理人因工作安排或其他原因，需要更换派驻到项目所在地履行监理服务的主要监理人员的，应事先得到委托人的同意。</w:t>
      </w:r>
    </w:p>
    <w:p w14:paraId="09DCE00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（8）委托人有权以书面形式要求监理人更换不能按照本合同约定履行监理服务的派驻人员。</w:t>
      </w:r>
    </w:p>
    <w:p w14:paraId="634E9F0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（9）即使是委托人要求或同意更换的监理人员，其替代人员的资质仍应得到委托人的认可。由于更换人员引起的费用由监理人承担。</w:t>
      </w:r>
    </w:p>
    <w:p w14:paraId="47A7613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（10）监理工程师在本监理合同授权范围内行使合同规定的权利，履行相应的职责。</w:t>
      </w:r>
    </w:p>
    <w:p w14:paraId="4E5F743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支付。必要时委托人有权从本合同监理酬金中直接支付。</w:t>
      </w:r>
    </w:p>
    <w:p w14:paraId="60662590">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（13）委托人根据工程推进实际情况，有权要求监理人的项目负责人必须调用其资源保证落实本项目监理工作。</w:t>
      </w:r>
    </w:p>
    <w:p w14:paraId="12A60EE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（14）监理人应对其驻地监理人员的人身安全承担责任。</w:t>
      </w:r>
    </w:p>
    <w:p w14:paraId="6A8A2B9B">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15）监理人应于委托监理合同签订后十日内将项目监理机构的组织形式、人员构成及对总监理工程师的任命书面通知委托人。当总监理工程师需要调整时，监理人应征事先书面征得委托人的同意；当专业监理工程师需要调整时，总监理工程师应书面通知委托人和承包人。</w:t>
      </w:r>
    </w:p>
    <w:p w14:paraId="0A2568C0">
      <w:pPr>
        <w:adjustRightInd w:val="0"/>
        <w:snapToGrid w:val="0"/>
        <w:spacing w:line="360" w:lineRule="auto"/>
        <w:ind w:right="11" w:firstLine="482"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4.2.2总监理工程师的委派和指令</w:t>
      </w:r>
    </w:p>
    <w:p w14:paraId="6642C5F3">
      <w:pPr>
        <w:adjustRightInd w:val="0"/>
        <w:snapToGrid w:val="0"/>
        <w:spacing w:line="360" w:lineRule="auto"/>
        <w:ind w:right="11" w:firstLine="460" w:firstLineChars="192"/>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bCs/>
          <w:snapToGrid w:val="0"/>
          <w:color w:val="000000" w:themeColor="text1"/>
          <w:kern w:val="0"/>
          <w:szCs w:val="21"/>
          <w:highlight w:val="none"/>
          <w14:textFill>
            <w14:solidFill>
              <w14:schemeClr w14:val="tx1"/>
            </w14:solidFill>
          </w14:textFill>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031A40DA">
      <w:pPr>
        <w:adjustRightInd w:val="0"/>
        <w:snapToGrid w:val="0"/>
        <w:spacing w:line="360" w:lineRule="auto"/>
        <w:ind w:right="11" w:firstLine="460" w:firstLineChars="192"/>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r>
        <w:rPr>
          <w:rFonts w:hint="eastAsia" w:ascii="宋体" w:hAnsi="宋体" w:cs="宋体"/>
          <w:bCs/>
          <w:snapToGrid w:val="0"/>
          <w:color w:val="000000" w:themeColor="text1"/>
          <w:kern w:val="0"/>
          <w:szCs w:val="21"/>
          <w:highlight w:val="none"/>
          <w14:textFill>
            <w14:solidFill>
              <w14:schemeClr w14:val="tx1"/>
            </w14:solidFill>
          </w14:textFill>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62A7119B">
      <w:pPr>
        <w:adjustRightInd w:val="0"/>
        <w:snapToGrid w:val="0"/>
        <w:spacing w:line="360" w:lineRule="auto"/>
        <w:ind w:right="11" w:firstLine="460" w:firstLineChars="192"/>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bCs/>
          <w:snapToGrid w:val="0"/>
          <w:color w:val="000000" w:themeColor="text1"/>
          <w:kern w:val="0"/>
          <w:szCs w:val="21"/>
          <w:highlight w:val="none"/>
          <w14:textFill>
            <w14:solidFill>
              <w14:schemeClr w14:val="tx1"/>
            </w14:solidFill>
          </w14:textFill>
        </w:rPr>
        <w:t>总监理工程师应按相关合同的约定向承包人发出指令，总监理工程师的指令应盖有监理人授权的施工场地机构章，并由总监理工程师或总监理工程师按上述（1）项约定授权的监理人员签名。</w:t>
      </w:r>
    </w:p>
    <w:p w14:paraId="09654251">
      <w:pPr>
        <w:adjustRightInd w:val="0"/>
        <w:snapToGrid w:val="0"/>
        <w:spacing w:line="360" w:lineRule="auto"/>
        <w:ind w:right="11" w:firstLine="460" w:firstLineChars="192"/>
        <w:rPr>
          <w:rFonts w:hint="eastAsia" w:ascii="宋体" w:hAnsi="宋体" w:cs="宋体"/>
          <w:bCs/>
          <w:strike/>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w:t>
      </w:r>
      <w:r>
        <w:rPr>
          <w:rFonts w:hint="eastAsia" w:ascii="宋体" w:hAnsi="宋体" w:cs="宋体"/>
          <w:bCs/>
          <w:snapToGrid w:val="0"/>
          <w:color w:val="000000" w:themeColor="text1"/>
          <w:kern w:val="0"/>
          <w:szCs w:val="21"/>
          <w:highlight w:val="none"/>
          <w14:textFill>
            <w14:solidFill>
              <w14:schemeClr w14:val="tx1"/>
            </w14:solidFill>
          </w14:textFill>
        </w:rPr>
        <w:t>承包人收到总监理工程师按上述（3）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14:paraId="3B391C78">
      <w:pPr>
        <w:adjustRightInd w:val="0"/>
        <w:snapToGrid w:val="0"/>
        <w:spacing w:line="360" w:lineRule="auto"/>
        <w:ind w:right="11" w:firstLine="460" w:firstLineChars="192"/>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w:t>
      </w:r>
      <w:r>
        <w:rPr>
          <w:rFonts w:hint="eastAsia" w:ascii="宋体" w:hAnsi="宋体" w:cs="宋体"/>
          <w:bCs/>
          <w:snapToGrid w:val="0"/>
          <w:color w:val="000000" w:themeColor="text1"/>
          <w:kern w:val="0"/>
          <w:szCs w:val="21"/>
          <w:highlight w:val="none"/>
          <w14:textFill>
            <w14:solidFill>
              <w14:schemeClr w14:val="tx1"/>
            </w14:solidFill>
          </w14:textFill>
        </w:rPr>
        <w:t>在紧急情况下，总监理工程师或被授权的监理人员可以当场发出口头指令，承包人应遵照执行。监理人应在发出口头指令后24小时内发出书面指令予以确认。</w:t>
      </w:r>
    </w:p>
    <w:p w14:paraId="160612B8">
      <w:pPr>
        <w:adjustRightInd w:val="0"/>
        <w:snapToGrid w:val="0"/>
        <w:spacing w:line="360" w:lineRule="auto"/>
        <w:ind w:right="11" w:firstLine="460" w:firstLineChars="192"/>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w:t>
      </w:r>
      <w:r>
        <w:rPr>
          <w:rFonts w:hint="eastAsia" w:ascii="宋体" w:hAnsi="宋体" w:cs="宋体"/>
          <w:bCs/>
          <w:snapToGrid w:val="0"/>
          <w:color w:val="000000" w:themeColor="text1"/>
          <w:kern w:val="0"/>
          <w:szCs w:val="21"/>
          <w:highlight w:val="none"/>
          <w14:textFill>
            <w14:solidFill>
              <w14:schemeClr w14:val="tx1"/>
            </w14:solidFill>
          </w14:textFill>
        </w:rPr>
        <w:t>除合同另有约定外，承包人只从总监理工程师或按上述（1）项被授权的监理人员处取得指令。</w:t>
      </w:r>
    </w:p>
    <w:p w14:paraId="4C26C344">
      <w:pPr>
        <w:adjustRightInd w:val="0"/>
        <w:snapToGrid w:val="0"/>
        <w:spacing w:line="360" w:lineRule="auto"/>
        <w:ind w:right="11" w:firstLine="460" w:firstLineChars="192"/>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w:t>
      </w:r>
      <w:r>
        <w:rPr>
          <w:rFonts w:hint="eastAsia" w:ascii="宋体" w:hAnsi="宋体" w:cs="宋体"/>
          <w:bCs/>
          <w:snapToGrid w:val="0"/>
          <w:color w:val="000000" w:themeColor="text1"/>
          <w:kern w:val="0"/>
          <w:szCs w:val="21"/>
          <w:highlight w:val="none"/>
          <w14:textFill>
            <w14:solidFill>
              <w14:schemeClr w14:val="tx1"/>
            </w14:solidFill>
          </w14:textFill>
        </w:rPr>
        <w:t>由于总监理工程师未能按合同约定履行职责或总监理工程师指令错误而延误工期的，工期顺延情形只适用于一般节点工期。</w:t>
      </w:r>
    </w:p>
    <w:p w14:paraId="701113F4">
      <w:pPr>
        <w:adjustRightInd w:val="0"/>
        <w:snapToGrid w:val="0"/>
        <w:spacing w:line="360" w:lineRule="auto"/>
        <w:ind w:firstLine="48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第五条　监理人义务</w:t>
      </w:r>
    </w:p>
    <w:p w14:paraId="7C7A360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5.1监理人应对其派驻的项目监理机构在监理业务范围内的工作全面负责，并提供一切必要的支持。</w:t>
      </w:r>
    </w:p>
    <w:p w14:paraId="2F223C45">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5.2监理人在本合同履行期内必须接受委托人有关项目管理机构职权规定的约束，监理人应对提供给本项目服务的人员经常进行检查、指导、管理及后方支持，对他们完成的服务承担责任。</w:t>
      </w:r>
    </w:p>
    <w:p w14:paraId="0D67732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5.3监理人必须在收到图纸、勘察资料等技术文件后14日内向委托人提供针对本合同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14:paraId="5495E9E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5.4委托人委托监理人代表委托人组织施工前期手续的办理工作，直至具备施工条件。委托人委托监理人承担本合同工程范围内的协调管理工作，包括工程施工的进场、设计、退场、质量、进度及其他相关工作。</w:t>
      </w:r>
    </w:p>
    <w:p w14:paraId="7B8BD11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5.5监理工程师在本合同工程中，对工程质量、投资与进度进行控制，办理合同约定的各项手续。监理工程师在办理各种手续时，不得扣压和延误。</w:t>
      </w:r>
    </w:p>
    <w:p w14:paraId="7C6E8C1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5.6在任何情况下（包括合同另有约定的情况），凡涉及工程变更、工程量增减、议价、索赔、处理事故、改变工期、改变技术标准、改变重大施工方案等及一切有关费用的问题，均需与委托人共同商定，报委托人批准。</w:t>
      </w:r>
    </w:p>
    <w:p w14:paraId="435C8D09">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5.7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59D58CF2">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5.8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2D7B1FC6">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5.9监理人必须不折不扣地履行其工作职责，不得推托或耽误，不能有不履行或不完全履行职务的行为，否则，必须承担相应的违约责任。</w:t>
      </w:r>
    </w:p>
    <w:p w14:paraId="03B59497">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5.10对于委托人及承包人书面提交并要求作出决定的事宜，监理人应在3日内作出书面答复，对影响施工现场进度的事项应在24小时内作出具有明确处理意见的书面答复。</w:t>
      </w:r>
    </w:p>
    <w:p w14:paraId="2D2686A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5.11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688ED8C8">
      <w:pPr>
        <w:adjustRightInd w:val="0"/>
        <w:snapToGrid w:val="0"/>
        <w:spacing w:line="360" w:lineRule="auto"/>
        <w:ind w:firstLine="482"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第九条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委托人根据需要有权指令监理人协调部分外部关系，委托人对此无需支付任何酬金。</w:t>
      </w:r>
    </w:p>
    <w:p w14:paraId="0BD82F4A">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第十条</w:t>
      </w:r>
      <w:r>
        <w:rPr>
          <w:rFonts w:hint="eastAsia" w:ascii="宋体" w:hAnsi="宋体" w:cs="宋体"/>
          <w:b/>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委托人在本合同生效后3日内向监理人免费提供下述文件、资料：</w:t>
      </w:r>
    </w:p>
    <w:p w14:paraId="51B2ACA3">
      <w:pPr>
        <w:tabs>
          <w:tab w:val="left" w:pos="0"/>
        </w:tabs>
        <w:autoSpaceDE w:val="0"/>
        <w:autoSpaceDN w:val="0"/>
        <w:adjustRightInd w:val="0"/>
        <w:snapToGrid w:val="0"/>
        <w:spacing w:line="360" w:lineRule="auto"/>
        <w:ind w:firstLine="54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（1）委托人与承包人签订的合同文件1份；</w:t>
      </w:r>
    </w:p>
    <w:p w14:paraId="147CF27B">
      <w:pPr>
        <w:tabs>
          <w:tab w:val="left" w:pos="0"/>
        </w:tabs>
        <w:autoSpaceDE w:val="0"/>
        <w:autoSpaceDN w:val="0"/>
        <w:adjustRightInd w:val="0"/>
        <w:snapToGrid w:val="0"/>
        <w:spacing w:line="360" w:lineRule="auto"/>
        <w:ind w:firstLine="54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（2）施工图纸及说明1套；</w:t>
      </w:r>
    </w:p>
    <w:p w14:paraId="3B0E4B15">
      <w:pPr>
        <w:tabs>
          <w:tab w:val="left" w:pos="0"/>
        </w:tabs>
        <w:autoSpaceDE w:val="0"/>
        <w:autoSpaceDN w:val="0"/>
        <w:adjustRightInd w:val="0"/>
        <w:snapToGrid w:val="0"/>
        <w:spacing w:line="360" w:lineRule="auto"/>
        <w:ind w:firstLine="54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（3）委托人结合本项目实际编写的技术规范1套；</w:t>
      </w:r>
    </w:p>
    <w:p w14:paraId="1976F8C3">
      <w:pPr>
        <w:tabs>
          <w:tab w:val="left" w:pos="0"/>
        </w:tabs>
        <w:autoSpaceDE w:val="0"/>
        <w:autoSpaceDN w:val="0"/>
        <w:adjustRightInd w:val="0"/>
        <w:snapToGrid w:val="0"/>
        <w:spacing w:line="360" w:lineRule="auto"/>
        <w:ind w:firstLine="54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（4）监理人完成本合同监理工作所必须的其他文件和资料。</w:t>
      </w:r>
    </w:p>
    <w:p w14:paraId="0A122AFE">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第十一条</w:t>
      </w:r>
      <w:r>
        <w:rPr>
          <w:rFonts w:hint="eastAsia" w:ascii="宋体" w:hAnsi="宋体" w:cs="宋体"/>
          <w:snapToGrid w:val="0"/>
          <w:color w:val="000000" w:themeColor="text1"/>
          <w:kern w:val="0"/>
          <w:szCs w:val="21"/>
          <w:highlight w:val="none"/>
          <w14:textFill>
            <w14:solidFill>
              <w14:schemeClr w14:val="tx1"/>
            </w14:solidFill>
          </w14:textFill>
        </w:rPr>
        <w:t xml:space="preserve">  委托人应在7日内对监理人书面提交并要求作出决定的事宜作出书面答复</w:t>
      </w:r>
      <w:r>
        <w:rPr>
          <w:rFonts w:hint="eastAsia" w:ascii="宋体" w:hAnsi="宋体" w:cs="宋体"/>
          <w:color w:val="000000" w:themeColor="text1"/>
          <w:szCs w:val="21"/>
          <w:highlight w:val="none"/>
          <w14:textFill>
            <w14:solidFill>
              <w14:schemeClr w14:val="tx1"/>
            </w14:solidFill>
          </w14:textFill>
        </w:rPr>
        <w:t>，重大事件回复时间可以适当延长</w:t>
      </w:r>
      <w:r>
        <w:rPr>
          <w:rFonts w:hint="eastAsia" w:ascii="宋体" w:hAnsi="宋体" w:cs="宋体"/>
          <w:snapToGrid w:val="0"/>
          <w:color w:val="000000" w:themeColor="text1"/>
          <w:kern w:val="0"/>
          <w:szCs w:val="21"/>
          <w:highlight w:val="none"/>
          <w14:textFill>
            <w14:solidFill>
              <w14:schemeClr w14:val="tx1"/>
            </w14:solidFill>
          </w14:textFill>
        </w:rPr>
        <w:t>。</w:t>
      </w:r>
    </w:p>
    <w:p w14:paraId="3257D812">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第十二条</w:t>
      </w:r>
      <w:r>
        <w:rPr>
          <w:rFonts w:hint="eastAsia" w:ascii="宋体" w:hAnsi="宋体" w:cs="宋体"/>
          <w:snapToGrid w:val="0"/>
          <w:color w:val="000000" w:themeColor="text1"/>
          <w:kern w:val="0"/>
          <w:szCs w:val="21"/>
          <w:highlight w:val="none"/>
          <w14:textFill>
            <w14:solidFill>
              <w14:schemeClr w14:val="tx1"/>
            </w14:solidFill>
          </w14:textFill>
        </w:rPr>
        <w:t>委托人的常驻代表为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，联系电话           </w:t>
      </w:r>
      <w:r>
        <w:rPr>
          <w:rFonts w:hint="eastAsia" w:ascii="宋体" w:hAnsi="宋体" w:cs="宋体"/>
          <w:snapToGrid w:val="0"/>
          <w:color w:val="000000" w:themeColor="text1"/>
          <w:kern w:val="0"/>
          <w:szCs w:val="21"/>
          <w:highlight w:val="none"/>
          <w14:textFill>
            <w14:solidFill>
              <w14:schemeClr w14:val="tx1"/>
            </w14:solidFill>
          </w14:textFill>
        </w:rPr>
        <w:t>。</w:t>
      </w:r>
    </w:p>
    <w:p w14:paraId="1CD8B5A5">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第十五条  </w:t>
      </w:r>
      <w:r>
        <w:rPr>
          <w:rFonts w:hint="eastAsia" w:ascii="宋体" w:hAnsi="宋体" w:cs="宋体"/>
          <w:snapToGrid w:val="0"/>
          <w:color w:val="000000" w:themeColor="text1"/>
          <w:kern w:val="0"/>
          <w:szCs w:val="21"/>
          <w:highlight w:val="none"/>
          <w14:textFill>
            <w14:solidFill>
              <w14:schemeClr w14:val="tx1"/>
            </w14:solidFill>
          </w14:textFill>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14:paraId="57E7762C">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对监理人自备的设施，双方一致同意不适用本合同标准条件第十五条的约定，监理人不得向委托人索取任何经济补偿。</w:t>
      </w:r>
    </w:p>
    <w:p w14:paraId="6990D2DE">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项目监理机构应根据工程项目类别、规模、技术复杂程度、工程项目所在地的环境条件，按委托监理合同的约定，配备满足监理工作需要的常规检测设备和工具。</w:t>
      </w:r>
    </w:p>
    <w:p w14:paraId="091E5D62">
      <w:pPr>
        <w:adjustRightInd w:val="0"/>
        <w:snapToGrid w:val="0"/>
        <w:spacing w:line="360" w:lineRule="auto"/>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项目监理机构应配备足够实施监理工作的计算机辅助管理。</w:t>
      </w:r>
    </w:p>
    <w:p w14:paraId="010B7F7F">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第十六条</w:t>
      </w:r>
      <w:r>
        <w:rPr>
          <w:rFonts w:hint="eastAsia" w:ascii="宋体" w:hAnsi="宋体" w:cs="宋体"/>
          <w:snapToGrid w:val="0"/>
          <w:color w:val="000000" w:themeColor="text1"/>
          <w:kern w:val="0"/>
          <w:szCs w:val="21"/>
          <w:highlight w:val="none"/>
          <w14:textFill>
            <w14:solidFill>
              <w14:schemeClr w14:val="tx1"/>
            </w14:solidFill>
          </w14:textFill>
        </w:rPr>
        <w:t xml:space="preserve">  在监理服务期间，委托人不免费向监理人提供工作人员和服务人员。</w:t>
      </w:r>
    </w:p>
    <w:p w14:paraId="760E02BC">
      <w:pPr>
        <w:adjustRightInd w:val="0"/>
        <w:snapToGrid w:val="0"/>
        <w:spacing w:line="360" w:lineRule="auto"/>
        <w:ind w:firstLine="482"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第十七条</w:t>
      </w:r>
      <w:r>
        <w:rPr>
          <w:rFonts w:hint="eastAsia" w:ascii="宋体" w:hAnsi="宋体" w:cs="宋体"/>
          <w:snapToGrid w:val="0"/>
          <w:color w:val="000000" w:themeColor="text1"/>
          <w:kern w:val="0"/>
          <w:szCs w:val="21"/>
          <w:highlight w:val="none"/>
          <w14:textFill>
            <w14:solidFill>
              <w14:schemeClr w14:val="tx1"/>
            </w14:solidFill>
          </w14:textFill>
        </w:rPr>
        <w:t xml:space="preserve">  除选择工程分包单位的认可权由委托人行使外，监理人可以行使本合同标准条件第十七条约定的权利及下列权利：</w:t>
      </w:r>
    </w:p>
    <w:p w14:paraId="20AE847A">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（1）工程质量与分项分部工程（含隐蔽工程）质量的检验权。未经监理工程师现场检验确认质量的工程，委托人有权拒绝支付工程款。</w:t>
      </w:r>
    </w:p>
    <w:p w14:paraId="7DC521A3">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（2）对完工的分项分部工程的计量权。承包人已完工且要求支付工程款的项目，应首先由监理工程师与承包人共同到现场进行计量。未经监理工程师计量的工程，委托人不予支付工程款。</w:t>
      </w:r>
    </w:p>
    <w:p w14:paraId="5FF4520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（3）工程质量事故的调查权和处理建议权。当工程出现质量事故时，监理工程师应组织质量听证会，结合现场调查的结果，提出调查报告和处理建议。</w:t>
      </w:r>
    </w:p>
    <w:p w14:paraId="5A7A4864">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1D1F0E73">
      <w:pPr>
        <w:adjustRightInd w:val="0"/>
        <w:snapToGrid w:val="0"/>
        <w:spacing w:line="360" w:lineRule="auto"/>
        <w:ind w:left="240" w:leftChars="100" w:right="12" w:rightChars="5"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1）同意本合同工程任何部分的分包合同；</w:t>
      </w:r>
    </w:p>
    <w:p w14:paraId="1C471176">
      <w:pPr>
        <w:adjustRightInd w:val="0"/>
        <w:snapToGrid w:val="0"/>
        <w:spacing w:line="360" w:lineRule="auto"/>
        <w:ind w:left="240" w:leftChars="100" w:right="12" w:rightChars="5"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2）工程款、材料款以及其他费用的支付；</w:t>
      </w:r>
    </w:p>
    <w:p w14:paraId="01E86EF9">
      <w:pPr>
        <w:adjustRightInd w:val="0"/>
        <w:snapToGrid w:val="0"/>
        <w:spacing w:line="360" w:lineRule="auto"/>
        <w:ind w:left="240" w:leftChars="100" w:right="12" w:rightChars="5"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3）施工进度更改或对工程延期的决定；</w:t>
      </w:r>
    </w:p>
    <w:p w14:paraId="64C18ED6">
      <w:pPr>
        <w:adjustRightInd w:val="0"/>
        <w:snapToGrid w:val="0"/>
        <w:spacing w:line="360" w:lineRule="auto"/>
        <w:ind w:left="240" w:leftChars="100" w:right="12" w:rightChars="5"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4）发布变更指令及签发现场签证；</w:t>
      </w:r>
    </w:p>
    <w:p w14:paraId="0619CE02">
      <w:pPr>
        <w:adjustRightInd w:val="0"/>
        <w:snapToGrid w:val="0"/>
        <w:spacing w:line="360" w:lineRule="auto"/>
        <w:ind w:left="240" w:leftChars="100" w:right="12" w:rightChars="5"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5）确定变更工程和新增工程的单价、费率、价格；</w:t>
      </w:r>
    </w:p>
    <w:p w14:paraId="7EE532FC">
      <w:pPr>
        <w:adjustRightInd w:val="0"/>
        <w:snapToGrid w:val="0"/>
        <w:spacing w:line="360" w:lineRule="auto"/>
        <w:ind w:left="240" w:leftChars="100" w:right="12" w:rightChars="5"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6）承包人提出合理化建议或提出采用新工艺、新材料、新技术，涉及重大设计变更或施工方案调整的（这些变更或调整将改变原设计的基本功能或工期或投资等）；</w:t>
      </w:r>
    </w:p>
    <w:p w14:paraId="6F9065A8">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（5）监理人根据委托人的相关规定（制度、实施细则等）对所本合同工程范围内的技术督导单位、材料设备管理服务单位进行协调管理。</w:t>
      </w:r>
    </w:p>
    <w:p w14:paraId="368EEEEF">
      <w:pPr>
        <w:adjustRightInd w:val="0"/>
        <w:snapToGrid w:val="0"/>
        <w:spacing w:line="360" w:lineRule="auto"/>
        <w:ind w:right="11"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（6）委托人授权监理人行使的其他职权。</w:t>
      </w:r>
    </w:p>
    <w:p w14:paraId="6A6715FD">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监理人对工程款支付的审核必须在承包人申报计量后2日内完成。</w:t>
      </w:r>
    </w:p>
    <w:p w14:paraId="0D19243F">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本合同中约定的监理人的权利应当理解为委托人赋予监理人的职权，监理人必须履行，委托人另有要求的除外。</w:t>
      </w:r>
    </w:p>
    <w:p w14:paraId="0AA1C101">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监理人对委托人有关人员（包括委托人授权代表）违规干扰其正常监理工作和吃拿卡要等行为，有权向委托人纪检监察部门投诉或举报。</w:t>
      </w:r>
    </w:p>
    <w:p w14:paraId="4886FC19">
      <w:pPr>
        <w:adjustRightInd w:val="0"/>
        <w:snapToGrid w:val="0"/>
        <w:spacing w:line="360" w:lineRule="auto"/>
        <w:ind w:firstLine="472" w:firstLineChars="196"/>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第二十五条</w:t>
      </w:r>
      <w:r>
        <w:rPr>
          <w:rFonts w:hint="eastAsia" w:ascii="宋体" w:hAnsi="宋体" w:cs="宋体"/>
          <w:snapToGrid w:val="0"/>
          <w:color w:val="000000" w:themeColor="text1"/>
          <w:kern w:val="0"/>
          <w:szCs w:val="21"/>
          <w:highlight w:val="none"/>
          <w14:textFill>
            <w14:solidFill>
              <w14:schemeClr w14:val="tx1"/>
            </w14:solidFill>
          </w14:textFill>
        </w:rPr>
        <w:t xml:space="preserve">  监理服务的期限自委托人通知进场工作之日起，至本合同工程项目结束且办理完竣工验收手续并双方同时履行完本合同的责任和义务时止。</w:t>
      </w:r>
    </w:p>
    <w:p w14:paraId="7C32ED55">
      <w:pPr>
        <w:adjustRightInd w:val="0"/>
        <w:snapToGrid w:val="0"/>
        <w:spacing w:line="360" w:lineRule="auto"/>
        <w:ind w:left="43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第二十六条  </w:t>
      </w:r>
      <w:r>
        <w:rPr>
          <w:rFonts w:hint="eastAsia" w:ascii="宋体" w:hAnsi="宋体" w:cs="宋体"/>
          <w:snapToGrid w:val="0"/>
          <w:color w:val="000000" w:themeColor="text1"/>
          <w:kern w:val="0"/>
          <w:szCs w:val="21"/>
          <w:highlight w:val="none"/>
          <w14:textFill>
            <w14:solidFill>
              <w14:schemeClr w14:val="tx1"/>
            </w14:solidFill>
          </w14:textFill>
        </w:rPr>
        <w:t>监理人的违约责任：</w:t>
      </w:r>
    </w:p>
    <w:p w14:paraId="2966BC02">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26.1监理人违反本合同的约定，应当按约定向委托人承担相应的违约责任，承担违约责任方式包括但不限于：</w:t>
      </w:r>
    </w:p>
    <w:p w14:paraId="67559F4E">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书面警告。监理人未履行或未按时履行或未按质履行义务或不执行委托人（含主管人员）的指令时，委托人有权向监理人发出书面警告。监理人必须在书面警告限定的时间内履行义务，否则应承担1次一般违约责任。</w:t>
      </w:r>
    </w:p>
    <w:p w14:paraId="6763B05C">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一般违约责任。监理人按本合同约定应当承担一般违约责任时，第一次应向委托人交纳违约金，具体违约金见下表。同一违约性质的一般违约责任为第二次时，监理人应向委托人交纳的违约金为第一次交纳金额的2倍；第三次时，监理人应向委托人交纳的违约金为第一次交纳金额的3倍；以此类推，最高不超过第一次交纳违约金金额的5倍。</w:t>
      </w:r>
    </w:p>
    <w:p w14:paraId="3547F489">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（3）严重违约责任。监理人按本合同约定应当承担严重违约责任时，应向委托人交纳违约金，具体违约金见下表。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837"/>
        <w:gridCol w:w="2789"/>
        <w:gridCol w:w="2464"/>
      </w:tblGrid>
      <w:tr w14:paraId="4DFF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1902F81B">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序号</w:t>
            </w:r>
          </w:p>
        </w:tc>
        <w:tc>
          <w:tcPr>
            <w:tcW w:w="2837" w:type="dxa"/>
            <w:noWrap w:val="0"/>
            <w:vAlign w:val="center"/>
          </w:tcPr>
          <w:p w14:paraId="290F1082">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施工合同价</w:t>
            </w:r>
          </w:p>
        </w:tc>
        <w:tc>
          <w:tcPr>
            <w:tcW w:w="2789" w:type="dxa"/>
            <w:noWrap w:val="0"/>
            <w:vAlign w:val="center"/>
          </w:tcPr>
          <w:p w14:paraId="7DAC1FF7">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一般违约</w:t>
            </w:r>
          </w:p>
        </w:tc>
        <w:tc>
          <w:tcPr>
            <w:tcW w:w="2464" w:type="dxa"/>
            <w:noWrap w:val="0"/>
            <w:vAlign w:val="center"/>
          </w:tcPr>
          <w:p w14:paraId="52F7CC65">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严重违约</w:t>
            </w:r>
          </w:p>
        </w:tc>
      </w:tr>
      <w:tr w14:paraId="4715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443570D">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w:t>
            </w:r>
          </w:p>
        </w:tc>
        <w:tc>
          <w:tcPr>
            <w:tcW w:w="2837" w:type="dxa"/>
            <w:noWrap w:val="0"/>
            <w:vAlign w:val="center"/>
          </w:tcPr>
          <w:p w14:paraId="5D51A82C">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≤1亿</w:t>
            </w:r>
          </w:p>
        </w:tc>
        <w:tc>
          <w:tcPr>
            <w:tcW w:w="2789" w:type="dxa"/>
            <w:noWrap w:val="0"/>
            <w:vAlign w:val="center"/>
          </w:tcPr>
          <w:p w14:paraId="62DE6BA8">
            <w:pPr>
              <w:keepNext w:val="0"/>
              <w:keepLines w:val="0"/>
              <w:suppressLineNumbers w:val="0"/>
              <w:adjustRightInd w:val="0"/>
              <w:snapToGrid w:val="0"/>
              <w:spacing w:before="0" w:beforeAutospacing="0" w:after="0" w:afterAutospacing="0" w:line="360" w:lineRule="auto"/>
              <w:ind w:left="0"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1000</w:t>
            </w:r>
          </w:p>
        </w:tc>
        <w:tc>
          <w:tcPr>
            <w:tcW w:w="2464" w:type="dxa"/>
            <w:noWrap w:val="0"/>
            <w:vAlign w:val="center"/>
          </w:tcPr>
          <w:p w14:paraId="4068D11B">
            <w:pPr>
              <w:keepNext w:val="0"/>
              <w:keepLines w:val="0"/>
              <w:suppressLineNumbers w:val="0"/>
              <w:adjustRightInd w:val="0"/>
              <w:snapToGrid w:val="0"/>
              <w:spacing w:before="0" w:beforeAutospacing="0" w:after="0" w:afterAutospacing="0" w:line="360" w:lineRule="auto"/>
              <w:ind w:left="0"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5000</w:t>
            </w:r>
          </w:p>
        </w:tc>
      </w:tr>
      <w:tr w14:paraId="44A4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0B5188A">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w:t>
            </w:r>
          </w:p>
        </w:tc>
        <w:tc>
          <w:tcPr>
            <w:tcW w:w="2837" w:type="dxa"/>
            <w:noWrap w:val="0"/>
            <w:vAlign w:val="center"/>
          </w:tcPr>
          <w:p w14:paraId="0DF3879A">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1亿&lt;且≤5亿</w:t>
            </w:r>
          </w:p>
        </w:tc>
        <w:tc>
          <w:tcPr>
            <w:tcW w:w="2789" w:type="dxa"/>
            <w:noWrap w:val="0"/>
            <w:vAlign w:val="center"/>
          </w:tcPr>
          <w:p w14:paraId="376013E1">
            <w:pPr>
              <w:keepNext w:val="0"/>
              <w:keepLines w:val="0"/>
              <w:suppressLineNumbers w:val="0"/>
              <w:adjustRightInd w:val="0"/>
              <w:snapToGrid w:val="0"/>
              <w:spacing w:before="0" w:beforeAutospacing="0" w:after="0" w:afterAutospacing="0" w:line="360" w:lineRule="auto"/>
              <w:ind w:left="0"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2000</w:t>
            </w:r>
          </w:p>
        </w:tc>
        <w:tc>
          <w:tcPr>
            <w:tcW w:w="2464" w:type="dxa"/>
            <w:noWrap w:val="0"/>
            <w:vAlign w:val="center"/>
          </w:tcPr>
          <w:p w14:paraId="7E525530">
            <w:pPr>
              <w:keepNext w:val="0"/>
              <w:keepLines w:val="0"/>
              <w:suppressLineNumbers w:val="0"/>
              <w:adjustRightInd w:val="0"/>
              <w:snapToGrid w:val="0"/>
              <w:spacing w:before="0" w:beforeAutospacing="0" w:after="0" w:afterAutospacing="0" w:line="360" w:lineRule="auto"/>
              <w:ind w:left="0"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10000</w:t>
            </w:r>
          </w:p>
        </w:tc>
      </w:tr>
      <w:tr w14:paraId="3CAE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80D7BD5">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w:t>
            </w:r>
          </w:p>
        </w:tc>
        <w:tc>
          <w:tcPr>
            <w:tcW w:w="2837" w:type="dxa"/>
            <w:noWrap w:val="0"/>
            <w:vAlign w:val="center"/>
          </w:tcPr>
          <w:p w14:paraId="10A481EA">
            <w:pPr>
              <w:keepNext w:val="0"/>
              <w:keepLines w:val="0"/>
              <w:suppressLineNumbers w:val="0"/>
              <w:adjustRightInd w:val="0"/>
              <w:snapToGrid w:val="0"/>
              <w:spacing w:before="0" w:beforeAutospacing="0" w:after="0" w:afterAutospacing="0" w:line="360" w:lineRule="auto"/>
              <w:ind w:left="0" w:right="11"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&gt;5亿</w:t>
            </w:r>
          </w:p>
        </w:tc>
        <w:tc>
          <w:tcPr>
            <w:tcW w:w="2789" w:type="dxa"/>
            <w:noWrap w:val="0"/>
            <w:vAlign w:val="center"/>
          </w:tcPr>
          <w:p w14:paraId="2F359893">
            <w:pPr>
              <w:keepNext w:val="0"/>
              <w:keepLines w:val="0"/>
              <w:suppressLineNumbers w:val="0"/>
              <w:adjustRightInd w:val="0"/>
              <w:snapToGrid w:val="0"/>
              <w:spacing w:before="0" w:beforeAutospacing="0" w:after="0" w:afterAutospacing="0" w:line="360" w:lineRule="auto"/>
              <w:ind w:left="0"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3000</w:t>
            </w:r>
          </w:p>
        </w:tc>
        <w:tc>
          <w:tcPr>
            <w:tcW w:w="2464" w:type="dxa"/>
            <w:noWrap w:val="0"/>
            <w:vAlign w:val="center"/>
          </w:tcPr>
          <w:p w14:paraId="67745CB4">
            <w:pPr>
              <w:keepNext w:val="0"/>
              <w:keepLines w:val="0"/>
              <w:suppressLineNumbers w:val="0"/>
              <w:adjustRightInd w:val="0"/>
              <w:snapToGrid w:val="0"/>
              <w:spacing w:before="0" w:beforeAutospacing="0" w:after="0" w:afterAutospacing="0" w:line="360" w:lineRule="auto"/>
              <w:ind w:left="0" w:right="11" w:firstLine="48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15000</w:t>
            </w:r>
          </w:p>
        </w:tc>
      </w:tr>
    </w:tbl>
    <w:p w14:paraId="4CA828B8">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部分解除合同。委托人向监理人发出部分解除合同的通知后，本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0F1EE92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解除合同。委托人向监理人发出解除合同的通知后，本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由此造成的一切损失。委托人在发出解除合同的通知后，委托人即可委托新的监理人承接该工程，监理人不得影响或阻碍新的监理人办理进场手续和相关工作。</w:t>
      </w:r>
    </w:p>
    <w:p w14:paraId="505DB736">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赔偿损失。因监理人违约或工作失误给委托人造成损失的，监理人应向委托人赔偿与违约有直接或间接因果关系的所有损失，但损失赔偿总额不应超过本工程监理酬金总额。如果损失是由于监理人故意或严重渎职造成的，监理人应承担全部赔偿责任且损失赔偿总额不受本工程监理酬金总额的限制。</w:t>
      </w:r>
    </w:p>
    <w:p w14:paraId="16DB3F63">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26.2三次书面警告则另行追加一次一般违约责任，三次一般违约责任则另行追加一次严重违约责任。当累计出现三次严重违约或者工程进度严重滞后时，委托人有权要求监理人的法定代表人驻场办公代行项目总监职责，直至其监理工作达到委托人满意时方可离场。</w:t>
      </w:r>
    </w:p>
    <w:p w14:paraId="73777F54">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26.3当监理人违约需向委托人支付违约金或赔偿金时，委托人将书面通知监理人交纳，监理人拒绝交纳的，委托人将从应支付给监理人的监理酬金中直接扣除，扣除款项计入累计监理酬金进度款，结算时不予退还，监理人不得有异议。同时，委托人保留进一步依法追究监理人及其保证人有关责任的权利。</w:t>
      </w:r>
    </w:p>
    <w:p w14:paraId="2C6B378F">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26.4当监理人无正当理由而不履行或没有充分履行其相关承诺及监理义务时，委托人有权书面通知监理人，指明其未能履约的内容和委托人要求其承担违约责任的等级。</w:t>
      </w:r>
    </w:p>
    <w:p w14:paraId="5611FFA8">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26.4.1监理组织管理方面的违约责任：</w:t>
      </w:r>
    </w:p>
    <w:p w14:paraId="29B39A0D">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监理人承诺主动支持委托人的工作，对委托人的指令和书面通知，若无正当理由又未提前报告、得到认可，而公开或变相拒不执行的，第一次按一般违约处理；第二次以后，每违反一次按一次严重违约处理；同时，监理人须承担由此造成的一切经济损失。情节较轻的，可给予书面警告；情节特别严重的，委托人有权单方面部分解除合同或解除合同。</w:t>
      </w:r>
    </w:p>
    <w:p w14:paraId="63CECE60">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监理人不遵守委托人依据本合同协议书第六条约定所制订的各项制度、规定的，由监理人按所违反制度、规定的有关规定承担违约责任。所触犯制度、规定没有明确规定的，由委托人参照本条第26.4.1-（1）款的约定处理。</w:t>
      </w:r>
    </w:p>
    <w:p w14:paraId="206D3213">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（3）监理人未按承诺建立组织架构、派驻监理人员和投入设备，监理人必须按委托人要求限期整改，并承担相应违约责任。具体约定为：</w:t>
      </w:r>
    </w:p>
    <w:p w14:paraId="64309CF8">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在委托人书面通知监理人进场后3日内，监理人承诺的项目总监不到位，或到位后又离开，造成该岗位空缺。委托人一旦发现，将要求监理人做出书面解释并保证人员限期到位，同时将要求监理人承担一般违约责任1次；如果监理人拒不配合，未在委托人提出限期改正的期限内进行整改的，监理人应承担严重违约责任1次，委托人有权单方面提出解除合同，并要求监理人承担由此造成的委托人损失。</w:t>
      </w:r>
    </w:p>
    <w:p w14:paraId="55ACE9F9">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在委托人书面通知监理人进场后3日内，监理人在投标文件中承诺的主要监理人员（指专业监理工程师、造价工程师及同等级别以上的监理人员）未能足额到位，或到位后又离开，造成该岗位空缺，或未按承诺依时、足额投入有关设备，委托人一旦发现将要求监理人做出书面解释并保证人员、设备限期到位；如果监理人拒不配合，未在委托人提出限期改正的期限内进行整改的，监理人应承担严重违约责任1次，直至解除合同，监理人应承担由此造成的委托人损失。</w:t>
      </w:r>
    </w:p>
    <w:p w14:paraId="5F788043">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监理人必须严格按照投标承诺投入监理人员，调换监理人员必须提出书面报告并附上替代人员的所有证明资料，经委托人审核书面同意后才能调换。委托人要求监理人更换个别监理人员时，监理人在接到委托人通知后三日内安排更换到位，否则，委托人将有权延期支付监理酬金，并由委托人直接聘请，聘请人员所需费用按本合同专用条件第4.2.1-（12）款的约定执行。同时，监理人应按下表的约定承担违约责任；情节严重的，委托人有权单方面解除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500"/>
        <w:gridCol w:w="4433"/>
      </w:tblGrid>
      <w:tr w14:paraId="6674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68" w:type="dxa"/>
            <w:noWrap w:val="0"/>
            <w:vAlign w:val="center"/>
          </w:tcPr>
          <w:p w14:paraId="06BAC69E">
            <w:pPr>
              <w:keepNext w:val="0"/>
              <w:keepLines w:val="0"/>
              <w:suppressLineNumbers w:val="0"/>
              <w:tabs>
                <w:tab w:val="left" w:pos="360"/>
              </w:tabs>
              <w:adjustRightInd w:val="0"/>
              <w:snapToGrid w:val="0"/>
              <w:spacing w:before="0" w:beforeAutospacing="0" w:after="0" w:afterAutospacing="0"/>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4500" w:type="dxa"/>
            <w:noWrap w:val="0"/>
            <w:vAlign w:val="center"/>
          </w:tcPr>
          <w:p w14:paraId="034AD419">
            <w:pPr>
              <w:keepNext w:val="0"/>
              <w:keepLines w:val="0"/>
              <w:suppressLineNumbers w:val="0"/>
              <w:tabs>
                <w:tab w:val="left" w:pos="360"/>
              </w:tabs>
              <w:adjustRightInd w:val="0"/>
              <w:snapToGrid w:val="0"/>
              <w:spacing w:before="0" w:beforeAutospacing="0" w:after="0" w:afterAutospacing="0"/>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违约项目</w:t>
            </w:r>
          </w:p>
        </w:tc>
        <w:tc>
          <w:tcPr>
            <w:tcW w:w="4433" w:type="dxa"/>
            <w:noWrap w:val="0"/>
            <w:vAlign w:val="center"/>
          </w:tcPr>
          <w:p w14:paraId="22534F34">
            <w:pPr>
              <w:keepNext w:val="0"/>
              <w:keepLines w:val="0"/>
              <w:suppressLineNumbers w:val="0"/>
              <w:tabs>
                <w:tab w:val="left" w:pos="360"/>
              </w:tabs>
              <w:adjustRightInd w:val="0"/>
              <w:snapToGrid w:val="0"/>
              <w:spacing w:before="0" w:beforeAutospacing="0" w:after="0" w:afterAutospacing="0"/>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违约金</w:t>
            </w:r>
          </w:p>
          <w:p w14:paraId="7DFAB17E">
            <w:pPr>
              <w:keepNext w:val="0"/>
              <w:keepLines w:val="0"/>
              <w:suppressLineNumbers w:val="0"/>
              <w:tabs>
                <w:tab w:val="left" w:pos="360"/>
              </w:tabs>
              <w:adjustRightInd w:val="0"/>
              <w:snapToGrid w:val="0"/>
              <w:spacing w:before="0" w:beforeAutospacing="0" w:after="0" w:afterAutospacing="0"/>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（元/人·次）</w:t>
            </w:r>
          </w:p>
        </w:tc>
      </w:tr>
      <w:tr w14:paraId="41BE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8" w:type="dxa"/>
            <w:noWrap w:val="0"/>
            <w:vAlign w:val="center"/>
          </w:tcPr>
          <w:p w14:paraId="18166D31">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p>
        </w:tc>
        <w:tc>
          <w:tcPr>
            <w:tcW w:w="4500" w:type="dxa"/>
            <w:noWrap w:val="0"/>
            <w:vAlign w:val="center"/>
          </w:tcPr>
          <w:p w14:paraId="588B93F5">
            <w:pPr>
              <w:keepNext w:val="0"/>
              <w:keepLines w:val="0"/>
              <w:suppressLineNumbers w:val="0"/>
              <w:tabs>
                <w:tab w:val="left" w:pos="360"/>
              </w:tabs>
              <w:adjustRightInd w:val="0"/>
              <w:snapToGrid w:val="0"/>
              <w:spacing w:before="0" w:beforeAutospacing="0" w:after="0" w:afterAutospacing="0" w:line="360" w:lineRule="auto"/>
              <w:ind w:left="0" w:right="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监理人自行调换或未按照委托人要求及时更换项目总监</w:t>
            </w:r>
          </w:p>
        </w:tc>
        <w:tc>
          <w:tcPr>
            <w:tcW w:w="4433" w:type="dxa"/>
            <w:noWrap w:val="0"/>
            <w:vAlign w:val="center"/>
          </w:tcPr>
          <w:p w14:paraId="50A60ADD">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本合同监理酬金总额的2%</w:t>
            </w:r>
          </w:p>
        </w:tc>
      </w:tr>
      <w:tr w14:paraId="4EC0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68" w:type="dxa"/>
            <w:noWrap w:val="0"/>
            <w:vAlign w:val="center"/>
          </w:tcPr>
          <w:p w14:paraId="135A29FD">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p>
        </w:tc>
        <w:tc>
          <w:tcPr>
            <w:tcW w:w="4500" w:type="dxa"/>
            <w:noWrap w:val="0"/>
            <w:vAlign w:val="center"/>
          </w:tcPr>
          <w:p w14:paraId="7A969576">
            <w:pPr>
              <w:keepNext w:val="0"/>
              <w:keepLines w:val="0"/>
              <w:suppressLineNumbers w:val="0"/>
              <w:tabs>
                <w:tab w:val="left" w:pos="360"/>
              </w:tabs>
              <w:adjustRightInd w:val="0"/>
              <w:snapToGrid w:val="0"/>
              <w:spacing w:before="0" w:beforeAutospacing="0" w:after="0" w:afterAutospacing="0" w:line="360" w:lineRule="auto"/>
              <w:ind w:left="0" w:right="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监理人自行调换或未按照委托人要求及时更换项目副总监、项目总工或总监代表</w:t>
            </w:r>
          </w:p>
        </w:tc>
        <w:tc>
          <w:tcPr>
            <w:tcW w:w="4433" w:type="dxa"/>
            <w:noWrap w:val="0"/>
            <w:vAlign w:val="center"/>
          </w:tcPr>
          <w:p w14:paraId="266B187C">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本合同监理酬金总额的1%</w:t>
            </w:r>
          </w:p>
        </w:tc>
      </w:tr>
      <w:tr w14:paraId="490C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8" w:type="dxa"/>
            <w:noWrap w:val="0"/>
            <w:vAlign w:val="center"/>
          </w:tcPr>
          <w:p w14:paraId="2A87230C">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p>
        </w:tc>
        <w:tc>
          <w:tcPr>
            <w:tcW w:w="4500" w:type="dxa"/>
            <w:noWrap w:val="0"/>
            <w:vAlign w:val="center"/>
          </w:tcPr>
          <w:p w14:paraId="2DA8DDC5">
            <w:pPr>
              <w:keepNext w:val="0"/>
              <w:keepLines w:val="0"/>
              <w:suppressLineNumbers w:val="0"/>
              <w:tabs>
                <w:tab w:val="left" w:pos="360"/>
              </w:tabs>
              <w:adjustRightInd w:val="0"/>
              <w:snapToGrid w:val="0"/>
              <w:spacing w:before="0" w:beforeAutospacing="0" w:after="0" w:afterAutospacing="0" w:line="360" w:lineRule="auto"/>
              <w:ind w:left="0" w:right="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监理人自行调换或未按照委托人要求及时更换专业监理工程师</w:t>
            </w:r>
          </w:p>
        </w:tc>
        <w:tc>
          <w:tcPr>
            <w:tcW w:w="4433" w:type="dxa"/>
            <w:noWrap w:val="0"/>
            <w:vAlign w:val="center"/>
          </w:tcPr>
          <w:p w14:paraId="3077FD8B">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本合同监理酬金总额的0.5%</w:t>
            </w:r>
          </w:p>
        </w:tc>
      </w:tr>
      <w:tr w14:paraId="1AFB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68" w:type="dxa"/>
            <w:noWrap w:val="0"/>
            <w:vAlign w:val="center"/>
          </w:tcPr>
          <w:p w14:paraId="57808633">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w:t>
            </w:r>
          </w:p>
        </w:tc>
        <w:tc>
          <w:tcPr>
            <w:tcW w:w="4500" w:type="dxa"/>
            <w:noWrap w:val="0"/>
            <w:vAlign w:val="center"/>
          </w:tcPr>
          <w:p w14:paraId="4A32A322">
            <w:pPr>
              <w:keepNext w:val="0"/>
              <w:keepLines w:val="0"/>
              <w:suppressLineNumbers w:val="0"/>
              <w:tabs>
                <w:tab w:val="left" w:pos="360"/>
              </w:tabs>
              <w:adjustRightInd w:val="0"/>
              <w:snapToGrid w:val="0"/>
              <w:spacing w:before="0" w:beforeAutospacing="0" w:after="0" w:afterAutospacing="0" w:line="360" w:lineRule="auto"/>
              <w:ind w:left="0" w:right="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监理人自行调换或未按照委托人要求及时更换造价工程师</w:t>
            </w:r>
          </w:p>
        </w:tc>
        <w:tc>
          <w:tcPr>
            <w:tcW w:w="4433" w:type="dxa"/>
            <w:noWrap w:val="0"/>
            <w:vAlign w:val="center"/>
          </w:tcPr>
          <w:p w14:paraId="024625B7">
            <w:pPr>
              <w:keepNext w:val="0"/>
              <w:keepLines w:val="0"/>
              <w:suppressLineNumbers w:val="0"/>
              <w:tabs>
                <w:tab w:val="left" w:pos="360"/>
              </w:tabs>
              <w:adjustRightInd w:val="0"/>
              <w:snapToGrid w:val="0"/>
              <w:spacing w:before="0" w:beforeAutospacing="0" w:after="0" w:afterAutospacing="0" w:line="360" w:lineRule="auto"/>
              <w:ind w:left="0" w:right="0"/>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本合同监理酬金总额的0.5%</w:t>
            </w:r>
          </w:p>
        </w:tc>
      </w:tr>
    </w:tbl>
    <w:p w14:paraId="26B40EA2">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p>
    <w:p w14:paraId="11A2D910">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项目总监若需离开施工现场需报委托人批准，在其请假离开的时间段内应书面委托其他驻场监理工程师（需具有相应资质和能力）全权代表其行使职权；否则每违约一次，委托人将要求监理人承担1次一般违约责任。</w:t>
      </w:r>
    </w:p>
    <w:p w14:paraId="64CEE137">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（6）其他监理人员需离开施工现场1日以上需报委托人批准，在其请假离开的时间段内应书面委托其他驻场监理代表全权代表其行使相应职权；否则，每违约一次，委托人将要求监理人承担1次一般违约责任。</w:t>
      </w:r>
    </w:p>
    <w:p w14:paraId="19670C3C">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7）委托人将对驻场监理人员进行考勤，如项目总监每月请假日数累计超过4日，监理人必须承担1次一般违约责任；如其他监理人员每月请假日数累计超过6日，且请假总人数全月累计超过监理人数的10%，监理人必须承担1次一般违约责任。</w:t>
      </w:r>
    </w:p>
    <w:p w14:paraId="1E80A63D">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8）委托人要求项目总监、项目副总监等主要监理人员必须参加的会议，项目总监、项目副总监等主要监理人员必须到会。未经委托人同意不到会或不按期到会的，应向委托人说明理由，拒不说明理由的，监理人应当承担1次一般违约责任。</w:t>
      </w:r>
    </w:p>
    <w:p w14:paraId="1FF42F4E">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（9）监理人应该定期或不定期组织、主持召开工地例会及各种技术专题会，以及监理大纲、监理规划、监理实施细则和委托人要求必须召开的会议，如有违反，监理人应当承担1次一般违约责任/次。</w:t>
      </w:r>
    </w:p>
    <w:p w14:paraId="1F70529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26.4.2履行监理职责方面的违约责任：</w:t>
      </w:r>
    </w:p>
    <w:p w14:paraId="5AC94665">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监理人在自己职责范围内应当作出决定的事项故意拖延或者不作出明确的处理意见，委托人发出书面警告后监理人在整改期限内仍不加以改正的，委托人有权要求监理人承担一般违约责任1次，造成损失的监理人应承担相应的责任，并赔偿由此造成委托人的损失。</w:t>
      </w:r>
    </w:p>
    <w:p w14:paraId="23B5CBC1">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对于承包人现场的管理机构人员不到位、擅自离场，管理人员工作能力存在严重不足，监理人不进行检查、督促、处理，不向委托人报告，被委托人发现后，委托人有权给予书面警告并限期改正，监理人拒不限期改正的，应承担1次一般违约责任。</w:t>
      </w:r>
    </w:p>
    <w:p w14:paraId="665E6C19">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承包人未按投标文件所作的承诺投入机械、设备、材料等，监理人对此不进行有效检查、督促、处理，不向委托人报告，被委托人发现后，委托人有权给予书面警告并限期改正，监理人拒不限期改正的，应承担1次一般违约责任。</w:t>
      </w:r>
    </w:p>
    <w:p w14:paraId="43EB92BE">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对于承包人每次进场材料，监理人不进行检查和登记；对已进场的材料，监理人不按有关规定及时进行抽查、送检，监理人承担一般违约责任1次。如由此出现不合格材料使用于工程上并造成质量缺陷，监理人必须承担一般违约责任1次。若出现质量事故或经济损失一次10万元以上的，监理人必须承担严重违约责任1次。造成重大质量安全事故（按国家规定界定），委托人视情况的严重程度有权部分或全部解除合同，同时，不免除追究承包人和监理人的法律责任。</w:t>
      </w:r>
    </w:p>
    <w:p w14:paraId="66CFC6F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被委托人发现后，委托人有权给予书面警告并限期改正，监理人拒不限期改正的，应承担1次一般违约责任。</w:t>
      </w:r>
    </w:p>
    <w:p w14:paraId="5C42513A">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（6）监理人不按本合同专用条件第5.11款的约定办理有关保险事宜的，委托人有权给予书面警告并限期改正，监理人拒不限期改正的，应承担1次严重违约责任并承担由此产生的一切后果。</w:t>
      </w:r>
    </w:p>
    <w:p w14:paraId="2637E004">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7）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1次，情节严重的承担严重违约责任1次，同时，承包人和监理人应赔偿委托人的经济损失。</w:t>
      </w:r>
    </w:p>
    <w:p w14:paraId="103780C3">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8）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7日以上（含7日）的，监理人必须承担一般违约责任1次；出现关键工期滞后14日以上（含14日）的，监理人必须承担严重违约责任1次；出现关键线路工期滞后21日以上（含21日）的，委托人有权部分或全部解除合同。</w:t>
      </w:r>
    </w:p>
    <w:p w14:paraId="10A95072">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9）对于承包人提交的现场签证资料，监理人未有准确、真实的现场原始记录或不进行现场复核就给予签认，经委托人检查，发现签认的文件有误的，除必须立即改正外，监理人必须承担一般违约责任1次；对签证错误有可能给委托人造成直接经济损失10万元（含10万元）以上的按严重违约1次处理，如因监理人故意造成的则按本合同专用条件第26.1-（6）款执行；对于现场签证（含工程数量、单价等）未经过注册造价工程师审核、或经过注册造价工程师审核但未在规定时间内报送委托人，除必须立即改正外，每累计出现2次监理人必须承担一般违约责任1次。</w:t>
      </w:r>
    </w:p>
    <w:p w14:paraId="0587D4FF">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10）对承包人提交的施工方案、设计变更等技术文件，监理人对其中明显不符合现场实际的部分，或者与招投标文件不符、会引起委托人投资增加和工期延误的部分，不进行认真审核、不进行优化就给予同意，经审查发现后，除必须限期改正外，监理人必须承担1次一般违约责任，情节严重的应承担1次严重违约责任。对承包人提交的施工方案、设计变更等技术文件，监理人应当在3日内予以批复，因监理人未及时批复而影响工程进度、质量的，监理人必须承担严重违约责任1次；须转报委托人审批的，监理人应在3日内出具审核意见报委托人，监理人未在3日内报委托人或未出具审核意见的，监理人除必须限期改正外，监理人必须承担一般违约责任1次。承包人提交给监理人审核的资料或文件存在错误须承包人改正的，监理人应将所有错误一次性要求承包人改正，监理人要求承包人反复修改拖延时间的，委托人有权给予书面警告并限期改正，监理人拒不限期改正的，应承担1次一般违约责任。</w:t>
      </w:r>
    </w:p>
    <w:p w14:paraId="7FAB9AB9">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11）监理人应当按时对承包人（含施工、防雷、检测、监测、白蚁防治等单位）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监理人应当承担一般违约责任1次，情节严重的应承担严重违约责任1次，给委托人造成损失的，应当赔偿损失。</w:t>
      </w:r>
    </w:p>
    <w:p w14:paraId="7444AB0F">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12）对于承包人（含施工、防雷、检测、监测、白蚁防治等单位）提交的请款报告，监理人不按实际完成的工作量进行审核，或不按本合同要求签署拨款意见，经审查发现后，除必须限期改正外，每出现2次，监理人必须承担一般违约责任1次；如造成委托人超形象进度、超合同支付工程款10万元以上，或监理人审核的当期支付金额与经过复核的实际应付金额存在正负10％以上误差的，监理人必须承担一般违约责任1次，情节严重的应承担严重违约责任1次。若由此给委托人造成10万元以上（含10万元）损失的，监理人除必须承担相应的经济赔偿外，委托人将视情况部分或全部解除合同。</w:t>
      </w:r>
    </w:p>
    <w:p w14:paraId="265E7601">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13）监理人同时发生本合同专用条件第26.4.2-（9）、（10）、（11）、（12）款约定的违约行为且情节严重的，视同监理人和承包人串通作假，委托人有权单方解除合同，造成委托人损失的，委托人有权按本合同专用条件第26.1-（6）款款的约定要求监理人承担赔偿责任。</w:t>
      </w:r>
    </w:p>
    <w:p w14:paraId="04A12D77">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14）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承包人没有按投标承诺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1次一般违约责任。由此而发生安全生产事故，或被上级主管部门通报批评、被新闻媒体曝光的，监理人应承担严重违约责任1次。情节严重的，委托人有权部分或全部解除合同。所监理的工程发生重大安全质量事故（按国家及本合同有关规定界定）的，委托人有权要求监理人承担违约赔偿责任，赔偿金为本合同监理酬金总额的1%～5%。</w:t>
      </w:r>
    </w:p>
    <w:p w14:paraId="184574D0">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（15）监理人因下列原因：</w:t>
      </w:r>
    </w:p>
    <w:p w14:paraId="18DA697E">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1）在施工过程中，监理人发出错误指令；</w:t>
      </w:r>
    </w:p>
    <w:p w14:paraId="0DC58B85">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2）监理人越权审批设计变更；</w:t>
      </w:r>
    </w:p>
    <w:p w14:paraId="24C6B183">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3）其他因监理人自身失误或失职。</w:t>
      </w:r>
    </w:p>
    <w:p w14:paraId="18D8E55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使本合同工程在投资、工期、质量等方面给委托人造成损失的，委托人将要求监理人进行赔偿，累计赔偿总额不应超过监理酬金总额（除去税金）。具体约定为：</w:t>
      </w:r>
    </w:p>
    <w:p w14:paraId="4A013AC0">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① 因监理人原因造成工程投资增加的，委托人将根据工程投资的增加额与原计划投资额的比例，按相应比例双倍扣减监理酬金；若增加工程投资比例超过原计划投资额的20%时，委托人有权单方解除本合同，并要求监理人赔偿委托人由此遭受的实际损失中的50%。</w:t>
      </w:r>
    </w:p>
    <w:p w14:paraId="7F748918">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② 因监理人责任导致工期延误，其中分段工期延误日数占该段总工期的30%时，则委托人有权扣除该分段工程监理酬金的60%；分段工期延误日数达到该段总工期的50%时，则委托人有权单方解除本合同。因监理人责任导致工程竣工拖延的，依据拖延的日数，监理人应每日按监理酬金总额的1%向委托人支付违约金。由于监理人责任导致工期延误，致使委托人要承担赔偿第三方责任的，监理人必须承担赔偿委托人由此遭受的实际损失中的50%。</w:t>
      </w:r>
    </w:p>
    <w:p w14:paraId="462DA14D">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③ 因监理人责任造成质量事故，需要返工的，监理人应承担1次严重违约责任并双倍扣减该部分的监理酬金，同时监理人应赔偿委托人的实际损失；情节严重的，委托人有权单方面解除合同，并有权要求监理人赔偿委托人由此遭受的经济损失。</w:t>
      </w:r>
    </w:p>
    <w:p w14:paraId="64F3DD62">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④ 因监理人责任导致工程（含各分部、单位及整体工程，下同）质量一次性验收不符合质量目标时，按相应工程占总工程的比例扣除监理人监理酬金；若导致工程质量一次性验收不合格而造成委托人的直接损失达100万元以上时，委托人有权单方解除本合同并要求监理人赔偿相应经济损失。</w:t>
      </w:r>
    </w:p>
    <w:p w14:paraId="046E96F0">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16）监理人提供的《监理规划》和相应的《监理实施细则》，经委托人审核认为未能针对本合同工程特点、难点和重点，需要退回修改的，若连续两次修改后仍未能达到委托人要求的，监理人应承担1次一般违约责任。</w:t>
      </w:r>
    </w:p>
    <w:p w14:paraId="0BCC6B6D">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（17）如果监理人在服务期内未能按要求提供本合同约定的监理服务（包括监理人员缺额、监理深度不足及监理资料不齐等），委托人有权酌情扣减监理酬金。</w:t>
      </w:r>
    </w:p>
    <w:p w14:paraId="6670A0EC">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(18)由委托人确定的工程变更、现场签证的总价较监理人审定的总价的差值大于正负10%以上的情况累计出现3宗以上，监理人应当承担1次一般违约责任。当监理人未在设计变更和现场签证管理办法的时限内完成设计变更和现场签证审批工作，每累计出现3宗，监理人需提交书面的整改报告，采取有效的整改措施，委托人有权追究监理人承担1次一般违约责任。当增加的总造价超过50%暂列金时，监理人未根据工程实际情况按时提交造价控制预警报告，监理人应当承担1次一般违约责任；当增加的总造价超过暂列金时，监理人未根据工程实际情况按时提交资金使用情况说明，监理人应当承担1次严重违约责任；未按时提交投标清单复核（清标）报告，监理人应当承担1次一般违约责任；未按时提交结算审核报告，监理人应当承担1次严重违约责任。针对以上时限违约，监理人除了承担违约责任，还需在委托人的要求时限内进行整改。</w:t>
      </w:r>
    </w:p>
    <w:p w14:paraId="0D8EC3D5">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19）因监理人原因，造成竣工图纸（包括设备移交资料等）与竣工时现场的实际情况不符，导致相关的工程结算出现偏差，监理人必须承担一般违约责任1次；如由此可能给委托人造成直接经济损失10万元（含10万元）以上的，按严重违约1次处理；如因监理人故意造成的，则按本合同专用条件第26.1-（6）款执行。</w:t>
      </w:r>
    </w:p>
    <w:p w14:paraId="22C53F7C">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20）监理人根据合同约定对承包人提交的工程结算书（结算资料）进行审核，如最终由监理人审定的结算金额较由政府终审部门或有权审核部门审定的结算金额的偏差率绝对值大于5%，且小于或等于10%，监理人应承担一般违约1次。如最终由监理人审定的结算金额较由政府终审部门或有权审核部门审定的结算金额的偏差率绝对值大于10%，则由监理人按下列计算方法向委托人支付违约金，最多不超过本合同监理酬金总额的10%：</w:t>
      </w:r>
    </w:p>
    <w:p w14:paraId="37D0A3B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违约金=[（〡A－B〡/B）%-10%]×C</w:t>
      </w:r>
    </w:p>
    <w:p w14:paraId="00A5F9FB">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其中：A-监理人审定的工程结算金额；</w:t>
      </w:r>
    </w:p>
    <w:p w14:paraId="7AD1445A">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B-政府结算终审部门（或有权审核部门）审定的工程结算金额；</w:t>
      </w:r>
    </w:p>
    <w:p w14:paraId="5A6E255E">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C-监理合同酬金总额。</w:t>
      </w:r>
    </w:p>
    <w:p w14:paraId="44D96946">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26.4.3其他方面的违约责任：</w:t>
      </w:r>
    </w:p>
    <w:p w14:paraId="7D24E515">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（1）监理人必须加强对监理人员职业操守、廉政建设的培训和教育，本项目监理人员需共同遵守监理人员职业道德守则，并严格遵守以下规定：</w:t>
      </w:r>
    </w:p>
    <w:p w14:paraId="4BA04FD4">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1）禁止向委托人及承包人推销材料、设备，或以倾向性、排他性变相推销；</w:t>
      </w:r>
    </w:p>
    <w:p w14:paraId="4F2576B6">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2）禁止与承包人串通，对不合格材料、产品、工程进行包庇及验收；</w:t>
      </w:r>
    </w:p>
    <w:p w14:paraId="43BC3846">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3）禁止与承包人串通，对材料用量、工程量进行虚假签认；</w:t>
      </w:r>
    </w:p>
    <w:p w14:paraId="27591840">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4）禁止与承包人串通，不合理提高施工难度及增加材料用量，以增大施工费用，获取不正当收益。</w:t>
      </w:r>
    </w:p>
    <w:p w14:paraId="189E9B5C">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5）禁止接受承包人的请吃送礼或变相受礼；</w:t>
      </w:r>
    </w:p>
    <w:p w14:paraId="1D0C0D99">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6）禁止向承包人介绍分包或推销材料、设备等；</w:t>
      </w:r>
    </w:p>
    <w:p w14:paraId="46962051">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7）禁止故意刁难承包人以谋取私利，损害委托人的合法利益。</w:t>
      </w:r>
    </w:p>
    <w:p w14:paraId="057EA9C2">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凡违反以上任一规定者，一经查实，监理人应立即清退该监理人员，并按1次严重违约处理，情节严重的，委托人有权部分或全部解除合同并有权向有关部门反映情况，追究监理人及有关责任人相关责任，要求赔偿相应损失，同时将上述违反职业道德的行为通过新闻媒体公诸于众，情节严重者移交司法机关追究法律责任。</w:t>
      </w:r>
    </w:p>
    <w:p w14:paraId="34931025">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监理人违约行为的直接责任人，其违约行为达到严重违约（或相当于严重违约）1次，主管人员因其下属的严重违约（或相当于严重违约）累计次数达到3次，则委托人有权认为该直接责任人或主管人员已不适于继续担任本合同工程的监理工作，并有权要求监理人限期更换该人员，监理人必须无条件接受，并承担由此引起的后果及费用；如监理人拒不执行，则自收到委托人的更换要求7日后，委托人可认为该岗位已空缺，并按本合同专用条件第26.4.1-（3）款的约定处理。</w:t>
      </w:r>
    </w:p>
    <w:p w14:paraId="5FC20C30">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除上述约定之外，监理人有违反合同约定的其他义务的，均构成违约，委托人有权视具体情况给予书面警告并限期改正，监理人拒不限期改正的，应承担1次一般违约责任，情节严重的，应承担1次严重违约责任。</w:t>
      </w:r>
    </w:p>
    <w:p w14:paraId="6B90C808">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26.5监理人违约责任的认定方式及送达程序：</w:t>
      </w:r>
    </w:p>
    <w:p w14:paraId="7A817C8F">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26.5.1认定方式：以委托人发出的通知、通报、会议纪要等书面文件确定的内容为准。</w:t>
      </w:r>
    </w:p>
    <w:p w14:paraId="051628E0">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26.5.2送达程序：委托人以下列方式之一将书面违约处理决定送达监理人：</w:t>
      </w:r>
    </w:p>
    <w:p w14:paraId="7329893A">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（1）监理人现场管理机构工作人员签收。</w:t>
      </w:r>
    </w:p>
    <w:p w14:paraId="61357972">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（2）监理人其他工作人员签收。</w:t>
      </w:r>
    </w:p>
    <w:p w14:paraId="1F8B9485">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（3）委托人邮寄送达。</w:t>
      </w:r>
    </w:p>
    <w:p w14:paraId="39EC6E0D">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26.5.3委托人以书面形式作出的违约处理决定一经送达监理人立即生效。监理人如有足够证据证明不应由其承担违约责任的，应在收到违约处理决定后3日内以书面形式向委托人提出异议并附上有关证据；委托人在收到监理人的异议后15日内审核完毕且作出书面决定并通知监理人。</w:t>
      </w:r>
    </w:p>
    <w:p w14:paraId="05A9496D">
      <w:pPr>
        <w:adjustRightInd w:val="0"/>
        <w:snapToGrid w:val="0"/>
        <w:spacing w:line="360" w:lineRule="auto"/>
        <w:ind w:firstLine="48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26.5.4监理人承诺严格按照合同和招投标文件规定履行义务，并同意委托人将其执行国家强制性规范、标准和履行合同、招投标文件义务的情况（包括但不限于由委托人组织的考核、考评通报、违约责任处理决定等）在委托人网站或其他媒体上公开披露。</w:t>
      </w:r>
    </w:p>
    <w:p w14:paraId="588E8AF1">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26.6监理人违约罚款的扣除方式</w:t>
      </w:r>
    </w:p>
    <w:p w14:paraId="5477568E">
      <w:pPr>
        <w:adjustRightInd w:val="0"/>
        <w:snapToGrid w:val="0"/>
        <w:spacing w:line="360" w:lineRule="auto"/>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监理人违约罚款一经生效，委托人可以在下期的监理费中予以扣除，或者在监理费结算时一并扣减。</w:t>
      </w:r>
    </w:p>
    <w:p w14:paraId="5F218538">
      <w:pPr>
        <w:adjustRightInd w:val="0"/>
        <w:snapToGrid w:val="0"/>
        <w:spacing w:line="360" w:lineRule="auto"/>
        <w:ind w:firstLine="472" w:firstLineChars="196"/>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第二十七条  </w:t>
      </w:r>
      <w:r>
        <w:rPr>
          <w:rFonts w:hint="eastAsia" w:ascii="宋体" w:hAnsi="宋体" w:cs="宋体"/>
          <w:snapToGrid w:val="0"/>
          <w:color w:val="000000" w:themeColor="text1"/>
          <w:kern w:val="0"/>
          <w:szCs w:val="21"/>
          <w:highlight w:val="none"/>
          <w14:textFill>
            <w14:solidFill>
              <w14:schemeClr w14:val="tx1"/>
            </w14:solidFill>
          </w14:textFill>
        </w:rPr>
        <w:t>双方一致同意不适用本合同标准条件第27条的约定，监理人对承包人违反合同约定的质量、安全、文明施工等方面的要求时，监理人应按照本合同专用条件第26.4.2-（7）、（14）款的有关约定承担违约责任，除非有充分的证据证明监理人严格履行了本合同的责任和义务且上述问题的发生仅为承包人自身原因所致。</w:t>
      </w:r>
    </w:p>
    <w:p w14:paraId="0F2629B4">
      <w:pPr>
        <w:adjustRightInd w:val="0"/>
        <w:snapToGrid w:val="0"/>
        <w:spacing w:line="360" w:lineRule="auto"/>
        <w:ind w:left="43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第二十九条  </w:t>
      </w:r>
      <w:r>
        <w:rPr>
          <w:rFonts w:hint="eastAsia" w:ascii="宋体" w:hAnsi="宋体" w:cs="宋体"/>
          <w:snapToGrid w:val="0"/>
          <w:color w:val="000000" w:themeColor="text1"/>
          <w:kern w:val="0"/>
          <w:szCs w:val="21"/>
          <w:highlight w:val="none"/>
          <w14:textFill>
            <w14:solidFill>
              <w14:schemeClr w14:val="tx1"/>
            </w14:solidFill>
          </w14:textFill>
        </w:rPr>
        <w:t>委托人的违约责任：</w:t>
      </w:r>
    </w:p>
    <w:p w14:paraId="1DCA68A1">
      <w:pPr>
        <w:adjustRightInd w:val="0"/>
        <w:snapToGrid w:val="0"/>
        <w:spacing w:line="360" w:lineRule="auto"/>
        <w:ind w:right="11" w:firstLine="460" w:firstLineChars="19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29.1监理人充分理解财政资金的拨付规定，委托人已按约定向财政部门递交监理酬金支付证明资料的，则监理人不得以监理酬金未及时到账的原因追究委托人违约责任。</w:t>
      </w:r>
    </w:p>
    <w:p w14:paraId="1C05A88D">
      <w:pPr>
        <w:adjustRightInd w:val="0"/>
        <w:snapToGrid w:val="0"/>
        <w:spacing w:line="360" w:lineRule="auto"/>
        <w:ind w:right="11" w:firstLine="460" w:firstLineChars="19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29.2因委托人原因给监理人造成损失的，在监理人能够提交足够证据并经查证属实的情况下，委托人应赔偿其直接经济损失。</w:t>
      </w:r>
    </w:p>
    <w:p w14:paraId="582CCDB9">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第三十一条</w:t>
      </w:r>
      <w:r>
        <w:rPr>
          <w:rFonts w:hint="eastAsia" w:ascii="宋体" w:hAnsi="宋体" w:cs="宋体"/>
          <w:snapToGrid w:val="0"/>
          <w:color w:val="000000" w:themeColor="text1"/>
          <w:kern w:val="0"/>
          <w:szCs w:val="21"/>
          <w:highlight w:val="none"/>
          <w14:textFill>
            <w14:solidFill>
              <w14:schemeClr w14:val="tx1"/>
            </w14:solidFill>
          </w14:textFill>
        </w:rPr>
        <w:t xml:space="preserve">  双方一致同意不适用本合同标准条件第31条的约定，由于委托人或承包人的原因使监理工作受到阻碍或延误，则监理人应当将此情况与可能产生的影响及时通知委托人，完成监理业务的时间相应延长，监理人的酬金不变。</w:t>
      </w:r>
    </w:p>
    <w:p w14:paraId="4C473715">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第三十二条</w:t>
      </w:r>
      <w:r>
        <w:rPr>
          <w:rFonts w:hint="eastAsia" w:ascii="宋体" w:hAnsi="宋体" w:cs="宋体"/>
          <w:snapToGrid w:val="0"/>
          <w:color w:val="000000" w:themeColor="text1"/>
          <w:kern w:val="0"/>
          <w:szCs w:val="21"/>
          <w:highlight w:val="none"/>
          <w14:textFill>
            <w14:solidFill>
              <w14:schemeClr w14:val="tx1"/>
            </w14:solidFill>
          </w14:textFill>
        </w:rPr>
        <w:t xml:space="preserve">  双方一致同意不适用本合同标准条件第32条的约定，在实际情况发生变化，使得监理人不能全部或部分执行监理业务时，监理人应当立即通知委托人，该监理业务的完成时间应予延长。当恢复执行监理业务时，监理人应当立即恢复执行监理业务，监理人的酬金不变。</w:t>
      </w:r>
    </w:p>
    <w:p w14:paraId="1327A35D">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第三十三条</w:t>
      </w:r>
      <w:r>
        <w:rPr>
          <w:rFonts w:hint="eastAsia" w:ascii="宋体" w:hAnsi="宋体" w:cs="宋体"/>
          <w:snapToGrid w:val="0"/>
          <w:color w:val="000000" w:themeColor="text1"/>
          <w:kern w:val="0"/>
          <w:szCs w:val="21"/>
          <w:highlight w:val="none"/>
          <w14:textFill>
            <w14:solidFill>
              <w14:schemeClr w14:val="tx1"/>
            </w14:solidFill>
          </w14:textFill>
        </w:rPr>
        <w:t xml:space="preserve">  双方一致同意不适用本合同标准条件第33条的约定，本合同的有效期一直至本合同工程保修期间届满、竣工结算完成且双方的责任、义务履行完毕时才终止。本合同工程保修期间，监理人仍须承担监理责任。</w:t>
      </w:r>
    </w:p>
    <w:p w14:paraId="0D000D23">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第三十四条</w:t>
      </w:r>
      <w:r>
        <w:rPr>
          <w:rFonts w:hint="eastAsia" w:ascii="宋体" w:hAnsi="宋体" w:cs="宋体"/>
          <w:snapToGrid w:val="0"/>
          <w:color w:val="000000" w:themeColor="text1"/>
          <w:kern w:val="0"/>
          <w:szCs w:val="21"/>
          <w:highlight w:val="none"/>
          <w14:textFill>
            <w14:solidFill>
              <w14:schemeClr w14:val="tx1"/>
            </w14:solidFill>
          </w14:textFill>
        </w:rPr>
        <w:t xml:space="preserve">  双方一致同意不适用本合同标准条件第34条的约定，本合同未经双方协商一致，不得变更或解除。委托人根据本合同的约定单方面部分或全部解除本合同的，自委托人书面通知监理人时起部分或全部解除本合同即生效。</w:t>
      </w:r>
    </w:p>
    <w:p w14:paraId="7B7DF718">
      <w:pPr>
        <w:adjustRightInd w:val="0"/>
        <w:snapToGrid w:val="0"/>
        <w:spacing w:line="360" w:lineRule="auto"/>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的修改（包括服务范围的修改），只能以双方书面同意的方式进行。由于财政投资项目施工过程的特殊性，委托人有调整局部服务范围的权利，即部分解除或部分增加服务范围。监理费最终按财政评审后的监理范围内的施工合同结算</w:t>
      </w:r>
      <w:r>
        <w:rPr>
          <w:rFonts w:hint="eastAsia" w:ascii="宋体" w:hAnsi="宋体" w:cs="宋体"/>
          <w:snapToGrid w:val="0"/>
          <w:color w:val="000000" w:themeColor="text1"/>
          <w:kern w:val="0"/>
          <w:szCs w:val="21"/>
          <w:highlight w:val="none"/>
          <w:lang w:eastAsia="zh-Hans"/>
          <w14:textFill>
            <w14:solidFill>
              <w14:schemeClr w14:val="tx1"/>
            </w14:solidFill>
          </w14:textFill>
        </w:rPr>
        <w:t>总</w:t>
      </w:r>
      <w:r>
        <w:rPr>
          <w:rFonts w:hint="eastAsia" w:ascii="宋体" w:hAnsi="宋体" w:cs="宋体"/>
          <w:snapToGrid w:val="0"/>
          <w:color w:val="000000" w:themeColor="text1"/>
          <w:kern w:val="0"/>
          <w:szCs w:val="21"/>
          <w:highlight w:val="none"/>
          <w14:textFill>
            <w14:solidFill>
              <w14:schemeClr w14:val="tx1"/>
            </w14:solidFill>
          </w14:textFill>
        </w:rPr>
        <w:t>价为施工监理服务收费的计费额进行结算，但浮动幅度值不调整，且最终监理费</w:t>
      </w:r>
      <w:r>
        <w:rPr>
          <w:rFonts w:hint="eastAsia" w:ascii="宋体" w:hAnsi="宋体" w:cs="宋体"/>
          <w:snapToGrid w:val="0"/>
          <w:color w:val="000000" w:themeColor="text1"/>
          <w:kern w:val="0"/>
          <w:szCs w:val="21"/>
          <w:highlight w:val="none"/>
          <w:lang w:eastAsia="zh-Hans"/>
          <w14:textFill>
            <w14:solidFill>
              <w14:schemeClr w14:val="tx1"/>
            </w14:solidFill>
          </w14:textFill>
        </w:rPr>
        <w:t>总价</w:t>
      </w:r>
      <w:r>
        <w:rPr>
          <w:rFonts w:hint="eastAsia" w:ascii="宋体" w:hAnsi="宋体" w:cs="宋体"/>
          <w:snapToGrid w:val="0"/>
          <w:color w:val="000000" w:themeColor="text1"/>
          <w:kern w:val="0"/>
          <w:szCs w:val="21"/>
          <w:highlight w:val="none"/>
          <w14:textFill>
            <w14:solidFill>
              <w14:schemeClr w14:val="tx1"/>
            </w14:solidFill>
          </w14:textFill>
        </w:rPr>
        <w:t>不超过本工程监理酬金暂定合同总价。</w:t>
      </w:r>
    </w:p>
    <w:p w14:paraId="2BB70EBF">
      <w:pPr>
        <w:adjustRightInd w:val="0"/>
        <w:snapToGrid w:val="0"/>
        <w:spacing w:line="360" w:lineRule="auto"/>
        <w:ind w:left="43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第三十五条</w:t>
      </w:r>
      <w:r>
        <w:rPr>
          <w:rFonts w:hint="eastAsia" w:ascii="宋体" w:hAnsi="宋体" w:cs="宋体"/>
          <w:snapToGrid w:val="0"/>
          <w:color w:val="000000" w:themeColor="text1"/>
          <w:kern w:val="0"/>
          <w:szCs w:val="21"/>
          <w:highlight w:val="none"/>
          <w14:textFill>
            <w14:solidFill>
              <w14:schemeClr w14:val="tx1"/>
            </w14:solidFill>
          </w14:textFill>
        </w:rPr>
        <w:t xml:space="preserve">  双方一致同意不适用本合同标准条件第35条的约定。</w:t>
      </w:r>
    </w:p>
    <w:p w14:paraId="02F44C58">
      <w:pPr>
        <w:adjustRightInd w:val="0"/>
        <w:snapToGrid w:val="0"/>
        <w:spacing w:line="360" w:lineRule="auto"/>
        <w:ind w:left="43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第三十六条</w:t>
      </w:r>
      <w:r>
        <w:rPr>
          <w:rFonts w:hint="eastAsia" w:ascii="宋体" w:hAnsi="宋体" w:cs="宋体"/>
          <w:snapToGrid w:val="0"/>
          <w:color w:val="000000" w:themeColor="text1"/>
          <w:kern w:val="0"/>
          <w:szCs w:val="21"/>
          <w:highlight w:val="none"/>
          <w14:textFill>
            <w14:solidFill>
              <w14:schemeClr w14:val="tx1"/>
            </w14:solidFill>
          </w14:textFill>
        </w:rPr>
        <w:t xml:space="preserve">  双方一致同意不适用本合同标准条件第36条的约定。</w:t>
      </w:r>
    </w:p>
    <w:p w14:paraId="50B99186">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第三十七条</w:t>
      </w:r>
      <w:r>
        <w:rPr>
          <w:rFonts w:hint="eastAsia" w:ascii="宋体" w:hAnsi="宋体" w:cs="宋体"/>
          <w:snapToGrid w:val="0"/>
          <w:color w:val="000000" w:themeColor="text1"/>
          <w:kern w:val="0"/>
          <w:szCs w:val="21"/>
          <w:highlight w:val="none"/>
          <w14:textFill>
            <w14:solidFill>
              <w14:schemeClr w14:val="tx1"/>
            </w14:solidFill>
          </w14:textFill>
        </w:rPr>
        <w:t xml:space="preserve">  双方一致同意不适用本合同标准条件第37条的约定，当委托人认为监理人无正当理由而又未履行监理义务时，按本合同专用条件第26条的约定处理。</w:t>
      </w:r>
    </w:p>
    <w:p w14:paraId="472355A4">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第三十九条  </w:t>
      </w:r>
      <w:r>
        <w:rPr>
          <w:rFonts w:hint="eastAsia" w:ascii="宋体" w:hAnsi="宋体" w:cs="宋体"/>
          <w:bCs/>
          <w:snapToGrid w:val="0"/>
          <w:color w:val="000000" w:themeColor="text1"/>
          <w:kern w:val="0"/>
          <w:szCs w:val="21"/>
          <w:highlight w:val="none"/>
          <w14:textFill>
            <w14:solidFill>
              <w14:schemeClr w14:val="tx1"/>
            </w14:solidFill>
          </w14:textFill>
        </w:rPr>
        <w:t>双方一致同意不适用本合同标准条件第39条的约定，监理酬金的计算方法、支付时间与金额按委托监理协议书第三条的约定执行。</w:t>
      </w:r>
    </w:p>
    <w:p w14:paraId="02185E0B">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第四十一条</w:t>
      </w:r>
      <w:r>
        <w:rPr>
          <w:rFonts w:hint="eastAsia" w:ascii="宋体" w:hAnsi="宋体" w:cs="宋体"/>
          <w:bCs/>
          <w:snapToGrid w:val="0"/>
          <w:color w:val="000000" w:themeColor="text1"/>
          <w:kern w:val="0"/>
          <w:szCs w:val="21"/>
          <w:highlight w:val="none"/>
          <w14:textFill>
            <w14:solidFill>
              <w14:schemeClr w14:val="tx1"/>
            </w14:solidFill>
          </w14:textFill>
        </w:rPr>
        <w:t xml:space="preserve">  </w:t>
      </w:r>
      <w:r>
        <w:rPr>
          <w:rFonts w:hint="eastAsia" w:ascii="宋体" w:hAnsi="宋体" w:cs="宋体"/>
          <w:bCs/>
          <w:snapToGrid w:val="0"/>
          <w:color w:val="000000" w:themeColor="text1"/>
          <w:spacing w:val="-4"/>
          <w:kern w:val="0"/>
          <w:szCs w:val="21"/>
          <w:highlight w:val="none"/>
          <w14:textFill>
            <w14:solidFill>
              <w14:schemeClr w14:val="tx1"/>
            </w14:solidFill>
          </w14:textFill>
        </w:rPr>
        <w:t>委托人与监理人双方同意用人民币支付本合同涉及的相关款项。</w:t>
      </w:r>
    </w:p>
    <w:p w14:paraId="14789E09">
      <w:pPr>
        <w:tabs>
          <w:tab w:val="left" w:pos="1800"/>
        </w:tabs>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 xml:space="preserve">第四十二条  </w:t>
      </w:r>
      <w:r>
        <w:rPr>
          <w:rFonts w:hint="eastAsia" w:ascii="宋体" w:hAnsi="宋体" w:cs="宋体"/>
          <w:snapToGrid w:val="0"/>
          <w:color w:val="000000" w:themeColor="text1"/>
          <w:kern w:val="0"/>
          <w:szCs w:val="21"/>
          <w:highlight w:val="none"/>
          <w14:textFill>
            <w14:solidFill>
              <w14:schemeClr w14:val="tx1"/>
            </w14:solidFill>
          </w14:textFill>
        </w:rPr>
        <w:t>双方一致同意不适用本合同标准条件第42条的约定。监理人应在委托人每期办理财政集中支付手续前【</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个工作日向委托人提供与当期应付款项等额的合法有效的国家正式发票及书面付款申请（一式四份），以供委托人审核确认后办理财政集中支付手续。委托人在收到监理人附有证明材料的付款申请并经委托人审核确认后30日内进行支付。</w:t>
      </w:r>
    </w:p>
    <w:p w14:paraId="4B019750">
      <w:pPr>
        <w:adjustRightInd w:val="0"/>
        <w:snapToGrid w:val="0"/>
        <w:spacing w:line="360" w:lineRule="auto"/>
        <w:ind w:firstLine="472"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mallCaps/>
          <w:snapToGrid w:val="0"/>
          <w:color w:val="000000" w:themeColor="text1"/>
          <w:kern w:val="0"/>
          <w:szCs w:val="21"/>
          <w:highlight w:val="none"/>
          <w14:textFill>
            <w14:solidFill>
              <w14:schemeClr w14:val="tx1"/>
            </w14:solidFill>
          </w14:textFill>
        </w:rPr>
        <w:t xml:space="preserve">第四十三条  </w:t>
      </w:r>
      <w:r>
        <w:rPr>
          <w:rFonts w:hint="eastAsia" w:ascii="宋体" w:hAnsi="宋体" w:cs="宋体"/>
          <w:snapToGrid w:val="0"/>
          <w:color w:val="000000" w:themeColor="text1"/>
          <w:kern w:val="0"/>
          <w:szCs w:val="21"/>
          <w:highlight w:val="none"/>
          <w14:textFill>
            <w14:solidFill>
              <w14:schemeClr w14:val="tx1"/>
            </w14:solidFill>
          </w14:textFill>
        </w:rPr>
        <w:t>双方一致同意不适用本合同标准条件第43条的约定，委托的建设工程监理所必要的监理人员出外考察、材料设备复试、监造，其费用支出由监理人负责解决。</w:t>
      </w:r>
    </w:p>
    <w:p w14:paraId="3528173C">
      <w:pPr>
        <w:adjustRightInd w:val="0"/>
        <w:snapToGrid w:val="0"/>
        <w:spacing w:line="360" w:lineRule="auto"/>
        <w:ind w:firstLine="472" w:firstLineChars="196"/>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第四十四条  </w:t>
      </w:r>
      <w:r>
        <w:rPr>
          <w:rFonts w:hint="eastAsia" w:ascii="宋体" w:hAnsi="宋体" w:cs="宋体"/>
          <w:bCs/>
          <w:snapToGrid w:val="0"/>
          <w:color w:val="000000" w:themeColor="text1"/>
          <w:kern w:val="0"/>
          <w:szCs w:val="21"/>
          <w:highlight w:val="none"/>
          <w14:textFill>
            <w14:solidFill>
              <w14:schemeClr w14:val="tx1"/>
            </w14:solidFill>
          </w14:textFill>
        </w:rPr>
        <w:t>为了使本工程施工监理工作更合理、有序地进行，委托人有权对本合同约定的监理范围、监理内容作适当的调整，特别是对本合同监理范围内专业性较强的、有特殊要求的施工内容，委托人将视监理人能力、水平等实际情况，保留另行选择专业技术管理服务队伍的权利，但不因此免除原监理人应有的责任。监理人必须严格地按照《建设工程监理规范》</w:t>
      </w:r>
      <w:r>
        <w:rPr>
          <w:rFonts w:ascii="宋体" w:hAnsi="宋体" w:cs="宋体"/>
          <w:bCs/>
          <w:snapToGrid w:val="0"/>
          <w:color w:val="000000" w:themeColor="text1"/>
          <w:kern w:val="0"/>
          <w:szCs w:val="21"/>
          <w:highlight w:val="none"/>
          <w:lang w:val="zh-TW"/>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GB/T50319-2013</w:t>
      </w:r>
      <w:r>
        <w:rPr>
          <w:rFonts w:ascii="宋体" w:hAnsi="宋体" w:cs="宋体"/>
          <w:bCs/>
          <w:snapToGrid w:val="0"/>
          <w:color w:val="000000" w:themeColor="text1"/>
          <w:kern w:val="0"/>
          <w:szCs w:val="21"/>
          <w:highlight w:val="none"/>
          <w:lang w:val="zh-TW"/>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的规定对本合同工程实施全过程监理，不因委托人另行委托了技术督导等技术管理服务单位而减轻或免除监理人的任何责任及义务，并由其负责技术督导等技术管理服务单位的协调管理工作。</w:t>
      </w:r>
    </w:p>
    <w:p w14:paraId="357A0DF9">
      <w:pPr>
        <w:adjustRightInd w:val="0"/>
        <w:snapToGrid w:val="0"/>
        <w:spacing w:line="360" w:lineRule="auto"/>
        <w:ind w:firstLine="472" w:firstLineChars="196"/>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 xml:space="preserve">第四十九条  </w:t>
      </w:r>
      <w:r>
        <w:rPr>
          <w:rFonts w:hint="eastAsia" w:ascii="宋体" w:hAnsi="宋体" w:cs="宋体"/>
          <w:bCs/>
          <w:snapToGrid w:val="0"/>
          <w:color w:val="000000" w:themeColor="text1"/>
          <w:kern w:val="0"/>
          <w:szCs w:val="21"/>
          <w:highlight w:val="none"/>
          <w14:textFill>
            <w14:solidFill>
              <w14:schemeClr w14:val="tx1"/>
            </w14:solidFill>
          </w14:textFill>
        </w:rPr>
        <w:t>因履行本合同发生或与本合同有关的争议，双方当事人应友好协商解决。如在一周内未能解决，委托人可先行单方面作出处理决定，任何一方均可向广州市天河区人民法院提起诉讼，但诉讼不影响委托人同其他监理单位另行签订监理合同。在诉讼期间，除有争议部分的事项外，合同其他部分仍应继续履行。</w:t>
      </w:r>
    </w:p>
    <w:p w14:paraId="566C7F0E">
      <w:pPr>
        <w:adjustRightInd w:val="0"/>
        <w:snapToGrid w:val="0"/>
        <w:spacing w:line="360" w:lineRule="auto"/>
        <w:ind w:firstLine="470" w:firstLineChars="196"/>
        <w:rPr>
          <w:rFonts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（以下部分无</w:t>
      </w:r>
      <w:r>
        <w:rPr>
          <w:rFonts w:hint="eastAsia" w:ascii="宋体" w:hAnsi="宋体" w:cs="宋体"/>
          <w:snapToGrid w:val="0"/>
          <w:color w:val="000000" w:themeColor="text1"/>
          <w:kern w:val="0"/>
          <w:szCs w:val="21"/>
          <w:highlight w:val="none"/>
          <w14:textFill>
            <w14:solidFill>
              <w14:schemeClr w14:val="tx1"/>
            </w14:solidFill>
          </w14:textFill>
        </w:rPr>
        <w:t>《建设工程委托监理合同》</w:t>
      </w:r>
      <w:r>
        <w:rPr>
          <w:rFonts w:hint="eastAsia" w:ascii="宋体" w:hAnsi="宋体" w:cs="宋体"/>
          <w:bCs/>
          <w:snapToGrid w:val="0"/>
          <w:color w:val="000000" w:themeColor="text1"/>
          <w:kern w:val="0"/>
          <w:szCs w:val="21"/>
          <w:highlight w:val="none"/>
          <w14:textFill>
            <w14:solidFill>
              <w14:schemeClr w14:val="tx1"/>
            </w14:solidFill>
          </w14:textFill>
        </w:rPr>
        <w:t>第三部分专用条件正文内容）</w:t>
      </w:r>
    </w:p>
    <w:p w14:paraId="28FC96EF">
      <w:pPr>
        <w:adjustRightInd w:val="0"/>
        <w:snapToGrid w:val="0"/>
        <w:spacing w:line="360" w:lineRule="auto"/>
        <w:ind w:firstLine="470" w:firstLineChars="196"/>
        <w:rPr>
          <w:rFonts w:hint="eastAsia" w:ascii="宋体" w:hAnsi="宋体" w:cs="宋体"/>
          <w:bCs/>
          <w:snapToGrid w:val="0"/>
          <w:color w:val="000000" w:themeColor="text1"/>
          <w:kern w:val="0"/>
          <w:szCs w:val="21"/>
          <w:highlight w:val="none"/>
          <w:lang w:eastAsia="zh-TW"/>
          <w14:textFill>
            <w14:solidFill>
              <w14:schemeClr w14:val="tx1"/>
            </w14:solidFill>
          </w14:textFill>
        </w:rPr>
      </w:pPr>
    </w:p>
    <w:p w14:paraId="156C358B">
      <w:pPr>
        <w:spacing w:after="360" w:afterLines="150" w:line="360" w:lineRule="auto"/>
        <w:jc w:val="center"/>
        <w:rPr>
          <w:rFonts w:hint="eastAsia" w:ascii="宋体" w:hAnsi="宋体" w:cs="宋体"/>
          <w:b/>
          <w:color w:val="000000" w:themeColor="text1"/>
          <w:szCs w:val="21"/>
          <w:highlight w:val="none"/>
          <w14:textFill>
            <w14:solidFill>
              <w14:schemeClr w14:val="tx1"/>
            </w14:solidFill>
          </w14:textFill>
        </w:rPr>
      </w:pPr>
    </w:p>
    <w:p w14:paraId="22E33A46">
      <w:pPr>
        <w:pStyle w:val="11"/>
        <w:rPr>
          <w:rFonts w:hint="eastAsia"/>
          <w:b/>
          <w:bCs/>
          <w:color w:val="000000" w:themeColor="text1"/>
          <w:kern w:val="2"/>
          <w:sz w:val="28"/>
          <w:szCs w:val="28"/>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b/>
          <w:bCs/>
          <w:color w:val="000000" w:themeColor="text1"/>
          <w:kern w:val="2"/>
          <w:sz w:val="28"/>
          <w:szCs w:val="28"/>
          <w:highlight w:val="none"/>
          <w14:textFill>
            <w14:solidFill>
              <w14:schemeClr w14:val="tx1"/>
            </w14:solidFill>
          </w14:textFill>
        </w:rPr>
        <w:t xml:space="preserve">附件1                                    </w:t>
      </w:r>
    </w:p>
    <w:p w14:paraId="4A77A616">
      <w:pPr>
        <w:pStyle w:val="11"/>
        <w:jc w:val="center"/>
        <w:rPr>
          <w:rFonts w:hint="eastAsia" w:ascii="宋体" w:hAnsi="宋体" w:cs="宋体"/>
          <w:b/>
          <w:color w:val="000000" w:themeColor="text1"/>
          <w:szCs w:val="21"/>
          <w:highlight w:val="none"/>
          <w14:textFill>
            <w14:solidFill>
              <w14:schemeClr w14:val="tx1"/>
            </w14:solidFill>
          </w14:textFill>
        </w:rPr>
      </w:pPr>
      <w:r>
        <w:rPr>
          <w:rFonts w:hint="eastAsia"/>
          <w:b/>
          <w:bCs/>
          <w:color w:val="000000" w:themeColor="text1"/>
          <w:kern w:val="2"/>
          <w:sz w:val="28"/>
          <w:szCs w:val="28"/>
          <w:highlight w:val="none"/>
          <w14:textFill>
            <w14:solidFill>
              <w14:schemeClr w14:val="tx1"/>
            </w14:solidFill>
          </w14:textFill>
        </w:rPr>
        <w:t>廉政合同</w:t>
      </w:r>
    </w:p>
    <w:p w14:paraId="30CF7B79">
      <w:pPr>
        <w:spacing w:line="380" w:lineRule="exact"/>
        <w:rPr>
          <w:rFonts w:hint="eastAsia" w:ascii="宋体" w:hAnsi="宋体" w:cs="宋体"/>
          <w:color w:val="000000" w:themeColor="text1"/>
          <w:szCs w:val="21"/>
          <w:highlight w:val="none"/>
          <w:u w:val="single" w:color="000000"/>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委托人：（全称）</w:t>
      </w:r>
      <w:r>
        <w:rPr>
          <w:rFonts w:hint="eastAsia" w:ascii="宋体" w:hAnsi="宋体" w:cs="宋体"/>
          <w:color w:val="000000" w:themeColor="text1"/>
          <w:szCs w:val="21"/>
          <w:highlight w:val="none"/>
          <w:u w:val="single" w:color="000000"/>
          <w14:textFill>
            <w14:solidFill>
              <w14:schemeClr w14:val="tx1"/>
            </w14:solidFill>
          </w14:textFill>
        </w:rPr>
        <w:t>广州市天河区建设工程项目代建局</w:t>
      </w:r>
    </w:p>
    <w:p w14:paraId="78455E6F">
      <w:pPr>
        <w:spacing w:line="380" w:lineRule="exact"/>
        <w:rPr>
          <w:rFonts w:ascii="宋体" w:hAnsi="宋体" w:cs="宋体"/>
          <w:color w:val="000000" w:themeColor="text1"/>
          <w:szCs w:val="21"/>
          <w:highlight w:val="none"/>
          <w:u w:val="single" w:color="000000"/>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监理人：（全称）</w:t>
      </w:r>
      <w:r>
        <w:rPr>
          <w:rFonts w:hint="eastAsia" w:ascii="宋体" w:hAnsi="宋体" w:cs="宋体"/>
          <w:color w:val="000000" w:themeColor="text1"/>
          <w:szCs w:val="21"/>
          <w:highlight w:val="none"/>
          <w:u w:val="single" w:color="000000"/>
          <w14:textFill>
            <w14:solidFill>
              <w14:schemeClr w14:val="tx1"/>
            </w14:solidFill>
          </w14:textFill>
        </w:rPr>
        <w:t xml:space="preserve"> </w:t>
      </w:r>
      <w:r>
        <w:rPr>
          <w:rFonts w:ascii="宋体" w:hAnsi="宋体" w:cs="宋体"/>
          <w:color w:val="000000" w:themeColor="text1"/>
          <w:szCs w:val="21"/>
          <w:highlight w:val="none"/>
          <w:u w:val="single" w:color="000000"/>
          <w14:textFill>
            <w14:solidFill>
              <w14:schemeClr w14:val="tx1"/>
            </w14:solidFill>
          </w14:textFill>
        </w:rPr>
        <w:t xml:space="preserve">                       </w:t>
      </w:r>
      <w:r>
        <w:rPr>
          <w:rFonts w:hint="eastAsia" w:ascii="宋体" w:hAnsi="宋体" w:cs="宋体"/>
          <w:color w:val="000000" w:themeColor="text1"/>
          <w:szCs w:val="21"/>
          <w:highlight w:val="none"/>
          <w:u w:val="single" w:color="000000"/>
          <w14:textFill>
            <w14:solidFill>
              <w14:schemeClr w14:val="tx1"/>
            </w14:solidFill>
          </w14:textFill>
        </w:rPr>
        <w:t xml:space="preserve"> </w:t>
      </w:r>
      <w:r>
        <w:rPr>
          <w:rFonts w:ascii="宋体" w:hAnsi="宋体" w:cs="宋体"/>
          <w:color w:val="000000" w:themeColor="text1"/>
          <w:szCs w:val="21"/>
          <w:highlight w:val="none"/>
          <w:u w:val="single" w:color="000000"/>
          <w14:textFill>
            <w14:solidFill>
              <w14:schemeClr w14:val="tx1"/>
            </w14:solidFill>
          </w14:textFill>
        </w:rPr>
        <w:t xml:space="preserve">     </w:t>
      </w:r>
    </w:p>
    <w:p w14:paraId="10986967">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根据国家、省工程建设和廉政建设的有关规定，为做好</w:t>
      </w:r>
      <w:r>
        <w:rPr>
          <w:rFonts w:hint="eastAsia" w:ascii="宋体" w:hAnsi="宋体"/>
          <w:color w:val="000000" w:themeColor="text1"/>
          <w:szCs w:val="21"/>
          <w:highlight w:val="none"/>
          <w:u w:val="single"/>
          <w:lang w:eastAsia="zh-CN"/>
          <w14:textFill>
            <w14:solidFill>
              <w14:schemeClr w14:val="tx1"/>
            </w14:solidFill>
          </w14:textFill>
        </w:rPr>
        <w:t>天河龙洞粮库建设工程（水利水电工程）</w:t>
      </w:r>
      <w:r>
        <w:rPr>
          <w:rFonts w:hint="eastAsia" w:ascii="宋体" w:hAnsi="宋体" w:cs="宋体"/>
          <w:snapToGrid w:val="0"/>
          <w:color w:val="000000" w:themeColor="text1"/>
          <w:kern w:val="0"/>
          <w:szCs w:val="21"/>
          <w:highlight w:val="none"/>
          <w14:textFill>
            <w14:solidFill>
              <w14:schemeClr w14:val="tx1"/>
            </w14:solidFill>
          </w14:textFill>
        </w:rPr>
        <w:t>的廉政建设，保证工程质量与施工安全，提高建设资金的有效使用和投资效益，委托人与监理人就加强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天河龙洞粮库建设工程（水利水电工程）</w:t>
      </w:r>
      <w:r>
        <w:rPr>
          <w:rFonts w:hint="eastAsia" w:ascii="宋体" w:hAnsi="宋体" w:cs="宋体"/>
          <w:snapToGrid w:val="0"/>
          <w:color w:val="000000" w:themeColor="text1"/>
          <w:kern w:val="0"/>
          <w:szCs w:val="21"/>
          <w:highlight w:val="none"/>
          <w14:textFill>
            <w14:solidFill>
              <w14:schemeClr w14:val="tx1"/>
            </w14:solidFill>
          </w14:textFill>
        </w:rPr>
        <w:t>的廉政建设，订立本合同，以资双方共同遵守。</w:t>
      </w:r>
    </w:p>
    <w:p w14:paraId="4043B907">
      <w:pPr>
        <w:adjustRightInd w:val="0"/>
        <w:snapToGrid w:val="0"/>
        <w:spacing w:line="380" w:lineRule="exact"/>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 双方的权利和义务</w:t>
      </w:r>
    </w:p>
    <w:p w14:paraId="22B3D7B7">
      <w:pPr>
        <w:adjustRightInd w:val="0"/>
        <w:snapToGrid w:val="0"/>
        <w:spacing w:line="380" w:lineRule="exact"/>
        <w:ind w:firstLine="48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 严格遵守国家有关法律法规的规定。</w:t>
      </w:r>
    </w:p>
    <w:p w14:paraId="1A66706D">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 严格执行一切合同文件，自觉按合同办事。</w:t>
      </w:r>
    </w:p>
    <w:p w14:paraId="25825452">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 双方的业务活动坚持公平、公开、公正和诚信的原则（法律认定的商业秘密和合同文件另有规定除外），不得损害国家和集体利益，不得违反工程建设管理规章制度。</w:t>
      </w:r>
    </w:p>
    <w:p w14:paraId="4D237966">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 建立健全廉政制度，开展廉政教育，设立廉政告示牌，公布举报电话，监督并认真查处违法违纪行为。</w:t>
      </w:r>
    </w:p>
    <w:p w14:paraId="34BB3D41">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1.5 发现对方在业务活动中有违反廉政建设规定的行为，应及时给予提醒和纠正。</w:t>
      </w:r>
    </w:p>
    <w:p w14:paraId="705D00A4">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1.6 发现对方严重违反合同的行为，有向其上级部门举报、建议给予处理并要求告知处理结果的权利。没有上级部门的，可按施工合同通用条款第70条规定处理。</w:t>
      </w:r>
    </w:p>
    <w:p w14:paraId="3A7B27A6">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委托人义务</w:t>
      </w:r>
    </w:p>
    <w:p w14:paraId="3BB5359B">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2.1 委托人及其工作人员不得索要或接受监理人的礼金、有价证券和贵重物品，不得在承包人报销任何应由委托人或工作人员个人支付的费用等。</w:t>
      </w:r>
    </w:p>
    <w:p w14:paraId="06B61773">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 委托人及其工作人员不得参加监理人安排的宴请（工作餐除外）和娱乐活动；不得接受监理人提供的通讯工具、交通工具和高档办公用品等。</w:t>
      </w:r>
    </w:p>
    <w:p w14:paraId="1738C797">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2.3 委托人及其工作人员不得要求或者接受监理人为其住房装修、婚丧嫁娶活动、配偶子女的工作安排以及出国出境、旅游等提供方便等。</w:t>
      </w:r>
    </w:p>
    <w:p w14:paraId="2B0B8D6B">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2.4 委托人及其工作人员及其配偶、子女不得从事与委托人有关的工程材料设备供应、工程分包、劳务等经济活动。</w:t>
      </w:r>
    </w:p>
    <w:p w14:paraId="2A01E376">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2.5 委托人及其工作人员不得以任何理由向监理人推荐分包单位或推销材料，不得要求承包人购买合同约定外的材料和设备。</w:t>
      </w:r>
    </w:p>
    <w:p w14:paraId="21F315A8">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2.6 委托人及其工作人员要秉公办事，不准营私舞弊，不准利用职权从事各种个人有偿中介活动和安排个人施工队伍。</w:t>
      </w:r>
    </w:p>
    <w:p w14:paraId="2F983A18">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监理人义务</w:t>
      </w:r>
    </w:p>
    <w:p w14:paraId="42FA2EAD">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 监理人不得以任何理由向委托人及其工作人员行贿或馈赠礼金、有价证券、贵重礼品。</w:t>
      </w:r>
    </w:p>
    <w:p w14:paraId="517A5227">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 监理人不得以任何名义为委托人及其工作人员报销应由委托人或工作人员个人支付的任何费用。</w:t>
      </w:r>
    </w:p>
    <w:p w14:paraId="7E8B107D">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 监理人不得以任何理由安排委托人及其工作人员参加宴请（工作餐除外）及娱乐活动。</w:t>
      </w:r>
    </w:p>
    <w:p w14:paraId="7AF9A0B1">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3.4监理人不得为委托人和个人购置或提供通讯工具、交通工具和高档办公用品等。</w:t>
      </w:r>
    </w:p>
    <w:p w14:paraId="17662879">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 违约责任</w:t>
      </w:r>
    </w:p>
    <w:p w14:paraId="63746CE0">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 委托人及其工作人员违反本合同第1条和第2条规定，应依据有关规定给予廉政建设规定的处分；涉嫌犯罪的，移交司法机关追究刑事责任；给监理人造成经济损失的，应予赔偿。</w:t>
      </w:r>
    </w:p>
    <w:p w14:paraId="701708AE">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 监理人及其工作人员违反本合同第1条和第3条规定，应依据有关规定给予廉政建设规定的处分；给委托人造成经济损失的，应予赔偿；情节严重的，给予监理人一至三年内不得进入工程建设市场的处罚。</w:t>
      </w:r>
    </w:p>
    <w:p w14:paraId="59CAE39F">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双方约定</w:t>
      </w:r>
    </w:p>
    <w:p w14:paraId="00F10CCF">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本合同由双方或其上级部门负责监督执行，并由双方或其上级部门相互约请对本合同执行情况进行检查。</w:t>
      </w:r>
    </w:p>
    <w:p w14:paraId="51575ADB">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 合同生效</w:t>
      </w:r>
    </w:p>
    <w:p w14:paraId="4EABDC50">
      <w:pPr>
        <w:adjustRightInd w:val="0"/>
        <w:snapToGrid w:val="0"/>
        <w:spacing w:line="380" w:lineRule="exact"/>
        <w:ind w:firstLine="48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本合同自双方法定代表人或委托代理人签名或加盖公章之日起长期有效。</w:t>
      </w:r>
    </w:p>
    <w:p w14:paraId="6CD3F325">
      <w:pPr>
        <w:adjustRightInd w:val="0"/>
        <w:snapToGrid w:val="0"/>
        <w:spacing w:line="380" w:lineRule="exact"/>
        <w:ind w:firstLine="470" w:firstLineChars="19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 合同法律效力</w:t>
      </w:r>
    </w:p>
    <w:p w14:paraId="47E432A8">
      <w:pPr>
        <w:spacing w:line="380" w:lineRule="exact"/>
        <w:ind w:left="-120" w:leftChars="-50" w:right="-50" w:rightChars="-21" w:firstLine="600" w:firstLineChars="25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本合同作为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天河龙洞粮库建设工程（水利水电工程）</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w:t>
      </w:r>
      <w:r>
        <w:rPr>
          <w:rFonts w:hint="eastAsia" w:ascii="宋体" w:hAnsi="宋体" w:cs="宋体"/>
          <w:snapToGrid w:val="0"/>
          <w:color w:val="000000" w:themeColor="text1"/>
          <w:kern w:val="0"/>
          <w:szCs w:val="21"/>
          <w:highlight w:val="none"/>
          <w14:textFill>
            <w14:solidFill>
              <w14:schemeClr w14:val="tx1"/>
            </w14:solidFill>
          </w14:textFill>
        </w:rPr>
        <w:t xml:space="preserve"> 《建设工程委托监理合同》的附件，与《建设工程委托监理合同》具有同等的法律效力。</w:t>
      </w:r>
    </w:p>
    <w:p w14:paraId="32170C8F">
      <w:pPr>
        <w:adjustRightInd w:val="0"/>
        <w:snapToGrid w:val="0"/>
        <w:spacing w:line="380" w:lineRule="exact"/>
        <w:ind w:firstLine="470" w:firstLineChars="196"/>
        <w:rPr>
          <w:rFonts w:hint="eastAsia" w:ascii="宋体" w:hAnsi="宋体" w:cs="宋体"/>
          <w:bCs/>
          <w:snapToGrid w:val="0"/>
          <w:color w:val="000000" w:themeColor="text1"/>
          <w:kern w:val="0"/>
          <w:szCs w:val="21"/>
          <w:highlight w:val="none"/>
          <w:lang w:val="zh-TW"/>
          <w14:textFill>
            <w14:solidFill>
              <w14:schemeClr w14:val="tx1"/>
            </w14:solidFill>
          </w14:textFill>
        </w:rPr>
      </w:pPr>
      <w:r>
        <w:rPr>
          <w:rFonts w:hint="eastAsia" w:ascii="宋体" w:hAnsi="宋体" w:cs="宋体"/>
          <w:bCs/>
          <w:snapToGrid w:val="0"/>
          <w:color w:val="000000" w:themeColor="text1"/>
          <w:kern w:val="0"/>
          <w:szCs w:val="21"/>
          <w:highlight w:val="none"/>
          <w:lang w:val="zh-TW"/>
          <w14:textFill>
            <w14:solidFill>
              <w14:schemeClr w14:val="tx1"/>
            </w14:solidFill>
          </w14:textFill>
        </w:rPr>
        <w:t>（以下部分无廉政合同正文内容，为签章处）</w:t>
      </w:r>
    </w:p>
    <w:p w14:paraId="66C7ED46">
      <w:pPr>
        <w:adjustRightInd w:val="0"/>
        <w:snapToGrid w:val="0"/>
        <w:spacing w:line="380" w:lineRule="exact"/>
        <w:rPr>
          <w:rFonts w:hint="eastAsia" w:ascii="宋体" w:hAnsi="宋体" w:cs="宋体"/>
          <w:bCs/>
          <w:snapToGrid w:val="0"/>
          <w:color w:val="000000" w:themeColor="text1"/>
          <w:kern w:val="0"/>
          <w:szCs w:val="21"/>
          <w:highlight w:val="none"/>
          <w14:textFill>
            <w14:solidFill>
              <w14:schemeClr w14:val="tx1"/>
            </w14:solidFill>
          </w14:textFill>
        </w:rPr>
      </w:pPr>
    </w:p>
    <w:p w14:paraId="41B0D944">
      <w:pPr>
        <w:adjustRightInd w:val="0"/>
        <w:snapToGrid w:val="0"/>
        <w:spacing w:line="380" w:lineRule="exact"/>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spacing w:val="-20"/>
          <w:kern w:val="0"/>
          <w:szCs w:val="21"/>
          <w:highlight w:val="none"/>
          <w14:textFill>
            <w14:solidFill>
              <w14:schemeClr w14:val="tx1"/>
            </w14:solidFill>
          </w14:textFill>
        </w:rPr>
        <w:t>委托人：</w:t>
      </w:r>
      <w:r>
        <w:rPr>
          <w:rFonts w:hint="eastAsia" w:ascii="宋体" w:hAnsi="宋体" w:cs="宋体"/>
          <w:color w:val="000000" w:themeColor="text1"/>
          <w:szCs w:val="21"/>
          <w:highlight w:val="none"/>
          <w:u w:val="single"/>
          <w14:textFill>
            <w14:solidFill>
              <w14:schemeClr w14:val="tx1"/>
            </w14:solidFill>
          </w14:textFill>
        </w:rPr>
        <w:t>广州市天河区建设工程项目代建局</w:t>
      </w:r>
      <w:r>
        <w:rPr>
          <w:rFonts w:hint="eastAsia" w:ascii="宋体" w:hAnsi="宋体" w:cs="宋体"/>
          <w:bCs/>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spacing w:val="-20"/>
          <w:kern w:val="0"/>
          <w:szCs w:val="21"/>
          <w:highlight w:val="none"/>
          <w14:textFill>
            <w14:solidFill>
              <w14:schemeClr w14:val="tx1"/>
            </w14:solidFill>
          </w14:textFill>
        </w:rPr>
        <w:t xml:space="preserve">    监理人：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14:paraId="21EC544B">
      <w:pPr>
        <w:adjustRightInd w:val="0"/>
        <w:snapToGrid w:val="0"/>
        <w:spacing w:line="380" w:lineRule="exact"/>
        <w:ind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（盖章）                                   （盖章）</w:t>
      </w:r>
    </w:p>
    <w:p w14:paraId="75591D50">
      <w:pPr>
        <w:adjustRightInd w:val="0"/>
        <w:snapToGrid w:val="0"/>
        <w:spacing w:line="380" w:lineRule="exact"/>
        <w:ind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法定代表人（签名）：                    法定代表人（签名）：</w:t>
      </w:r>
    </w:p>
    <w:p w14:paraId="6172E6C5">
      <w:pPr>
        <w:tabs>
          <w:tab w:val="left" w:pos="5460"/>
        </w:tabs>
        <w:adjustRightInd w:val="0"/>
        <w:snapToGrid w:val="0"/>
        <w:spacing w:line="380" w:lineRule="exact"/>
        <w:ind w:left="-2" w:leftChars="-1"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或委托代理人（签名）：                 或 委托代理人（签名）：</w:t>
      </w:r>
    </w:p>
    <w:p w14:paraId="0B8AA4A1">
      <w:pPr>
        <w:adjustRightInd w:val="0"/>
        <w:snapToGrid w:val="0"/>
        <w:spacing w:line="380" w:lineRule="exact"/>
        <w:ind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住所：广州市天河区黄埔大道中300号     住所： </w:t>
      </w:r>
    </w:p>
    <w:p w14:paraId="25664BB3">
      <w:pPr>
        <w:pStyle w:val="11"/>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 xml:space="preserve">      润都大厦</w:t>
      </w:r>
    </w:p>
    <w:p w14:paraId="09CB71D7">
      <w:pPr>
        <w:adjustRightInd w:val="0"/>
        <w:snapToGrid w:val="0"/>
        <w:spacing w:line="380" w:lineRule="exact"/>
        <w:ind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电话：020-38085152                     电话：</w:t>
      </w:r>
      <w:r>
        <w:rPr>
          <w:rFonts w:ascii="宋体" w:hAnsi="宋体" w:cs="宋体"/>
          <w:snapToGrid w:val="0"/>
          <w:color w:val="000000" w:themeColor="text1"/>
          <w:kern w:val="0"/>
          <w:szCs w:val="21"/>
          <w:highlight w:val="none"/>
          <w14:textFill>
            <w14:solidFill>
              <w14:schemeClr w14:val="tx1"/>
            </w14:solidFill>
          </w14:textFill>
        </w:rPr>
        <w:t xml:space="preserve"> </w:t>
      </w:r>
    </w:p>
    <w:p w14:paraId="4875D0A6">
      <w:pPr>
        <w:adjustRightInd w:val="0"/>
        <w:snapToGrid w:val="0"/>
        <w:spacing w:line="380" w:lineRule="exact"/>
        <w:ind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传真：                                 传真：</w:t>
      </w:r>
      <w:r>
        <w:rPr>
          <w:rFonts w:ascii="宋体" w:hAnsi="宋体"/>
          <w:bCs/>
          <w:color w:val="000000" w:themeColor="text1"/>
          <w:szCs w:val="21"/>
          <w:highlight w:val="none"/>
          <w14:textFill>
            <w14:solidFill>
              <w14:schemeClr w14:val="tx1"/>
            </w14:solidFill>
          </w14:textFill>
        </w:rPr>
        <w:t xml:space="preserve"> </w:t>
      </w:r>
    </w:p>
    <w:p w14:paraId="0BD2AD0F">
      <w:pPr>
        <w:tabs>
          <w:tab w:val="left" w:pos="5460"/>
        </w:tabs>
        <w:adjustRightInd w:val="0"/>
        <w:snapToGrid w:val="0"/>
        <w:spacing w:line="380" w:lineRule="exact"/>
        <w:ind w:left="-2" w:leftChars="-1"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开户银行：工行广州员村支行            </w:t>
      </w:r>
      <w:r>
        <w:rPr>
          <w:rFonts w:hint="eastAsia" w:ascii="宋体" w:hAnsi="宋体" w:cs="宋体"/>
          <w:snapToGrid w:val="0"/>
          <w:color w:val="000000" w:themeColor="text1"/>
          <w:kern w:val="0"/>
          <w:sz w:val="18"/>
          <w:szCs w:val="18"/>
          <w:highlight w:val="none"/>
          <w14:textFill>
            <w14:solidFill>
              <w14:schemeClr w14:val="tx1"/>
            </w14:solidFill>
          </w14:textFill>
        </w:rPr>
        <w:t>开户银行：</w:t>
      </w:r>
      <w:r>
        <w:rPr>
          <w:rFonts w:hint="eastAsia" w:ascii="宋体" w:hAnsi="宋体"/>
          <w:color w:val="000000" w:themeColor="text1"/>
          <w:sz w:val="18"/>
          <w:szCs w:val="18"/>
          <w:highlight w:val="none"/>
          <w14:textFill>
            <w14:solidFill>
              <w14:schemeClr w14:val="tx1"/>
            </w14:solidFill>
          </w14:textFill>
        </w:rPr>
        <w:t xml:space="preserve"> </w:t>
      </w:r>
    </w:p>
    <w:p w14:paraId="1435ACC7">
      <w:pPr>
        <w:tabs>
          <w:tab w:val="left" w:pos="5460"/>
        </w:tabs>
        <w:adjustRightInd w:val="0"/>
        <w:snapToGrid w:val="0"/>
        <w:spacing w:line="380" w:lineRule="exact"/>
        <w:ind w:left="-2" w:leftChars="-1"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帐号：</w:t>
      </w:r>
      <w:r>
        <w:rPr>
          <w:rFonts w:ascii="宋体" w:hAnsi="宋体" w:cs="宋体"/>
          <w:snapToGrid w:val="0"/>
          <w:color w:val="000000" w:themeColor="text1"/>
          <w:kern w:val="0"/>
          <w:szCs w:val="21"/>
          <w:highlight w:val="none"/>
          <w14:textFill>
            <w14:solidFill>
              <w14:schemeClr w14:val="tx1"/>
            </w14:solidFill>
          </w14:textFill>
        </w:rPr>
        <w:t>3602005309200186668</w:t>
      </w:r>
      <w:r>
        <w:rPr>
          <w:rFonts w:hint="eastAsia" w:ascii="宋体" w:hAnsi="宋体" w:cs="宋体"/>
          <w:snapToGrid w:val="0"/>
          <w:color w:val="000000" w:themeColor="text1"/>
          <w:kern w:val="0"/>
          <w:szCs w:val="21"/>
          <w:highlight w:val="none"/>
          <w14:textFill>
            <w14:solidFill>
              <w14:schemeClr w14:val="tx1"/>
            </w14:solidFill>
          </w14:textFill>
        </w:rPr>
        <w:t xml:space="preserve">              帐号：</w:t>
      </w:r>
      <w:r>
        <w:rPr>
          <w:rFonts w:ascii="宋体" w:hAnsi="宋体"/>
          <w:color w:val="000000" w:themeColor="text1"/>
          <w:szCs w:val="21"/>
          <w:highlight w:val="none"/>
          <w14:textFill>
            <w14:solidFill>
              <w14:schemeClr w14:val="tx1"/>
            </w14:solidFill>
          </w14:textFill>
        </w:rPr>
        <w:t xml:space="preserve"> </w:t>
      </w:r>
    </w:p>
    <w:p w14:paraId="3ED1247C">
      <w:pPr>
        <w:tabs>
          <w:tab w:val="left" w:pos="5460"/>
        </w:tabs>
        <w:adjustRightInd w:val="0"/>
        <w:snapToGrid w:val="0"/>
        <w:spacing w:line="380" w:lineRule="exact"/>
        <w:ind w:left="-2" w:leftChars="-1" w:right="1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签约日期：     年   月   日            签约日期：     年    月   日</w:t>
      </w:r>
    </w:p>
    <w:p w14:paraId="4D67E696">
      <w:pPr>
        <w:spacing w:line="38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p w14:paraId="695950BF">
      <w:pPr>
        <w:adjustRightInd w:val="0"/>
        <w:snapToGrid w:val="0"/>
        <w:spacing w:line="38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签订地点：广州市天河区</w:t>
      </w:r>
    </w:p>
    <w:p w14:paraId="5B2F299D">
      <w:pPr>
        <w:jc w:val="left"/>
        <w:rPr>
          <w:rFonts w:hint="eastAsia"/>
          <w:b/>
          <w:bCs/>
          <w:color w:val="000000" w:themeColor="text1"/>
          <w:sz w:val="28"/>
          <w:szCs w:val="28"/>
          <w:highlight w:val="none"/>
          <w14:textFill>
            <w14:solidFill>
              <w14:schemeClr w14:val="tx1"/>
            </w14:solidFill>
          </w14:textFill>
        </w:rPr>
      </w:pPr>
    </w:p>
    <w:p w14:paraId="309F56DC">
      <w:pPr>
        <w:jc w:val="left"/>
        <w:rPr>
          <w:rFonts w:hint="eastAsia"/>
          <w:b/>
          <w:bCs/>
          <w:color w:val="000000" w:themeColor="text1"/>
          <w:sz w:val="28"/>
          <w:szCs w:val="28"/>
          <w:highlight w:val="none"/>
          <w14:textFill>
            <w14:solidFill>
              <w14:schemeClr w14:val="tx1"/>
            </w14:solidFill>
          </w14:textFill>
        </w:rPr>
      </w:pPr>
    </w:p>
    <w:p w14:paraId="7C1C6544">
      <w:pPr>
        <w:jc w:val="left"/>
        <w:rPr>
          <w:rFonts w:hint="eastAsia"/>
          <w:b/>
          <w:bCs/>
          <w:color w:val="000000" w:themeColor="text1"/>
          <w:sz w:val="28"/>
          <w:szCs w:val="28"/>
          <w:highlight w:val="none"/>
          <w14:textFill>
            <w14:solidFill>
              <w14:schemeClr w14:val="tx1"/>
            </w14:solidFill>
          </w14:textFill>
        </w:rPr>
      </w:pPr>
    </w:p>
    <w:p w14:paraId="0935609A">
      <w:pPr>
        <w:pStyle w:val="11"/>
        <w:rPr>
          <w:rFonts w:hint="eastAsia"/>
          <w:color w:val="000000" w:themeColor="text1"/>
          <w:highlight w:val="none"/>
          <w14:textFill>
            <w14:solidFill>
              <w14:schemeClr w14:val="tx1"/>
            </w14:solidFill>
          </w14:textFill>
        </w:rPr>
      </w:pPr>
    </w:p>
    <w:p w14:paraId="53D146B8">
      <w:pPr>
        <w:jc w:val="left"/>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附件2</w:t>
      </w:r>
    </w:p>
    <w:p w14:paraId="1F0202F7">
      <w:pPr>
        <w:jc w:val="cente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各阶段工作成果文件</w:t>
      </w:r>
    </w:p>
    <w:tbl>
      <w:tblPr>
        <w:tblStyle w:val="2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212"/>
        <w:gridCol w:w="670"/>
      </w:tblGrid>
      <w:tr w14:paraId="2ADD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36" w:type="dxa"/>
            <w:noWrap w:val="0"/>
            <w:vAlign w:val="center"/>
          </w:tcPr>
          <w:p w14:paraId="7F58FD0B">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7212" w:type="dxa"/>
            <w:noWrap w:val="0"/>
            <w:vAlign w:val="center"/>
          </w:tcPr>
          <w:p w14:paraId="36C9D7D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工作成果</w:t>
            </w:r>
          </w:p>
          <w:p w14:paraId="1842473D">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（报告、记录、计算书、审核书等）</w:t>
            </w:r>
          </w:p>
        </w:tc>
        <w:tc>
          <w:tcPr>
            <w:tcW w:w="670" w:type="dxa"/>
            <w:noWrap w:val="0"/>
            <w:vAlign w:val="center"/>
          </w:tcPr>
          <w:p w14:paraId="2F8E75B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备注</w:t>
            </w:r>
          </w:p>
        </w:tc>
      </w:tr>
      <w:tr w14:paraId="43F5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6" w:type="dxa"/>
            <w:noWrap w:val="0"/>
            <w:vAlign w:val="center"/>
          </w:tcPr>
          <w:p w14:paraId="38B8864D">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一</w:t>
            </w:r>
          </w:p>
        </w:tc>
        <w:tc>
          <w:tcPr>
            <w:tcW w:w="7882" w:type="dxa"/>
            <w:gridSpan w:val="2"/>
            <w:noWrap w:val="0"/>
            <w:vAlign w:val="center"/>
          </w:tcPr>
          <w:p w14:paraId="41A1424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前期、勘察、设计、概预算阶段</w:t>
            </w:r>
          </w:p>
        </w:tc>
      </w:tr>
      <w:tr w14:paraId="6672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6" w:type="dxa"/>
            <w:noWrap w:val="0"/>
            <w:vAlign w:val="center"/>
          </w:tcPr>
          <w:p w14:paraId="6743E304">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w:t>
            </w:r>
          </w:p>
        </w:tc>
        <w:tc>
          <w:tcPr>
            <w:tcW w:w="7212" w:type="dxa"/>
            <w:noWrap w:val="0"/>
            <w:vAlign w:val="center"/>
          </w:tcPr>
          <w:p w14:paraId="3C8CD49E">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提交项目总体管理方案及各阶段目标计划</w:t>
            </w:r>
          </w:p>
        </w:tc>
        <w:tc>
          <w:tcPr>
            <w:tcW w:w="670" w:type="dxa"/>
            <w:noWrap w:val="0"/>
            <w:vAlign w:val="center"/>
          </w:tcPr>
          <w:p w14:paraId="712180D6">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6950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noWrap w:val="0"/>
            <w:vAlign w:val="center"/>
          </w:tcPr>
          <w:p w14:paraId="1F5D1B7B">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w:t>
            </w:r>
          </w:p>
        </w:tc>
        <w:tc>
          <w:tcPr>
            <w:tcW w:w="7212" w:type="dxa"/>
            <w:noWrap w:val="0"/>
            <w:vAlign w:val="center"/>
          </w:tcPr>
          <w:p w14:paraId="688286F0">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负责审核承包单位提交的既有建筑物（构筑物）拆除方案，配合完成拆除手续的办理；对拆除工程的进度、安全文明施工进行全过程旁站监理；完成拆除工作的计量计价审核工作。（如需）</w:t>
            </w:r>
          </w:p>
        </w:tc>
        <w:tc>
          <w:tcPr>
            <w:tcW w:w="670" w:type="dxa"/>
            <w:noWrap w:val="0"/>
            <w:vAlign w:val="center"/>
          </w:tcPr>
          <w:p w14:paraId="0761080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0EA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noWrap w:val="0"/>
            <w:vAlign w:val="center"/>
          </w:tcPr>
          <w:p w14:paraId="661C319F">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3</w:t>
            </w:r>
          </w:p>
        </w:tc>
        <w:tc>
          <w:tcPr>
            <w:tcW w:w="7212" w:type="dxa"/>
            <w:noWrap w:val="0"/>
            <w:vAlign w:val="center"/>
          </w:tcPr>
          <w:p w14:paraId="022C5C4F">
            <w:pPr>
              <w:keepNext w:val="0"/>
              <w:keepLines w:val="0"/>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eastAsia="zh-Hans" w:bidi="ar"/>
                <w14:textFill>
                  <w14:solidFill>
                    <w14:schemeClr w14:val="tx1"/>
                  </w14:solidFill>
                </w14:textFill>
              </w:rPr>
              <w:t>提供可行性研究报告的优化意见（</w:t>
            </w:r>
            <w:r>
              <w:rPr>
                <w:rFonts w:hint="eastAsia" w:ascii="宋体" w:hAnsi="宋体" w:cs="宋体"/>
                <w:color w:val="000000" w:themeColor="text1"/>
                <w:kern w:val="0"/>
                <w:sz w:val="18"/>
                <w:szCs w:val="18"/>
                <w:highlight w:val="none"/>
                <w:lang w:bidi="ar"/>
                <w14:textFill>
                  <w14:solidFill>
                    <w14:schemeClr w14:val="tx1"/>
                  </w14:solidFill>
                </w14:textFill>
              </w:rPr>
              <w:t>如需</w:t>
            </w:r>
            <w:r>
              <w:rPr>
                <w:rFonts w:hint="eastAsia" w:ascii="宋体" w:hAnsi="宋体" w:cs="宋体"/>
                <w:color w:val="000000" w:themeColor="text1"/>
                <w:kern w:val="0"/>
                <w:sz w:val="18"/>
                <w:szCs w:val="18"/>
                <w:highlight w:val="none"/>
                <w:lang w:eastAsia="zh-Hans" w:bidi="ar"/>
                <w14:textFill>
                  <w14:solidFill>
                    <w14:schemeClr w14:val="tx1"/>
                  </w14:solidFill>
                </w14:textFill>
              </w:rPr>
              <w:t>）</w:t>
            </w:r>
          </w:p>
        </w:tc>
        <w:tc>
          <w:tcPr>
            <w:tcW w:w="670" w:type="dxa"/>
            <w:noWrap w:val="0"/>
            <w:vAlign w:val="center"/>
          </w:tcPr>
          <w:p w14:paraId="198463D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3140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noWrap w:val="0"/>
            <w:vAlign w:val="center"/>
          </w:tcPr>
          <w:p w14:paraId="6D55A027">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4</w:t>
            </w:r>
          </w:p>
        </w:tc>
        <w:tc>
          <w:tcPr>
            <w:tcW w:w="7212" w:type="dxa"/>
            <w:noWrap w:val="0"/>
            <w:vAlign w:val="center"/>
          </w:tcPr>
          <w:p w14:paraId="13E11C33">
            <w:pPr>
              <w:keepNext w:val="0"/>
              <w:keepLines w:val="0"/>
              <w:suppressLineNumbers w:val="0"/>
              <w:spacing w:before="0" w:beforeAutospacing="0" w:after="0" w:afterAutospacing="0"/>
              <w:ind w:left="0" w:right="0"/>
              <w:jc w:val="left"/>
              <w:rPr>
                <w:rFonts w:ascii="宋体" w:hAnsi="宋体" w:cs="宋体"/>
                <w:color w:val="000000" w:themeColor="text1"/>
                <w:kern w:val="0"/>
                <w:sz w:val="18"/>
                <w:szCs w:val="18"/>
                <w:highlight w:val="none"/>
                <w:lang w:eastAsia="zh-Hans" w:bidi="ar"/>
                <w14:textFill>
                  <w14:solidFill>
                    <w14:schemeClr w14:val="tx1"/>
                  </w14:solidFill>
                </w14:textFill>
              </w:rPr>
            </w:pPr>
            <w:r>
              <w:rPr>
                <w:rFonts w:hint="eastAsia" w:ascii="宋体" w:hAnsi="宋体" w:cs="宋体"/>
                <w:color w:val="000000" w:themeColor="text1"/>
                <w:kern w:val="0"/>
                <w:sz w:val="18"/>
                <w:szCs w:val="18"/>
                <w:highlight w:val="none"/>
                <w:lang w:eastAsia="zh-Hans" w:bidi="ar"/>
                <w14:textFill>
                  <w14:solidFill>
                    <w14:schemeClr w14:val="tx1"/>
                  </w14:solidFill>
                </w14:textFill>
              </w:rPr>
              <w:t>分别提供设计方案</w:t>
            </w:r>
            <w:r>
              <w:rPr>
                <w:rFonts w:ascii="宋体" w:hAnsi="宋体" w:cs="宋体"/>
                <w:color w:val="000000" w:themeColor="text1"/>
                <w:kern w:val="0"/>
                <w:sz w:val="18"/>
                <w:szCs w:val="18"/>
                <w:highlight w:val="none"/>
                <w:lang w:eastAsia="zh-Hans" w:bidi="ar"/>
                <w14:textFill>
                  <w14:solidFill>
                    <w14:schemeClr w14:val="tx1"/>
                  </w14:solidFill>
                </w14:textFill>
              </w:rPr>
              <w:t>、</w:t>
            </w:r>
            <w:r>
              <w:rPr>
                <w:rFonts w:hint="eastAsia" w:ascii="宋体" w:hAnsi="宋体" w:cs="宋体"/>
                <w:color w:val="000000" w:themeColor="text1"/>
                <w:kern w:val="0"/>
                <w:sz w:val="18"/>
                <w:szCs w:val="18"/>
                <w:highlight w:val="none"/>
                <w:lang w:eastAsia="zh-Hans" w:bidi="ar"/>
                <w14:textFill>
                  <w14:solidFill>
                    <w14:schemeClr w14:val="tx1"/>
                  </w14:solidFill>
                </w14:textFill>
              </w:rPr>
              <w:t>初步设计</w:t>
            </w:r>
            <w:r>
              <w:rPr>
                <w:rFonts w:ascii="宋体" w:hAnsi="宋体" w:cs="宋体"/>
                <w:color w:val="000000" w:themeColor="text1"/>
                <w:kern w:val="0"/>
                <w:sz w:val="18"/>
                <w:szCs w:val="18"/>
                <w:highlight w:val="none"/>
                <w:lang w:eastAsia="zh-Hans" w:bidi="ar"/>
                <w14:textFill>
                  <w14:solidFill>
                    <w14:schemeClr w14:val="tx1"/>
                  </w14:solidFill>
                </w14:textFill>
              </w:rPr>
              <w:t>、</w:t>
            </w:r>
            <w:r>
              <w:rPr>
                <w:rFonts w:hint="eastAsia" w:ascii="宋体" w:hAnsi="宋体" w:cs="宋体"/>
                <w:color w:val="000000" w:themeColor="text1"/>
                <w:kern w:val="0"/>
                <w:sz w:val="18"/>
                <w:szCs w:val="18"/>
                <w:highlight w:val="none"/>
                <w:lang w:eastAsia="zh-Hans" w:bidi="ar"/>
                <w14:textFill>
                  <w14:solidFill>
                    <w14:schemeClr w14:val="tx1"/>
                  </w14:solidFill>
                </w14:textFill>
              </w:rPr>
              <w:t>施工图设计的优化意见</w:t>
            </w:r>
          </w:p>
        </w:tc>
        <w:tc>
          <w:tcPr>
            <w:tcW w:w="670" w:type="dxa"/>
            <w:noWrap w:val="0"/>
            <w:vAlign w:val="center"/>
          </w:tcPr>
          <w:p w14:paraId="1731E284">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3153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noWrap w:val="0"/>
            <w:vAlign w:val="center"/>
          </w:tcPr>
          <w:p w14:paraId="73F18906">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5</w:t>
            </w:r>
          </w:p>
        </w:tc>
        <w:tc>
          <w:tcPr>
            <w:tcW w:w="7212" w:type="dxa"/>
            <w:noWrap w:val="0"/>
            <w:vAlign w:val="center"/>
          </w:tcPr>
          <w:p w14:paraId="3EC0CAEA">
            <w:pPr>
              <w:keepNext w:val="0"/>
              <w:keepLines w:val="0"/>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eastAsia="zh-Hans" w:bidi="ar"/>
                <w14:textFill>
                  <w14:solidFill>
                    <w14:schemeClr w14:val="tx1"/>
                  </w14:solidFill>
                </w14:textFill>
              </w:rPr>
              <w:t>提供概算</w:t>
            </w:r>
            <w:r>
              <w:rPr>
                <w:rFonts w:ascii="宋体" w:hAnsi="宋体" w:cs="宋体"/>
                <w:color w:val="000000" w:themeColor="text1"/>
                <w:kern w:val="0"/>
                <w:sz w:val="18"/>
                <w:szCs w:val="18"/>
                <w:highlight w:val="none"/>
                <w:lang w:eastAsia="zh-Hans" w:bidi="ar"/>
                <w14:textFill>
                  <w14:solidFill>
                    <w14:schemeClr w14:val="tx1"/>
                  </w14:solidFill>
                </w14:textFill>
              </w:rPr>
              <w:t>、</w:t>
            </w:r>
            <w:r>
              <w:rPr>
                <w:rFonts w:hint="eastAsia" w:ascii="宋体" w:hAnsi="宋体" w:cs="宋体"/>
                <w:color w:val="000000" w:themeColor="text1"/>
                <w:kern w:val="0"/>
                <w:sz w:val="18"/>
                <w:szCs w:val="18"/>
                <w:highlight w:val="none"/>
                <w:lang w:eastAsia="zh-Hans" w:bidi="ar"/>
                <w14:textFill>
                  <w14:solidFill>
                    <w14:schemeClr w14:val="tx1"/>
                  </w14:solidFill>
                </w14:textFill>
              </w:rPr>
              <w:t>预算的优化意见</w:t>
            </w:r>
          </w:p>
        </w:tc>
        <w:tc>
          <w:tcPr>
            <w:tcW w:w="670" w:type="dxa"/>
            <w:noWrap w:val="0"/>
            <w:vAlign w:val="center"/>
          </w:tcPr>
          <w:p w14:paraId="4A3BBF4D">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292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6" w:type="dxa"/>
            <w:noWrap w:val="0"/>
            <w:vAlign w:val="center"/>
          </w:tcPr>
          <w:p w14:paraId="2E392F45">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二</w:t>
            </w:r>
          </w:p>
        </w:tc>
        <w:tc>
          <w:tcPr>
            <w:tcW w:w="7882" w:type="dxa"/>
            <w:gridSpan w:val="2"/>
            <w:noWrap w:val="0"/>
            <w:vAlign w:val="center"/>
          </w:tcPr>
          <w:p w14:paraId="7C652A58">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工程施工准备阶段</w:t>
            </w:r>
          </w:p>
        </w:tc>
      </w:tr>
      <w:tr w14:paraId="31E2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36" w:type="dxa"/>
            <w:noWrap w:val="0"/>
            <w:vAlign w:val="center"/>
          </w:tcPr>
          <w:p w14:paraId="01A09203">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w:t>
            </w:r>
          </w:p>
        </w:tc>
        <w:tc>
          <w:tcPr>
            <w:tcW w:w="7212" w:type="dxa"/>
            <w:noWrap w:val="0"/>
            <w:vAlign w:val="center"/>
          </w:tcPr>
          <w:p w14:paraId="268E2CB1">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提交《（各专业）设计技术交底会议纪要》</w:t>
            </w:r>
          </w:p>
        </w:tc>
        <w:tc>
          <w:tcPr>
            <w:tcW w:w="670" w:type="dxa"/>
            <w:noWrap w:val="0"/>
            <w:vAlign w:val="center"/>
          </w:tcPr>
          <w:p w14:paraId="1C2EEA6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46E3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36" w:type="dxa"/>
            <w:noWrap w:val="0"/>
            <w:vAlign w:val="center"/>
          </w:tcPr>
          <w:p w14:paraId="33188FC6">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w:t>
            </w:r>
          </w:p>
        </w:tc>
        <w:tc>
          <w:tcPr>
            <w:tcW w:w="7212" w:type="dxa"/>
            <w:noWrap w:val="0"/>
            <w:vAlign w:val="center"/>
          </w:tcPr>
          <w:p w14:paraId="0ACAA066">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提交《（各专业）施工图会审记录》</w:t>
            </w:r>
          </w:p>
        </w:tc>
        <w:tc>
          <w:tcPr>
            <w:tcW w:w="670" w:type="dxa"/>
            <w:noWrap w:val="0"/>
            <w:vAlign w:val="center"/>
          </w:tcPr>
          <w:p w14:paraId="5417DAB3">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FC5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6" w:type="dxa"/>
            <w:noWrap w:val="0"/>
            <w:vAlign w:val="center"/>
          </w:tcPr>
          <w:p w14:paraId="3636B9F7">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3</w:t>
            </w:r>
          </w:p>
        </w:tc>
        <w:tc>
          <w:tcPr>
            <w:tcW w:w="7212" w:type="dxa"/>
            <w:noWrap w:val="0"/>
            <w:vAlign w:val="center"/>
          </w:tcPr>
          <w:p w14:paraId="5BF2890C">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提交《对承包人提交的施工组织设计方案的审查报告》</w:t>
            </w:r>
          </w:p>
        </w:tc>
        <w:tc>
          <w:tcPr>
            <w:tcW w:w="670" w:type="dxa"/>
            <w:noWrap w:val="0"/>
            <w:vAlign w:val="center"/>
          </w:tcPr>
          <w:p w14:paraId="07123CD5">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284A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6" w:type="dxa"/>
            <w:noWrap w:val="0"/>
            <w:vAlign w:val="center"/>
          </w:tcPr>
          <w:p w14:paraId="44D4021C">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4</w:t>
            </w:r>
          </w:p>
        </w:tc>
        <w:tc>
          <w:tcPr>
            <w:tcW w:w="7212" w:type="dxa"/>
            <w:noWrap w:val="0"/>
            <w:vAlign w:val="center"/>
          </w:tcPr>
          <w:p w14:paraId="1AF5645D">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提交《对承包人提交的质量管理体系、环境管理体系及安全管理体系的检查审核报告》</w:t>
            </w:r>
          </w:p>
        </w:tc>
        <w:tc>
          <w:tcPr>
            <w:tcW w:w="670" w:type="dxa"/>
            <w:noWrap w:val="0"/>
            <w:vAlign w:val="center"/>
          </w:tcPr>
          <w:p w14:paraId="044425FC">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2C9D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6" w:type="dxa"/>
            <w:noWrap w:val="0"/>
            <w:vAlign w:val="center"/>
          </w:tcPr>
          <w:p w14:paraId="117ACDD0">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5</w:t>
            </w:r>
          </w:p>
        </w:tc>
        <w:tc>
          <w:tcPr>
            <w:tcW w:w="7212" w:type="dxa"/>
            <w:noWrap w:val="0"/>
            <w:vAlign w:val="center"/>
          </w:tcPr>
          <w:p w14:paraId="6E765663">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提交《承包人的资格（资质）报审表》、《专业分包的资格（资质）报审表》的审核资料</w:t>
            </w:r>
          </w:p>
        </w:tc>
        <w:tc>
          <w:tcPr>
            <w:tcW w:w="670" w:type="dxa"/>
            <w:noWrap w:val="0"/>
            <w:vAlign w:val="center"/>
          </w:tcPr>
          <w:p w14:paraId="20DFF3DE">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7ED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36" w:type="dxa"/>
            <w:noWrap w:val="0"/>
            <w:vAlign w:val="center"/>
          </w:tcPr>
          <w:p w14:paraId="7491DCC3">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6</w:t>
            </w:r>
          </w:p>
        </w:tc>
        <w:tc>
          <w:tcPr>
            <w:tcW w:w="7212" w:type="dxa"/>
            <w:noWrap w:val="0"/>
            <w:vAlign w:val="center"/>
          </w:tcPr>
          <w:p w14:paraId="44DD00FC">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提交对承包人提交的《进场施工测量成果报验申请表》的审核报告</w:t>
            </w:r>
          </w:p>
        </w:tc>
        <w:tc>
          <w:tcPr>
            <w:tcW w:w="670" w:type="dxa"/>
            <w:noWrap w:val="0"/>
            <w:vAlign w:val="center"/>
          </w:tcPr>
          <w:p w14:paraId="36EEF4C8">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015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36" w:type="dxa"/>
            <w:noWrap w:val="0"/>
            <w:vAlign w:val="center"/>
          </w:tcPr>
          <w:p w14:paraId="09938A4B">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7</w:t>
            </w:r>
          </w:p>
        </w:tc>
        <w:tc>
          <w:tcPr>
            <w:tcW w:w="7212" w:type="dxa"/>
            <w:noWrap w:val="0"/>
            <w:vAlign w:val="center"/>
          </w:tcPr>
          <w:p w14:paraId="3D53DB23">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提交经过批核的《工程开工报审表》</w:t>
            </w:r>
          </w:p>
        </w:tc>
        <w:tc>
          <w:tcPr>
            <w:tcW w:w="670" w:type="dxa"/>
            <w:noWrap w:val="0"/>
            <w:vAlign w:val="center"/>
          </w:tcPr>
          <w:p w14:paraId="3FA251A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6B0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6" w:type="dxa"/>
            <w:noWrap w:val="0"/>
            <w:vAlign w:val="center"/>
          </w:tcPr>
          <w:p w14:paraId="419D17C6">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8</w:t>
            </w:r>
          </w:p>
        </w:tc>
        <w:tc>
          <w:tcPr>
            <w:tcW w:w="7212" w:type="dxa"/>
            <w:noWrap w:val="0"/>
            <w:vAlign w:val="center"/>
          </w:tcPr>
          <w:p w14:paraId="775720F7">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提交首次工地会议的会议记录</w:t>
            </w:r>
          </w:p>
        </w:tc>
        <w:tc>
          <w:tcPr>
            <w:tcW w:w="670" w:type="dxa"/>
            <w:noWrap w:val="0"/>
            <w:vAlign w:val="center"/>
          </w:tcPr>
          <w:p w14:paraId="4456A5D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7A07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0303BA01">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9</w:t>
            </w:r>
          </w:p>
        </w:tc>
        <w:tc>
          <w:tcPr>
            <w:tcW w:w="7212" w:type="dxa"/>
            <w:noWrap w:val="0"/>
            <w:vAlign w:val="center"/>
          </w:tcPr>
          <w:p w14:paraId="25DED156">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提交《监理规划》</w:t>
            </w:r>
          </w:p>
        </w:tc>
        <w:tc>
          <w:tcPr>
            <w:tcW w:w="670" w:type="dxa"/>
            <w:noWrap w:val="0"/>
            <w:vAlign w:val="center"/>
          </w:tcPr>
          <w:p w14:paraId="02814F8D">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19D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16A3A955">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10</w:t>
            </w:r>
          </w:p>
        </w:tc>
        <w:tc>
          <w:tcPr>
            <w:tcW w:w="7212" w:type="dxa"/>
            <w:noWrap w:val="0"/>
            <w:vAlign w:val="center"/>
          </w:tcPr>
          <w:p w14:paraId="7689D20F">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提交《监理实施细则》（含安全监理实施细则）</w:t>
            </w:r>
          </w:p>
        </w:tc>
        <w:tc>
          <w:tcPr>
            <w:tcW w:w="670" w:type="dxa"/>
            <w:noWrap w:val="0"/>
            <w:vAlign w:val="center"/>
          </w:tcPr>
          <w:p w14:paraId="0F1BA27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71DE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4B2DA08">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11</w:t>
            </w:r>
          </w:p>
        </w:tc>
        <w:tc>
          <w:tcPr>
            <w:tcW w:w="7212" w:type="dxa"/>
            <w:noWrap w:val="0"/>
            <w:vAlign w:val="center"/>
          </w:tcPr>
          <w:p w14:paraId="1B0EDA06">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项目监理机构驻场监理人员通知书（至少含一名造价工程师，详见附件4）</w:t>
            </w:r>
          </w:p>
        </w:tc>
        <w:tc>
          <w:tcPr>
            <w:tcW w:w="670" w:type="dxa"/>
            <w:noWrap w:val="0"/>
            <w:vAlign w:val="center"/>
          </w:tcPr>
          <w:p w14:paraId="77868127">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6AFB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884D52C">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12</w:t>
            </w:r>
          </w:p>
        </w:tc>
        <w:tc>
          <w:tcPr>
            <w:tcW w:w="7212" w:type="dxa"/>
            <w:noWrap w:val="0"/>
            <w:vAlign w:val="center"/>
          </w:tcPr>
          <w:p w14:paraId="2A723687">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提交投标清单复核（清标）报告</w:t>
            </w:r>
          </w:p>
        </w:tc>
        <w:tc>
          <w:tcPr>
            <w:tcW w:w="670" w:type="dxa"/>
            <w:noWrap w:val="0"/>
            <w:vAlign w:val="center"/>
          </w:tcPr>
          <w:p w14:paraId="0275C36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EC5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8469BE1">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13</w:t>
            </w:r>
          </w:p>
        </w:tc>
        <w:tc>
          <w:tcPr>
            <w:tcW w:w="7212" w:type="dxa"/>
            <w:noWrap w:val="0"/>
            <w:vAlign w:val="center"/>
          </w:tcPr>
          <w:p w14:paraId="09F630BF">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提交材料定版计划、样板引路计划</w:t>
            </w:r>
          </w:p>
        </w:tc>
        <w:tc>
          <w:tcPr>
            <w:tcW w:w="670" w:type="dxa"/>
            <w:noWrap w:val="0"/>
            <w:vAlign w:val="center"/>
          </w:tcPr>
          <w:p w14:paraId="75125AD6">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94C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A0510BE">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三</w:t>
            </w:r>
          </w:p>
        </w:tc>
        <w:tc>
          <w:tcPr>
            <w:tcW w:w="7882" w:type="dxa"/>
            <w:gridSpan w:val="2"/>
            <w:noWrap w:val="0"/>
            <w:vAlign w:val="center"/>
          </w:tcPr>
          <w:p w14:paraId="676C442B">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工程施工阶段</w:t>
            </w:r>
          </w:p>
        </w:tc>
      </w:tr>
      <w:tr w14:paraId="6048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0F91A284">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w:t>
            </w:r>
          </w:p>
        </w:tc>
        <w:tc>
          <w:tcPr>
            <w:tcW w:w="7212" w:type="dxa"/>
            <w:noWrap w:val="0"/>
            <w:vAlign w:val="center"/>
          </w:tcPr>
          <w:p w14:paraId="4B81A077">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提交经审批的施工组织设计方案 </w:t>
            </w:r>
          </w:p>
        </w:tc>
        <w:tc>
          <w:tcPr>
            <w:tcW w:w="670" w:type="dxa"/>
            <w:noWrap w:val="0"/>
            <w:vAlign w:val="center"/>
          </w:tcPr>
          <w:p w14:paraId="02B2964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587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AC68B65">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w:t>
            </w:r>
          </w:p>
        </w:tc>
        <w:tc>
          <w:tcPr>
            <w:tcW w:w="7212" w:type="dxa"/>
            <w:noWrap w:val="0"/>
            <w:vAlign w:val="center"/>
          </w:tcPr>
          <w:p w14:paraId="7CDB9C2F">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提交材料进场审核资料</w:t>
            </w:r>
          </w:p>
        </w:tc>
        <w:tc>
          <w:tcPr>
            <w:tcW w:w="670" w:type="dxa"/>
            <w:noWrap w:val="0"/>
            <w:vAlign w:val="center"/>
          </w:tcPr>
          <w:p w14:paraId="675A145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A3A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1F713C72">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3</w:t>
            </w:r>
          </w:p>
        </w:tc>
        <w:tc>
          <w:tcPr>
            <w:tcW w:w="7212" w:type="dxa"/>
            <w:noWrap w:val="0"/>
            <w:vAlign w:val="center"/>
          </w:tcPr>
          <w:p w14:paraId="5CB35FD3">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《旁站监理记录》、《监理日记》</w:t>
            </w:r>
          </w:p>
        </w:tc>
        <w:tc>
          <w:tcPr>
            <w:tcW w:w="670" w:type="dxa"/>
            <w:noWrap w:val="0"/>
            <w:vAlign w:val="center"/>
          </w:tcPr>
          <w:p w14:paraId="5B417168">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95E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70ADA62E">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4</w:t>
            </w:r>
          </w:p>
        </w:tc>
        <w:tc>
          <w:tcPr>
            <w:tcW w:w="7212" w:type="dxa"/>
            <w:noWrap w:val="0"/>
            <w:vAlign w:val="center"/>
          </w:tcPr>
          <w:p w14:paraId="2385A4DE">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提交经审批的《隐蔽工程报验申请表》</w:t>
            </w:r>
          </w:p>
        </w:tc>
        <w:tc>
          <w:tcPr>
            <w:tcW w:w="670" w:type="dxa"/>
            <w:noWrap w:val="0"/>
            <w:vAlign w:val="center"/>
          </w:tcPr>
          <w:p w14:paraId="6F7F839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46F9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C60DF7E">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5</w:t>
            </w:r>
          </w:p>
        </w:tc>
        <w:tc>
          <w:tcPr>
            <w:tcW w:w="7212" w:type="dxa"/>
            <w:noWrap w:val="0"/>
            <w:vAlign w:val="center"/>
          </w:tcPr>
          <w:p w14:paraId="7B109EAF">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分部验收、分部归档（含施工日记）资料</w:t>
            </w:r>
          </w:p>
        </w:tc>
        <w:tc>
          <w:tcPr>
            <w:tcW w:w="670" w:type="dxa"/>
            <w:noWrap w:val="0"/>
            <w:vAlign w:val="center"/>
          </w:tcPr>
          <w:p w14:paraId="11DC9189">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6D8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4575E260">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6</w:t>
            </w:r>
          </w:p>
        </w:tc>
        <w:tc>
          <w:tcPr>
            <w:tcW w:w="7212" w:type="dxa"/>
            <w:noWrap w:val="0"/>
            <w:vAlign w:val="center"/>
          </w:tcPr>
          <w:p w14:paraId="29A1F24C">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对承包人编制的机电设备安装、调试、验收计划的审核报告</w:t>
            </w:r>
          </w:p>
        </w:tc>
        <w:tc>
          <w:tcPr>
            <w:tcW w:w="670" w:type="dxa"/>
            <w:noWrap w:val="0"/>
            <w:vAlign w:val="center"/>
          </w:tcPr>
          <w:p w14:paraId="713177C0">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695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3B3A9175">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7</w:t>
            </w:r>
          </w:p>
        </w:tc>
        <w:tc>
          <w:tcPr>
            <w:tcW w:w="7212" w:type="dxa"/>
            <w:noWrap w:val="0"/>
            <w:vAlign w:val="center"/>
          </w:tcPr>
          <w:p w14:paraId="031285FE">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提交设备监造规划；设备制造的生产计划及工艺方案；设备制造的检验计划和检验要求；设备监造工作总结报告（如有）</w:t>
            </w:r>
          </w:p>
        </w:tc>
        <w:tc>
          <w:tcPr>
            <w:tcW w:w="670" w:type="dxa"/>
            <w:noWrap w:val="0"/>
            <w:vAlign w:val="center"/>
          </w:tcPr>
          <w:p w14:paraId="20661FDE">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70C3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4B2409AE">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8</w:t>
            </w:r>
          </w:p>
        </w:tc>
        <w:tc>
          <w:tcPr>
            <w:tcW w:w="7212" w:type="dxa"/>
            <w:noWrap w:val="0"/>
            <w:vAlign w:val="center"/>
          </w:tcPr>
          <w:p w14:paraId="37D6594D">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提交工地例会的会议纪要</w:t>
            </w:r>
          </w:p>
        </w:tc>
        <w:tc>
          <w:tcPr>
            <w:tcW w:w="670" w:type="dxa"/>
            <w:noWrap w:val="0"/>
            <w:vAlign w:val="center"/>
          </w:tcPr>
          <w:p w14:paraId="7B53F844">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106E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25AC6852">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9</w:t>
            </w:r>
          </w:p>
        </w:tc>
        <w:tc>
          <w:tcPr>
            <w:tcW w:w="7212" w:type="dxa"/>
            <w:noWrap w:val="0"/>
            <w:vAlign w:val="center"/>
          </w:tcPr>
          <w:p w14:paraId="2ED3C61D">
            <w:pPr>
              <w:pStyle w:val="11"/>
              <w:keepNext w:val="0"/>
              <w:keepLines w:val="0"/>
              <w:suppressLineNumbers w:val="0"/>
              <w:spacing w:before="0" w:beforeAutospacing="0" w:after="0" w:afterAutospacing="0"/>
              <w:ind w:right="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bidi="ar"/>
                <w14:textFill>
                  <w14:solidFill>
                    <w14:schemeClr w14:val="tx1"/>
                  </w14:solidFill>
                </w14:textFill>
              </w:rPr>
              <w:t>提交监理周报和月报（包括但不限于进度、造价、质量、安全控制等方面的报告）</w:t>
            </w:r>
          </w:p>
        </w:tc>
        <w:tc>
          <w:tcPr>
            <w:tcW w:w="670" w:type="dxa"/>
            <w:noWrap w:val="0"/>
            <w:vAlign w:val="center"/>
          </w:tcPr>
          <w:p w14:paraId="69F52719">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7E1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4F98695D">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10</w:t>
            </w:r>
          </w:p>
        </w:tc>
        <w:tc>
          <w:tcPr>
            <w:tcW w:w="7212" w:type="dxa"/>
            <w:noWrap w:val="0"/>
            <w:vAlign w:val="center"/>
          </w:tcPr>
          <w:p w14:paraId="08293BCB">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工期延误纠偏措施建议（如有）、工期顺延确认单（如有）</w:t>
            </w:r>
          </w:p>
        </w:tc>
        <w:tc>
          <w:tcPr>
            <w:tcW w:w="670" w:type="dxa"/>
            <w:noWrap w:val="0"/>
            <w:vAlign w:val="center"/>
          </w:tcPr>
          <w:p w14:paraId="6635AC3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974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45EB26BC">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11</w:t>
            </w:r>
          </w:p>
        </w:tc>
        <w:tc>
          <w:tcPr>
            <w:tcW w:w="7212" w:type="dxa"/>
            <w:noWrap w:val="0"/>
            <w:vAlign w:val="center"/>
          </w:tcPr>
          <w:p w14:paraId="78812D70">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批核工程请款资料</w:t>
            </w:r>
          </w:p>
        </w:tc>
        <w:tc>
          <w:tcPr>
            <w:tcW w:w="670" w:type="dxa"/>
            <w:noWrap w:val="0"/>
            <w:vAlign w:val="center"/>
          </w:tcPr>
          <w:p w14:paraId="0F713D99">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4204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08CA78AC">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12</w:t>
            </w:r>
          </w:p>
        </w:tc>
        <w:tc>
          <w:tcPr>
            <w:tcW w:w="7212" w:type="dxa"/>
            <w:noWrap w:val="0"/>
            <w:vAlign w:val="center"/>
          </w:tcPr>
          <w:p w14:paraId="54F0E8A8">
            <w:pPr>
              <w:keepNext w:val="0"/>
              <w:keepLines w:val="0"/>
              <w:widowControl/>
              <w:suppressLineNumbers w:val="0"/>
              <w:spacing w:before="0" w:beforeAutospacing="0" w:after="0" w:afterAutospacing="0"/>
              <w:ind w:left="0" w:right="0"/>
              <w:jc w:val="left"/>
              <w:rPr>
                <w:rFonts w:hint="eastAsia" w:ascii="宋体" w:hAnsi="宋体" w:cs="宋体"/>
                <w:strike/>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提交月度设计变更、现场签证的台账</w:t>
            </w:r>
          </w:p>
        </w:tc>
        <w:tc>
          <w:tcPr>
            <w:tcW w:w="670" w:type="dxa"/>
            <w:noWrap w:val="0"/>
            <w:vAlign w:val="center"/>
          </w:tcPr>
          <w:p w14:paraId="459C6A33">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5817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7D93D34A">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13</w:t>
            </w:r>
          </w:p>
        </w:tc>
        <w:tc>
          <w:tcPr>
            <w:tcW w:w="7212" w:type="dxa"/>
            <w:noWrap w:val="0"/>
            <w:vAlign w:val="center"/>
          </w:tcPr>
          <w:p w14:paraId="160ACF5F">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提交经过审核的由承包人提出的费用索赔申请（如有）</w:t>
            </w:r>
          </w:p>
        </w:tc>
        <w:tc>
          <w:tcPr>
            <w:tcW w:w="670" w:type="dxa"/>
            <w:noWrap w:val="0"/>
            <w:vAlign w:val="center"/>
          </w:tcPr>
          <w:p w14:paraId="70674B8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3D3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B97CCE8">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14</w:t>
            </w:r>
          </w:p>
        </w:tc>
        <w:tc>
          <w:tcPr>
            <w:tcW w:w="7212" w:type="dxa"/>
            <w:noWrap w:val="0"/>
            <w:vAlign w:val="center"/>
          </w:tcPr>
          <w:p w14:paraId="62A2BD20">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提交《合同争议调解方案》（如有）</w:t>
            </w:r>
          </w:p>
        </w:tc>
        <w:tc>
          <w:tcPr>
            <w:tcW w:w="670" w:type="dxa"/>
            <w:noWrap w:val="0"/>
            <w:vAlign w:val="center"/>
          </w:tcPr>
          <w:p w14:paraId="3EFC7A87">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1D25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0FD87764">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15</w:t>
            </w:r>
          </w:p>
        </w:tc>
        <w:tc>
          <w:tcPr>
            <w:tcW w:w="7212" w:type="dxa"/>
            <w:noWrap w:val="0"/>
            <w:vAlign w:val="center"/>
          </w:tcPr>
          <w:p w14:paraId="3366AB20">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提交《合同解除（终止）处理方案书》（如有）</w:t>
            </w:r>
          </w:p>
        </w:tc>
        <w:tc>
          <w:tcPr>
            <w:tcW w:w="670" w:type="dxa"/>
            <w:noWrap w:val="0"/>
            <w:vAlign w:val="center"/>
          </w:tcPr>
          <w:p w14:paraId="3F9F1037">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2665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2600988">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16</w:t>
            </w:r>
          </w:p>
        </w:tc>
        <w:tc>
          <w:tcPr>
            <w:tcW w:w="7212" w:type="dxa"/>
            <w:noWrap w:val="0"/>
            <w:vAlign w:val="center"/>
          </w:tcPr>
          <w:p w14:paraId="64547206">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工人实名制及工人工资发放的监管报告</w:t>
            </w:r>
          </w:p>
        </w:tc>
        <w:tc>
          <w:tcPr>
            <w:tcW w:w="670" w:type="dxa"/>
            <w:noWrap w:val="0"/>
            <w:vAlign w:val="center"/>
          </w:tcPr>
          <w:p w14:paraId="0A979A03">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4AEF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1FEB79A6">
            <w:pPr>
              <w:keepNext w:val="0"/>
              <w:keepLines w:val="0"/>
              <w:suppressLineNumbers w:val="0"/>
              <w:spacing w:before="0" w:beforeAutospacing="0" w:after="0" w:afterAutospacing="0"/>
              <w:ind w:left="0" w:right="0"/>
              <w:jc w:val="center"/>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17</w:t>
            </w:r>
          </w:p>
        </w:tc>
        <w:tc>
          <w:tcPr>
            <w:tcW w:w="7212" w:type="dxa"/>
            <w:noWrap w:val="0"/>
            <w:vAlign w:val="center"/>
          </w:tcPr>
          <w:p w14:paraId="06A46E3C">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各分部工程实际完成量造价偏差分析报告</w:t>
            </w:r>
          </w:p>
        </w:tc>
        <w:tc>
          <w:tcPr>
            <w:tcW w:w="670" w:type="dxa"/>
            <w:noWrap w:val="0"/>
            <w:vAlign w:val="center"/>
          </w:tcPr>
          <w:p w14:paraId="2E3BD259">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CB8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2DF37F6B">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18</w:t>
            </w:r>
          </w:p>
        </w:tc>
        <w:tc>
          <w:tcPr>
            <w:tcW w:w="7212" w:type="dxa"/>
            <w:noWrap w:val="0"/>
            <w:vAlign w:val="center"/>
          </w:tcPr>
          <w:p w14:paraId="2D2094B8">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提交质量、安全整改单</w:t>
            </w:r>
          </w:p>
        </w:tc>
        <w:tc>
          <w:tcPr>
            <w:tcW w:w="670" w:type="dxa"/>
            <w:noWrap w:val="0"/>
            <w:vAlign w:val="center"/>
          </w:tcPr>
          <w:p w14:paraId="2AE2B41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6036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2FAAB742">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19</w:t>
            </w:r>
          </w:p>
        </w:tc>
        <w:tc>
          <w:tcPr>
            <w:tcW w:w="7212" w:type="dxa"/>
            <w:noWrap w:val="0"/>
            <w:vAlign w:val="center"/>
          </w:tcPr>
          <w:p w14:paraId="7F191CC3">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当增加的总造价超过50%暂列金时，监理人需向委托方提交造价控制预警报告；当增加的总造价超过暂列金时，监理人需书面向委托方报告资金使用情况。</w:t>
            </w:r>
          </w:p>
        </w:tc>
        <w:tc>
          <w:tcPr>
            <w:tcW w:w="670" w:type="dxa"/>
            <w:noWrap w:val="0"/>
            <w:vAlign w:val="center"/>
          </w:tcPr>
          <w:p w14:paraId="6C3A614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EF6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76D67B7C">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四</w:t>
            </w:r>
          </w:p>
        </w:tc>
        <w:tc>
          <w:tcPr>
            <w:tcW w:w="7882" w:type="dxa"/>
            <w:gridSpan w:val="2"/>
            <w:noWrap w:val="0"/>
            <w:vAlign w:val="center"/>
          </w:tcPr>
          <w:p w14:paraId="0A11149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收尾阶段</w:t>
            </w:r>
          </w:p>
        </w:tc>
      </w:tr>
      <w:tr w14:paraId="1986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3A423267">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w:t>
            </w:r>
          </w:p>
        </w:tc>
        <w:tc>
          <w:tcPr>
            <w:tcW w:w="7212" w:type="dxa"/>
            <w:noWrap w:val="0"/>
            <w:vAlign w:val="center"/>
          </w:tcPr>
          <w:p w14:paraId="6B538B38">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提交《工程验收监理工作计划》及《工程结算审核计划》、审批安全评价申请、竣工验收报告等</w:t>
            </w:r>
          </w:p>
        </w:tc>
        <w:tc>
          <w:tcPr>
            <w:tcW w:w="670" w:type="dxa"/>
            <w:noWrap w:val="0"/>
            <w:vAlign w:val="center"/>
          </w:tcPr>
          <w:p w14:paraId="74D97357">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417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725F2449">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w:t>
            </w:r>
          </w:p>
        </w:tc>
        <w:tc>
          <w:tcPr>
            <w:tcW w:w="7212" w:type="dxa"/>
            <w:noWrap w:val="0"/>
            <w:vAlign w:val="center"/>
          </w:tcPr>
          <w:p w14:paraId="73DD6D46">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提交竣工图修订记录、设计变更索引记录</w:t>
            </w:r>
          </w:p>
        </w:tc>
        <w:tc>
          <w:tcPr>
            <w:tcW w:w="670" w:type="dxa"/>
            <w:noWrap w:val="0"/>
            <w:vAlign w:val="center"/>
          </w:tcPr>
          <w:p w14:paraId="063EB5D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0DD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242E07AC">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3</w:t>
            </w:r>
          </w:p>
        </w:tc>
        <w:tc>
          <w:tcPr>
            <w:tcW w:w="7212" w:type="dxa"/>
            <w:noWrap w:val="0"/>
            <w:vAlign w:val="center"/>
          </w:tcPr>
          <w:p w14:paraId="65FD1E22">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提交《工程质量评估报告》</w:t>
            </w:r>
          </w:p>
        </w:tc>
        <w:tc>
          <w:tcPr>
            <w:tcW w:w="670" w:type="dxa"/>
            <w:noWrap w:val="0"/>
            <w:vAlign w:val="center"/>
          </w:tcPr>
          <w:p w14:paraId="277EA63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3CC4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63F1516">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4</w:t>
            </w:r>
          </w:p>
        </w:tc>
        <w:tc>
          <w:tcPr>
            <w:tcW w:w="7212" w:type="dxa"/>
            <w:noWrap w:val="0"/>
            <w:vAlign w:val="center"/>
          </w:tcPr>
          <w:p w14:paraId="04EDC20F">
            <w:pPr>
              <w:keepNext w:val="0"/>
              <w:keepLines w:val="0"/>
              <w:widowControl/>
              <w:suppressLineNumbers w:val="0"/>
              <w:spacing w:before="0" w:beforeAutospacing="0" w:after="0" w:afterAutospacing="0"/>
              <w:ind w:left="0" w:right="0"/>
              <w:jc w:val="left"/>
              <w:rPr>
                <w:rFonts w:hint="eastAsia" w:ascii="宋体" w:hAnsi="宋体" w:cs="宋体"/>
                <w:strike/>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提交结算审核计划</w:t>
            </w:r>
          </w:p>
        </w:tc>
        <w:tc>
          <w:tcPr>
            <w:tcW w:w="670" w:type="dxa"/>
            <w:noWrap w:val="0"/>
            <w:vAlign w:val="center"/>
          </w:tcPr>
          <w:p w14:paraId="4E9F6D9E">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15E6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084C184">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5</w:t>
            </w:r>
          </w:p>
        </w:tc>
        <w:tc>
          <w:tcPr>
            <w:tcW w:w="7212" w:type="dxa"/>
            <w:noWrap w:val="0"/>
            <w:vAlign w:val="center"/>
          </w:tcPr>
          <w:p w14:paraId="27275804">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提交竣工结算审核报告</w:t>
            </w:r>
          </w:p>
        </w:tc>
        <w:tc>
          <w:tcPr>
            <w:tcW w:w="670" w:type="dxa"/>
            <w:noWrap w:val="0"/>
            <w:vAlign w:val="center"/>
          </w:tcPr>
          <w:p w14:paraId="58BECD1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0900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50D5FC6F">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6</w:t>
            </w:r>
          </w:p>
        </w:tc>
        <w:tc>
          <w:tcPr>
            <w:tcW w:w="7212" w:type="dxa"/>
            <w:noWrap w:val="0"/>
            <w:vAlign w:val="center"/>
          </w:tcPr>
          <w:p w14:paraId="061DE4C0">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配合有关部门的结算审核工作，向委托人提出解决工程结算争议的合理建议</w:t>
            </w:r>
          </w:p>
        </w:tc>
        <w:tc>
          <w:tcPr>
            <w:tcW w:w="670" w:type="dxa"/>
            <w:noWrap w:val="0"/>
            <w:vAlign w:val="center"/>
          </w:tcPr>
          <w:p w14:paraId="39AC4DD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1860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70D0333E">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7</w:t>
            </w:r>
          </w:p>
        </w:tc>
        <w:tc>
          <w:tcPr>
            <w:tcW w:w="7212" w:type="dxa"/>
            <w:noWrap w:val="0"/>
            <w:vAlign w:val="center"/>
          </w:tcPr>
          <w:p w14:paraId="1537883B">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提交《监理工作项目总结》</w:t>
            </w:r>
          </w:p>
        </w:tc>
        <w:tc>
          <w:tcPr>
            <w:tcW w:w="670" w:type="dxa"/>
            <w:noWrap w:val="0"/>
            <w:vAlign w:val="center"/>
          </w:tcPr>
          <w:p w14:paraId="0F90E31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2B12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6" w:type="dxa"/>
            <w:noWrap w:val="0"/>
            <w:vAlign w:val="center"/>
          </w:tcPr>
          <w:p w14:paraId="25464AF4">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8</w:t>
            </w:r>
          </w:p>
        </w:tc>
        <w:tc>
          <w:tcPr>
            <w:tcW w:w="7212" w:type="dxa"/>
            <w:noWrap w:val="0"/>
            <w:vAlign w:val="center"/>
          </w:tcPr>
          <w:p w14:paraId="1C2173FC">
            <w:pPr>
              <w:keepNext w:val="0"/>
              <w:keepLines w:val="0"/>
              <w:widowControl/>
              <w:suppressLineNumbers w:val="0"/>
              <w:spacing w:before="0" w:beforeAutospacing="0" w:after="0" w:afterAutospacing="0"/>
              <w:ind w:left="0" w:right="0"/>
              <w:jc w:val="left"/>
              <w:rPr>
                <w:rFonts w:hint="eastAsia"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提交《质保期间的维保工作方案》</w:t>
            </w:r>
          </w:p>
        </w:tc>
        <w:tc>
          <w:tcPr>
            <w:tcW w:w="670" w:type="dxa"/>
            <w:noWrap w:val="0"/>
            <w:vAlign w:val="center"/>
          </w:tcPr>
          <w:p w14:paraId="03B1D63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bl>
    <w:p w14:paraId="5D91D521">
      <w:pPr>
        <w:pStyle w:val="11"/>
        <w:rPr>
          <w:rFonts w:hint="eastAsia"/>
          <w:b/>
          <w:bCs/>
          <w:color w:val="000000" w:themeColor="text1"/>
          <w:sz w:val="30"/>
          <w:szCs w:val="30"/>
          <w:highlight w:val="none"/>
          <w14:textFill>
            <w14:solidFill>
              <w14:schemeClr w14:val="tx1"/>
            </w14:solidFill>
          </w14:textFill>
        </w:rPr>
      </w:pPr>
    </w:p>
    <w:p w14:paraId="130189B9">
      <w:pPr>
        <w:pStyle w:val="11"/>
        <w:rPr>
          <w:rFonts w:hint="eastAsia"/>
          <w:b/>
          <w:bCs/>
          <w:color w:val="000000" w:themeColor="text1"/>
          <w:sz w:val="30"/>
          <w:szCs w:val="30"/>
          <w:highlight w:val="none"/>
          <w14:textFill>
            <w14:solidFill>
              <w14:schemeClr w14:val="tx1"/>
            </w14:solidFill>
          </w14:textFill>
        </w:rPr>
      </w:pPr>
    </w:p>
    <w:p w14:paraId="47709FF4">
      <w:pPr>
        <w:pStyle w:val="11"/>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附件3</w:t>
      </w:r>
    </w:p>
    <w:p w14:paraId="38D479FB">
      <w:pPr>
        <w:widowControl/>
        <w:jc w:val="center"/>
        <w:rPr>
          <w:rFonts w:hint="eastAsia" w:ascii="宋体" w:hAnsi="宋体" w:cs="宋体"/>
          <w:b/>
          <w:bCs/>
          <w:color w:val="000000" w:themeColor="text1"/>
          <w:kern w:val="0"/>
          <w:sz w:val="28"/>
          <w:szCs w:val="28"/>
          <w:highlight w:val="none"/>
          <w:lang w:bidi="ar"/>
          <w14:textFill>
            <w14:solidFill>
              <w14:schemeClr w14:val="tx1"/>
            </w14:solidFill>
          </w14:textFill>
        </w:rPr>
      </w:pPr>
      <w:r>
        <w:rPr>
          <w:rFonts w:hint="eastAsia" w:ascii="宋体" w:hAnsi="宋体" w:cs="宋体"/>
          <w:b/>
          <w:bCs/>
          <w:color w:val="000000" w:themeColor="text1"/>
          <w:kern w:val="0"/>
          <w:sz w:val="28"/>
          <w:szCs w:val="28"/>
          <w:highlight w:val="none"/>
          <w:lang w:bidi="ar"/>
          <w14:textFill>
            <w14:solidFill>
              <w14:schemeClr w14:val="tx1"/>
            </w14:solidFill>
          </w14:textFill>
        </w:rPr>
        <w:t>结算审核工作质量情况考评细则</w:t>
      </w:r>
    </w:p>
    <w:p w14:paraId="7585F4ED">
      <w:pPr>
        <w:widowControl/>
        <w:ind w:firstLine="723" w:firstLineChars="300"/>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项目名称：                            监理人：               考评日期：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3078"/>
        <w:gridCol w:w="1842"/>
        <w:gridCol w:w="837"/>
        <w:gridCol w:w="894"/>
        <w:gridCol w:w="676"/>
        <w:gridCol w:w="938"/>
      </w:tblGrid>
      <w:tr w14:paraId="624E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78" w:type="dxa"/>
            <w:noWrap w:val="0"/>
            <w:vAlign w:val="center"/>
          </w:tcPr>
          <w:p w14:paraId="1376BCA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3078" w:type="dxa"/>
            <w:noWrap w:val="0"/>
            <w:vAlign w:val="center"/>
          </w:tcPr>
          <w:p w14:paraId="78B7E44E">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考评分项</w:t>
            </w:r>
          </w:p>
        </w:tc>
        <w:tc>
          <w:tcPr>
            <w:tcW w:w="1842" w:type="dxa"/>
            <w:noWrap w:val="0"/>
            <w:vAlign w:val="center"/>
          </w:tcPr>
          <w:p w14:paraId="206198DB">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考评标准</w:t>
            </w:r>
          </w:p>
        </w:tc>
        <w:tc>
          <w:tcPr>
            <w:tcW w:w="837" w:type="dxa"/>
            <w:noWrap w:val="0"/>
            <w:vAlign w:val="center"/>
          </w:tcPr>
          <w:p w14:paraId="2466835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分值标准</w:t>
            </w:r>
          </w:p>
        </w:tc>
        <w:tc>
          <w:tcPr>
            <w:tcW w:w="894" w:type="dxa"/>
            <w:noWrap w:val="0"/>
            <w:vAlign w:val="center"/>
          </w:tcPr>
          <w:p w14:paraId="154EF895">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监理人自评分</w:t>
            </w:r>
          </w:p>
        </w:tc>
        <w:tc>
          <w:tcPr>
            <w:tcW w:w="676" w:type="dxa"/>
            <w:noWrap w:val="0"/>
            <w:vAlign w:val="center"/>
          </w:tcPr>
          <w:p w14:paraId="77A686B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委托人复核情况评价</w:t>
            </w:r>
          </w:p>
        </w:tc>
        <w:tc>
          <w:tcPr>
            <w:tcW w:w="938" w:type="dxa"/>
            <w:noWrap w:val="0"/>
            <w:vAlign w:val="center"/>
          </w:tcPr>
          <w:p w14:paraId="7BDD670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备注</w:t>
            </w:r>
          </w:p>
        </w:tc>
      </w:tr>
      <w:tr w14:paraId="7F92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78" w:type="dxa"/>
            <w:noWrap w:val="0"/>
            <w:vAlign w:val="center"/>
          </w:tcPr>
          <w:p w14:paraId="47C5352E">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一</w:t>
            </w:r>
          </w:p>
        </w:tc>
        <w:tc>
          <w:tcPr>
            <w:tcW w:w="3078" w:type="dxa"/>
            <w:noWrap w:val="0"/>
            <w:vAlign w:val="center"/>
          </w:tcPr>
          <w:p w14:paraId="53F11E65">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经监理审核后的竣工图纸（包括设备移交资料等）与现场的实际竣工情况不一致。</w:t>
            </w:r>
          </w:p>
        </w:tc>
        <w:tc>
          <w:tcPr>
            <w:tcW w:w="1842" w:type="dxa"/>
            <w:noWrap w:val="0"/>
            <w:vAlign w:val="center"/>
          </w:tcPr>
          <w:p w14:paraId="27653210">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每发现一处不一致情况扣 </w:t>
            </w:r>
            <w:r>
              <w:rPr>
                <w:rFonts w:ascii="Times New Roman" w:hAnsi="Times New Roman"/>
                <w:color w:val="000000" w:themeColor="text1"/>
                <w:kern w:val="0"/>
                <w:szCs w:val="21"/>
                <w:highlight w:val="none"/>
                <w:lang w:bidi="ar"/>
                <w14:textFill>
                  <w14:solidFill>
                    <w14:schemeClr w14:val="tx1"/>
                  </w14:solidFill>
                </w14:textFill>
              </w:rPr>
              <w:t xml:space="preserve">2 </w:t>
            </w:r>
            <w:r>
              <w:rPr>
                <w:rFonts w:hint="eastAsia" w:ascii="宋体" w:hAnsi="宋体" w:cs="宋体"/>
                <w:color w:val="000000" w:themeColor="text1"/>
                <w:kern w:val="0"/>
                <w:szCs w:val="21"/>
                <w:highlight w:val="none"/>
                <w:lang w:bidi="ar"/>
                <w14:textFill>
                  <w14:solidFill>
                    <w14:schemeClr w14:val="tx1"/>
                  </w14:solidFill>
                </w14:textFill>
              </w:rPr>
              <w:t>分。</w:t>
            </w:r>
          </w:p>
        </w:tc>
        <w:tc>
          <w:tcPr>
            <w:tcW w:w="837" w:type="dxa"/>
            <w:noWrap w:val="0"/>
            <w:vAlign w:val="center"/>
          </w:tcPr>
          <w:p w14:paraId="177CF726">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20</w:t>
            </w:r>
          </w:p>
        </w:tc>
        <w:tc>
          <w:tcPr>
            <w:tcW w:w="894" w:type="dxa"/>
            <w:noWrap w:val="0"/>
            <w:vAlign w:val="center"/>
          </w:tcPr>
          <w:p w14:paraId="7F62466C">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676" w:type="dxa"/>
            <w:noWrap w:val="0"/>
            <w:vAlign w:val="center"/>
          </w:tcPr>
          <w:p w14:paraId="3A2E1799">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938" w:type="dxa"/>
            <w:noWrap w:val="0"/>
            <w:vAlign w:val="center"/>
          </w:tcPr>
          <w:p w14:paraId="4A597870">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7832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78" w:type="dxa"/>
            <w:noWrap w:val="0"/>
            <w:vAlign w:val="center"/>
          </w:tcPr>
          <w:p w14:paraId="1DFFC51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二</w:t>
            </w:r>
          </w:p>
        </w:tc>
        <w:tc>
          <w:tcPr>
            <w:tcW w:w="3078" w:type="dxa"/>
            <w:noWrap w:val="0"/>
            <w:vAlign w:val="center"/>
          </w:tcPr>
          <w:p w14:paraId="5FE16DBD">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工程结算资料不齐备，经委托人或政府有权审核部门审核后被退回的。</w:t>
            </w:r>
          </w:p>
        </w:tc>
        <w:tc>
          <w:tcPr>
            <w:tcW w:w="1842" w:type="dxa"/>
            <w:noWrap w:val="0"/>
            <w:vAlign w:val="center"/>
          </w:tcPr>
          <w:p w14:paraId="62198F96">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每退回一次扣 </w:t>
            </w:r>
            <w:r>
              <w:rPr>
                <w:rFonts w:ascii="Times New Roman" w:hAnsi="Times New Roman"/>
                <w:color w:val="000000" w:themeColor="text1"/>
                <w:kern w:val="0"/>
                <w:szCs w:val="21"/>
                <w:highlight w:val="none"/>
                <w:lang w:bidi="ar"/>
                <w14:textFill>
                  <w14:solidFill>
                    <w14:schemeClr w14:val="tx1"/>
                  </w14:solidFill>
                </w14:textFill>
              </w:rPr>
              <w:t xml:space="preserve">5 </w:t>
            </w:r>
            <w:r>
              <w:rPr>
                <w:rFonts w:hint="eastAsia" w:ascii="宋体" w:hAnsi="宋体" w:cs="宋体"/>
                <w:color w:val="000000" w:themeColor="text1"/>
                <w:kern w:val="0"/>
                <w:szCs w:val="21"/>
                <w:highlight w:val="none"/>
                <w:lang w:bidi="ar"/>
                <w14:textFill>
                  <w14:solidFill>
                    <w14:schemeClr w14:val="tx1"/>
                  </w14:solidFill>
                </w14:textFill>
              </w:rPr>
              <w:t>分。</w:t>
            </w:r>
          </w:p>
        </w:tc>
        <w:tc>
          <w:tcPr>
            <w:tcW w:w="837" w:type="dxa"/>
            <w:noWrap w:val="0"/>
            <w:vAlign w:val="center"/>
          </w:tcPr>
          <w:p w14:paraId="412A336D">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25</w:t>
            </w:r>
          </w:p>
        </w:tc>
        <w:tc>
          <w:tcPr>
            <w:tcW w:w="894" w:type="dxa"/>
            <w:noWrap w:val="0"/>
            <w:vAlign w:val="center"/>
          </w:tcPr>
          <w:p w14:paraId="441BF838">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676" w:type="dxa"/>
            <w:noWrap w:val="0"/>
            <w:vAlign w:val="center"/>
          </w:tcPr>
          <w:p w14:paraId="27A56465">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938" w:type="dxa"/>
            <w:noWrap w:val="0"/>
            <w:vAlign w:val="center"/>
          </w:tcPr>
          <w:p w14:paraId="3402D70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482B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78" w:type="dxa"/>
            <w:noWrap w:val="0"/>
            <w:vAlign w:val="center"/>
          </w:tcPr>
          <w:p w14:paraId="160894FD">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三</w:t>
            </w:r>
          </w:p>
        </w:tc>
        <w:tc>
          <w:tcPr>
            <w:tcW w:w="3078" w:type="dxa"/>
            <w:noWrap w:val="0"/>
            <w:vAlign w:val="center"/>
          </w:tcPr>
          <w:p w14:paraId="6CC0CD8F">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对委托人指令拒绝响应或不及时响应，且在委托人要求的时间节点前未完成本项目工程竣工结算审核工作。</w:t>
            </w:r>
          </w:p>
        </w:tc>
        <w:tc>
          <w:tcPr>
            <w:tcW w:w="1842" w:type="dxa"/>
            <w:noWrap w:val="0"/>
            <w:vAlign w:val="center"/>
          </w:tcPr>
          <w:p w14:paraId="69E0B920">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对委托人指令每拒绝响应或不及时响应一次扣 </w:t>
            </w:r>
            <w:r>
              <w:rPr>
                <w:rFonts w:ascii="Times New Roman" w:hAnsi="Times New Roman"/>
                <w:color w:val="000000" w:themeColor="text1"/>
                <w:kern w:val="0"/>
                <w:szCs w:val="21"/>
                <w:highlight w:val="none"/>
                <w:lang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 xml:space="preserve">分，每延迟一个日历天扣 </w:t>
            </w:r>
            <w:r>
              <w:rPr>
                <w:rFonts w:ascii="Times New Roman" w:hAnsi="Times New Roman"/>
                <w:color w:val="000000" w:themeColor="text1"/>
                <w:kern w:val="0"/>
                <w:szCs w:val="21"/>
                <w:highlight w:val="none"/>
                <w:lang w:bidi="ar"/>
                <w14:textFill>
                  <w14:solidFill>
                    <w14:schemeClr w14:val="tx1"/>
                  </w14:solidFill>
                </w14:textFill>
              </w:rPr>
              <w:t xml:space="preserve">1 </w:t>
            </w:r>
            <w:r>
              <w:rPr>
                <w:rFonts w:hint="eastAsia" w:ascii="宋体" w:hAnsi="宋体" w:cs="宋体"/>
                <w:color w:val="000000" w:themeColor="text1"/>
                <w:kern w:val="0"/>
                <w:szCs w:val="21"/>
                <w:highlight w:val="none"/>
                <w:lang w:bidi="ar"/>
                <w14:textFill>
                  <w14:solidFill>
                    <w14:schemeClr w14:val="tx1"/>
                  </w14:solidFill>
                </w14:textFill>
              </w:rPr>
              <w:t>分，不封顶。</w:t>
            </w:r>
          </w:p>
        </w:tc>
        <w:tc>
          <w:tcPr>
            <w:tcW w:w="837" w:type="dxa"/>
            <w:noWrap w:val="0"/>
            <w:vAlign w:val="center"/>
          </w:tcPr>
          <w:p w14:paraId="09E7F3B0">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25</w:t>
            </w:r>
          </w:p>
        </w:tc>
        <w:tc>
          <w:tcPr>
            <w:tcW w:w="894" w:type="dxa"/>
            <w:noWrap w:val="0"/>
            <w:vAlign w:val="center"/>
          </w:tcPr>
          <w:p w14:paraId="5D75991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676" w:type="dxa"/>
            <w:noWrap w:val="0"/>
            <w:vAlign w:val="center"/>
          </w:tcPr>
          <w:p w14:paraId="430557CE">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938" w:type="dxa"/>
            <w:noWrap w:val="0"/>
            <w:vAlign w:val="center"/>
          </w:tcPr>
          <w:p w14:paraId="4D49C8BE">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2E41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78" w:type="dxa"/>
            <w:noWrap w:val="0"/>
            <w:vAlign w:val="center"/>
          </w:tcPr>
          <w:p w14:paraId="015234E7">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四</w:t>
            </w:r>
          </w:p>
        </w:tc>
        <w:tc>
          <w:tcPr>
            <w:tcW w:w="3078" w:type="dxa"/>
            <w:noWrap w:val="0"/>
            <w:vAlign w:val="center"/>
          </w:tcPr>
          <w:p w14:paraId="36A7FB00">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结算审核工作不专业，结果不准确；工程结算资料出现计价错误、计价无依据或增项、漏项等情况。</w:t>
            </w:r>
          </w:p>
        </w:tc>
        <w:tc>
          <w:tcPr>
            <w:tcW w:w="1842" w:type="dxa"/>
            <w:noWrap w:val="0"/>
            <w:vAlign w:val="center"/>
          </w:tcPr>
          <w:p w14:paraId="4C23DC30">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若监理人审核的结算金额与有权审核部门审定的结算金额的偏差率绝对值大于5%，</w:t>
            </w:r>
            <w:r>
              <w:rPr>
                <w:rFonts w:hint="eastAsia" w:ascii="宋体" w:hAnsi="宋体" w:cs="宋体"/>
                <w:color w:val="000000" w:themeColor="text1"/>
                <w:kern w:val="0"/>
                <w:szCs w:val="21"/>
                <w:highlight w:val="none"/>
                <w:lang w:eastAsia="zh-Hans" w:bidi="ar"/>
                <w14:textFill>
                  <w14:solidFill>
                    <w14:schemeClr w14:val="tx1"/>
                  </w14:solidFill>
                </w14:textFill>
              </w:rPr>
              <w:t>每增加</w:t>
            </w:r>
            <w:r>
              <w:rPr>
                <w:rFonts w:ascii="宋体" w:hAnsi="宋体" w:cs="宋体"/>
                <w:color w:val="000000" w:themeColor="text1"/>
                <w:kern w:val="0"/>
                <w:szCs w:val="21"/>
                <w:highlight w:val="none"/>
                <w:lang w:eastAsia="zh-Hans" w:bidi="ar"/>
                <w14:textFill>
                  <w14:solidFill>
                    <w14:schemeClr w14:val="tx1"/>
                  </w14:solidFill>
                </w14:textFill>
              </w:rPr>
              <w:t>1%，</w:t>
            </w:r>
            <w:r>
              <w:rPr>
                <w:rFonts w:hint="eastAsia" w:ascii="宋体" w:hAnsi="宋体" w:cs="宋体"/>
                <w:color w:val="000000" w:themeColor="text1"/>
                <w:kern w:val="0"/>
                <w:szCs w:val="21"/>
                <w:highlight w:val="none"/>
                <w:lang w:eastAsia="zh-Hans" w:bidi="ar"/>
                <w14:textFill>
                  <w14:solidFill>
                    <w14:schemeClr w14:val="tx1"/>
                  </w14:solidFill>
                </w14:textFill>
              </w:rPr>
              <w:t>扣</w:t>
            </w:r>
            <w:r>
              <w:rPr>
                <w:rFonts w:ascii="宋体" w:hAnsi="宋体" w:cs="宋体"/>
                <w:color w:val="000000" w:themeColor="text1"/>
                <w:kern w:val="0"/>
                <w:szCs w:val="21"/>
                <w:highlight w:val="none"/>
                <w:lang w:eastAsia="zh-Hans" w:bidi="ar"/>
                <w14:textFill>
                  <w14:solidFill>
                    <w14:schemeClr w14:val="tx1"/>
                  </w14:solidFill>
                </w14:textFill>
              </w:rPr>
              <w:t>6</w:t>
            </w:r>
            <w:r>
              <w:rPr>
                <w:rFonts w:hint="eastAsia" w:ascii="宋体" w:hAnsi="宋体" w:cs="宋体"/>
                <w:color w:val="000000" w:themeColor="text1"/>
                <w:kern w:val="0"/>
                <w:szCs w:val="21"/>
                <w:highlight w:val="none"/>
                <w:lang w:eastAsia="zh-Hans" w:bidi="ar"/>
                <w14:textFill>
                  <w14:solidFill>
                    <w14:schemeClr w14:val="tx1"/>
                  </w14:solidFill>
                </w14:textFill>
              </w:rPr>
              <w:t>分</w:t>
            </w:r>
            <w:r>
              <w:rPr>
                <w:rFonts w:ascii="宋体" w:hAnsi="宋体" w:cs="宋体"/>
                <w:color w:val="000000" w:themeColor="text1"/>
                <w:kern w:val="0"/>
                <w:szCs w:val="21"/>
                <w:highlight w:val="none"/>
                <w:lang w:eastAsia="zh-Hans" w:bidi="ar"/>
                <w14:textFill>
                  <w14:solidFill>
                    <w14:schemeClr w14:val="tx1"/>
                  </w14:solidFill>
                </w14:textFill>
              </w:rPr>
              <w:t>，</w:t>
            </w:r>
            <w:r>
              <w:rPr>
                <w:rFonts w:hint="eastAsia" w:ascii="宋体" w:hAnsi="宋体" w:cs="宋体"/>
                <w:color w:val="000000" w:themeColor="text1"/>
                <w:kern w:val="0"/>
                <w:szCs w:val="21"/>
                <w:highlight w:val="none"/>
                <w:lang w:eastAsia="zh-Hans" w:bidi="ar"/>
                <w14:textFill>
                  <w14:solidFill>
                    <w14:schemeClr w14:val="tx1"/>
                  </w14:solidFill>
                </w14:textFill>
              </w:rPr>
              <w:t>不足</w:t>
            </w:r>
            <w:r>
              <w:rPr>
                <w:rFonts w:ascii="宋体" w:hAnsi="宋体" w:cs="宋体"/>
                <w:color w:val="000000" w:themeColor="text1"/>
                <w:kern w:val="0"/>
                <w:szCs w:val="21"/>
                <w:highlight w:val="none"/>
                <w:lang w:eastAsia="zh-Hans" w:bidi="ar"/>
                <w14:textFill>
                  <w14:solidFill>
                    <w14:schemeClr w14:val="tx1"/>
                  </w14:solidFill>
                </w14:textFill>
              </w:rPr>
              <w:t>1%</w:t>
            </w:r>
            <w:r>
              <w:rPr>
                <w:rFonts w:hint="eastAsia" w:ascii="宋体" w:hAnsi="宋体" w:cs="宋体"/>
                <w:color w:val="000000" w:themeColor="text1"/>
                <w:kern w:val="0"/>
                <w:szCs w:val="21"/>
                <w:highlight w:val="none"/>
                <w:lang w:eastAsia="zh-Hans" w:bidi="ar"/>
                <w14:textFill>
                  <w14:solidFill>
                    <w14:schemeClr w14:val="tx1"/>
                  </w14:solidFill>
                </w14:textFill>
              </w:rPr>
              <w:t>按</w:t>
            </w:r>
            <w:r>
              <w:rPr>
                <w:rFonts w:ascii="宋体" w:hAnsi="宋体" w:cs="宋体"/>
                <w:color w:val="000000" w:themeColor="text1"/>
                <w:kern w:val="0"/>
                <w:szCs w:val="21"/>
                <w:highlight w:val="none"/>
                <w:lang w:eastAsia="zh-Hans" w:bidi="ar"/>
                <w14:textFill>
                  <w14:solidFill>
                    <w14:schemeClr w14:val="tx1"/>
                  </w14:solidFill>
                </w14:textFill>
              </w:rPr>
              <w:t>1%</w:t>
            </w:r>
            <w:r>
              <w:rPr>
                <w:rFonts w:hint="eastAsia" w:ascii="宋体" w:hAnsi="宋体" w:cs="宋体"/>
                <w:color w:val="000000" w:themeColor="text1"/>
                <w:kern w:val="0"/>
                <w:szCs w:val="21"/>
                <w:highlight w:val="none"/>
                <w:lang w:eastAsia="zh-Hans" w:bidi="ar"/>
                <w14:textFill>
                  <w14:solidFill>
                    <w14:schemeClr w14:val="tx1"/>
                  </w14:solidFill>
                </w14:textFill>
              </w:rPr>
              <w:t>计算</w:t>
            </w:r>
            <w:r>
              <w:rPr>
                <w:rFonts w:ascii="宋体" w:hAnsi="宋体" w:cs="宋体"/>
                <w:color w:val="000000" w:themeColor="text1"/>
                <w:kern w:val="0"/>
                <w:szCs w:val="21"/>
                <w:highlight w:val="none"/>
                <w:lang w:eastAsia="zh-Hans" w:bidi="ar"/>
                <w14:textFill>
                  <w14:solidFill>
                    <w14:schemeClr w14:val="tx1"/>
                  </w14:solidFill>
                </w14:textFill>
              </w:rPr>
              <w:t>，</w:t>
            </w:r>
            <w:r>
              <w:rPr>
                <w:rFonts w:hint="eastAsia" w:ascii="宋体" w:hAnsi="宋体" w:cs="宋体"/>
                <w:color w:val="000000" w:themeColor="text1"/>
                <w:kern w:val="0"/>
                <w:szCs w:val="21"/>
                <w:highlight w:val="none"/>
                <w:lang w:eastAsia="zh-Hans" w:bidi="ar"/>
                <w14:textFill>
                  <w14:solidFill>
                    <w14:schemeClr w14:val="tx1"/>
                  </w14:solidFill>
                </w14:textFill>
              </w:rPr>
              <w:t>上</w:t>
            </w:r>
            <w:r>
              <w:rPr>
                <w:rFonts w:hint="eastAsia" w:ascii="宋体" w:hAnsi="宋体" w:cs="宋体"/>
                <w:color w:val="000000" w:themeColor="text1"/>
                <w:kern w:val="0"/>
                <w:szCs w:val="21"/>
                <w:highlight w:val="none"/>
                <w:lang w:bidi="ar"/>
                <w14:textFill>
                  <w14:solidFill>
                    <w14:schemeClr w14:val="tx1"/>
                  </w14:solidFill>
                </w14:textFill>
              </w:rPr>
              <w:t>不封顶。</w:t>
            </w:r>
          </w:p>
        </w:tc>
        <w:tc>
          <w:tcPr>
            <w:tcW w:w="837" w:type="dxa"/>
            <w:noWrap w:val="0"/>
            <w:vAlign w:val="center"/>
          </w:tcPr>
          <w:p w14:paraId="7700B43C">
            <w:pPr>
              <w:keepNext w:val="0"/>
              <w:keepLines w:val="0"/>
              <w:suppressLineNumbers w:val="0"/>
              <w:spacing w:before="0" w:beforeAutospacing="0" w:after="0" w:afterAutospacing="0"/>
              <w:ind w:left="0" w:right="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30</w:t>
            </w:r>
          </w:p>
        </w:tc>
        <w:tc>
          <w:tcPr>
            <w:tcW w:w="894" w:type="dxa"/>
            <w:noWrap w:val="0"/>
            <w:vAlign w:val="center"/>
          </w:tcPr>
          <w:p w14:paraId="340CD76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676" w:type="dxa"/>
            <w:noWrap w:val="0"/>
            <w:vAlign w:val="center"/>
          </w:tcPr>
          <w:p w14:paraId="408D25B8">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938" w:type="dxa"/>
            <w:noWrap w:val="0"/>
            <w:vAlign w:val="center"/>
          </w:tcPr>
          <w:p w14:paraId="432796E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660D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8" w:type="dxa"/>
            <w:noWrap w:val="0"/>
            <w:vAlign w:val="center"/>
          </w:tcPr>
          <w:p w14:paraId="2AF2F824">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3078" w:type="dxa"/>
            <w:noWrap w:val="0"/>
            <w:vAlign w:val="center"/>
          </w:tcPr>
          <w:p w14:paraId="5342E763">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监理人自评分总分</w:t>
            </w:r>
          </w:p>
        </w:tc>
        <w:tc>
          <w:tcPr>
            <w:tcW w:w="4249" w:type="dxa"/>
            <w:gridSpan w:val="4"/>
            <w:noWrap w:val="0"/>
            <w:vAlign w:val="center"/>
          </w:tcPr>
          <w:p w14:paraId="5FC7B5DA">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938" w:type="dxa"/>
            <w:noWrap w:val="0"/>
            <w:vAlign w:val="center"/>
          </w:tcPr>
          <w:p w14:paraId="7FA402BB">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7D0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78" w:type="dxa"/>
            <w:noWrap w:val="0"/>
            <w:vAlign w:val="center"/>
          </w:tcPr>
          <w:p w14:paraId="580CFD4F">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3078" w:type="dxa"/>
            <w:noWrap w:val="0"/>
            <w:vAlign w:val="center"/>
          </w:tcPr>
          <w:p w14:paraId="7E7B2C92">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结算审核工作质量最终总得分</w:t>
            </w:r>
          </w:p>
        </w:tc>
        <w:tc>
          <w:tcPr>
            <w:tcW w:w="4249" w:type="dxa"/>
            <w:gridSpan w:val="4"/>
            <w:noWrap w:val="0"/>
            <w:vAlign w:val="center"/>
          </w:tcPr>
          <w:p w14:paraId="71E5E6B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938" w:type="dxa"/>
            <w:noWrap w:val="0"/>
            <w:vAlign w:val="center"/>
          </w:tcPr>
          <w:p w14:paraId="73B04234">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以委托人复核得分为最终得分</w:t>
            </w:r>
          </w:p>
        </w:tc>
      </w:tr>
      <w:tr w14:paraId="1D13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8" w:type="dxa"/>
            <w:noWrap w:val="0"/>
            <w:vAlign w:val="center"/>
          </w:tcPr>
          <w:p w14:paraId="5FEA9AF1">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3078" w:type="dxa"/>
            <w:noWrap w:val="0"/>
            <w:vAlign w:val="center"/>
          </w:tcPr>
          <w:p w14:paraId="4566C5F6">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监理人确认（盖章）</w:t>
            </w:r>
          </w:p>
        </w:tc>
        <w:tc>
          <w:tcPr>
            <w:tcW w:w="5187" w:type="dxa"/>
            <w:gridSpan w:val="5"/>
            <w:noWrap w:val="0"/>
            <w:vAlign w:val="center"/>
          </w:tcPr>
          <w:p w14:paraId="184411C5">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r w14:paraId="1716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78" w:type="dxa"/>
            <w:noWrap w:val="0"/>
            <w:vAlign w:val="center"/>
          </w:tcPr>
          <w:p w14:paraId="685D7922">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c>
          <w:tcPr>
            <w:tcW w:w="3078" w:type="dxa"/>
            <w:noWrap w:val="0"/>
            <w:vAlign w:val="center"/>
          </w:tcPr>
          <w:p w14:paraId="1F7384E8">
            <w:pPr>
              <w:keepNext w:val="0"/>
              <w:keepLines w:val="0"/>
              <w:widowControl/>
              <w:suppressLineNumbers w:val="0"/>
              <w:spacing w:before="0" w:beforeAutospacing="0" w:after="0" w:afterAutospacing="0"/>
              <w:ind w:left="0" w:right="0"/>
              <w:jc w:val="left"/>
              <w:rPr>
                <w:rFonts w:hint="eastAsia"/>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委托人确认（盖章）</w:t>
            </w:r>
          </w:p>
        </w:tc>
        <w:tc>
          <w:tcPr>
            <w:tcW w:w="5187" w:type="dxa"/>
            <w:gridSpan w:val="5"/>
            <w:noWrap w:val="0"/>
            <w:vAlign w:val="center"/>
          </w:tcPr>
          <w:p w14:paraId="0E9B968C">
            <w:pPr>
              <w:keepNext w:val="0"/>
              <w:keepLines w:val="0"/>
              <w:suppressLineNumbers w:val="0"/>
              <w:spacing w:before="0" w:beforeAutospacing="0" w:after="0" w:afterAutospacing="0"/>
              <w:ind w:left="0" w:right="0"/>
              <w:jc w:val="center"/>
              <w:rPr>
                <w:rFonts w:hint="eastAsia"/>
                <w:b/>
                <w:bCs/>
                <w:color w:val="000000" w:themeColor="text1"/>
                <w:szCs w:val="21"/>
                <w:highlight w:val="none"/>
                <w14:textFill>
                  <w14:solidFill>
                    <w14:schemeClr w14:val="tx1"/>
                  </w14:solidFill>
                </w14:textFill>
              </w:rPr>
            </w:pPr>
          </w:p>
        </w:tc>
      </w:tr>
    </w:tbl>
    <w:p w14:paraId="69EE432E">
      <w:pPr>
        <w:widowControl/>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注：满分为 </w:t>
      </w:r>
      <w:r>
        <w:rPr>
          <w:rFonts w:ascii="Times New Roman" w:hAnsi="Times New Roman"/>
          <w:color w:val="000000" w:themeColor="text1"/>
          <w:kern w:val="0"/>
          <w:sz w:val="24"/>
          <w:szCs w:val="24"/>
          <w:highlight w:val="none"/>
          <w:lang w:bidi="ar"/>
          <w14:textFill>
            <w14:solidFill>
              <w14:schemeClr w14:val="tx1"/>
            </w14:solidFill>
          </w14:textFill>
        </w:rPr>
        <w:t xml:space="preserve">100 </w:t>
      </w:r>
      <w:r>
        <w:rPr>
          <w:rFonts w:hint="eastAsia" w:ascii="宋体" w:hAnsi="宋体" w:cs="宋体"/>
          <w:color w:val="000000" w:themeColor="text1"/>
          <w:kern w:val="0"/>
          <w:sz w:val="24"/>
          <w:szCs w:val="24"/>
          <w:highlight w:val="none"/>
          <w:lang w:bidi="ar"/>
          <w14:textFill>
            <w14:solidFill>
              <w14:schemeClr w14:val="tx1"/>
            </w14:solidFill>
          </w14:textFill>
        </w:rPr>
        <w:t>分，按照各考评分项，根据监理人竣工结算审核工作完成程度给予打分。</w:t>
      </w:r>
    </w:p>
    <w:p w14:paraId="3DA74A2E">
      <w:pPr>
        <w:pStyle w:val="11"/>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附件4</w:t>
      </w:r>
    </w:p>
    <w:p w14:paraId="51A09530">
      <w:pPr>
        <w:pStyle w:val="25"/>
        <w:ind w:firstLine="0" w:firstLineChars="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189220" cy="7653655"/>
            <wp:effectExtent l="0" t="0" r="11430" b="4445"/>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24"/>
                    <a:stretch>
                      <a:fillRect/>
                    </a:stretch>
                  </pic:blipFill>
                  <pic:spPr>
                    <a:xfrm>
                      <a:off x="0" y="0"/>
                      <a:ext cx="5189220" cy="7653655"/>
                    </a:xfrm>
                    <a:prstGeom prst="rect">
                      <a:avLst/>
                    </a:prstGeom>
                    <a:noFill/>
                    <a:ln>
                      <a:noFill/>
                    </a:ln>
                  </pic:spPr>
                </pic:pic>
              </a:graphicData>
            </a:graphic>
          </wp:inline>
        </w:drawing>
      </w:r>
    </w:p>
    <w:p w14:paraId="3DB2ED1F">
      <w:pPr>
        <w:pStyle w:val="25"/>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23F0325">
      <w:pPr>
        <w:pStyle w:val="11"/>
        <w:kinsoku w:val="0"/>
        <w:overflowPunct w:val="0"/>
        <w:ind w:left="0"/>
        <w:rPr>
          <w:rFonts w:hint="eastAsia" w:asciiTheme="minorEastAsia" w:hAnsiTheme="minorEastAsia" w:eastAsiaTheme="minorEastAsia" w:cstheme="minorEastAsia"/>
          <w:b/>
          <w:color w:val="000000" w:themeColor="text1"/>
          <w:sz w:val="20"/>
          <w:szCs w:val="24"/>
          <w:highlight w:val="none"/>
          <w14:textFill>
            <w14:solidFill>
              <w14:schemeClr w14:val="tx1"/>
            </w14:solidFill>
          </w14:textFill>
        </w:rPr>
      </w:pPr>
    </w:p>
    <w:p w14:paraId="152C6B8A">
      <w:pPr>
        <w:pStyle w:val="11"/>
        <w:kinsoku w:val="0"/>
        <w:overflowPunct w:val="0"/>
        <w:spacing w:before="2"/>
        <w:ind w:left="0"/>
        <w:rPr>
          <w:rFonts w:hint="eastAsia" w:asciiTheme="minorEastAsia" w:hAnsiTheme="minorEastAsia" w:eastAsiaTheme="minorEastAsia" w:cstheme="minorEastAsia"/>
          <w:b/>
          <w:color w:val="000000" w:themeColor="text1"/>
          <w:sz w:val="29"/>
          <w:szCs w:val="24"/>
          <w:highlight w:val="none"/>
          <w14:textFill>
            <w14:solidFill>
              <w14:schemeClr w14:val="tx1"/>
            </w14:solidFill>
          </w14:textFill>
        </w:rPr>
      </w:pPr>
    </w:p>
    <w:p w14:paraId="4EF89257">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sectPr>
          <w:headerReference r:id="rId9" w:type="default"/>
          <w:footerReference r:id="rId10" w:type="default"/>
          <w:pgSz w:w="11905" w:h="16838"/>
          <w:pgMar w:top="1417" w:right="1417" w:bottom="1417" w:left="1417" w:header="992" w:footer="992" w:gutter="0"/>
          <w:lnNumType w:countBy="0" w:distance="360"/>
          <w:cols w:space="720" w:num="1"/>
        </w:sectPr>
      </w:pPr>
    </w:p>
    <w:p w14:paraId="2D30D569">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bookmarkStart w:id="174" w:name="bookmark161"/>
      <w:bookmarkEnd w:id="174"/>
      <w:bookmarkStart w:id="175" w:name="_Toc29682"/>
      <w: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t>第二卷</w:t>
      </w:r>
      <w:bookmarkEnd w:id="175"/>
    </w:p>
    <w:p w14:paraId="35A880FD">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23914DA9">
      <w:pPr>
        <w:pStyle w:val="4"/>
        <w:spacing w:line="360" w:lineRule="auto"/>
        <w:outlineLvl w:val="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bookmarkStart w:id="176" w:name="bookmark162"/>
      <w:bookmarkEnd w:id="176"/>
      <w:bookmarkStart w:id="177" w:name="_Toc17878"/>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第五章</w:t>
      </w:r>
      <w:r>
        <w:rPr>
          <w:rFonts w:hint="eastAsia" w:asciiTheme="minorEastAsia" w:hAnsiTheme="minorEastAsia" w:eastAsiaTheme="minorEastAsia" w:cstheme="minorEastAsia"/>
          <w:color w:val="000000" w:themeColor="text1"/>
          <w:sz w:val="4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委托人要求</w:t>
      </w:r>
      <w:bookmarkEnd w:id="177"/>
    </w:p>
    <w:p w14:paraId="0946A500">
      <w:pPr>
        <w:spacing w:line="360" w:lineRule="auto"/>
        <w:jc w:val="center"/>
        <w:outlineLvl w:val="1"/>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bookmarkStart w:id="178" w:name="_Toc805"/>
      <w:r>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t>委托人要求</w:t>
      </w:r>
      <w:bookmarkEnd w:id="178"/>
    </w:p>
    <w:p w14:paraId="19FE8D8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14:paraId="1D904D0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委托人要求通常包括但不限于以下内容：</w:t>
      </w:r>
    </w:p>
    <w:p w14:paraId="35632817">
      <w:pPr>
        <w:pStyle w:val="5"/>
        <w:outlineLvl w:val="1"/>
        <w:rPr>
          <w:rFonts w:hint="eastAsia" w:asciiTheme="minorEastAsia" w:hAnsiTheme="minorEastAsia" w:eastAsiaTheme="minorEastAsia" w:cstheme="minorEastAsia"/>
          <w:color w:val="000000" w:themeColor="text1"/>
          <w:sz w:val="31"/>
          <w:szCs w:val="24"/>
          <w:highlight w:val="none"/>
          <w14:textFill>
            <w14:solidFill>
              <w14:schemeClr w14:val="tx1"/>
            </w14:solidFill>
          </w14:textFill>
        </w:rPr>
      </w:pPr>
      <w:bookmarkStart w:id="179" w:name="bookmark163"/>
      <w:bookmarkEnd w:id="179"/>
      <w:bookmarkStart w:id="180" w:name="_Toc1278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一、监理要求</w:t>
      </w:r>
      <w:bookmarkEnd w:id="180"/>
    </w:p>
    <w:p w14:paraId="182DB26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招标人应当根据项目情况在本章中明确相应的监理要求，一般应包括以下内容：</w:t>
      </w:r>
    </w:p>
    <w:p w14:paraId="05A5BBD6">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项目概况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项目规划总用地面积42535.22平方米，其中：河涌水域面积1866.10平方米。本次项目乌蛇坑涌综合整治提升工程包括乌蛇坑涌整治、新建桥梁、乌蛇坑水库溢洪道堰改闸、乌蛇坑水库大坝加固。结合天河龙洞粮库建设工程总体布置：</w:t>
      </w:r>
    </w:p>
    <w:p w14:paraId="3E6E6F4D">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乌蛇坑涌整治：项目对粮库地块内的乌蛇涌河段沿原线路拓宽，拓宽后河涌宽度10m，实施河段长度190m，起点为乌蛇坑水库溢洪道末端，终点为乌蛇坑涌（河道桩号190m）。两岸10m范围内进行园林绿化布置，总体与龙洞粮库风格协调统一。</w:t>
      </w:r>
    </w:p>
    <w:p w14:paraId="656D0054">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（2）新建桥梁：根据粮库流线新建2座跨涌桥梁衔接两岸，北侧1#桥梁跨径18m，桥面净宽10m；南侧2#桥梁跨径18m，桥面净宽7.5m。</w:t>
      </w:r>
    </w:p>
    <w:p w14:paraId="1F4CAB31">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（3）乌蛇坑水库溢流堰改造为水闸，水闸单孔宽6m，溢洪道下穿迎龙路，长50m，宽6.0m，高2.8m。</w:t>
      </w:r>
    </w:p>
    <w:p w14:paraId="092589AC">
      <w:pPr>
        <w:tabs>
          <w:tab w:val="left" w:pos="7513"/>
        </w:tabs>
        <w:spacing w:line="360" w:lineRule="auto"/>
        <w:ind w:firstLine="424" w:firstLineChars="177"/>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（4）乌蛇坑水库大坝加固：对乌蛇坑水库大坝迎龙路段进行充填灌浆加固。</w:t>
      </w:r>
    </w:p>
    <w:p w14:paraId="7A97234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乌蛇坑水库为小（2）型水库，设计洪水标准10年一遇，校核洪水标准50年一遇。根据《水利水电工程等级划分及洪水标准》（SL252-2017），水闸建筑物级别为5级。根据《堤防工程设计规范》（GB50826-2013），堤防工程级别为2级，主要建筑物级别为2级，次要建筑物为3级</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D8B62CF">
      <w:pPr>
        <w:tabs>
          <w:tab w:val="left" w:pos="7513"/>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监理范围及内容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负责本项目立项（含可研）范围内水利水电工程所有工程内容前期阶段[含前期建（构）筑物拆除、绿化及管线设施迁移（如有）的监理工作等]、施工准备阶段（包含施工临时用水（如有）、施工临时用电（如有）等）、施工阶段(包含超前钻（如有）、土石方工程、风雨廊-土建工程、景观工程（含绿化工程、园建工程、电气工程、给排水工程）、桥梁工程、水利水电工程等)、工程收尾阶段（包括竣工验收、整改、工程移交及工程结算）及工程质量保修期阶段的质量控制，安全生产监督管理、投资控制、进度控制、合同管理、信息收集管理、组织协调、工程创优（如有）等全过程监理工作，包括但不限于：</w:t>
      </w:r>
    </w:p>
    <w:p w14:paraId="6E4445F9">
      <w:pPr>
        <w:tabs>
          <w:tab w:val="left" w:pos="7513"/>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施工监理：对工程建设各项内容提供监理服务，包括但不限于以下内容：前期阶段[含前期建（构）筑物拆除、绿化及管线设施迁移（如有）的监理工作等]、施工准备阶段（包含施工临时用水（如有）、施工临时用电（如有）等）、施工阶段(包含超前钻（如有）、土石方工程、风雨廊-土建工程、景观工程（含绿化工程、园建工程、电气工程、给排水工程）、桥梁工程、水利水电工程等)、工程收尾阶段（包括但不限于竣工验收、整改、工程移交、工程结算等）、工程质量保修阶段的质量控制、安全生产监督管理、投资控制（包括但不限于施工款、设计变更、现场签证等）、进度控制、合同管理、信息管理、组织协调、设备监造、会同承包人编制检测（监测）方案以及协调委托人和工程建设有关各方的工作关系等，具体以实际实施的监理范围为准。按委托人的要求提前进场参与开工前期的准备和筹划工作，协助委托人制定各项工程管理办法及制度。监理人需严格执行委托人现行的设计变更管理办法和签证管理办法等，否则监理人还应按本合同专用条款第二十六条的约定承担违约责任。对项目的建设条件进行分析，了解场地周边情况如交通、临时设施、施工条件，向承包人作好交底工作，会同承包人共同研究施工组织方案的可行性。组织施工总承包单位完成工程开工及验收所需的各项报监、报建、报验手续，做好报批报建管理工作。监理人应组织参建各方开展工程投标清单复核（清标）工作，做到早发现，早控制，早解决，严格控制项目造价，合理使用项目资金。当增加的总造价超过50%暂列金时，监理人需向委托方提交造价控制预警报告；当增加的总造价超过暂列金时，监理人需书面向委托方报告资金使用情况。</w:t>
      </w:r>
    </w:p>
    <w:p w14:paraId="14EC06D9">
      <w:pPr>
        <w:tabs>
          <w:tab w:val="left" w:pos="7513"/>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监理人应负责本项目工程竣工结算审核工作，收集和整理工程结算资料，并在收到承包人报送的结算文件后7日内提交结算审核计划，（☑30日、□60日）内向委托人出具结算审核报告，配合有权审核部门开展结算评审工作。委托人将保留监理酬金总额10%的支配权，由委托人视监理人结算审核工作质量情况在竣工结算阶段予以支付（委托人将对监理人结算审核工作进行考核，具体详见附件3《结算审核工作质量情况考评细则》）。监理人应确保本项目工程竣工结算审核工作质量，如监理人达不到结算审核能力，委托人有权要求监理人选择相应的造价咨询服务单位协助其完成本项目工程竣工结算审核工作，所需结算审核费用由监理人承担；监理人须无条件配合，且仍需对本项目工程竣工结算审核工作承担主要责任。若监理人审核的结算金额与有权审核部门审定的结算金额的偏差率绝对值大于5%的，监理人还应按本合同专用条款第二十六条的约定承担违约责任。</w:t>
      </w:r>
    </w:p>
    <w:p w14:paraId="43112DE4">
      <w:pPr>
        <w:tabs>
          <w:tab w:val="left" w:pos="7513"/>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监理人需严格审核防雷、检测、监测、施工等单位提交的请款资料（含完成工作等），并出具书面的审核意见。开工前，监理人必须组织参建各方梳理图纸深化、材料定版、样板引路的计划清单，并对深化的图纸进行审核，出具书面的意见。施工过程中，监理人需根据工程进度及计划清单组织参建各方开展材料定版、样板引路工作，做到样板先行，稳步推进。项目完成竣工验收后，监理人应在14天内向委托人报审质保期间的维保工作方案。</w:t>
      </w:r>
    </w:p>
    <w:p w14:paraId="6B28E25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（4）监理人需根据服务范围及项目的实际情况，严格落实合同附件2中各阶段工作成果文件的要求。监理人如未根据合同及现场实际情况及时提供给委托人，委托人有权拒绝支付监理费。</w:t>
      </w:r>
    </w:p>
    <w:p w14:paraId="76249F72">
      <w:pPr>
        <w:spacing w:line="360" w:lineRule="auto"/>
        <w:ind w:firstLine="480" w:firstLineChars="200"/>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监理服务期：自监理人收到中标通知书或签订监理合同（以时间最早发生的为准）之日起，至本合同工程保修期结束且本合同工程结算经政府终审部门审定之日止。</w:t>
      </w:r>
    </w:p>
    <w:p w14:paraId="07EC39B8">
      <w:pPr>
        <w:numPr>
          <w:ilvl w:val="-1"/>
          <w:numId w:val="0"/>
        </w:num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监理依据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8E2D2FD">
      <w:pPr>
        <w:numPr>
          <w:ilvl w:val="-1"/>
          <w:numId w:val="0"/>
        </w:numPr>
        <w:spacing w:line="44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）适用的法律、行政法规及部门规章；</w:t>
      </w:r>
    </w:p>
    <w:p w14:paraId="50AF4F61">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2</w:t>
      </w:r>
      <w:r>
        <w:rPr>
          <w:rFonts w:hint="eastAsia" w:ascii="Times New Roman" w:hAnsi="Times New Roman"/>
          <w:color w:val="000000" w:themeColor="text1"/>
          <w:highlight w:val="none"/>
          <w14:textFill>
            <w14:solidFill>
              <w14:schemeClr w14:val="tx1"/>
            </w14:solidFill>
          </w14:textFill>
        </w:rPr>
        <w:t>）与工程有关的规范、标准、规程；</w:t>
      </w:r>
    </w:p>
    <w:p w14:paraId="11E13491">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）工程勘察文件、设计文件及其他文件；</w:t>
      </w:r>
    </w:p>
    <w:p w14:paraId="1341FF80">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）本工程监理的委托合同及补充合同；</w:t>
      </w:r>
    </w:p>
    <w:p w14:paraId="6B84D8EF">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5</w:t>
      </w:r>
      <w:r>
        <w:rPr>
          <w:rFonts w:hint="eastAsia" w:ascii="Times New Roman" w:hAnsi="Times New Roman"/>
          <w:color w:val="000000" w:themeColor="text1"/>
          <w:highlight w:val="none"/>
          <w14:textFill>
            <w14:solidFill>
              <w14:schemeClr w14:val="tx1"/>
            </w14:solidFill>
          </w14:textFill>
        </w:rPr>
        <w:t>）委托人签订的勘察、设计和施工承包合同；</w:t>
      </w:r>
    </w:p>
    <w:p w14:paraId="64E0A1AD">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6</w:t>
      </w:r>
      <w:r>
        <w:rPr>
          <w:rFonts w:hint="eastAsia" w:ascii="Times New Roman" w:hAnsi="Times New Roman"/>
          <w:color w:val="000000" w:themeColor="text1"/>
          <w:highlight w:val="none"/>
          <w14:textFill>
            <w14:solidFill>
              <w14:schemeClr w14:val="tx1"/>
            </w14:solidFill>
          </w14:textFill>
        </w:rPr>
        <w:t>）合同履行中与监理服务有关的来往函件；</w:t>
      </w:r>
    </w:p>
    <w:p w14:paraId="7AA4EFE2">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7</w:t>
      </w:r>
      <w:r>
        <w:rPr>
          <w:rFonts w:hint="eastAsia" w:ascii="Times New Roman" w:hAnsi="Times New Roman"/>
          <w:color w:val="000000" w:themeColor="text1"/>
          <w:highlight w:val="none"/>
          <w14:textFill>
            <w14:solidFill>
              <w14:schemeClr w14:val="tx1"/>
            </w14:solidFill>
          </w14:textFill>
        </w:rPr>
        <w:t>）其他监理依据。</w:t>
      </w:r>
    </w:p>
    <w:p w14:paraId="213E323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 监理人员要求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793D0050">
      <w:pPr>
        <w:spacing w:line="440" w:lineRule="exact"/>
        <w:ind w:firstLine="410" w:firstLineChars="171"/>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配备的监理机构人员须满足下表要求（最低要求）：</w:t>
      </w:r>
    </w:p>
    <w:p w14:paraId="65212A4F">
      <w:pPr>
        <w:tabs>
          <w:tab w:val="left" w:pos="105"/>
        </w:tabs>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监理机构人员配备要求表</w:t>
      </w:r>
    </w:p>
    <w:tbl>
      <w:tblPr>
        <w:tblStyle w:val="20"/>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539"/>
        <w:gridCol w:w="1027"/>
        <w:gridCol w:w="3054"/>
        <w:gridCol w:w="2300"/>
      </w:tblGrid>
      <w:tr w14:paraId="02F4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71A9F04">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4429AAD">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岗位</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7059C8A">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最低要求数量</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033AB8F3">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基本要求</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2AEE0C3C">
            <w:pPr>
              <w:keepNext w:val="0"/>
              <w:keepLines w:val="0"/>
              <w:suppressLineNumbers w:val="0"/>
              <w:adjustRightInd w:val="0"/>
              <w:snapToGrid w:val="0"/>
              <w:spacing w:before="0" w:beforeAutospacing="0" w:after="0" w:afterAutospacing="0"/>
              <w:ind w:left="0" w:right="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备注（应提供如下证明材料等）</w:t>
            </w:r>
          </w:p>
        </w:tc>
      </w:tr>
      <w:tr w14:paraId="1958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AA2D42D">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9396334">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总监理工程师</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3FEE8C0">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1名</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0C52D4E6">
            <w:pPr>
              <w:keepNext w:val="0"/>
              <w:keepLines w:val="0"/>
              <w:suppressLineNumbers w:val="0"/>
              <w:adjustRightInd w:val="0"/>
              <w:snapToGrid w:val="0"/>
              <w:spacing w:before="0" w:beforeAutospacing="0" w:after="0" w:afterAutospacing="0"/>
              <w:ind w:left="0" w:right="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资格要求与招标公告要求一致；</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A6A07EB">
            <w:pPr>
              <w:keepNext w:val="0"/>
              <w:keepLines w:val="0"/>
              <w:suppressLineNumbers w:val="0"/>
              <w:adjustRightInd w:val="0"/>
              <w:snapToGrid w:val="0"/>
              <w:spacing w:before="0" w:beforeAutospacing="0" w:after="0" w:afterAutospacing="0"/>
              <w:ind w:left="0" w:right="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监理工程师注册证书</w:t>
            </w:r>
            <w:r>
              <w:rPr>
                <w:rFonts w:hint="eastAsia" w:ascii="宋体" w:hAnsi="宋体"/>
                <w:color w:val="000000" w:themeColor="text1"/>
                <w:szCs w:val="21"/>
                <w:highlight w:val="none"/>
                <w14:textFill>
                  <w14:solidFill>
                    <w14:schemeClr w14:val="tx1"/>
                  </w14:solidFill>
                </w14:textFill>
              </w:rPr>
              <w:t>、职称证书</w:t>
            </w:r>
            <w:r>
              <w:rPr>
                <w:rFonts w:hint="eastAsia" w:ascii="宋体" w:hAnsi="宋体"/>
                <w:color w:val="000000" w:themeColor="text1"/>
                <w:szCs w:val="21"/>
                <w:highlight w:val="none"/>
                <w:lang w:val="en-US" w:eastAsia="zh-CN"/>
                <w14:textFill>
                  <w14:solidFill>
                    <w14:schemeClr w14:val="tx1"/>
                  </w14:solidFill>
                </w14:textFill>
              </w:rPr>
              <w:t>扫描件</w:t>
            </w:r>
          </w:p>
        </w:tc>
      </w:tr>
      <w:tr w14:paraId="7D0F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9F62784">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7EC3536">
            <w:pPr>
              <w:keepNext w:val="0"/>
              <w:keepLines w:val="0"/>
              <w:suppressLineNumbers w:val="0"/>
              <w:adjustRightInd w:val="0"/>
              <w:snapToGrid w:val="0"/>
              <w:spacing w:before="0" w:beforeAutospacing="0" w:after="0" w:afterAutospacing="0"/>
              <w:ind w:left="0" w:right="0"/>
              <w:jc w:val="center"/>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水利类专业监理工程师</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E513B0A">
            <w:pPr>
              <w:keepNext w:val="0"/>
              <w:keepLines w:val="0"/>
              <w:suppressLineNumbers w:val="0"/>
              <w:adjustRightInd w:val="0"/>
              <w:snapToGrid w:val="0"/>
              <w:spacing w:before="0" w:beforeAutospacing="0" w:after="0" w:afterAutospacing="0"/>
              <w:ind w:left="0" w:right="0"/>
              <w:jc w:val="center"/>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名</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43AC67C0">
            <w:pPr>
              <w:keepNext w:val="0"/>
              <w:keepLines w:val="0"/>
              <w:suppressLineNumbers w:val="0"/>
              <w:adjustRightInd w:val="0"/>
              <w:snapToGrid w:val="0"/>
              <w:spacing w:before="0" w:beforeAutospacing="0" w:after="0" w:afterAutospacing="0"/>
              <w:ind w:left="0" w:right="0"/>
              <w:jc w:val="left"/>
              <w:rPr>
                <w:rFonts w:hint="eastAsia" w:ascii="Calibri" w:hAnsi="Calibri"/>
                <w:color w:val="000000" w:themeColor="text1"/>
                <w:kern w:val="2"/>
                <w:sz w:val="21"/>
                <w:szCs w:val="24"/>
                <w:highlight w:val="none"/>
                <w:lang w:val="en-US" w:eastAsia="zh-CN" w:bidi="ar-SA"/>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水利工程</w:t>
            </w:r>
            <w:r>
              <w:rPr>
                <w:rFonts w:hint="eastAsia" w:ascii="宋体" w:hAnsi="宋体"/>
                <w:color w:val="000000" w:themeColor="text1"/>
                <w:kern w:val="44"/>
                <w:szCs w:val="21"/>
                <w:highlight w:val="none"/>
                <w:lang w:val="en-US" w:eastAsia="zh-CN"/>
                <w14:textFill>
                  <w14:solidFill>
                    <w14:schemeClr w14:val="tx1"/>
                  </w14:solidFill>
                </w14:textFill>
              </w:rPr>
              <w:t>相关专业</w:t>
            </w:r>
            <w:r>
              <w:rPr>
                <w:rFonts w:hint="eastAsia" w:ascii="宋体" w:hAnsi="宋体"/>
                <w:color w:val="000000" w:themeColor="text1"/>
                <w:kern w:val="44"/>
                <w:szCs w:val="21"/>
                <w:highlight w:val="none"/>
                <w14:textFill>
                  <w14:solidFill>
                    <w14:schemeClr w14:val="tx1"/>
                  </w14:solidFill>
                </w14:textFill>
              </w:rPr>
              <w:t>监理工程师资格证书（或</w:t>
            </w:r>
            <w:r>
              <w:rPr>
                <w:rFonts w:hint="eastAsia" w:ascii="宋体" w:hAnsi="宋体"/>
                <w:color w:val="000000" w:themeColor="text1"/>
                <w:kern w:val="44"/>
                <w:szCs w:val="21"/>
                <w:highlight w:val="none"/>
                <w:lang w:val="en-US" w:eastAsia="zh-CN"/>
                <w14:textFill>
                  <w14:solidFill>
                    <w14:schemeClr w14:val="tx1"/>
                  </w14:solidFill>
                </w14:textFill>
              </w:rPr>
              <w:t>注册证或</w:t>
            </w:r>
            <w:r>
              <w:rPr>
                <w:rFonts w:hint="eastAsia" w:ascii="宋体" w:hAnsi="宋体"/>
                <w:color w:val="000000" w:themeColor="text1"/>
                <w:kern w:val="44"/>
                <w:szCs w:val="21"/>
                <w:highlight w:val="none"/>
                <w14:textFill>
                  <w14:solidFill>
                    <w14:schemeClr w14:val="tx1"/>
                  </w14:solidFill>
                </w14:textFill>
              </w:rPr>
              <w:t>上岗证或培训证）</w:t>
            </w:r>
            <w:r>
              <w:rPr>
                <w:rFonts w:hint="eastAsia" w:ascii="宋体" w:hAnsi="宋体"/>
                <w:color w:val="000000" w:themeColor="text1"/>
                <w:kern w:val="0"/>
                <w:szCs w:val="21"/>
                <w:highlight w:val="none"/>
                <w14:textFill>
                  <w14:solidFill>
                    <w14:schemeClr w14:val="tx1"/>
                  </w14:solidFill>
                </w14:textFill>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97490BE">
            <w:pPr>
              <w:keepNext w:val="0"/>
              <w:keepLines w:val="0"/>
              <w:suppressLineNumbers w:val="0"/>
              <w:spacing w:before="0" w:beforeAutospacing="0" w:after="0" w:afterAutospacing="0" w:line="276" w:lineRule="auto"/>
              <w:ind w:left="0" w:right="0"/>
              <w:jc w:val="both"/>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监理工程师</w:t>
            </w:r>
            <w:r>
              <w:rPr>
                <w:rFonts w:hint="eastAsia" w:ascii="宋体" w:hAnsi="宋体"/>
                <w:color w:val="000000" w:themeColor="text1"/>
                <w:szCs w:val="21"/>
                <w:highlight w:val="none"/>
                <w14:textFill>
                  <w14:solidFill>
                    <w14:schemeClr w14:val="tx1"/>
                  </w14:solidFill>
                </w14:textFill>
              </w:rPr>
              <w:t>资格证书</w:t>
            </w:r>
            <w:r>
              <w:rPr>
                <w:rFonts w:hint="eastAsia" w:ascii="宋体" w:hAnsi="宋体"/>
                <w:color w:val="000000" w:themeColor="text1"/>
                <w:kern w:val="44"/>
                <w:szCs w:val="21"/>
                <w:highlight w:val="none"/>
                <w14:textFill>
                  <w14:solidFill>
                    <w14:schemeClr w14:val="tx1"/>
                  </w14:solidFill>
                </w14:textFill>
              </w:rPr>
              <w:t>（或</w:t>
            </w:r>
            <w:r>
              <w:rPr>
                <w:rFonts w:hint="eastAsia" w:ascii="宋体" w:hAnsi="宋体"/>
                <w:color w:val="000000" w:themeColor="text1"/>
                <w:kern w:val="44"/>
                <w:szCs w:val="21"/>
                <w:highlight w:val="none"/>
                <w:lang w:val="en-US" w:eastAsia="zh-CN"/>
                <w14:textFill>
                  <w14:solidFill>
                    <w14:schemeClr w14:val="tx1"/>
                  </w14:solidFill>
                </w14:textFill>
              </w:rPr>
              <w:t>注册证或</w:t>
            </w:r>
            <w:r>
              <w:rPr>
                <w:rFonts w:hint="eastAsia" w:ascii="宋体" w:hAnsi="宋体"/>
                <w:color w:val="000000" w:themeColor="text1"/>
                <w:kern w:val="44"/>
                <w:szCs w:val="21"/>
                <w:highlight w:val="none"/>
                <w14:textFill>
                  <w14:solidFill>
                    <w14:schemeClr w14:val="tx1"/>
                  </w14:solidFill>
                </w14:textFill>
              </w:rPr>
              <w:t>上岗证或培训证）</w:t>
            </w:r>
            <w:r>
              <w:rPr>
                <w:rFonts w:hint="eastAsia" w:ascii="宋体" w:hAnsi="宋体"/>
                <w:color w:val="000000" w:themeColor="text1"/>
                <w:szCs w:val="21"/>
                <w:highlight w:val="none"/>
                <w:lang w:val="en-US" w:eastAsia="zh-CN"/>
                <w14:textFill>
                  <w14:solidFill>
                    <w14:schemeClr w14:val="tx1"/>
                  </w14:solidFill>
                </w14:textFill>
              </w:rPr>
              <w:t>扫描件</w:t>
            </w:r>
          </w:p>
        </w:tc>
      </w:tr>
      <w:tr w14:paraId="27D2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5A996A2">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8C0B302">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监理员</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72936D4">
            <w:pPr>
              <w:keepNext w:val="0"/>
              <w:keepLines w:val="0"/>
              <w:suppressLineNumbers w:val="0"/>
              <w:adjustRightInd w:val="0"/>
              <w:snapToGrid w:val="0"/>
              <w:spacing w:before="0" w:beforeAutospacing="0" w:after="0" w:afterAutospacing="0"/>
              <w:ind w:left="0" w:right="0"/>
              <w:jc w:val="center"/>
              <w:rPr>
                <w:rFonts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名</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20929524">
            <w:pPr>
              <w:pStyle w:val="2"/>
              <w:keepNext w:val="0"/>
              <w:keepLines w:val="0"/>
              <w:suppressLineNumbers w:val="0"/>
              <w:spacing w:before="0" w:beforeAutospacing="0" w:after="0" w:afterAutospacing="0"/>
              <w:ind w:left="0" w:right="0"/>
              <w:rPr>
                <w:rFonts w:hint="eastAsia" w:ascii="宋体" w:hAnsi="Courier New"/>
                <w:color w:val="000000" w:themeColor="text1"/>
                <w:kern w:val="0"/>
                <w:sz w:val="21"/>
                <w:szCs w:val="21"/>
                <w:highlight w:val="none"/>
                <w:lang w:val="en-US" w:eastAsia="zh-CN" w:bidi="ar-SA"/>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具有</w:t>
            </w:r>
            <w:r>
              <w:rPr>
                <w:rFonts w:hint="eastAsia"/>
                <w:color w:val="000000" w:themeColor="text1"/>
                <w:highlight w:val="none"/>
                <w14:textFill>
                  <w14:solidFill>
                    <w14:schemeClr w14:val="tx1"/>
                  </w14:solidFill>
                </w14:textFill>
              </w:rPr>
              <w:t>监理员上岗证或培训证，</w:t>
            </w:r>
            <w:r>
              <w:rPr>
                <w:rFonts w:hAnsi="宋体"/>
                <w:color w:val="000000" w:themeColor="text1"/>
                <w:highlight w:val="none"/>
                <w14:textFill>
                  <w14:solidFill>
                    <w14:schemeClr w14:val="tx1"/>
                  </w14:solidFill>
                </w14:textFill>
              </w:rPr>
              <w:t>专业为</w:t>
            </w:r>
            <w:r>
              <w:rPr>
                <w:rFonts w:hint="eastAsia" w:ascii="宋体" w:hAnsi="宋体"/>
                <w:color w:val="000000" w:themeColor="text1"/>
                <w:szCs w:val="21"/>
                <w:highlight w:val="none"/>
                <w14:textFill>
                  <w14:solidFill>
                    <w14:schemeClr w14:val="tx1"/>
                  </w14:solidFill>
                </w14:textFill>
              </w:rPr>
              <w:t>水利</w:t>
            </w:r>
            <w:r>
              <w:rPr>
                <w:rFonts w:hint="eastAsia" w:hAnsi="宋体"/>
                <w:color w:val="000000" w:themeColor="text1"/>
                <w:highlight w:val="none"/>
                <w14:textFill>
                  <w14:solidFill>
                    <w14:schemeClr w14:val="tx1"/>
                  </w14:solidFill>
                </w14:textFill>
              </w:rPr>
              <w:t>工程相关专业。</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434EAEDC">
            <w:pPr>
              <w:keepNext w:val="0"/>
              <w:keepLines w:val="0"/>
              <w:suppressLineNumbers w:val="0"/>
              <w:adjustRightInd w:val="0"/>
              <w:snapToGrid w:val="0"/>
              <w:spacing w:before="0" w:beforeAutospacing="0" w:after="0" w:afterAutospacing="0"/>
              <w:ind w:left="0" w:right="0"/>
              <w:jc w:val="left"/>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上岗证或培训证</w:t>
            </w:r>
            <w:r>
              <w:rPr>
                <w:rFonts w:hint="eastAsia" w:ascii="宋体" w:hAnsi="宋体"/>
                <w:color w:val="000000" w:themeColor="text1"/>
                <w:szCs w:val="21"/>
                <w:highlight w:val="none"/>
                <w:lang w:val="en-US" w:eastAsia="zh-CN"/>
                <w14:textFill>
                  <w14:solidFill>
                    <w14:schemeClr w14:val="tx1"/>
                  </w14:solidFill>
                </w14:textFill>
              </w:rPr>
              <w:t>扫描件</w:t>
            </w:r>
          </w:p>
        </w:tc>
      </w:tr>
      <w:tr w14:paraId="1EE9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898D2B3">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合计</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F5929B9">
            <w:pPr>
              <w:keepNext w:val="0"/>
              <w:keepLines w:val="0"/>
              <w:suppressLineNumbers w:val="0"/>
              <w:adjustRightInd w:val="0"/>
              <w:snapToGrid w:val="0"/>
              <w:spacing w:before="0" w:beforeAutospacing="0" w:after="0" w:afterAutospacing="0"/>
              <w:ind w:left="0" w:right="0"/>
              <w:jc w:val="center"/>
              <w:rPr>
                <w:rFonts w:hint="eastAsia" w:ascii="宋体" w:hAnsi="宋体"/>
                <w:color w:val="000000" w:themeColor="text1"/>
                <w:szCs w:val="21"/>
                <w:highlight w:val="none"/>
                <w14:textFill>
                  <w14:solidFill>
                    <w14:schemeClr w14:val="tx1"/>
                  </w14:solidFill>
                </w14:textFill>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91E4467">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5AB90951">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7D43C8F">
            <w:pPr>
              <w:keepNext w:val="0"/>
              <w:keepLines w:val="0"/>
              <w:suppressLineNumbers w:val="0"/>
              <w:adjustRightInd w:val="0"/>
              <w:snapToGrid w:val="0"/>
              <w:spacing w:before="0" w:beforeAutospacing="0" w:after="0" w:afterAutospacing="0"/>
              <w:ind w:left="0" w:right="0"/>
              <w:jc w:val="both"/>
              <w:rPr>
                <w:rFonts w:hint="eastAsia" w:ascii="宋体" w:hAnsi="宋体"/>
                <w:color w:val="000000" w:themeColor="text1"/>
                <w:szCs w:val="21"/>
                <w:highlight w:val="none"/>
                <w14:textFill>
                  <w14:solidFill>
                    <w14:schemeClr w14:val="tx1"/>
                  </w14:solidFill>
                </w14:textFill>
              </w:rPr>
            </w:pPr>
          </w:p>
        </w:tc>
      </w:tr>
    </w:tbl>
    <w:p w14:paraId="0219DB03">
      <w:pPr>
        <w:spacing w:line="360" w:lineRule="auto"/>
        <w:ind w:firstLine="482" w:firstLineChars="200"/>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r>
        <w:rPr>
          <w:rFonts w:hint="eastAsia" w:ascii="宋体" w:hAnsi="宋体" w:cs="宋体"/>
          <w:b w:val="0"/>
          <w:bCs/>
          <w:color w:val="000000" w:themeColor="text1"/>
          <w:szCs w:val="21"/>
          <w:highlight w:val="none"/>
          <w14:textFill>
            <w14:solidFill>
              <w14:schemeClr w14:val="tx1"/>
            </w14:solidFill>
          </w14:textFill>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3CF90639">
      <w:pPr>
        <w:spacing w:line="360" w:lineRule="auto"/>
        <w:ind w:firstLine="480" w:firstLineChars="200"/>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②总监理工程师及监理机构人员资格、认证证书及社保证明等方面内容必须提供相应的证明材料；所投入人员必须为投标人本单位人员，所有人员须提供近一个月（指202</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年</w:t>
      </w:r>
      <w:r>
        <w:rPr>
          <w:rFonts w:hint="eastAsia" w:ascii="宋体" w:hAnsi="宋体" w:cs="宋体"/>
          <w:b w:val="0"/>
          <w:bCs/>
          <w:color w:val="000000" w:themeColor="text1"/>
          <w:szCs w:val="21"/>
          <w:highlight w:val="none"/>
          <w:lang w:val="en-US" w:eastAsia="zh-CN"/>
          <w14:textFill>
            <w14:solidFill>
              <w14:schemeClr w14:val="tx1"/>
            </w14:solidFill>
          </w14:textFill>
        </w:rPr>
        <w:t>7</w:t>
      </w:r>
      <w:r>
        <w:rPr>
          <w:rFonts w:hint="eastAsia" w:ascii="宋体" w:hAnsi="宋体" w:cs="宋体"/>
          <w:b w:val="0"/>
          <w:bCs/>
          <w:color w:val="000000" w:themeColor="text1"/>
          <w:szCs w:val="21"/>
          <w:highlight w:val="none"/>
          <w14:textFill>
            <w14:solidFill>
              <w14:schemeClr w14:val="tx1"/>
            </w14:solidFill>
          </w14:textFill>
        </w:rPr>
        <w:t>月）在本投标单位购买社保缴纳证明材料，提供证明资料的清晰扫描件并加盖投标单位电子印章，否则不计分。</w:t>
      </w:r>
    </w:p>
    <w:p w14:paraId="3F60F3B3">
      <w:pPr>
        <w:spacing w:line="360" w:lineRule="auto"/>
        <w:ind w:firstLine="480" w:firstLineChars="200"/>
        <w:rPr>
          <w:rFonts w:hint="eastAsia" w:ascii="宋体" w:hAnsi="宋体" w:cs="宋体"/>
          <w:b w:val="0"/>
          <w:bCs/>
          <w:color w:val="000000" w:themeColor="text1"/>
          <w:szCs w:val="21"/>
          <w:highlight w:val="none"/>
          <w:lang w:eastAsia="zh-CN"/>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③除总监理工程师外，上述人员要求不作为形式评审、资格评审、响应性评审的审查依据，只作为综合评分表中的评审依据</w:t>
      </w:r>
      <w:r>
        <w:rPr>
          <w:rFonts w:hint="eastAsia" w:ascii="宋体" w:hAnsi="宋体" w:cs="宋体"/>
          <w:b w:val="0"/>
          <w:bCs/>
          <w:color w:val="000000" w:themeColor="text1"/>
          <w:szCs w:val="21"/>
          <w:highlight w:val="none"/>
          <w:lang w:eastAsia="zh-CN"/>
          <w14:textFill>
            <w14:solidFill>
              <w14:schemeClr w14:val="tx1"/>
            </w14:solidFill>
          </w14:textFill>
        </w:rPr>
        <w:t>。</w:t>
      </w:r>
    </w:p>
    <w:p w14:paraId="1D4FF14C">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w:t>
      </w:r>
      <w:r>
        <w:rPr>
          <w:rFonts w:hint="eastAsia" w:ascii="Times New Roman" w:hAnsi="Times New Roman"/>
          <w:color w:val="000000" w:themeColor="text1"/>
          <w:highlight w:val="none"/>
          <w14:textFill>
            <w14:solidFill>
              <w14:schemeClr w14:val="tx1"/>
            </w14:solidFill>
          </w14:textFill>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07794B82">
      <w:pPr>
        <w:spacing w:line="440" w:lineRule="exact"/>
        <w:ind w:firstLine="410" w:firstLineChars="17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7.</w:t>
      </w:r>
      <w:r>
        <w:rPr>
          <w:rFonts w:hint="eastAsia" w:ascii="Times New Roman" w:hAnsi="Times New Roman"/>
          <w:color w:val="000000" w:themeColor="text1"/>
          <w:highlight w:val="none"/>
          <w14:textFill>
            <w14:solidFill>
              <w14:schemeClr w14:val="tx1"/>
            </w14:solidFill>
          </w14:textFill>
        </w:rPr>
        <w:t>监理工作目标要求</w:t>
      </w:r>
    </w:p>
    <w:p w14:paraId="595EB1C0">
      <w:pPr>
        <w:spacing w:line="440" w:lineRule="exact"/>
        <w:ind w:firstLine="410" w:firstLineChars="171"/>
        <w:rPr>
          <w:rFonts w:ascii="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①质量控制目标：</w:t>
      </w:r>
      <w:r>
        <w:rPr>
          <w:rFonts w:hint="eastAsia" w:ascii="Times New Roman" w:hAnsi="Times New Roman"/>
          <w:color w:val="000000" w:themeColor="text1"/>
          <w:highlight w:val="none"/>
          <w:u w:val="single"/>
          <w14:textFill>
            <w14:solidFill>
              <w14:schemeClr w14:val="tx1"/>
            </w14:solidFill>
          </w14:textFill>
        </w:rPr>
        <w:t>工程质量达到工程施工质量验收规范合格标准及国家现行相关专业有关施工质量验收规范标准，一次验收合格。</w:t>
      </w:r>
    </w:p>
    <w:p w14:paraId="6D040762">
      <w:pPr>
        <w:spacing w:line="440" w:lineRule="exact"/>
        <w:ind w:left="360" w:leftChars="150" w:firstLine="50" w:firstLineChars="21"/>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②进度控制目标：</w:t>
      </w:r>
      <w:r>
        <w:rPr>
          <w:rFonts w:hint="eastAsia" w:ascii="宋体" w:hAnsi="宋体"/>
          <w:color w:val="000000" w:themeColor="text1"/>
          <w:szCs w:val="21"/>
          <w:highlight w:val="none"/>
          <w:u w:val="single"/>
          <w14:textFill>
            <w14:solidFill>
              <w14:schemeClr w14:val="tx1"/>
            </w14:solidFill>
          </w14:textFill>
        </w:rPr>
        <w:t>按委托人对工期的要求进行进度目标控制。</w:t>
      </w:r>
    </w:p>
    <w:p w14:paraId="567F1A12">
      <w:pPr>
        <w:spacing w:line="440" w:lineRule="exact"/>
        <w:ind w:firstLine="408" w:firstLineChars="17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③投资控制目标：</w:t>
      </w:r>
      <w:r>
        <w:rPr>
          <w:rFonts w:hint="eastAsia" w:ascii="宋体"/>
          <w:color w:val="000000" w:themeColor="text1"/>
          <w:szCs w:val="21"/>
          <w:highlight w:val="none"/>
          <w:u w:val="single"/>
          <w14:textFill>
            <w14:solidFill>
              <w14:schemeClr w14:val="tx1"/>
            </w14:solidFill>
          </w14:textFill>
        </w:rPr>
        <w:t>设计和概预算阶段协助委托人做好按立项控制概算等投资控制工作。</w:t>
      </w:r>
      <w:r>
        <w:rPr>
          <w:rFonts w:hint="eastAsia" w:ascii="宋体" w:hAnsi="宋体" w:cs="宋体"/>
          <w:snapToGrid w:val="0"/>
          <w:color w:val="000000" w:themeColor="text1"/>
          <w:kern w:val="0"/>
          <w:szCs w:val="21"/>
          <w:highlight w:val="none"/>
          <w:u w:val="single"/>
          <w14:textFill>
            <w14:solidFill>
              <w14:schemeClr w14:val="tx1"/>
            </w14:solidFill>
          </w14:textFill>
        </w:rPr>
        <w:t>施工阶段所监理项目的结算的建安工程费不超过该项目概算批复中对应的建安工程费。</w:t>
      </w:r>
    </w:p>
    <w:p w14:paraId="674765B9">
      <w:pPr>
        <w:spacing w:line="440" w:lineRule="exact"/>
        <w:ind w:firstLine="408" w:firstLineChars="170"/>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④安全生产文明施工控制目标：</w:t>
      </w:r>
      <w:r>
        <w:rPr>
          <w:rFonts w:hint="eastAsia" w:ascii="宋体"/>
          <w:color w:val="000000" w:themeColor="text1"/>
          <w:szCs w:val="21"/>
          <w:highlight w:val="none"/>
          <w:u w:val="single"/>
          <w14:textFill>
            <w14:solidFill>
              <w14:schemeClr w14:val="tx1"/>
            </w14:solidFill>
          </w14:textFill>
        </w:rPr>
        <w:t>确保工程无人员死亡事故；确保实施期内有关建设人员不违反委托人安全监管规定；现场安全文明施工管理达到国家、广东省、广州市以及天河区相关规定要求。</w:t>
      </w:r>
    </w:p>
    <w:p w14:paraId="2FEE081A">
      <w:pPr>
        <w:spacing w:line="440" w:lineRule="exact"/>
        <w:ind w:firstLine="408" w:firstLineChars="170"/>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⑤</w:t>
      </w:r>
      <w:r>
        <w:rPr>
          <w:rFonts w:hint="eastAsia" w:ascii="宋体"/>
          <w:color w:val="000000" w:themeColor="text1"/>
          <w:szCs w:val="21"/>
          <w:highlight w:val="none"/>
          <w:u w:val="single"/>
          <w14:textFill>
            <w14:solidFill>
              <w14:schemeClr w14:val="tx1"/>
            </w14:solidFill>
          </w14:textFill>
        </w:rPr>
        <w:t>职业健康安全管理目标：杜绝一般事故等级以上的伤亡事故且工伤责任事故死亡人数为零。</w:t>
      </w:r>
    </w:p>
    <w:p w14:paraId="638E64F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其他要求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1874109F">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81" w:name="bookmark164"/>
      <w:bookmarkEnd w:id="181"/>
      <w:bookmarkStart w:id="182" w:name="_Toc1287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二、适用规范标准</w:t>
      </w:r>
      <w:bookmarkEnd w:id="182"/>
    </w:p>
    <w:p w14:paraId="4D59663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国家、行业、项目所在地规范名录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：《建设工程监理规范》GB/T50319-2013，按国家、行业、项目所在地规范名录执行。</w:t>
      </w:r>
    </w:p>
    <w:p w14:paraId="154D65E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国家、行业、项目所在地标准名录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：按国家、行业、项目所在地规范标准执行。</w:t>
      </w:r>
    </w:p>
    <w:p w14:paraId="728389C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国家、行业、项目所在地规程名录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：按国家、行业、项目所在地规范标准执行。</w:t>
      </w:r>
    </w:p>
    <w:p w14:paraId="589DC088">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83" w:name="bookmark165"/>
      <w:bookmarkEnd w:id="183"/>
      <w:bookmarkStart w:id="184" w:name="_Toc211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三、成果文件要求</w:t>
      </w:r>
      <w:bookmarkEnd w:id="184"/>
    </w:p>
    <w:p w14:paraId="73C46F7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成果文件的组成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：详见第四章合同条款及格式监理合同附件2各阶段工作成果文件。</w:t>
      </w:r>
    </w:p>
    <w:p w14:paraId="09F4D75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成果文件的深度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：满足本项目监理服务要求。</w:t>
      </w:r>
    </w:p>
    <w:p w14:paraId="07912B3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成果文件的格式要求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：满足本项目监理服务要求。</w:t>
      </w:r>
    </w:p>
    <w:p w14:paraId="29B9202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 成果文件的份数要求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一式六份。</w:t>
      </w:r>
    </w:p>
    <w:p w14:paraId="2B708D3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 成果文件的载体要求</w:t>
      </w:r>
    </w:p>
    <w:p w14:paraId="5187AB1E">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（1）纸质版的要求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一式六份。</w:t>
      </w:r>
    </w:p>
    <w:p w14:paraId="0890A6F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（2）电子版的要求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：与纸质版一致的电子版文件。</w:t>
      </w:r>
    </w:p>
    <w:p w14:paraId="5D57147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（3）其他要求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43E749A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outlineLvl w:val="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85" w:name="_Toc18901"/>
      <w:bookmarkStart w:id="186" w:name="_Toc157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 成果文件的其他要求</w:t>
      </w:r>
      <w:bookmarkEnd w:id="185"/>
      <w:bookmarkEnd w:id="186"/>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：满足本项目监理服务要求。</w:t>
      </w:r>
    </w:p>
    <w:p w14:paraId="296094F4">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87" w:name="bookmark166"/>
      <w:bookmarkEnd w:id="187"/>
      <w:bookmarkStart w:id="188" w:name="_Toc850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四、委托人财产清单</w:t>
      </w:r>
      <w:bookmarkEnd w:id="188"/>
    </w:p>
    <w:p w14:paraId="7B464F22">
      <w:pPr>
        <w:pStyle w:val="11"/>
        <w:tabs>
          <w:tab w:val="left" w:pos="1343"/>
          <w:tab w:val="left" w:pos="2697"/>
          <w:tab w:val="left" w:pos="3264"/>
          <w:tab w:val="left" w:pos="4896"/>
          <w:tab w:val="left" w:pos="6005"/>
          <w:tab w:val="left" w:pos="7085"/>
          <w:tab w:val="left" w:pos="7498"/>
        </w:tabs>
        <w:kinsoku w:val="0"/>
        <w:overflowPunct w:val="0"/>
        <w:spacing w:line="360" w:lineRule="auto"/>
        <w:jc w:val="both"/>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bookmarkStart w:id="189" w:name="bookmark167"/>
      <w:bookmarkEnd w:id="189"/>
      <w:bookmarkStart w:id="190" w:name="_Toc2120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（一）委托人提供的设备、设施</w:t>
      </w:r>
      <w:bookmarkEnd w:id="190"/>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w:t>
      </w:r>
    </w:p>
    <w:p w14:paraId="1F5F11F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91" w:name="_Toc1305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（二）委托人提供的资料</w:t>
      </w:r>
      <w:bookmarkEnd w:id="191"/>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3FBFA60">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 施工场地及毗邻区域内的供水、排水、供电、供气、供热、通信、广播电视等地下管线资料、气象和水文观测资料，相邻建筑物和构筑物、地下工程的有关资料，以及其他与建设工程有关的原始资料</w:t>
      </w:r>
    </w:p>
    <w:p w14:paraId="7258F9EA">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 定位放线的基准点、基准线和基准标高</w:t>
      </w:r>
    </w:p>
    <w:p w14:paraId="478C99E5">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 委托人取得的有关审批、核准和备案材料</w:t>
      </w:r>
    </w:p>
    <w:p w14:paraId="3030478B">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4. 勘察文件、设计文件等资料</w:t>
      </w:r>
    </w:p>
    <w:p w14:paraId="19BDFAB3">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5. 技术标准、规范</w:t>
      </w:r>
    </w:p>
    <w:p w14:paraId="16E420A9">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6. 工程承包合同及其他相关合同</w:t>
      </w:r>
    </w:p>
    <w:p w14:paraId="13089C83">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7. 其他资料</w:t>
      </w:r>
    </w:p>
    <w:p w14:paraId="2320A52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bookmarkStart w:id="192" w:name="bookmark169"/>
      <w:bookmarkEnd w:id="192"/>
      <w:bookmarkStart w:id="193" w:name="_Toc789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（三）委托人财产使用要求及退还要求</w:t>
      </w:r>
      <w:bookmarkEnd w:id="193"/>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：监理人对委托人财产保存完好，避免有损坏或丢失等情况发生；工程完工后监理人将委托人财产全数完好地退还给委托人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50FC3FCC">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94" w:name="bookmark170"/>
      <w:bookmarkEnd w:id="194"/>
      <w:bookmarkStart w:id="195" w:name="_Toc1328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五、委托人提供的便利条件</w:t>
      </w:r>
      <w:bookmarkEnd w:id="195"/>
    </w:p>
    <w:p w14:paraId="5343A15C">
      <w:pPr>
        <w:pStyle w:val="5"/>
        <w:ind w:firstLine="482" w:firstLineChars="200"/>
        <w:outlineLvl w:val="1"/>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96" w:name="bookmark171"/>
      <w:bookmarkEnd w:id="196"/>
      <w:bookmarkStart w:id="197" w:name="_Toc1282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w:t>
      </w:r>
    </w:p>
    <w:p w14:paraId="36EA0247">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六、监理人需要自备的工作条件</w:t>
      </w:r>
      <w:bookmarkEnd w:id="197"/>
    </w:p>
    <w:p w14:paraId="679E6AB8">
      <w:pPr>
        <w:pStyle w:val="11"/>
        <w:kinsoku w:val="0"/>
        <w:overflowPunct w:val="0"/>
        <w:spacing w:before="8"/>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173EAABE">
      <w:pPr>
        <w:spacing w:line="360" w:lineRule="auto"/>
        <w:ind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1. </w:t>
      </w:r>
      <w:r>
        <w:rPr>
          <w:rFonts w:hint="eastAsia" w:ascii="Times New Roman" w:hAnsi="Times New Roman"/>
          <w:color w:val="000000" w:themeColor="text1"/>
          <w:szCs w:val="21"/>
          <w:highlight w:val="none"/>
          <w14:textFill>
            <w14:solidFill>
              <w14:schemeClr w14:val="tx1"/>
            </w14:solidFill>
          </w14:textFill>
        </w:rPr>
        <w:t>监理人自备的工作手册：</w:t>
      </w:r>
      <w:r>
        <w:rPr>
          <w:rFonts w:hint="eastAsia" w:ascii="宋体" w:hAnsi="宋体"/>
          <w:color w:val="000000" w:themeColor="text1"/>
          <w:szCs w:val="21"/>
          <w:highlight w:val="none"/>
          <w:u w:val="single"/>
          <w14:textFill>
            <w14:solidFill>
              <w14:schemeClr w14:val="tx1"/>
            </w14:solidFill>
          </w14:textFill>
        </w:rPr>
        <w:t>本项目必备的规范标准、图集等。</w:t>
      </w:r>
    </w:p>
    <w:p w14:paraId="1B655DD4">
      <w:pPr>
        <w:spacing w:line="360" w:lineRule="auto"/>
        <w:ind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2. </w:t>
      </w:r>
      <w:r>
        <w:rPr>
          <w:rFonts w:hint="eastAsia" w:ascii="Times New Roman" w:hAnsi="Times New Roman"/>
          <w:color w:val="000000" w:themeColor="text1"/>
          <w:szCs w:val="21"/>
          <w:highlight w:val="none"/>
          <w14:textFill>
            <w14:solidFill>
              <w14:schemeClr w14:val="tx1"/>
            </w14:solidFill>
          </w14:textFill>
        </w:rPr>
        <w:t>监理人自备的办公设备：</w:t>
      </w:r>
      <w:r>
        <w:rPr>
          <w:rFonts w:hint="eastAsia" w:ascii="宋体" w:hAnsi="宋体"/>
          <w:color w:val="000000" w:themeColor="text1"/>
          <w:szCs w:val="21"/>
          <w:highlight w:val="none"/>
          <w:u w:val="single"/>
          <w14:textFill>
            <w14:solidFill>
              <w14:schemeClr w14:val="tx1"/>
            </w14:solidFill>
          </w14:textFill>
        </w:rPr>
        <w:t>电脑、软件、投影、打印机、复印机、照相机等。</w:t>
      </w:r>
    </w:p>
    <w:p w14:paraId="3BFBC55F">
      <w:pPr>
        <w:spacing w:line="360" w:lineRule="auto"/>
        <w:ind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3. </w:t>
      </w:r>
      <w:r>
        <w:rPr>
          <w:rFonts w:hint="eastAsia" w:ascii="Times New Roman" w:hAnsi="Times New Roman"/>
          <w:color w:val="000000" w:themeColor="text1"/>
          <w:szCs w:val="21"/>
          <w:highlight w:val="none"/>
          <w14:textFill>
            <w14:solidFill>
              <w14:schemeClr w14:val="tx1"/>
            </w14:solidFill>
          </w14:textFill>
        </w:rPr>
        <w:t>监理人自备的交通工具：</w:t>
      </w:r>
      <w:r>
        <w:rPr>
          <w:rFonts w:hint="eastAsia" w:ascii="宋体" w:hAnsi="宋体"/>
          <w:color w:val="000000" w:themeColor="text1"/>
          <w:szCs w:val="21"/>
          <w:highlight w:val="none"/>
          <w:u w:val="single"/>
          <w14:textFill>
            <w14:solidFill>
              <w14:schemeClr w14:val="tx1"/>
            </w14:solidFill>
          </w14:textFill>
        </w:rPr>
        <w:t>出行车辆等。</w:t>
      </w:r>
    </w:p>
    <w:p w14:paraId="4ECA52DF">
      <w:pPr>
        <w:spacing w:line="360" w:lineRule="auto"/>
        <w:ind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4. </w:t>
      </w:r>
      <w:r>
        <w:rPr>
          <w:rFonts w:hint="eastAsia" w:ascii="Times New Roman" w:hAnsi="Times New Roman"/>
          <w:color w:val="000000" w:themeColor="text1"/>
          <w:szCs w:val="21"/>
          <w:highlight w:val="none"/>
          <w14:textFill>
            <w14:solidFill>
              <w14:schemeClr w14:val="tx1"/>
            </w14:solidFill>
          </w14:textFill>
        </w:rPr>
        <w:t>监理人自备的现场办公设施：</w:t>
      </w:r>
      <w:r>
        <w:rPr>
          <w:rFonts w:hint="eastAsia" w:ascii="宋体" w:hAnsi="宋体"/>
          <w:color w:val="000000" w:themeColor="text1"/>
          <w:szCs w:val="21"/>
          <w:highlight w:val="none"/>
          <w:u w:val="single"/>
          <w14:textFill>
            <w14:solidFill>
              <w14:schemeClr w14:val="tx1"/>
            </w14:solidFill>
          </w14:textFill>
        </w:rPr>
        <w:t>办公桌椅、文件柜等。</w:t>
      </w:r>
    </w:p>
    <w:p w14:paraId="36E7EC43">
      <w:pPr>
        <w:spacing w:line="360" w:lineRule="auto"/>
        <w:ind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5. </w:t>
      </w:r>
      <w:r>
        <w:rPr>
          <w:rFonts w:hint="eastAsia" w:ascii="Times New Roman" w:hAnsi="Times New Roman"/>
          <w:color w:val="000000" w:themeColor="text1"/>
          <w:szCs w:val="21"/>
          <w:highlight w:val="none"/>
          <w14:textFill>
            <w14:solidFill>
              <w14:schemeClr w14:val="tx1"/>
            </w14:solidFill>
          </w14:textFill>
        </w:rPr>
        <w:t>监理人自备的安全设施：</w:t>
      </w:r>
      <w:r>
        <w:rPr>
          <w:rFonts w:hint="eastAsia" w:ascii="宋体" w:hAnsi="宋体"/>
          <w:color w:val="000000" w:themeColor="text1"/>
          <w:szCs w:val="21"/>
          <w:highlight w:val="none"/>
          <w:u w:val="single"/>
          <w14:textFill>
            <w14:solidFill>
              <w14:schemeClr w14:val="tx1"/>
            </w14:solidFill>
          </w14:textFill>
        </w:rPr>
        <w:t>安全帽、安全鞋、手电筒等。</w:t>
      </w:r>
    </w:p>
    <w:p w14:paraId="73A42AC4">
      <w:pPr>
        <w:spacing w:line="360" w:lineRule="auto"/>
        <w:ind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6. </w:t>
      </w:r>
      <w:r>
        <w:rPr>
          <w:rFonts w:hint="eastAsia" w:ascii="Times New Roman" w:hAnsi="Times New Roman"/>
          <w:color w:val="000000" w:themeColor="text1"/>
          <w:szCs w:val="21"/>
          <w:highlight w:val="none"/>
          <w14:textFill>
            <w14:solidFill>
              <w14:schemeClr w14:val="tx1"/>
            </w14:solidFill>
          </w14:textFill>
        </w:rPr>
        <w:t>监理人自备的试验检测仪器、设备、工具</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满足本项目监理服务要求。</w:t>
      </w:r>
    </w:p>
    <w:p w14:paraId="7955D35E">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7. 监理人自备的试验用房、样品用房：</w:t>
      </w:r>
      <w:r>
        <w:rPr>
          <w:rFonts w:hint="eastAsia" w:ascii="Times New Roman" w:hAnsi="Times New Roman" w:eastAsia="宋体" w:cs="Times New Roman"/>
          <w:color w:val="000000" w:themeColor="text1"/>
          <w:sz w:val="24"/>
          <w:szCs w:val="21"/>
          <w:highlight w:val="none"/>
          <w:u w:val="single"/>
          <w14:textFill>
            <w14:solidFill>
              <w14:schemeClr w14:val="tx1"/>
            </w14:solidFill>
          </w14:textFill>
        </w:rPr>
        <w:t>监理人根据现场实际情况自行准备。</w:t>
      </w:r>
    </w:p>
    <w:p w14:paraId="21A7DD1C">
      <w:pPr>
        <w:pStyle w:val="5"/>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98" w:name="bookmark172"/>
      <w:bookmarkEnd w:id="198"/>
      <w:bookmarkStart w:id="199" w:name="_Toc2727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七、委托人的其他要求</w:t>
      </w:r>
      <w:bookmarkEnd w:id="199"/>
    </w:p>
    <w:p w14:paraId="2FF414AA">
      <w:pPr>
        <w:pStyle w:val="11"/>
        <w:kinsoku w:val="0"/>
        <w:overflowPunct w:val="0"/>
        <w:spacing w:before="8"/>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6990D7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其他要求详见监理合同。</w:t>
      </w:r>
    </w:p>
    <w:p w14:paraId="152AECA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1B73E90B">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bookmarkStart w:id="200" w:name="bookmark173"/>
      <w:bookmarkEnd w:id="200"/>
      <w:bookmarkStart w:id="201" w:name="_Toc9855"/>
      <w: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t>第三卷</w:t>
      </w:r>
      <w:bookmarkEnd w:id="201"/>
    </w:p>
    <w:p w14:paraId="0245345E">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7A298559">
      <w:pPr>
        <w:pStyle w:val="4"/>
        <w:outlineLvl w:val="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bookmarkStart w:id="202" w:name="bookmark174"/>
      <w:bookmarkEnd w:id="202"/>
      <w:bookmarkStart w:id="203" w:name="_Toc1895"/>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第六章</w:t>
      </w:r>
      <w:r>
        <w:rPr>
          <w:rFonts w:hint="eastAsia" w:asciiTheme="minorEastAsia" w:hAnsiTheme="minorEastAsia" w:eastAsiaTheme="minorEastAsia" w:cstheme="minorEastAsia"/>
          <w:color w:val="000000" w:themeColor="text1"/>
          <w:sz w:val="4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t>投标文件格式</w:t>
      </w:r>
      <w:bookmarkEnd w:id="203"/>
    </w:p>
    <w:p w14:paraId="348E05D2">
      <w:pPr>
        <w:pStyle w:val="4"/>
        <w:outlineLvl w:val="9"/>
        <w:rPr>
          <w:rFonts w:hint="eastAsia" w:asciiTheme="minorEastAsia" w:hAnsiTheme="minorEastAsia" w:eastAsiaTheme="minorEastAsia" w:cstheme="minorEastAsia"/>
          <w:color w:val="000000" w:themeColor="text1"/>
          <w:sz w:val="30"/>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41CAFB74">
      <w:pPr>
        <w:pStyle w:val="11"/>
        <w:kinsoku w:val="0"/>
        <w:overflowPunct w:val="0"/>
        <w:ind w:left="0"/>
        <w:rPr>
          <w:rFonts w:hint="eastAsia" w:asciiTheme="minorEastAsia" w:hAnsiTheme="minorEastAsia" w:eastAsiaTheme="minorEastAsia" w:cstheme="minorEastAsia"/>
          <w:b/>
          <w:color w:val="000000" w:themeColor="text1"/>
          <w:sz w:val="20"/>
          <w:szCs w:val="24"/>
          <w:highlight w:val="none"/>
          <w14:textFill>
            <w14:solidFill>
              <w14:schemeClr w14:val="tx1"/>
            </w14:solidFill>
          </w14:textFill>
        </w:rPr>
      </w:pPr>
    </w:p>
    <w:p w14:paraId="71C5B77A">
      <w:pPr>
        <w:pStyle w:val="11"/>
        <w:kinsoku w:val="0"/>
        <w:overflowPunct w:val="0"/>
        <w:ind w:left="0"/>
        <w:rPr>
          <w:rFonts w:hint="eastAsia" w:asciiTheme="minorEastAsia" w:hAnsiTheme="minorEastAsia" w:eastAsiaTheme="minorEastAsia" w:cstheme="minorEastAsia"/>
          <w:b/>
          <w:color w:val="000000" w:themeColor="text1"/>
          <w:sz w:val="20"/>
          <w:szCs w:val="24"/>
          <w:highlight w:val="none"/>
          <w14:textFill>
            <w14:solidFill>
              <w14:schemeClr w14:val="tx1"/>
            </w14:solidFill>
          </w14:textFill>
        </w:rPr>
      </w:pPr>
    </w:p>
    <w:p w14:paraId="5AE8C5B7">
      <w:pPr>
        <w:pStyle w:val="11"/>
        <w:kinsoku w:val="0"/>
        <w:overflowPunct w:val="0"/>
        <w:spacing w:before="1"/>
        <w:ind w:left="0"/>
        <w:rPr>
          <w:rFonts w:hint="eastAsia" w:asciiTheme="minorEastAsia" w:hAnsiTheme="minorEastAsia" w:eastAsiaTheme="minorEastAsia" w:cstheme="minorEastAsia"/>
          <w:b/>
          <w:color w:val="000000" w:themeColor="text1"/>
          <w:sz w:val="22"/>
          <w:szCs w:val="24"/>
          <w:highlight w:val="none"/>
          <w14:textFill>
            <w14:solidFill>
              <w14:schemeClr w14:val="tx1"/>
            </w14:solidFill>
          </w14:textFill>
        </w:rPr>
      </w:pPr>
    </w:p>
    <w:p w14:paraId="5575F8AC">
      <w:pPr>
        <w:jc w:val="center"/>
        <w:rPr>
          <w:rFonts w:hint="eastAsia" w:asciiTheme="minorEastAsia" w:hAnsiTheme="minorEastAsia" w:eastAsiaTheme="minorEastAsia" w:cstheme="minorEastAsia"/>
          <w:color w:val="000000" w:themeColor="text1"/>
          <w:sz w:val="36"/>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36"/>
          <w:szCs w:val="24"/>
          <w:highlight w:val="none"/>
          <w:lang w:val="en-US" w:eastAsia="zh-CN"/>
          <w14:textFill>
            <w14:solidFill>
              <w14:schemeClr w14:val="tx1"/>
            </w14:solidFill>
          </w14:textFill>
        </w:rPr>
        <w:t xml:space="preserve"> </w:t>
      </w:r>
    </w:p>
    <w:p w14:paraId="2797A5AD">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6E0BABC">
      <w:pPr>
        <w:pStyle w:val="11"/>
        <w:kinsoku w:val="0"/>
        <w:overflowPunct w:val="0"/>
        <w:spacing w:before="9"/>
        <w:ind w:left="0"/>
        <w:rPr>
          <w:rFonts w:hint="eastAsia" w:asciiTheme="minorEastAsia" w:hAnsiTheme="minorEastAsia" w:eastAsiaTheme="minorEastAsia" w:cstheme="minorEastAsia"/>
          <w:color w:val="000000" w:themeColor="text1"/>
          <w:sz w:val="15"/>
          <w:szCs w:val="24"/>
          <w:highlight w:val="none"/>
          <w14:textFill>
            <w14:solidFill>
              <w14:schemeClr w14:val="tx1"/>
            </w14:solidFill>
          </w14:textFill>
        </w:rPr>
      </w:pPr>
    </w:p>
    <w:p w14:paraId="40E256BB">
      <w:pPr>
        <w:pStyle w:val="11"/>
        <w:kinsoku w:val="0"/>
        <w:overflowPunct w:val="0"/>
        <w:spacing w:line="539" w:lineRule="exact"/>
        <w:ind w:left="3" w:right="1"/>
        <w:jc w:val="cente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77FF0135">
      <w:pPr>
        <w:pStyle w:val="11"/>
        <w:kinsoku w:val="0"/>
        <w:overflowPunct w:val="0"/>
        <w:spacing w:line="539" w:lineRule="exact"/>
        <w:ind w:left="3" w:right="1"/>
        <w:jc w:val="cente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6AD81212">
      <w:pPr>
        <w:pStyle w:val="11"/>
        <w:kinsoku w:val="0"/>
        <w:overflowPunct w:val="0"/>
        <w:ind w:left="0"/>
        <w:jc w:val="center"/>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84"/>
          <w:szCs w:val="84"/>
          <w:highlight w:val="none"/>
          <w14:textFill>
            <w14:solidFill>
              <w14:schemeClr w14:val="tx1"/>
            </w14:solidFill>
          </w14:textFill>
        </w:rPr>
        <w:t>投标文件</w:t>
      </w:r>
    </w:p>
    <w:p w14:paraId="3803163E">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223BA142">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3FAE5C59">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50F15C27">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22C766B7">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1EC776B3">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6BD2585C">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347A0D57">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09C39CAF">
      <w:pPr>
        <w:pStyle w:val="11"/>
        <w:kinsoku w:val="0"/>
        <w:overflowPunct w:val="0"/>
        <w:ind w:left="0"/>
        <w:rPr>
          <w:rFonts w:hint="eastAsia" w:asciiTheme="minorEastAsia" w:hAnsiTheme="minorEastAsia" w:eastAsiaTheme="minorEastAsia" w:cstheme="minorEastAsia"/>
          <w:color w:val="000000" w:themeColor="text1"/>
          <w:sz w:val="44"/>
          <w:szCs w:val="24"/>
          <w:highlight w:val="none"/>
          <w14:textFill>
            <w14:solidFill>
              <w14:schemeClr w14:val="tx1"/>
            </w14:solidFill>
          </w14:textFill>
        </w:rPr>
      </w:pPr>
    </w:p>
    <w:p w14:paraId="20CE3C70">
      <w:pPr>
        <w:pStyle w:val="11"/>
        <w:kinsoku w:val="0"/>
        <w:overflowPunct w:val="0"/>
        <w:spacing w:before="3"/>
        <w:ind w:left="0"/>
        <w:rPr>
          <w:rFonts w:hint="eastAsia" w:asciiTheme="minorEastAsia" w:hAnsiTheme="minorEastAsia" w:eastAsiaTheme="minorEastAsia" w:cstheme="minorEastAsia"/>
          <w:color w:val="000000" w:themeColor="text1"/>
          <w:sz w:val="41"/>
          <w:szCs w:val="24"/>
          <w:highlight w:val="none"/>
          <w14:textFill>
            <w14:solidFill>
              <w14:schemeClr w14:val="tx1"/>
            </w14:solidFill>
          </w14:textFill>
        </w:rPr>
      </w:pPr>
    </w:p>
    <w:p w14:paraId="3684A897">
      <w:pPr>
        <w:pStyle w:val="11"/>
        <w:tabs>
          <w:tab w:val="left" w:pos="5577"/>
          <w:tab w:val="left" w:pos="6942"/>
        </w:tabs>
        <w:kinsoku w:val="0"/>
        <w:overflowPunct w:val="0"/>
        <w:spacing w:line="357" w:lineRule="auto"/>
        <w:ind w:left="1201" w:right="175"/>
        <w:rPr>
          <w:rFonts w:hint="eastAsia" w:asciiTheme="minorEastAsia" w:hAnsiTheme="minorEastAsia" w:eastAsiaTheme="minorEastAsia" w:cstheme="minorEastAsia"/>
          <w:color w:val="000000" w:themeColor="text1"/>
          <w:spacing w:val="-1"/>
          <w:sz w:val="28"/>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z w:val="28"/>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8"/>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sz w:val="28"/>
          <w:szCs w:val="24"/>
          <w:highlight w:val="none"/>
          <w14:textFill>
            <w14:solidFill>
              <w14:schemeClr w14:val="tx1"/>
            </w14:solidFill>
          </w14:textFill>
        </w:rPr>
        <w:t>（盖单位章）</w:t>
      </w:r>
      <w:r>
        <w:rPr>
          <w:rFonts w:hint="eastAsia" w:asciiTheme="minorEastAsia" w:hAnsiTheme="minorEastAsia" w:eastAsiaTheme="minorEastAsia" w:cstheme="minorEastAsia"/>
          <w:color w:val="000000" w:themeColor="text1"/>
          <w:spacing w:val="-136"/>
          <w:sz w:val="28"/>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pacing w:val="-1"/>
          <w:sz w:val="28"/>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sz w:val="28"/>
          <w:szCs w:val="24"/>
          <w:highlight w:val="none"/>
          <w14:textFill>
            <w14:solidFill>
              <w14:schemeClr w14:val="tx1"/>
            </w14:solidFill>
          </w14:textFill>
        </w:rPr>
        <w:t>（签字）</w:t>
      </w:r>
    </w:p>
    <w:p w14:paraId="46DDF425">
      <w:pPr>
        <w:pStyle w:val="11"/>
        <w:kinsoku w:val="0"/>
        <w:overflowPunct w:val="0"/>
        <w:spacing w:before="10"/>
        <w:ind w:left="0"/>
        <w:rPr>
          <w:rFonts w:hint="eastAsia" w:asciiTheme="minorEastAsia" w:hAnsiTheme="minorEastAsia" w:eastAsiaTheme="minorEastAsia" w:cstheme="minorEastAsia"/>
          <w:color w:val="000000" w:themeColor="text1"/>
          <w:sz w:val="29"/>
          <w:szCs w:val="24"/>
          <w:highlight w:val="none"/>
          <w14:textFill>
            <w14:solidFill>
              <w14:schemeClr w14:val="tx1"/>
            </w14:solidFill>
          </w14:textFill>
        </w:rPr>
      </w:pPr>
    </w:p>
    <w:p w14:paraId="41F86F71">
      <w:pPr>
        <w:pStyle w:val="11"/>
        <w:tabs>
          <w:tab w:val="left" w:pos="3611"/>
          <w:tab w:val="left" w:pos="4626"/>
          <w:tab w:val="left" w:pos="5642"/>
        </w:tabs>
        <w:kinsoku w:val="0"/>
        <w:overflowPunct w:val="0"/>
        <w:spacing w:before="14"/>
        <w:ind w:left="2877" w:right="175"/>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日</w:t>
      </w:r>
    </w:p>
    <w:p w14:paraId="51B21D20">
      <w:pPr>
        <w:pStyle w:val="11"/>
        <w:tabs>
          <w:tab w:val="left" w:pos="3611"/>
          <w:tab w:val="left" w:pos="4626"/>
          <w:tab w:val="left" w:pos="5642"/>
        </w:tabs>
        <w:kinsoku w:val="0"/>
        <w:overflowPunct w:val="0"/>
        <w:spacing w:before="14"/>
        <w:ind w:left="2877" w:right="175"/>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77BF653D">
      <w:pPr>
        <w:pStyle w:val="11"/>
        <w:kinsoku w:val="0"/>
        <w:overflowPunct w:val="0"/>
        <w:spacing w:line="443" w:lineRule="exact"/>
        <w:ind w:left="1244" w:right="1222"/>
        <w:jc w:val="center"/>
        <w:rPr>
          <w:rFonts w:hint="eastAsia" w:asciiTheme="minorEastAsia" w:hAnsiTheme="minorEastAsia" w:eastAsiaTheme="minorEastAsia" w:cstheme="minorEastAsia"/>
          <w:color w:val="000000" w:themeColor="text1"/>
          <w:sz w:val="32"/>
          <w:szCs w:val="24"/>
          <w:highlight w:val="none"/>
          <w14:textFill>
            <w14:solidFill>
              <w14:schemeClr w14:val="tx1"/>
            </w14:solidFill>
          </w14:textFill>
        </w:rPr>
      </w:pPr>
      <w:bookmarkStart w:id="204" w:name="bookmark175"/>
      <w:bookmarkEnd w:id="204"/>
      <w:r>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t>目录</w:t>
      </w:r>
    </w:p>
    <w:p w14:paraId="5F1084CC">
      <w:pPr>
        <w:pStyle w:val="11"/>
        <w:kinsoku w:val="0"/>
        <w:overflowPunct w:val="0"/>
        <w:ind w:left="0"/>
        <w:rPr>
          <w:rFonts w:hint="eastAsia" w:asciiTheme="minorEastAsia" w:hAnsiTheme="minorEastAsia" w:eastAsiaTheme="minorEastAsia" w:cstheme="minorEastAsia"/>
          <w:b/>
          <w:color w:val="000000" w:themeColor="text1"/>
          <w:sz w:val="20"/>
          <w:szCs w:val="24"/>
          <w:highlight w:val="none"/>
          <w14:textFill>
            <w14:solidFill>
              <w14:schemeClr w14:val="tx1"/>
            </w14:solidFill>
          </w14:textFill>
        </w:rPr>
      </w:pPr>
    </w:p>
    <w:p w14:paraId="5590B5B0">
      <w:pPr>
        <w:pStyle w:val="11"/>
        <w:kinsoku w:val="0"/>
        <w:overflowPunct w:val="0"/>
        <w:ind w:left="0"/>
        <w:rPr>
          <w:rFonts w:hint="eastAsia" w:asciiTheme="minorEastAsia" w:hAnsiTheme="minorEastAsia" w:eastAsiaTheme="minorEastAsia" w:cstheme="minorEastAsia"/>
          <w:b/>
          <w:color w:val="000000" w:themeColor="text1"/>
          <w:sz w:val="20"/>
          <w:szCs w:val="24"/>
          <w:highlight w:val="none"/>
          <w14:textFill>
            <w14:solidFill>
              <w14:schemeClr w14:val="tx1"/>
            </w14:solidFill>
          </w14:textFill>
        </w:rPr>
      </w:pPr>
    </w:p>
    <w:p w14:paraId="429DB9B7">
      <w:pPr>
        <w:pStyle w:val="11"/>
        <w:kinsoku w:val="0"/>
        <w:overflowPunct w:val="0"/>
        <w:ind w:left="0"/>
        <w:rPr>
          <w:rFonts w:hint="eastAsia" w:asciiTheme="minorEastAsia" w:hAnsiTheme="minorEastAsia" w:eastAsiaTheme="minorEastAsia" w:cstheme="minorEastAsia"/>
          <w:b/>
          <w:color w:val="000000" w:themeColor="text1"/>
          <w:sz w:val="20"/>
          <w:szCs w:val="24"/>
          <w:highlight w:val="none"/>
          <w14:textFill>
            <w14:solidFill>
              <w14:schemeClr w14:val="tx1"/>
            </w14:solidFill>
          </w14:textFill>
        </w:rPr>
      </w:pPr>
    </w:p>
    <w:p w14:paraId="79867C5B">
      <w:pPr>
        <w:pStyle w:val="11"/>
        <w:kinsoku w:val="0"/>
        <w:overflowPunct w:val="0"/>
        <w:spacing w:before="6"/>
        <w:ind w:left="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D1847FC">
      <w:pPr>
        <w:pStyle w:val="11"/>
        <w:numPr>
          <w:ilvl w:val="0"/>
          <w:numId w:val="0"/>
        </w:numPr>
        <w:kinsoku w:val="0"/>
        <w:overflowPunct w:val="0"/>
        <w:spacing w:before="36" w:line="472" w:lineRule="auto"/>
        <w:ind w:left="0" w:right="26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投标函及投标函附录</w:t>
      </w:r>
    </w:p>
    <w:p w14:paraId="06A22B01">
      <w:pPr>
        <w:pStyle w:val="11"/>
        <w:numPr>
          <w:ilvl w:val="0"/>
          <w:numId w:val="0"/>
        </w:numPr>
        <w:kinsoku w:val="0"/>
        <w:overflowPunct w:val="0"/>
        <w:spacing w:before="36" w:line="472" w:lineRule="auto"/>
        <w:ind w:left="0" w:right="26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二、法定代表人身份证明</w:t>
      </w:r>
    </w:p>
    <w:p w14:paraId="01B2F231">
      <w:pPr>
        <w:pStyle w:val="11"/>
        <w:numPr>
          <w:ilvl w:val="0"/>
          <w:numId w:val="0"/>
        </w:numPr>
        <w:kinsoku w:val="0"/>
        <w:overflowPunct w:val="0"/>
        <w:spacing w:before="36" w:line="472" w:lineRule="auto"/>
        <w:ind w:left="0" w:right="26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二、授权委托书（适用于有委托代理人的情况）</w:t>
      </w:r>
    </w:p>
    <w:p w14:paraId="7186D343">
      <w:pPr>
        <w:pStyle w:val="11"/>
        <w:numPr>
          <w:ilvl w:val="0"/>
          <w:numId w:val="0"/>
        </w:numPr>
        <w:kinsoku w:val="0"/>
        <w:overflowPunct w:val="0"/>
        <w:spacing w:before="61" w:line="472" w:lineRule="auto"/>
        <w:ind w:left="0" w:right="62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、监理报酬清单</w:t>
      </w:r>
    </w:p>
    <w:p w14:paraId="5C8F5BAD">
      <w:pPr>
        <w:pStyle w:val="11"/>
        <w:numPr>
          <w:ilvl w:val="0"/>
          <w:numId w:val="0"/>
        </w:numPr>
        <w:kinsoku w:val="0"/>
        <w:overflowPunct w:val="0"/>
        <w:spacing w:before="61" w:line="472" w:lineRule="auto"/>
        <w:ind w:left="0" w:right="62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0"/>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、资格审查资料</w:t>
      </w:r>
    </w:p>
    <w:p w14:paraId="66E3EAFD">
      <w:pPr>
        <w:pStyle w:val="11"/>
        <w:numPr>
          <w:ilvl w:val="0"/>
          <w:numId w:val="0"/>
        </w:numPr>
        <w:kinsoku w:val="0"/>
        <w:overflowPunct w:val="0"/>
        <w:spacing w:before="61" w:line="472" w:lineRule="auto"/>
        <w:ind w:left="0" w:right="62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0"/>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、资信业绩资料</w:t>
      </w:r>
    </w:p>
    <w:p w14:paraId="0DD51851">
      <w:pPr>
        <w:pStyle w:val="11"/>
        <w:numPr>
          <w:ilvl w:val="0"/>
          <w:numId w:val="0"/>
        </w:numPr>
        <w:kinsoku w:val="0"/>
        <w:overflowPunct w:val="0"/>
        <w:spacing w:before="61" w:line="472" w:lineRule="auto"/>
        <w:ind w:left="0" w:right="62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监理大纲 </w:t>
      </w:r>
    </w:p>
    <w:p w14:paraId="2E05C8F2">
      <w:pPr>
        <w:pStyle w:val="11"/>
        <w:numPr>
          <w:ilvl w:val="0"/>
          <w:numId w:val="0"/>
        </w:numPr>
        <w:kinsoku w:val="0"/>
        <w:overflowPunct w:val="0"/>
        <w:spacing w:before="61" w:line="472" w:lineRule="auto"/>
        <w:ind w:left="0" w:right="62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、其他资料</w:t>
      </w:r>
    </w:p>
    <w:p w14:paraId="51E64B6C">
      <w:pPr>
        <w:pStyle w:val="11"/>
        <w:kinsoku w:val="0"/>
        <w:overflowPunct w:val="0"/>
        <w:spacing w:before="61" w:line="472" w:lineRule="auto"/>
        <w:ind w:left="100" w:right="62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5FB1F2A9">
      <w:pPr>
        <w:pStyle w:val="5"/>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bookmarkStart w:id="205" w:name="bookmark176"/>
      <w:bookmarkEnd w:id="205"/>
      <w:bookmarkStart w:id="206" w:name="_Toc6180"/>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一、投标函及投标函附录</w:t>
      </w:r>
      <w:bookmarkEnd w:id="206"/>
    </w:p>
    <w:p w14:paraId="608E2157">
      <w:pPr>
        <w:pStyle w:val="6"/>
        <w:outlineLvl w:val="2"/>
        <w:rPr>
          <w:rFonts w:hint="eastAsia" w:asciiTheme="minorEastAsia" w:hAnsiTheme="minorEastAsia" w:eastAsiaTheme="minorEastAsia" w:cstheme="minorEastAsia"/>
          <w:b/>
          <w:color w:val="000000" w:themeColor="text1"/>
          <w:sz w:val="28"/>
          <w:szCs w:val="24"/>
          <w:highlight w:val="none"/>
          <w14:textFill>
            <w14:solidFill>
              <w14:schemeClr w14:val="tx1"/>
            </w14:solidFill>
          </w14:textFill>
        </w:rPr>
      </w:pPr>
      <w:bookmarkStart w:id="207" w:name="bookmark177"/>
      <w:bookmarkEnd w:id="207"/>
      <w:bookmarkStart w:id="208" w:name="_Toc13758"/>
      <w:r>
        <w:rPr>
          <w:rFonts w:hint="eastAsia" w:asciiTheme="minorEastAsia" w:hAnsiTheme="minorEastAsia" w:eastAsiaTheme="minorEastAsia" w:cstheme="minorEastAsia"/>
          <w:b/>
          <w:color w:val="000000" w:themeColor="text1"/>
          <w:sz w:val="28"/>
          <w:szCs w:val="24"/>
          <w:highlight w:val="none"/>
          <w14:textFill>
            <w14:solidFill>
              <w14:schemeClr w14:val="tx1"/>
            </w14:solidFill>
          </w14:textFill>
        </w:rPr>
        <w:t>（一）投标函</w:t>
      </w:r>
      <w:bookmarkEnd w:id="208"/>
    </w:p>
    <w:p w14:paraId="1BF6AD3E">
      <w:pPr>
        <w:pStyle w:val="11"/>
        <w:kinsoku w:val="0"/>
        <w:overflowPunct w:val="0"/>
        <w:spacing w:before="1"/>
        <w:ind w:left="0"/>
        <w:rPr>
          <w:rFonts w:hint="eastAsia" w:asciiTheme="minorEastAsia" w:hAnsiTheme="minorEastAsia" w:eastAsiaTheme="minorEastAsia" w:cstheme="minorEastAsia"/>
          <w:color w:val="000000" w:themeColor="text1"/>
          <w:sz w:val="23"/>
          <w:szCs w:val="24"/>
          <w:highlight w:val="none"/>
          <w14:textFill>
            <w14:solidFill>
              <w14:schemeClr w14:val="tx1"/>
            </w14:solidFill>
          </w14:textFill>
        </w:rPr>
      </w:pPr>
    </w:p>
    <w:p w14:paraId="548D99D8">
      <w:pPr>
        <w:pStyle w:val="11"/>
        <w:tabs>
          <w:tab w:val="left" w:pos="1991"/>
        </w:tabs>
        <w:kinsoku w:val="0"/>
        <w:overflowPunct w:val="0"/>
        <w:ind w:left="100" w:right="113"/>
        <w:rPr>
          <w:rFonts w:hint="eastAsia" w:asciiTheme="minorEastAsia" w:hAnsiTheme="minorEastAsia" w:eastAsiaTheme="minorEastAsia" w:cstheme="minorEastAsia"/>
          <w:color w:val="000000" w:themeColor="text1"/>
          <w:spacing w:val="-15"/>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5"/>
          <w:sz w:val="21"/>
          <w:szCs w:val="24"/>
          <w:highlight w:val="none"/>
          <w14:textFill>
            <w14:solidFill>
              <w14:schemeClr w14:val="tx1"/>
            </w14:solidFill>
          </w14:textFill>
        </w:rPr>
        <w:t>（招标人名称）：</w:t>
      </w:r>
    </w:p>
    <w:p w14:paraId="5ABF3E36">
      <w:pPr>
        <w:pStyle w:val="11"/>
        <w:kinsoku w:val="0"/>
        <w:overflowPunct w:val="0"/>
        <w:spacing w:before="13"/>
        <w:ind w:lef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53D15059">
      <w:pPr>
        <w:autoSpaceDE/>
        <w:autoSpaceDN/>
        <w:adjustRightInd/>
        <w:spacing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1．我方已仔细研究了</w:t>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招标项目招标文件的全部内容， 愿意以人民币（大写）</w:t>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）的投标总报价，监理服务期限：</w:t>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日历天，按合同约定完成监理工作。</w:t>
      </w:r>
    </w:p>
    <w:p w14:paraId="27A2703E">
      <w:pPr>
        <w:autoSpaceDE/>
        <w:autoSpaceDN/>
        <w:adjustRightInd/>
        <w:spacing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 我方的投标文件包括下列内容：</w:t>
      </w:r>
    </w:p>
    <w:p w14:paraId="791D00F2">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（1）投标函及投标函附录；</w:t>
      </w:r>
    </w:p>
    <w:p w14:paraId="65A2489F">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（2）法定代表人身份证明</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或附有法定代表人身份证明的授权委托书</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w:t>
      </w:r>
    </w:p>
    <w:p w14:paraId="68DCCB44">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（3）监理报酬清单；</w:t>
      </w:r>
    </w:p>
    <w:p w14:paraId="0840D7E2">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（4）资格审查资料；</w:t>
      </w:r>
    </w:p>
    <w:p w14:paraId="538146B3">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（5）资信业绩资料；</w:t>
      </w:r>
    </w:p>
    <w:p w14:paraId="7393C116">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（6）监理大纲；</w:t>
      </w:r>
    </w:p>
    <w:p w14:paraId="58A799FF">
      <w:pPr>
        <w:autoSpaceDE/>
        <w:autoSpaceDN/>
        <w:adjustRightInd/>
        <w:spacing w:line="360" w:lineRule="auto"/>
        <w:ind w:left="585" w:leftChars="200" w:hanging="105" w:hangingChars="5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（7）其他资料。</w:t>
      </w:r>
    </w:p>
    <w:p w14:paraId="237938E8">
      <w:pPr>
        <w:pStyle w:val="11"/>
        <w:kinsoku w:val="0"/>
        <w:overflowPunct w:val="0"/>
        <w:spacing w:line="360" w:lineRule="auto"/>
        <w:ind w:left="522" w:right="2132" w:hanging="17"/>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4"/>
          <w:highlight w:val="none"/>
          <w14:textFill>
            <w14:solidFill>
              <w14:schemeClr w14:val="tx1"/>
            </w14:solidFill>
          </w14:textFill>
        </w:rPr>
        <w:t>投标文件的上述组成部分如存在内容不一致的，以投标函为准。</w:t>
      </w:r>
    </w:p>
    <w:p w14:paraId="57053258">
      <w:pPr>
        <w:autoSpaceDE/>
        <w:autoSpaceDN/>
        <w:adjustRightInd/>
        <w:spacing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3．我方承诺在招标文件规定的投标有效期内不撤销投标文件。</w:t>
      </w:r>
    </w:p>
    <w:p w14:paraId="747A1305">
      <w:pPr>
        <w:autoSpaceDE/>
        <w:autoSpaceDN/>
        <w:adjustRightInd/>
        <w:spacing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4．如我方中标，我方承诺：</w:t>
      </w:r>
    </w:p>
    <w:p w14:paraId="26DD2C8D">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（1）在收到中标通知书后，在中标通知书规定的期限内与你方签订合同；</w:t>
      </w:r>
    </w:p>
    <w:p w14:paraId="5105E4D1">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（2）在签订合同时不向你方提出附加条件；</w:t>
      </w:r>
    </w:p>
    <w:p w14:paraId="63DA6ACA">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（3）按照招标文件要求提交履约保证金；</w:t>
      </w:r>
    </w:p>
    <w:p w14:paraId="4F788547">
      <w:pPr>
        <w:autoSpaceDE/>
        <w:autoSpaceDN/>
        <w:adjustRightInd/>
        <w:spacing w:line="360" w:lineRule="auto"/>
        <w:ind w:left="585" w:leftChars="200" w:hanging="105" w:hangingChars="5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（4）在合同约定的期限内完成合同规定的全部义务。</w:t>
      </w:r>
    </w:p>
    <w:p w14:paraId="3A28E2AD">
      <w:pPr>
        <w:autoSpaceDE/>
        <w:autoSpaceDN/>
        <w:adjustRightInd/>
        <w:spacing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5．我方在此声明，所递交的投标文件及有关资料内容完整、真实和准确，且不存在第二章 “投标人须知”第 1.4.3 项规定的任何一种情形。</w:t>
      </w:r>
    </w:p>
    <w:p w14:paraId="16CC1AEE">
      <w:pPr>
        <w:autoSpaceDE/>
        <w:autoSpaceDN/>
        <w:adjustRightInd/>
        <w:spacing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u w:val="single"/>
          <w:lang w:val="en-US" w:eastAsia="zh-CN"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（其他补充说明）。</w:t>
      </w:r>
    </w:p>
    <w:p w14:paraId="7733016E">
      <w:pPr>
        <w:pStyle w:val="11"/>
        <w:tabs>
          <w:tab w:val="left" w:pos="7241"/>
        </w:tabs>
        <w:kinsoku w:val="0"/>
        <w:overflowPunct w:val="0"/>
        <w:spacing w:before="36" w:line="360" w:lineRule="auto"/>
        <w:ind w:left="2621" w:right="113" w:firstLine="1260" w:firstLineChars="60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14:paraId="3B551F98">
      <w:pPr>
        <w:pStyle w:val="11"/>
        <w:tabs>
          <w:tab w:val="left" w:pos="7241"/>
        </w:tabs>
        <w:kinsoku w:val="0"/>
        <w:overflowPunct w:val="0"/>
        <w:spacing w:before="36" w:line="360" w:lineRule="auto"/>
        <w:ind w:left="2621" w:right="113" w:firstLine="1260" w:firstLineChars="60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 标</w:t>
      </w:r>
      <w:r>
        <w:rPr>
          <w:rFonts w:hint="eastAsia" w:asciiTheme="minorEastAsia" w:hAnsiTheme="minorEastAsia" w:eastAsiaTheme="minorEastAsia" w:cstheme="minorEastAsia"/>
          <w:color w:val="000000" w:themeColor="text1"/>
          <w:spacing w:val="-1"/>
          <w:sz w:val="2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（盖单位章）</w:t>
      </w:r>
    </w:p>
    <w:p w14:paraId="7F96614F">
      <w:pPr>
        <w:widowControl/>
        <w:kinsoku w:val="0"/>
        <w:snapToGrid w:val="0"/>
        <w:spacing w:line="360" w:lineRule="auto"/>
        <w:ind w:left="3840" w:leftChars="1600" w:right="253"/>
        <w:textAlignment w:val="baseline"/>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法定</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代表人</w:t>
      </w:r>
      <w:r>
        <w:rPr>
          <w:rFonts w:hint="eastAsia" w:asciiTheme="minorEastAsia" w:hAnsiTheme="minorEastAsia" w:eastAsiaTheme="minorEastAsia" w:cstheme="minorEastAsia"/>
          <w:color w:val="000000" w:themeColor="text1"/>
          <w:spacing w:val="-4"/>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pacing w:val="-4"/>
          <w:sz w:val="21"/>
          <w:szCs w:val="21"/>
          <w:highlight w:val="none"/>
          <w:lang w:eastAsia="zh-CN"/>
          <w14:textFill>
            <w14:solidFill>
              <w14:schemeClr w14:val="tx1"/>
            </w14:solidFill>
          </w14:textFill>
        </w:rPr>
        <w:t>或盖章</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w:t>
      </w:r>
    </w:p>
    <w:p w14:paraId="792FD303">
      <w:pPr>
        <w:widowControl/>
        <w:kinsoku w:val="0"/>
        <w:snapToGrid w:val="0"/>
        <w:spacing w:line="360" w:lineRule="auto"/>
        <w:ind w:left="3840" w:leftChars="1600" w:right="253"/>
        <w:textAlignment w:val="baseline"/>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pacing w:val="-4"/>
          <w:sz w:val="21"/>
          <w:szCs w:val="21"/>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(签字)</w:t>
      </w:r>
    </w:p>
    <w:p w14:paraId="147A4160">
      <w:pPr>
        <w:pStyle w:val="33"/>
        <w:widowControl/>
        <w:kinsoku w:val="0"/>
        <w:snapToGrid w:val="0"/>
        <w:spacing w:line="360" w:lineRule="auto"/>
        <w:ind w:left="3840" w:leftChars="1600"/>
        <w:jc w:val="left"/>
        <w:textAlignment w:val="baseline"/>
        <w:rPr>
          <w:rFonts w:hint="eastAsia" w:asciiTheme="minorEastAsia" w:hAnsiTheme="minorEastAsia" w:eastAsiaTheme="minorEastAsia" w:cstheme="minorEastAsia"/>
          <w:b w:val="0"/>
          <w:snapToGrid w:val="0"/>
          <w:color w:val="000000" w:themeColor="text1"/>
          <w:spacing w:val="-4"/>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snapToGrid w:val="0"/>
          <w:color w:val="000000" w:themeColor="text1"/>
          <w:spacing w:val="-4"/>
          <w:sz w:val="21"/>
          <w:szCs w:val="21"/>
          <w:highlight w:val="none"/>
          <w:lang w:eastAsia="zh-CN"/>
          <w14:textFill>
            <w14:solidFill>
              <w14:schemeClr w14:val="tx1"/>
            </w14:solidFill>
          </w14:textFill>
        </w:rPr>
        <w:t>项目负责人（总监理工程师）：</w:t>
      </w:r>
      <w:r>
        <w:rPr>
          <w:rFonts w:hint="eastAsia" w:asciiTheme="minorEastAsia" w:hAnsiTheme="minorEastAsia" w:eastAsiaTheme="minorEastAsia" w:cstheme="minorEastAsia"/>
          <w:color w:val="000000" w:themeColor="text1"/>
          <w:spacing w:val="-4"/>
          <w:sz w:val="21"/>
          <w:szCs w:val="21"/>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highlight w:val="none"/>
          <w:u w:val="single" w:color="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b w:val="0"/>
          <w:color w:val="000000" w:themeColor="text1"/>
          <w:spacing w:val="-4"/>
          <w:sz w:val="21"/>
          <w:szCs w:val="21"/>
          <w:highlight w:val="none"/>
          <w14:textFill>
            <w14:solidFill>
              <w14:schemeClr w14:val="tx1"/>
            </w14:solidFill>
          </w14:textFill>
        </w:rPr>
        <w:t>(签字)</w:t>
      </w:r>
    </w:p>
    <w:p w14:paraId="2CA359B3">
      <w:pPr>
        <w:pStyle w:val="11"/>
        <w:tabs>
          <w:tab w:val="left" w:pos="3232"/>
          <w:tab w:val="left" w:pos="8529"/>
        </w:tabs>
        <w:kinsoku w:val="0"/>
        <w:overflowPunct w:val="0"/>
        <w:spacing w:before="36" w:line="360" w:lineRule="auto"/>
        <w:ind w:left="2601" w:firstLine="1260" w:firstLineChars="600"/>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地</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址：</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p>
    <w:p w14:paraId="62292DA6">
      <w:pPr>
        <w:pStyle w:val="11"/>
        <w:tabs>
          <w:tab w:val="left" w:pos="3232"/>
          <w:tab w:val="left" w:pos="8529"/>
        </w:tabs>
        <w:kinsoku w:val="0"/>
        <w:overflowPunct w:val="0"/>
        <w:spacing w:before="36" w:line="360" w:lineRule="auto"/>
        <w:ind w:firstLine="3360" w:firstLineChars="1600"/>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网</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址：</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p>
    <w:p w14:paraId="3278FB07">
      <w:pPr>
        <w:pStyle w:val="11"/>
        <w:tabs>
          <w:tab w:val="left" w:pos="3232"/>
          <w:tab w:val="left" w:pos="8529"/>
        </w:tabs>
        <w:kinsoku w:val="0"/>
        <w:overflowPunct w:val="0"/>
        <w:spacing w:before="36" w:line="360" w:lineRule="auto"/>
        <w:ind w:firstLine="3360" w:firstLineChars="1600"/>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电</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话：</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p>
    <w:p w14:paraId="740E8153">
      <w:pPr>
        <w:pStyle w:val="11"/>
        <w:tabs>
          <w:tab w:val="left" w:pos="3232"/>
          <w:tab w:val="left" w:pos="8529"/>
        </w:tabs>
        <w:kinsoku w:val="0"/>
        <w:overflowPunct w:val="0"/>
        <w:spacing w:before="36" w:line="360" w:lineRule="auto"/>
        <w:ind w:firstLine="3360" w:firstLineChars="1600"/>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传</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真：</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p>
    <w:p w14:paraId="7C23D56F">
      <w:pPr>
        <w:pStyle w:val="11"/>
        <w:tabs>
          <w:tab w:val="left" w:pos="8529"/>
        </w:tabs>
        <w:kinsoku w:val="0"/>
        <w:overflowPunct w:val="0"/>
        <w:spacing w:before="36" w:line="360" w:lineRule="auto"/>
        <w:ind w:left="2601" w:firstLine="1260" w:firstLineChars="600"/>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p>
    <w:p w14:paraId="33ECEF3D">
      <w:pPr>
        <w:pStyle w:val="11"/>
        <w:tabs>
          <w:tab w:val="left" w:pos="8529"/>
        </w:tabs>
        <w:kinsoku w:val="0"/>
        <w:overflowPunct w:val="0"/>
        <w:spacing w:before="36" w:line="360" w:lineRule="auto"/>
        <w:ind w:left="2601"/>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t>日</w:t>
      </w:r>
    </w:p>
    <w:p w14:paraId="1B779DB2">
      <w:pPr>
        <w:pStyle w:val="11"/>
        <w:tabs>
          <w:tab w:val="left" w:pos="631"/>
          <w:tab w:val="left" w:pos="1471"/>
          <w:tab w:val="left" w:pos="2311"/>
        </w:tabs>
        <w:kinsoku w:val="0"/>
        <w:overflowPunct w:val="0"/>
        <w:spacing w:before="36" w:line="360" w:lineRule="auto"/>
        <w:ind w:left="0" w:right="117"/>
        <w:jc w:val="right"/>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ectPr>
          <w:footerReference r:id="rId11" w:type="default"/>
          <w:pgSz w:w="11905" w:h="16838"/>
          <w:pgMar w:top="1417" w:right="1417" w:bottom="1417" w:left="1417" w:header="992" w:footer="992" w:gutter="0"/>
          <w:lnNumType w:countBy="0" w:distance="360"/>
          <w:cols w:space="720" w:num="1"/>
        </w:sectPr>
      </w:pPr>
    </w:p>
    <w:p w14:paraId="48D47694">
      <w:pPr>
        <w:pStyle w:val="6"/>
        <w:outlineLvl w:val="2"/>
        <w:rPr>
          <w:rFonts w:hint="eastAsia" w:asciiTheme="minorEastAsia" w:hAnsiTheme="minorEastAsia" w:eastAsiaTheme="minorEastAsia" w:cstheme="minorEastAsia"/>
          <w:b/>
          <w:color w:val="000000" w:themeColor="text1"/>
          <w:sz w:val="28"/>
          <w:szCs w:val="24"/>
          <w:highlight w:val="none"/>
          <w14:textFill>
            <w14:solidFill>
              <w14:schemeClr w14:val="tx1"/>
            </w14:solidFill>
          </w14:textFill>
        </w:rPr>
      </w:pPr>
      <w:bookmarkStart w:id="209" w:name="bookmark178"/>
      <w:bookmarkEnd w:id="209"/>
      <w:bookmarkStart w:id="210" w:name="_Toc28395"/>
      <w:r>
        <w:rPr>
          <w:rFonts w:hint="eastAsia" w:asciiTheme="minorEastAsia" w:hAnsiTheme="minorEastAsia" w:eastAsiaTheme="minorEastAsia" w:cstheme="minorEastAsia"/>
          <w:b/>
          <w:color w:val="000000" w:themeColor="text1"/>
          <w:sz w:val="28"/>
          <w:szCs w:val="24"/>
          <w:highlight w:val="none"/>
          <w14:textFill>
            <w14:solidFill>
              <w14:schemeClr w14:val="tx1"/>
            </w14:solidFill>
          </w14:textFill>
        </w:rPr>
        <w:t>（二）投标函附录</w:t>
      </w:r>
      <w:bookmarkEnd w:id="210"/>
    </w:p>
    <w:p w14:paraId="5DEFD424">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7591DC17">
      <w:pPr>
        <w:pStyle w:val="11"/>
        <w:kinsoku w:val="0"/>
        <w:overflowPunct w:val="0"/>
        <w:spacing w:before="11"/>
        <w:ind w:left="0"/>
        <w:rPr>
          <w:rFonts w:hint="eastAsia" w:asciiTheme="minorEastAsia" w:hAnsiTheme="minorEastAsia" w:eastAsiaTheme="minorEastAsia" w:cstheme="minorEastAsia"/>
          <w:color w:val="000000" w:themeColor="text1"/>
          <w:sz w:val="22"/>
          <w:szCs w:val="24"/>
          <w:highlight w:val="none"/>
          <w14:textFill>
            <w14:solidFill>
              <w14:schemeClr w14:val="tx1"/>
            </w14:solidFill>
          </w14:textFill>
        </w:rPr>
      </w:pPr>
    </w:p>
    <w:tbl>
      <w:tblPr>
        <w:tblStyle w:val="20"/>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3347"/>
        <w:gridCol w:w="2229"/>
      </w:tblGrid>
      <w:tr w14:paraId="329C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0CF1248F">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43D4B5A">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条款名称</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26DD045F">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约定内容</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12F4E8E6">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备注</w:t>
            </w:r>
          </w:p>
        </w:tc>
      </w:tr>
      <w:tr w14:paraId="283F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64D70F0">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B2CAA27">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总监理工程师</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79E15E89">
            <w:pPr>
              <w:keepNext w:val="0"/>
              <w:keepLines w:val="0"/>
              <w:suppressLineNumbers w:val="0"/>
              <w:spacing w:before="0" w:beforeAutospacing="0" w:after="0" w:afterAutospacing="0"/>
              <w:ind w:left="0" w:right="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姓名：</w:t>
            </w:r>
          </w:p>
          <w:p w14:paraId="4D0ACD38">
            <w:pPr>
              <w:keepNext w:val="0"/>
              <w:keepLines w:val="0"/>
              <w:suppressLineNumbers w:val="0"/>
              <w:spacing w:before="0" w:beforeAutospacing="0" w:after="0" w:afterAutospacing="0"/>
              <w:ind w:left="0" w:right="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技术职称：</w:t>
            </w:r>
            <w:r>
              <w:rPr>
                <w:rFonts w:hint="eastAsia"/>
                <w:b/>
                <w:color w:val="000000" w:themeColor="text1"/>
                <w:highlight w:val="none"/>
                <w:u w:val="single"/>
                <w14:textFill>
                  <w14:solidFill>
                    <w14:schemeClr w14:val="tx1"/>
                  </w14:solidFill>
                </w14:textFill>
              </w:rPr>
              <w:t xml:space="preserve">                    </w:t>
            </w:r>
          </w:p>
          <w:p w14:paraId="5A329CCF">
            <w:pPr>
              <w:keepNext w:val="0"/>
              <w:keepLines w:val="0"/>
              <w:suppressLineNumbers w:val="0"/>
              <w:spacing w:before="0" w:beforeAutospacing="0" w:after="0" w:afterAutospacing="0"/>
              <w:ind w:left="0" w:right="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注册证号：</w:t>
            </w:r>
            <w:r>
              <w:rPr>
                <w:rFonts w:hint="eastAsia"/>
                <w:b/>
                <w:color w:val="000000" w:themeColor="text1"/>
                <w:highlight w:val="none"/>
                <w:u w:val="single"/>
                <w14:textFill>
                  <w14:solidFill>
                    <w14:schemeClr w14:val="tx1"/>
                  </w14:solidFill>
                </w14:textFill>
              </w:rPr>
              <w:t xml:space="preserve">                    </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F3CEB2C">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21E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47AE911F">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89BA863">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监理服务期限</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683A5322">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按招标文件要求</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7EB57C49">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4135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6166CAA4">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B367508">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质量</w:t>
            </w:r>
            <w:r>
              <w:rPr>
                <w:rFonts w:hint="eastAsia"/>
                <w:b/>
                <w:color w:val="000000" w:themeColor="text1"/>
                <w:highlight w:val="none"/>
                <w14:textFill>
                  <w14:solidFill>
                    <w14:schemeClr w14:val="tx1"/>
                  </w14:solidFill>
                </w14:textFill>
              </w:rPr>
              <w:t>标准</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38D7DF64">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按招标文件要求</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27B4FBA">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31E0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20556F52">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02F2038">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合同价款确定方式</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2504CEFB">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响应</w:t>
            </w:r>
            <w:r>
              <w:rPr>
                <w:rFonts w:hint="eastAsia"/>
                <w:b/>
                <w:color w:val="000000" w:themeColor="text1"/>
                <w:highlight w:val="none"/>
                <w14:textFill>
                  <w14:solidFill>
                    <w14:schemeClr w14:val="tx1"/>
                  </w14:solidFill>
                </w14:textFill>
              </w:rPr>
              <w:t>暂定价格合同</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813BB59">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2952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7E7315E8">
            <w:pPr>
              <w:keepNext w:val="0"/>
              <w:keepLines w:val="0"/>
              <w:suppressLineNumbers w:val="0"/>
              <w:spacing w:before="0" w:beforeAutospacing="0" w:after="0" w:afterAutospacing="0"/>
              <w:ind w:left="0" w:right="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C707CE5">
            <w:pPr>
              <w:keepNext w:val="0"/>
              <w:keepLines w:val="0"/>
              <w:suppressLineNumbers w:val="0"/>
              <w:spacing w:before="0" w:beforeAutospacing="0" w:after="0" w:afterAutospacing="0"/>
              <w:ind w:left="0" w:right="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投标有效期</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3DDA6254">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按招标文件要求</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D2FFB08">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1842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0F56977">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6</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5F8257B">
            <w:pPr>
              <w:keepNext w:val="0"/>
              <w:keepLines w:val="0"/>
              <w:suppressLineNumbers w:val="0"/>
              <w:spacing w:before="0" w:beforeAutospacing="0" w:after="0" w:afterAutospacing="0"/>
              <w:ind w:left="0" w:right="0"/>
              <w:jc w:val="center"/>
              <w:rPr>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暂定建筑安装工程费</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2C0B605B">
            <w:pPr>
              <w:keepNext w:val="0"/>
              <w:keepLines w:val="0"/>
              <w:suppressLineNumbers w:val="0"/>
              <w:spacing w:before="0" w:beforeAutospacing="0" w:after="0" w:afterAutospacing="0"/>
              <w:ind w:left="0" w:right="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highlight w:val="none"/>
                <w:u w:val="single"/>
                <w:lang w:val="en-US" w:eastAsia="zh-CN"/>
                <w14:textFill>
                  <w14:solidFill>
                    <w14:schemeClr w14:val="tx1"/>
                  </w14:solidFill>
                </w14:textFill>
              </w:rPr>
              <w:t>1792.87</w:t>
            </w:r>
            <w:r>
              <w:rPr>
                <w:rFonts w:hint="eastAsia" w:ascii="宋体" w:hAnsi="宋体" w:cs="宋体"/>
                <w:b/>
                <w:color w:val="000000" w:themeColor="text1"/>
                <w:highlight w:val="none"/>
                <w14:textFill>
                  <w14:solidFill>
                    <w14:schemeClr w14:val="tx1"/>
                  </w14:solidFill>
                </w14:textFill>
              </w:rPr>
              <w:t>万元</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8873801">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2A91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40A501BA">
            <w:pPr>
              <w:keepNext w:val="0"/>
              <w:keepLines w:val="0"/>
              <w:suppressLineNumbers w:val="0"/>
              <w:spacing w:before="0" w:beforeAutospacing="0" w:after="0" w:afterAutospacing="0"/>
              <w:ind w:left="0" w:right="0"/>
              <w:jc w:val="center"/>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7</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6C65B5E1">
            <w:pPr>
              <w:keepNext w:val="0"/>
              <w:keepLines w:val="0"/>
              <w:suppressLineNumbers w:val="0"/>
              <w:spacing w:before="0" w:beforeAutospacing="0" w:after="0" w:afterAutospacing="0"/>
              <w:ind w:left="0" w:right="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监理报价计费额</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62D603C7">
            <w:pPr>
              <w:keepNext w:val="0"/>
              <w:keepLines w:val="0"/>
              <w:suppressLineNumbers w:val="0"/>
              <w:spacing w:before="0" w:beforeAutospacing="0" w:after="0" w:afterAutospacing="0"/>
              <w:ind w:left="0" w:right="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u w:val="single"/>
                <w:lang w:val="en-US" w:eastAsia="zh-CN"/>
                <w14:textFill>
                  <w14:solidFill>
                    <w14:schemeClr w14:val="tx1"/>
                  </w14:solidFill>
                </w14:textFill>
              </w:rPr>
              <w:t>1792.87</w:t>
            </w:r>
            <w:r>
              <w:rPr>
                <w:rFonts w:hint="eastAsia" w:ascii="宋体" w:hAnsi="宋体" w:cs="宋体"/>
                <w:b/>
                <w:color w:val="000000" w:themeColor="text1"/>
                <w:highlight w:val="none"/>
                <w14:textFill>
                  <w14:solidFill>
                    <w14:schemeClr w14:val="tx1"/>
                  </w14:solidFill>
                </w14:textFill>
              </w:rPr>
              <w:t>万元</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73461AC">
            <w:pPr>
              <w:keepNext w:val="0"/>
              <w:keepLines w:val="0"/>
              <w:suppressLineNumbers w:val="0"/>
              <w:spacing w:before="0" w:beforeAutospacing="0" w:after="0" w:afterAutospacing="0"/>
              <w:ind w:left="0" w:right="0"/>
              <w:jc w:val="center"/>
              <w:rPr>
                <w:rFonts w:hint="eastAsia"/>
                <w:b/>
                <w:color w:val="000000" w:themeColor="text1"/>
                <w:highlight w:val="none"/>
                <w14:textFill>
                  <w14:solidFill>
                    <w14:schemeClr w14:val="tx1"/>
                  </w14:solidFill>
                </w14:textFill>
              </w:rPr>
            </w:pPr>
          </w:p>
        </w:tc>
      </w:tr>
      <w:tr w14:paraId="1319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1842B314">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8</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9A2DA6C">
            <w:pPr>
              <w:keepNext w:val="0"/>
              <w:keepLines w:val="0"/>
              <w:suppressLineNumbers w:val="0"/>
              <w:spacing w:before="0" w:beforeAutospacing="0" w:after="0" w:afterAutospacing="0"/>
              <w:ind w:left="0" w:right="0"/>
              <w:jc w:val="center"/>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投标总报价</w:t>
            </w:r>
          </w:p>
          <w:p w14:paraId="04FFBDB8">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（监理报价）</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5B149CD8">
            <w:pPr>
              <w:keepNext w:val="0"/>
              <w:keepLines w:val="0"/>
              <w:suppressLineNumbers w:val="0"/>
              <w:spacing w:before="0" w:beforeAutospacing="0" w:after="0" w:afterAutospacing="0"/>
              <w:ind w:left="0" w:right="0"/>
              <w:rPr>
                <w:rFonts w:hint="eastAsia"/>
                <w:b/>
                <w:color w:val="000000" w:themeColor="text1"/>
                <w:highlight w:val="none"/>
                <w:u w:val="single"/>
                <w14:textFill>
                  <w14:solidFill>
                    <w14:schemeClr w14:val="tx1"/>
                  </w14:solidFill>
                </w14:textFill>
              </w:rPr>
            </w:pPr>
            <w:r>
              <w:rPr>
                <w:rFonts w:hint="eastAsia"/>
                <w:b/>
                <w:color w:val="000000" w:themeColor="text1"/>
                <w:highlight w:val="none"/>
                <w:u w:val="single"/>
                <w14:textFill>
                  <w14:solidFill>
                    <w14:schemeClr w14:val="tx1"/>
                  </w14:solidFill>
                </w14:textFill>
              </w:rPr>
              <w:t xml:space="preserve">           </w:t>
            </w:r>
            <w:r>
              <w:rPr>
                <w:rFonts w:hint="eastAsia"/>
                <w:b/>
                <w:color w:val="000000" w:themeColor="text1"/>
                <w:highlight w:val="none"/>
                <w14:textFill>
                  <w14:solidFill>
                    <w14:schemeClr w14:val="tx1"/>
                  </w14:solidFill>
                </w14:textFill>
              </w:rPr>
              <w:t>元</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D6A5085">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23A7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30557857">
            <w:pPr>
              <w:keepNext w:val="0"/>
              <w:keepLines w:val="0"/>
              <w:suppressLineNumbers w:val="0"/>
              <w:spacing w:before="0" w:beforeAutospacing="0" w:after="0" w:afterAutospacing="0"/>
              <w:ind w:left="0" w:right="0"/>
              <w:jc w:val="center"/>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9</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3E4533F">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法 人 营 业</w:t>
            </w:r>
          </w:p>
          <w:p w14:paraId="7E4D9289">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执 照 证 号</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31B6DBC7">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法 人 营 业</w:t>
            </w:r>
          </w:p>
          <w:p w14:paraId="0EBD5DAC">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执 照 证 号：</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E784FFA">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r w14:paraId="620A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E441E42">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10</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2BDBEC5">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资 质 等 级</w:t>
            </w:r>
          </w:p>
          <w:p w14:paraId="366A5F10">
            <w:pPr>
              <w:keepNext w:val="0"/>
              <w:keepLines w:val="0"/>
              <w:suppressLineNumbers w:val="0"/>
              <w:spacing w:before="0" w:beforeAutospacing="0" w:after="0" w:afterAutospacing="0"/>
              <w:ind w:left="0" w:right="0"/>
              <w:jc w:val="center"/>
              <w:rPr>
                <w:rFonts w:ascii="宋体" w:cs="Arial"/>
                <w:bCs/>
                <w:color w:val="000000" w:themeColor="text1"/>
                <w:sz w:val="28"/>
                <w:szCs w:val="28"/>
                <w:highlight w:val="none"/>
                <w14:textFill>
                  <w14:solidFill>
                    <w14:schemeClr w14:val="tx1"/>
                  </w14:solidFill>
                </w14:textFill>
              </w:rPr>
            </w:pPr>
            <w:r>
              <w:rPr>
                <w:rFonts w:hint="eastAsia"/>
                <w:b/>
                <w:color w:val="000000" w:themeColor="text1"/>
                <w:highlight w:val="none"/>
                <w14:textFill>
                  <w14:solidFill>
                    <w14:schemeClr w14:val="tx1"/>
                  </w14:solidFill>
                </w14:textFill>
              </w:rPr>
              <w:t>及 证 书 号</w:t>
            </w:r>
          </w:p>
        </w:tc>
        <w:tc>
          <w:tcPr>
            <w:tcW w:w="3347" w:type="dxa"/>
            <w:tcBorders>
              <w:top w:val="single" w:color="auto" w:sz="4" w:space="0"/>
              <w:left w:val="single" w:color="auto" w:sz="4" w:space="0"/>
              <w:bottom w:val="single" w:color="auto" w:sz="4" w:space="0"/>
              <w:right w:val="single" w:color="auto" w:sz="4" w:space="0"/>
            </w:tcBorders>
            <w:noWrap w:val="0"/>
            <w:vAlign w:val="center"/>
          </w:tcPr>
          <w:p w14:paraId="64E083CD">
            <w:pPr>
              <w:keepNext w:val="0"/>
              <w:keepLines w:val="0"/>
              <w:suppressLineNumbers w:val="0"/>
              <w:spacing w:before="0" w:beforeAutospacing="0" w:after="0" w:afterAutospacing="0"/>
              <w:ind w:left="0" w:right="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资质等级：</w:t>
            </w:r>
          </w:p>
          <w:p w14:paraId="65220E8E">
            <w:pPr>
              <w:keepNext w:val="0"/>
              <w:keepLines w:val="0"/>
              <w:suppressLineNumbers w:val="0"/>
              <w:spacing w:before="0" w:beforeAutospacing="0" w:after="0" w:afterAutospacing="0"/>
              <w:ind w:left="0" w:right="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资质证书号：</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B5A7050">
            <w:pPr>
              <w:keepNext w:val="0"/>
              <w:keepLines w:val="0"/>
              <w:suppressLineNumbers w:val="0"/>
              <w:spacing w:before="0" w:beforeAutospacing="0" w:after="0" w:afterAutospacing="0"/>
              <w:ind w:left="0" w:right="0"/>
              <w:jc w:val="center"/>
              <w:rPr>
                <w:b/>
                <w:color w:val="000000" w:themeColor="text1"/>
                <w:highlight w:val="none"/>
                <w14:textFill>
                  <w14:solidFill>
                    <w14:schemeClr w14:val="tx1"/>
                  </w14:solidFill>
                </w14:textFill>
              </w:rPr>
            </w:pPr>
          </w:p>
        </w:tc>
      </w:tr>
    </w:tbl>
    <w:p w14:paraId="2EE29AAA">
      <w:pPr>
        <w:spacing w:line="400" w:lineRule="exact"/>
        <w:ind w:firstLine="496" w:firstLineChars="200"/>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注：1、监理报价只保留小数点后两位，小数点后第三位及第三位数后做舍弃。</w:t>
      </w:r>
    </w:p>
    <w:p w14:paraId="5B9B80D6">
      <w:pPr>
        <w:spacing w:line="400" w:lineRule="exact"/>
        <w:ind w:firstLine="496" w:firstLineChars="200"/>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2、监理费的具体结算原则详见合同条款的约定。</w:t>
      </w:r>
    </w:p>
    <w:p w14:paraId="1C3B2A18">
      <w:pPr>
        <w:spacing w:line="400" w:lineRule="exact"/>
        <w:ind w:firstLine="496" w:firstLineChars="200"/>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3、经算术复核的投标人报价与其投标报价不一致时，按就低不就高原则确定其最终报价。如修正后的投标报价超出相应的最高投标限价，则由评标委员</w:t>
      </w:r>
      <w:r>
        <w:rPr>
          <w:rFonts w:ascii="宋体" w:hAnsi="宋体" w:cs="宋体"/>
          <w:color w:val="000000" w:themeColor="text1"/>
          <w:szCs w:val="21"/>
          <w:highlight w:val="none"/>
          <w14:textFill>
            <w14:solidFill>
              <w14:schemeClr w14:val="tx1"/>
            </w14:solidFill>
          </w14:textFill>
        </w:rPr>
        <w:t>否决其投标</w:t>
      </w:r>
      <w:r>
        <w:rPr>
          <w:rFonts w:hint="eastAsia" w:ascii="宋体" w:hAnsi="宋体" w:cs="宋体"/>
          <w:snapToGrid w:val="0"/>
          <w:color w:val="000000" w:themeColor="text1"/>
          <w:spacing w:val="4"/>
          <w:kern w:val="0"/>
          <w:sz w:val="24"/>
          <w:szCs w:val="24"/>
          <w:highlight w:val="none"/>
          <w14:textFill>
            <w14:solidFill>
              <w14:schemeClr w14:val="tx1"/>
            </w14:solidFill>
          </w14:textFill>
        </w:rPr>
        <w:t>。</w:t>
      </w:r>
    </w:p>
    <w:p w14:paraId="4D60F7FA">
      <w:pPr>
        <w:spacing w:line="400" w:lineRule="exact"/>
        <w:ind w:firstLine="496" w:firstLineChars="200"/>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4、按上述修正错误的原则及方法调整或修正投标文件的投标报价，调整后的投标报价对投标人起约束作用。如果投标人不接受修正后的报价，则</w:t>
      </w:r>
      <w:r>
        <w:rPr>
          <w:rFonts w:hint="eastAsia" w:ascii="宋体" w:hAnsi="宋体" w:cs="宋体"/>
          <w:snapToGrid w:val="0"/>
          <w:color w:val="000000" w:themeColor="text1"/>
          <w:spacing w:val="4"/>
          <w:kern w:val="0"/>
          <w:szCs w:val="21"/>
          <w:highlight w:val="none"/>
          <w14:textFill>
            <w14:solidFill>
              <w14:schemeClr w14:val="tx1"/>
            </w14:solidFill>
          </w14:textFill>
        </w:rPr>
        <w:t>由评标委员会否决其投标</w:t>
      </w:r>
      <w:r>
        <w:rPr>
          <w:rFonts w:hint="eastAsia" w:ascii="宋体" w:hAnsi="宋体" w:cs="宋体"/>
          <w:snapToGrid w:val="0"/>
          <w:color w:val="000000" w:themeColor="text1"/>
          <w:spacing w:val="4"/>
          <w:kern w:val="0"/>
          <w:sz w:val="24"/>
          <w:szCs w:val="24"/>
          <w:highlight w:val="none"/>
          <w14:textFill>
            <w14:solidFill>
              <w14:schemeClr w14:val="tx1"/>
            </w14:solidFill>
          </w14:textFill>
        </w:rPr>
        <w:t>。</w:t>
      </w:r>
    </w:p>
    <w:p w14:paraId="0A32E133">
      <w:pPr>
        <w:pStyle w:val="43"/>
        <w:rPr>
          <w:rFonts w:hint="eastAsia"/>
          <w:color w:val="000000" w:themeColor="text1"/>
          <w:highlight w:val="none"/>
          <w14:textFill>
            <w14:solidFill>
              <w14:schemeClr w14:val="tx1"/>
            </w14:solidFill>
          </w14:textFill>
        </w:rPr>
      </w:pPr>
    </w:p>
    <w:p w14:paraId="4296D95C">
      <w:pPr>
        <w:spacing w:line="480" w:lineRule="auto"/>
        <w:ind w:firstLine="2880" w:firstLineChars="1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 标 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（盖单位章）</w:t>
      </w:r>
    </w:p>
    <w:p w14:paraId="752A3DB5">
      <w:pPr>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法定代表人</w:t>
      </w:r>
      <w:r>
        <w:rPr>
          <w:rFonts w:hint="eastAsia" w:ascii="宋体" w:hAnsi="宋体" w:cs="宋体"/>
          <w:color w:val="000000" w:themeColor="text1"/>
          <w:szCs w:val="21"/>
          <w:highlight w:val="none"/>
          <w14:textFill>
            <w14:solidFill>
              <w14:schemeClr w14:val="tx1"/>
            </w14:solidFill>
          </w14:textFill>
        </w:rPr>
        <w:t>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（签名或盖章）</w:t>
      </w:r>
    </w:p>
    <w:p w14:paraId="4C16333F">
      <w:pPr>
        <w:pStyle w:val="11"/>
        <w:kinsoku w:val="0"/>
        <w:overflowPunct w:val="0"/>
        <w:spacing w:line="480" w:lineRule="auto"/>
        <w:ind w:left="0"/>
        <w:jc w:val="right"/>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4DD9897B">
      <w:pPr>
        <w:pStyle w:val="11"/>
        <w:kinsoku w:val="0"/>
        <w:overflowPunct w:val="0"/>
        <w:ind w:left="0"/>
        <w:rPr>
          <w:rFonts w:hint="eastAsia" w:asciiTheme="minorEastAsia" w:hAnsiTheme="minorEastAsia" w:eastAsiaTheme="minorEastAsia" w:cstheme="minorEastAsia"/>
          <w:color w:val="000000" w:themeColor="text1"/>
          <w:sz w:val="19"/>
          <w:szCs w:val="24"/>
          <w:highlight w:val="none"/>
          <w14:textFill>
            <w14:solidFill>
              <w14:schemeClr w14:val="tx1"/>
            </w14:solidFill>
          </w14:textFill>
        </w:rPr>
      </w:pPr>
    </w:p>
    <w:p w14:paraId="46E052B4">
      <w:pPr>
        <w:pStyle w:val="11"/>
        <w:kinsoku w:val="0"/>
        <w:overflowPunct w:val="0"/>
        <w:spacing w:before="1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76A27CC">
      <w:pPr>
        <w:pStyle w:val="11"/>
        <w:tabs>
          <w:tab w:val="left" w:pos="631"/>
          <w:tab w:val="left" w:pos="1471"/>
          <w:tab w:val="left" w:pos="2311"/>
        </w:tabs>
        <w:kinsoku w:val="0"/>
        <w:overflowPunct w:val="0"/>
        <w:spacing w:before="36"/>
        <w:ind w:left="0" w:right="177"/>
        <w:jc w:val="right"/>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0194CF4F">
      <w:pPr>
        <w:pStyle w:val="11"/>
        <w:tabs>
          <w:tab w:val="left" w:pos="631"/>
          <w:tab w:val="left" w:pos="1471"/>
          <w:tab w:val="left" w:pos="2311"/>
        </w:tabs>
        <w:kinsoku w:val="0"/>
        <w:overflowPunct w:val="0"/>
        <w:spacing w:before="36"/>
        <w:ind w:left="0" w:right="177"/>
        <w:jc w:val="right"/>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4269D5EE">
      <w:pPr>
        <w:pStyle w:val="5"/>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bookmarkStart w:id="211" w:name="bookmark179"/>
      <w:bookmarkEnd w:id="211"/>
      <w:bookmarkStart w:id="212" w:name="_Toc18723"/>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二、法定代表人身份证明</w:t>
      </w:r>
      <w:bookmarkEnd w:id="212"/>
    </w:p>
    <w:p w14:paraId="2BF01EDC">
      <w:pPr>
        <w:pStyle w:val="11"/>
        <w:kinsoku w:val="0"/>
        <w:overflowPunct w:val="0"/>
        <w:ind w:left="0"/>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p>
    <w:p w14:paraId="2C858544">
      <w:pPr>
        <w:pStyle w:val="11"/>
        <w:kinsoku w:val="0"/>
        <w:overflowPunct w:val="0"/>
        <w:ind w:left="0"/>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p>
    <w:p w14:paraId="5EF1778A">
      <w:pPr>
        <w:pStyle w:val="11"/>
        <w:kinsoku w:val="0"/>
        <w:overflowPunct w:val="0"/>
        <w:spacing w:before="8"/>
        <w:ind w:left="0"/>
        <w:rPr>
          <w:rFonts w:hint="eastAsia" w:asciiTheme="minorEastAsia" w:hAnsiTheme="minorEastAsia" w:eastAsiaTheme="minorEastAsia" w:cstheme="minorEastAsia"/>
          <w:b/>
          <w:color w:val="000000" w:themeColor="text1"/>
          <w:sz w:val="25"/>
          <w:szCs w:val="24"/>
          <w:highlight w:val="none"/>
          <w14:textFill>
            <w14:solidFill>
              <w14:schemeClr w14:val="tx1"/>
            </w14:solidFill>
          </w14:textFill>
        </w:rPr>
      </w:pPr>
    </w:p>
    <w:p w14:paraId="595473D7">
      <w:pPr>
        <w:pStyle w:val="11"/>
        <w:tabs>
          <w:tab w:val="left" w:pos="3928"/>
        </w:tabs>
        <w:kinsoku w:val="0"/>
        <w:overflowPunct w:val="0"/>
        <w:ind w:lef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p>
    <w:p w14:paraId="2D90FF13">
      <w:pPr>
        <w:pStyle w:val="11"/>
        <w:kinsoku w:val="0"/>
        <w:overflowPunct w:val="0"/>
        <w:spacing w:before="2"/>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41EF9A0">
      <w:pPr>
        <w:pStyle w:val="11"/>
        <w:tabs>
          <w:tab w:val="left" w:pos="2412"/>
          <w:tab w:val="left" w:pos="3883"/>
          <w:tab w:val="left" w:pos="5352"/>
          <w:tab w:val="left" w:pos="6869"/>
        </w:tabs>
        <w:kinsoku w:val="0"/>
        <w:overflowPunct w:val="0"/>
        <w:spacing w:before="36"/>
        <w:ind w:lef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pacing w:val="-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pacing w:val="-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pacing w:val="-2"/>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职务：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p>
    <w:p w14:paraId="3AC5CEE9">
      <w:pPr>
        <w:pStyle w:val="11"/>
        <w:kinsoku w:val="0"/>
        <w:overflowPunct w:val="0"/>
        <w:spacing w:before="5"/>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08ACA46">
      <w:pPr>
        <w:pStyle w:val="11"/>
        <w:tabs>
          <w:tab w:val="left" w:pos="2832"/>
        </w:tabs>
        <w:kinsoku w:val="0"/>
        <w:overflowPunct w:val="0"/>
        <w:spacing w:before="36"/>
        <w:ind w:left="1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pacing w:val="-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（投标人名称）的法定代表人。</w:t>
      </w:r>
    </w:p>
    <w:p w14:paraId="293D52C0">
      <w:pPr>
        <w:pStyle w:val="11"/>
        <w:kinsoku w:val="0"/>
        <w:overflowPunct w:val="0"/>
        <w:spacing w:before="1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81DBB9F">
      <w:pPr>
        <w:pStyle w:val="11"/>
        <w:kinsoku w:val="0"/>
        <w:overflowPunct w:val="0"/>
        <w:spacing w:before="36"/>
        <w:ind w:left="100" w:firstLine="41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特此证明。</w:t>
      </w:r>
    </w:p>
    <w:p w14:paraId="667B360C">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11DB532">
      <w:pPr>
        <w:pStyle w:val="11"/>
        <w:kinsoku w:val="0"/>
        <w:overflowPunct w:val="0"/>
        <w:spacing w:before="4"/>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46216CD">
      <w:pPr>
        <w:pStyle w:val="11"/>
        <w:kinsoku w:val="0"/>
        <w:overflowPunct w:val="0"/>
        <w:ind w:lef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附：法定代表人身份证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正反面扫描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件。</w:t>
      </w:r>
    </w:p>
    <w:p w14:paraId="150B4DB1">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36247FA">
      <w:pPr>
        <w:pStyle w:val="11"/>
        <w:kinsoku w:val="0"/>
        <w:overflowPunct w:val="0"/>
        <w:spacing w:before="2"/>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95E8D1E">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5EBF8EF">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4D345E5">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AAF9985">
      <w:pPr>
        <w:pStyle w:val="11"/>
        <w:kinsoku w:val="0"/>
        <w:overflowPunct w:val="0"/>
        <w:spacing w:before="2"/>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6C2096E">
      <w:pPr>
        <w:pStyle w:val="11"/>
        <w:tabs>
          <w:tab w:val="left" w:pos="6521"/>
        </w:tabs>
        <w:kinsoku w:val="0"/>
        <w:overflowPunct w:val="0"/>
        <w:spacing w:before="36"/>
        <w:ind w:left="4212"/>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pacing w:val="-2"/>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（盖单位章）</w:t>
      </w:r>
    </w:p>
    <w:p w14:paraId="1CD5C96A">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41391F3">
      <w:pPr>
        <w:pStyle w:val="11"/>
        <w:kinsoku w:val="0"/>
        <w:overflowPunct w:val="0"/>
        <w:spacing w:before="7"/>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6407143">
      <w:pPr>
        <w:pStyle w:val="11"/>
        <w:tabs>
          <w:tab w:val="left" w:pos="5352"/>
          <w:tab w:val="left" w:pos="6192"/>
          <w:tab w:val="left" w:pos="7032"/>
        </w:tabs>
        <w:kinsoku w:val="0"/>
        <w:overflowPunct w:val="0"/>
        <w:spacing w:before="36"/>
        <w:ind w:left="472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090985DC">
      <w:pPr>
        <w:pStyle w:val="11"/>
        <w:tabs>
          <w:tab w:val="left" w:pos="5352"/>
          <w:tab w:val="left" w:pos="6192"/>
          <w:tab w:val="left" w:pos="7032"/>
        </w:tabs>
        <w:kinsoku w:val="0"/>
        <w:overflowPunct w:val="0"/>
        <w:spacing w:before="36"/>
        <w:ind w:left="472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762F875A">
      <w:pPr>
        <w:pStyle w:val="5"/>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bookmarkStart w:id="213" w:name="bookmark180"/>
      <w:bookmarkEnd w:id="213"/>
      <w:bookmarkStart w:id="214" w:name="_Toc13873"/>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二、授权委托书</w:t>
      </w:r>
      <w:bookmarkEnd w:id="214"/>
    </w:p>
    <w:p w14:paraId="6E9893E0">
      <w:pPr>
        <w:pStyle w:val="11"/>
        <w:kinsoku w:val="0"/>
        <w:overflowPunct w:val="0"/>
        <w:ind w:left="0"/>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p>
    <w:p w14:paraId="054C77F0">
      <w:pPr>
        <w:pStyle w:val="11"/>
        <w:kinsoku w:val="0"/>
        <w:overflowPunct w:val="0"/>
        <w:spacing w:before="4"/>
        <w:ind w:left="0"/>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p>
    <w:p w14:paraId="0C29E394">
      <w:pPr>
        <w:pStyle w:val="11"/>
        <w:tabs>
          <w:tab w:val="left" w:pos="3928"/>
        </w:tabs>
        <w:kinsoku w:val="0"/>
        <w:overflowPunct w:val="0"/>
        <w:spacing w:line="360" w:lineRule="auto"/>
        <w:ind w:lef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（投标人名称）的法定代表人，现委托</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（姓名）为我方代理人。代理人根据授权，以我方名义签署、澄清确认、递交、撤回、修改监理招标项目投标文件、签订合同和处理有关事宜，其法律后果由我方承担。 </w:t>
      </w:r>
    </w:p>
    <w:p w14:paraId="265F9C5B">
      <w:pPr>
        <w:pStyle w:val="11"/>
        <w:tabs>
          <w:tab w:val="left" w:pos="3928"/>
        </w:tabs>
        <w:kinsoku w:val="0"/>
        <w:overflowPunct w:val="0"/>
        <w:spacing w:line="360" w:lineRule="auto"/>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0C38CC9">
      <w:pPr>
        <w:pStyle w:val="11"/>
        <w:tabs>
          <w:tab w:val="left" w:pos="3928"/>
        </w:tabs>
        <w:kinsoku w:val="0"/>
        <w:overflowPunct w:val="0"/>
        <w:spacing w:line="360" w:lineRule="auto"/>
        <w:ind w:left="0"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代理人无转委托权。代理人为投标人正式职工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必须具有离投标截止时间最近的至少1个月在本单位缴纳的社保证明文件。</w:t>
      </w:r>
    </w:p>
    <w:p w14:paraId="0013CE65">
      <w:pPr>
        <w:pStyle w:val="11"/>
        <w:tabs>
          <w:tab w:val="left" w:pos="3928"/>
        </w:tabs>
        <w:kinsoku w:val="0"/>
        <w:overflowPunct w:val="0"/>
        <w:spacing w:line="360" w:lineRule="auto"/>
        <w:ind w:lef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7561E9D">
      <w:pPr>
        <w:pStyle w:val="11"/>
        <w:kinsoku w:val="0"/>
        <w:overflowPunct w:val="0"/>
        <w:spacing w:before="4"/>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1D62FF0">
      <w:pPr>
        <w:pStyle w:val="11"/>
        <w:kinsoku w:val="0"/>
        <w:overflowPunct w:val="0"/>
        <w:ind w:left="100" w:right="11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委托代理人身份证正反面和社保证明扫描件。</w:t>
      </w:r>
    </w:p>
    <w:p w14:paraId="07B3A149">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EDC157B">
      <w:pPr>
        <w:pStyle w:val="11"/>
        <w:kinsoku w:val="0"/>
        <w:overflowPunct w:val="0"/>
        <w:spacing w:before="2"/>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0532CCD">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A5B1B4D">
      <w:pPr>
        <w:pStyle w:val="11"/>
        <w:kinsoku w:val="0"/>
        <w:overflowPunct w:val="0"/>
        <w:spacing w:before="4"/>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11CE2D1">
      <w:pPr>
        <w:pStyle w:val="11"/>
        <w:tabs>
          <w:tab w:val="left" w:pos="3216"/>
          <w:tab w:val="left" w:pos="3636"/>
          <w:tab w:val="left" w:pos="7241"/>
        </w:tabs>
        <w:kinsoku w:val="0"/>
        <w:overflowPunct w:val="0"/>
        <w:ind w:left="2793" w:right="11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pacing w:val="-3"/>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（盖单位章）</w:t>
      </w:r>
    </w:p>
    <w:p w14:paraId="1DEF3D64">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5EE30EF">
      <w:pPr>
        <w:pStyle w:val="11"/>
        <w:tabs>
          <w:tab w:val="left" w:pos="6401"/>
        </w:tabs>
        <w:kinsoku w:val="0"/>
        <w:overflowPunct w:val="0"/>
        <w:spacing w:before="36"/>
        <w:ind w:left="2791" w:right="113"/>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pacing w:val="-2"/>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（签字）</w:t>
      </w:r>
    </w:p>
    <w:p w14:paraId="48EF99A4">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85D2EE5">
      <w:pPr>
        <w:pStyle w:val="11"/>
        <w:tabs>
          <w:tab w:val="left" w:pos="8549"/>
        </w:tabs>
        <w:kinsoku w:val="0"/>
        <w:overflowPunct w:val="0"/>
        <w:spacing w:before="36"/>
        <w:ind w:left="2793" w:right="113"/>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14:paraId="2DFB668E">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BCAFD7A">
      <w:pPr>
        <w:pStyle w:val="11"/>
        <w:tabs>
          <w:tab w:val="left" w:pos="7661"/>
        </w:tabs>
        <w:kinsoku w:val="0"/>
        <w:overflowPunct w:val="0"/>
        <w:spacing w:before="36"/>
        <w:ind w:left="2793" w:right="113"/>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pacing w:val="-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（签字）</w:t>
      </w:r>
    </w:p>
    <w:p w14:paraId="3F4E298C">
      <w:pPr>
        <w:pStyle w:val="11"/>
        <w:kinsoku w:val="0"/>
        <w:overflowPunct w:val="0"/>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23A8311">
      <w:pPr>
        <w:pStyle w:val="11"/>
        <w:tabs>
          <w:tab w:val="left" w:pos="8549"/>
        </w:tabs>
        <w:kinsoku w:val="0"/>
        <w:overflowPunct w:val="0"/>
        <w:spacing w:before="36"/>
        <w:ind w:left="2793" w:right="113"/>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14:paraId="326D9B61">
      <w:pPr>
        <w:pStyle w:val="11"/>
        <w:kinsoku w:val="0"/>
        <w:overflowPunct w:val="0"/>
        <w:spacing w:before="9"/>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8507026">
      <w:pPr>
        <w:pStyle w:val="11"/>
        <w:tabs>
          <w:tab w:val="left" w:pos="736"/>
          <w:tab w:val="left" w:pos="1682"/>
          <w:tab w:val="left" w:pos="2626"/>
        </w:tabs>
        <w:kinsoku w:val="0"/>
        <w:overflowPunct w:val="0"/>
        <w:spacing w:before="36"/>
        <w:ind w:left="0" w:right="113"/>
        <w:jc w:val="both"/>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日</w:t>
      </w:r>
    </w:p>
    <w:p w14:paraId="227E42BA">
      <w:pPr>
        <w:pStyle w:val="11"/>
        <w:tabs>
          <w:tab w:val="left" w:pos="736"/>
          <w:tab w:val="left" w:pos="1682"/>
          <w:tab w:val="left" w:pos="2626"/>
        </w:tabs>
        <w:kinsoku w:val="0"/>
        <w:overflowPunct w:val="0"/>
        <w:spacing w:before="36"/>
        <w:ind w:left="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58D280FE">
      <w:pPr>
        <w:pStyle w:val="5"/>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bookmarkStart w:id="215" w:name="bookmark181"/>
      <w:bookmarkEnd w:id="215"/>
      <w:bookmarkStart w:id="216" w:name="_Toc10111"/>
      <w:r>
        <w:rPr>
          <w:rFonts w:hint="eastAsia" w:asciiTheme="minorEastAsia" w:hAnsiTheme="minorEastAsia" w:eastAsiaTheme="minorEastAsia" w:cstheme="minorEastAsia"/>
          <w:color w:val="000000" w:themeColor="text1"/>
          <w:sz w:val="28"/>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、监理报酬清单</w:t>
      </w:r>
      <w:bookmarkEnd w:id="216"/>
      <w:r>
        <w:rPr>
          <w:rFonts w:hint="eastAsia" w:asciiTheme="minorEastAsia" w:hAnsiTheme="minorEastAsia" w:eastAsiaTheme="minorEastAsia" w:cstheme="minorEastAsia"/>
          <w:color w:val="000000" w:themeColor="text1"/>
          <w:sz w:val="28"/>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4"/>
          <w:highlight w:val="none"/>
          <w:lang w:val="en-US" w:eastAsia="zh-CN"/>
          <w14:textFill>
            <w14:solidFill>
              <w14:schemeClr w14:val="tx1"/>
            </w14:solidFill>
          </w14:textFill>
        </w:rPr>
        <w:t>格式仅供参考</w:t>
      </w:r>
      <w:r>
        <w:rPr>
          <w:rFonts w:hint="eastAsia" w:asciiTheme="minorEastAsia" w:hAnsiTheme="minorEastAsia" w:eastAsiaTheme="minorEastAsia" w:cstheme="minorEastAsia"/>
          <w:color w:val="000000" w:themeColor="text1"/>
          <w:sz w:val="28"/>
          <w:szCs w:val="24"/>
          <w:highlight w:val="none"/>
          <w:lang w:eastAsia="zh-CN"/>
          <w14:textFill>
            <w14:solidFill>
              <w14:schemeClr w14:val="tx1"/>
            </w14:solidFill>
          </w14:textFill>
        </w:rPr>
        <w:t>）</w:t>
      </w:r>
    </w:p>
    <w:p w14:paraId="3F47C6D4">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50143821">
      <w:pPr>
        <w:spacing w:line="44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tbl>
      <w:tblPr>
        <w:tblStyle w:val="20"/>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468A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BCD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E13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72C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DF87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投标报价</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E13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备注</w:t>
            </w:r>
          </w:p>
        </w:tc>
      </w:tr>
      <w:tr w14:paraId="3A02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7D99C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4E5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B0A6B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5745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0802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E02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F01D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D65C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D8A71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0A2B9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CC11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3B6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599B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132B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E1752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D0D81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43525C7A">
      <w:pPr>
        <w:pStyle w:val="32"/>
        <w:spacing w:line="240" w:lineRule="auto"/>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11CA598">
      <w:pPr>
        <w:pStyle w:val="32"/>
        <w:spacing w:line="240" w:lineRule="auto"/>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p>
    <w:p w14:paraId="47E17167">
      <w:pPr>
        <w:pStyle w:val="32"/>
        <w:ind w:firstLine="43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投标下浮率以百分比为单位，保留到小数点后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，投标报价填报保留小数点后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位。</w:t>
      </w:r>
    </w:p>
    <w:p w14:paraId="1DEEA6C9">
      <w:pPr>
        <w:pStyle w:val="32"/>
        <w:ind w:firstLine="43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、监理费投标下浮率=（监理费最高投标限价-监理费投标报价）/监理费最高投标限价*100%。</w:t>
      </w:r>
    </w:p>
    <w:p w14:paraId="62CADD4C">
      <w:pPr>
        <w:pStyle w:val="32"/>
        <w:ind w:firstLine="436"/>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17" w:name="_Toc6894"/>
      <w:bookmarkStart w:id="218" w:name="_Toc4060"/>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投标报价与投标下浮率不符时，以投标下浮率为准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修正总价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bookmarkEnd w:id="217"/>
      <w:bookmarkEnd w:id="218"/>
    </w:p>
    <w:p w14:paraId="42FB6741">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0950F24C">
      <w:pPr>
        <w:pStyle w:val="5"/>
        <w:kinsoku w:val="0"/>
        <w:overflowPunct w:val="0"/>
        <w:spacing w:line="456" w:lineRule="exact"/>
        <w:ind w:right="1"/>
        <w:jc w:val="center"/>
        <w:outlineLvl w:val="1"/>
        <w:rPr>
          <w:rFonts w:hint="eastAsia" w:asciiTheme="minorEastAsia" w:hAnsiTheme="minorEastAsia" w:eastAsiaTheme="minorEastAsia" w:cstheme="minorEastAsia"/>
          <w:b w:val="0"/>
          <w:color w:val="000000" w:themeColor="text1"/>
          <w:sz w:val="28"/>
          <w:szCs w:val="24"/>
          <w:highlight w:val="none"/>
          <w14:textFill>
            <w14:solidFill>
              <w14:schemeClr w14:val="tx1"/>
            </w14:solidFill>
          </w14:textFill>
        </w:rPr>
      </w:pPr>
      <w:bookmarkStart w:id="219" w:name="bookmark184"/>
      <w:bookmarkEnd w:id="219"/>
      <w:bookmarkStart w:id="220" w:name="_Toc26761"/>
      <w:r>
        <w:rPr>
          <w:rFonts w:hint="eastAsia" w:asciiTheme="minorEastAsia" w:hAnsiTheme="minorEastAsia" w:eastAsiaTheme="minorEastAsia" w:cstheme="minorEastAsia"/>
          <w:color w:val="000000" w:themeColor="text1"/>
          <w:sz w:val="28"/>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、资格审查资料</w:t>
      </w:r>
      <w:bookmarkEnd w:id="220"/>
    </w:p>
    <w:p w14:paraId="2194D2C8">
      <w:pPr>
        <w:pStyle w:val="11"/>
        <w:kinsoku w:val="0"/>
        <w:overflowPunct w:val="0"/>
        <w:spacing w:before="10"/>
        <w:ind w:left="0"/>
        <w:rPr>
          <w:rFonts w:hint="eastAsia" w:asciiTheme="minorEastAsia" w:hAnsiTheme="minorEastAsia" w:eastAsiaTheme="minorEastAsia" w:cstheme="minorEastAsia"/>
          <w:b/>
          <w:color w:val="000000" w:themeColor="text1"/>
          <w:sz w:val="15"/>
          <w:szCs w:val="24"/>
          <w:highlight w:val="none"/>
          <w14:textFill>
            <w14:solidFill>
              <w14:schemeClr w14:val="tx1"/>
            </w14:solidFill>
          </w14:textFill>
        </w:rPr>
      </w:pPr>
    </w:p>
    <w:p w14:paraId="52CF8D73">
      <w:pPr>
        <w:pStyle w:val="6"/>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21" w:name="bookmark185"/>
      <w:bookmarkEnd w:id="221"/>
      <w:bookmarkStart w:id="222" w:name="_Toc2532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（一）基本情况表</w:t>
      </w:r>
      <w:bookmarkEnd w:id="222"/>
    </w:p>
    <w:p w14:paraId="527A7FC2">
      <w:pPr>
        <w:pStyle w:val="11"/>
        <w:kinsoku w:val="0"/>
        <w:overflowPunct w:val="0"/>
        <w:ind w:left="0"/>
        <w:rPr>
          <w:rFonts w:hint="eastAsia" w:asciiTheme="minorEastAsia" w:hAnsiTheme="minorEastAsia" w:eastAsiaTheme="minorEastAsia" w:cstheme="minorEastAsia"/>
          <w:color w:val="000000" w:themeColor="text1"/>
          <w:sz w:val="23"/>
          <w:szCs w:val="24"/>
          <w:highlight w:val="none"/>
          <w14:textFill>
            <w14:solidFill>
              <w14:schemeClr w14:val="tx1"/>
            </w14:solidFill>
          </w14:textFill>
        </w:rPr>
      </w:pPr>
    </w:p>
    <w:tbl>
      <w:tblPr>
        <w:tblStyle w:val="20"/>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72BC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A1F6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A2CF5D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77F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3834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6A7064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C659356">
            <w:pPr>
              <w:pStyle w:val="28"/>
              <w:keepNext w:val="0"/>
              <w:keepLines w:val="0"/>
              <w:suppressLineNumbers w:val="0"/>
              <w:kinsoku w:val="0"/>
              <w:overflowPunct w:val="0"/>
              <w:spacing w:before="107" w:beforeAutospacing="0" w:after="0" w:afterAutospacing="0"/>
              <w:ind w:left="218"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E8A1C0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8EE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61D1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B0EFA2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93140C">
            <w:pPr>
              <w:pStyle w:val="28"/>
              <w:keepNext w:val="0"/>
              <w:keepLines w:val="0"/>
              <w:suppressLineNumbers w:val="0"/>
              <w:kinsoku w:val="0"/>
              <w:overflowPunct w:val="0"/>
              <w:spacing w:before="107"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4704B4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AB8B4A8">
            <w:pPr>
              <w:pStyle w:val="28"/>
              <w:keepNext w:val="0"/>
              <w:keepLines w:val="0"/>
              <w:suppressLineNumbers w:val="0"/>
              <w:kinsoku w:val="0"/>
              <w:overflowPunct w:val="0"/>
              <w:spacing w:before="107" w:beforeAutospacing="0" w:after="0" w:afterAutospacing="0"/>
              <w:ind w:left="374"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49FE86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FDB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ECE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F96058">
            <w:pPr>
              <w:pStyle w:val="28"/>
              <w:keepNext w:val="0"/>
              <w:keepLines w:val="0"/>
              <w:suppressLineNumbers w:val="0"/>
              <w:tabs>
                <w:tab w:val="left" w:pos="550"/>
              </w:tabs>
              <w:kinsoku w:val="0"/>
              <w:overflowPunct w:val="0"/>
              <w:spacing w:before="108"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199513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D2D7448">
            <w:pPr>
              <w:pStyle w:val="28"/>
              <w:keepNext w:val="0"/>
              <w:keepLines w:val="0"/>
              <w:suppressLineNumbers w:val="0"/>
              <w:kinsoku w:val="0"/>
              <w:overflowPunct w:val="0"/>
              <w:spacing w:before="108" w:beforeAutospacing="0" w:after="0" w:afterAutospacing="0"/>
              <w:ind w:left="374"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网</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32F5FF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597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9A85C">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5E668D">
            <w:pPr>
              <w:pStyle w:val="28"/>
              <w:keepNext w:val="0"/>
              <w:keepLines w:val="0"/>
              <w:suppressLineNumbers w:val="0"/>
              <w:kinsoku w:val="0"/>
              <w:overflowPunct w:val="0"/>
              <w:spacing w:before="107"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134DF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629884">
            <w:pPr>
              <w:pStyle w:val="28"/>
              <w:keepNext w:val="0"/>
              <w:keepLines w:val="0"/>
              <w:suppressLineNumbers w:val="0"/>
              <w:kinsoku w:val="0"/>
              <w:overflowPunct w:val="0"/>
              <w:spacing w:before="107"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3018B8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CEB9FCC">
            <w:pPr>
              <w:pStyle w:val="28"/>
              <w:keepNext w:val="0"/>
              <w:keepLines w:val="0"/>
              <w:suppressLineNumbers w:val="0"/>
              <w:kinsoku w:val="0"/>
              <w:overflowPunct w:val="0"/>
              <w:spacing w:before="107"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C7204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FC6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DDD9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76E2C3">
            <w:pPr>
              <w:pStyle w:val="28"/>
              <w:keepNext w:val="0"/>
              <w:keepLines w:val="0"/>
              <w:suppressLineNumbers w:val="0"/>
              <w:kinsoku w:val="0"/>
              <w:overflowPunct w:val="0"/>
              <w:spacing w:before="107"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94E7B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7B998F">
            <w:pPr>
              <w:pStyle w:val="28"/>
              <w:keepNext w:val="0"/>
              <w:keepLines w:val="0"/>
              <w:suppressLineNumbers w:val="0"/>
              <w:kinsoku w:val="0"/>
              <w:overflowPunct w:val="0"/>
              <w:spacing w:before="107"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B892A3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AE4A02">
            <w:pPr>
              <w:pStyle w:val="28"/>
              <w:keepNext w:val="0"/>
              <w:keepLines w:val="0"/>
              <w:suppressLineNumbers w:val="0"/>
              <w:kinsoku w:val="0"/>
              <w:overflowPunct w:val="0"/>
              <w:spacing w:before="107"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2EB9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B63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D8F4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3660A87">
            <w:pPr>
              <w:pStyle w:val="28"/>
              <w:keepNext w:val="0"/>
              <w:keepLines w:val="0"/>
              <w:suppressLineNumbers w:val="0"/>
              <w:tabs>
                <w:tab w:val="left" w:pos="3785"/>
                <w:tab w:val="left" w:pos="5045"/>
              </w:tabs>
              <w:kinsoku w:val="0"/>
              <w:overflowPunct w:val="0"/>
              <w:spacing w:before="107" w:beforeAutospacing="0" w:after="0" w:afterAutospacing="0"/>
              <w:ind w:left="1054"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类型：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等级：</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证书号：</w:t>
            </w:r>
          </w:p>
        </w:tc>
      </w:tr>
      <w:tr w14:paraId="3D46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D3AA0">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质量管理体系证书</w:t>
            </w:r>
          </w:p>
          <w:p w14:paraId="2FBF65D2">
            <w:pPr>
              <w:pStyle w:val="28"/>
              <w:keepNext w:val="0"/>
              <w:keepLines w:val="0"/>
              <w:suppressLineNumbers w:val="0"/>
              <w:kinsoku w:val="0"/>
              <w:overflowPunct w:val="0"/>
              <w:spacing w:before="0" w:beforeAutospacing="0" w:after="0" w:afterAutospacing="0"/>
              <w:ind w:left="0" w:right="101"/>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148C8E">
            <w:pPr>
              <w:pStyle w:val="28"/>
              <w:keepNext w:val="0"/>
              <w:keepLines w:val="0"/>
              <w:suppressLineNumbers w:val="0"/>
              <w:kinsoku w:val="0"/>
              <w:overflowPunct w:val="0"/>
              <w:spacing w:before="1"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D99D5DF">
            <w:pPr>
              <w:pStyle w:val="28"/>
              <w:keepNext w:val="0"/>
              <w:keepLines w:val="0"/>
              <w:suppressLineNumbers w:val="0"/>
              <w:tabs>
                <w:tab w:val="left" w:pos="3785"/>
                <w:tab w:val="left" w:pos="5045"/>
              </w:tabs>
              <w:kinsoku w:val="0"/>
              <w:overflowPunct w:val="0"/>
              <w:spacing w:before="0" w:beforeAutospacing="0" w:after="0" w:afterAutospacing="0"/>
              <w:ind w:left="1054"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类型：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等级：</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证书号：</w:t>
            </w:r>
          </w:p>
        </w:tc>
      </w:tr>
      <w:tr w14:paraId="4159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7ADD1">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2DB4F6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59F6D1BB">
            <w:pPr>
              <w:pStyle w:val="28"/>
              <w:keepNext w:val="0"/>
              <w:keepLines w:val="0"/>
              <w:suppressLineNumbers w:val="0"/>
              <w:kinsoku w:val="0"/>
              <w:overflowPunct w:val="0"/>
              <w:spacing w:before="107" w:beforeAutospacing="0" w:after="0" w:afterAutospacing="0"/>
              <w:ind w:left="1178"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员工总人数：</w:t>
            </w:r>
          </w:p>
        </w:tc>
      </w:tr>
      <w:tr w14:paraId="19EB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3BBF8">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F0BD99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D88C0">
            <w:pPr>
              <w:pStyle w:val="28"/>
              <w:keepNext w:val="0"/>
              <w:keepLines w:val="0"/>
              <w:suppressLineNumbers w:val="0"/>
              <w:kinsoku w:val="0"/>
              <w:overflowPunct w:val="0"/>
              <w:spacing w:before="0" w:beforeAutospacing="0" w:after="0" w:afterAutospacing="0" w:line="384" w:lineRule="auto"/>
              <w:ind w:left="0" w:right="89"/>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625B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0224CF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80E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FC1B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D5C51E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DFDB81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89AB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9CE4DB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295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2D7E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D7950F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EB0DDC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FB242">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1877EB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B9A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71AD1">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1E25F3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8C277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1AF8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7F59F6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346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78730E">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DAF043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857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EF65D">
            <w:pPr>
              <w:pStyle w:val="28"/>
              <w:keepNext w:val="0"/>
              <w:keepLines w:val="0"/>
              <w:suppressLineNumbers w:val="0"/>
              <w:kinsoku w:val="0"/>
              <w:overflowPunct w:val="0"/>
              <w:spacing w:before="0" w:beforeAutospacing="0" w:after="0" w:afterAutospacing="0"/>
              <w:ind w:left="0" w:right="96"/>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投标人关联企业情</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况（包括但不限于与</w:t>
            </w:r>
            <w:r>
              <w:rPr>
                <w:rFonts w:hint="eastAsia" w:asciiTheme="minorEastAsia" w:hAnsiTheme="minorEastAsia" w:eastAsiaTheme="minorEastAsia" w:cstheme="minorEastAsia"/>
                <w:color w:val="000000" w:themeColor="text1"/>
                <w:spacing w:val="-10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投标人法定代表人为同一人或者存在</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控股、管理关系的不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3C28FE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DF6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C775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9F9B46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68EEDB83">
      <w:pPr>
        <w:pStyle w:val="11"/>
        <w:kinsoku w:val="0"/>
        <w:overflowPunct w:val="0"/>
        <w:spacing w:before="74" w:line="331" w:lineRule="auto"/>
        <w:ind w:left="2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投标人应附营业执照、资质证书等相关证明材料。</w:t>
      </w:r>
    </w:p>
    <w:p w14:paraId="3233AC89">
      <w:pPr>
        <w:pStyle w:val="11"/>
        <w:kinsoku w:val="0"/>
        <w:overflowPunct w:val="0"/>
        <w:spacing w:before="74" w:line="331" w:lineRule="auto"/>
        <w:ind w:left="24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ectPr>
          <w:footerReference r:id="rId12" w:type="default"/>
          <w:pgSz w:w="11905" w:h="16838"/>
          <w:pgMar w:top="1417" w:right="1417" w:bottom="1417" w:left="1417" w:header="992" w:footer="992" w:gutter="0"/>
          <w:lnNumType w:countBy="0" w:distance="360"/>
          <w:cols w:space="720" w:num="1"/>
        </w:sectPr>
      </w:pPr>
    </w:p>
    <w:p w14:paraId="6BEEFEDB">
      <w:pPr>
        <w:pStyle w:val="6"/>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23" w:name="bookmark186"/>
      <w:bookmarkEnd w:id="223"/>
      <w:bookmarkStart w:id="224" w:name="bookmark187"/>
      <w:bookmarkEnd w:id="224"/>
      <w:bookmarkStart w:id="225" w:name="_Toc31107"/>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）近年完成的类似项目情况表</w:t>
      </w:r>
      <w:bookmarkEnd w:id="225"/>
    </w:p>
    <w:p w14:paraId="28C15D24">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79B1D8BE">
      <w:pPr>
        <w:pStyle w:val="11"/>
        <w:kinsoku w:val="0"/>
        <w:overflowPunct w:val="0"/>
        <w:spacing w:before="11"/>
        <w:ind w:left="0"/>
        <w:rPr>
          <w:rFonts w:hint="eastAsia" w:asciiTheme="minorEastAsia" w:hAnsiTheme="minorEastAsia" w:eastAsiaTheme="minorEastAsia" w:cstheme="minorEastAsia"/>
          <w:color w:val="000000" w:themeColor="text1"/>
          <w:sz w:val="22"/>
          <w:szCs w:val="24"/>
          <w:highlight w:val="none"/>
          <w14:textFill>
            <w14:solidFill>
              <w14:schemeClr w14:val="tx1"/>
            </w14:solidFill>
          </w14:textFill>
        </w:rPr>
      </w:pPr>
    </w:p>
    <w:tbl>
      <w:tblPr>
        <w:tblStyle w:val="20"/>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7BFD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35E2B">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B0C8A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3FB9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00100">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FE3EF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4CDC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BEB13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B50E0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7B6B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8B30A">
            <w:pPr>
              <w:pStyle w:val="28"/>
              <w:keepNext w:val="0"/>
              <w:keepLines w:val="0"/>
              <w:suppressLineNumbers w:val="0"/>
              <w:tabs>
                <w:tab w:val="left" w:pos="668"/>
                <w:tab w:val="center" w:pos="1387"/>
              </w:tabs>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E0505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3CE1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053F9">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5A282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32B2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7CE34">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DCDA5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1070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DF1F4">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DFB01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7FE3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745B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BD5E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5E30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7047F">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65C9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3CF3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0FB2A">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C43DC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0362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49587">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2B099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bl>
    <w:p w14:paraId="6CA34289">
      <w:pPr>
        <w:pStyle w:val="11"/>
        <w:kinsoku w:val="0"/>
        <w:overflowPunct w:val="0"/>
        <w:spacing w:before="6"/>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0CF8D1F">
      <w:pPr>
        <w:pStyle w:val="11"/>
        <w:kinsoku w:val="0"/>
        <w:overflowPunct w:val="0"/>
        <w:spacing w:before="36"/>
        <w:ind w:lef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1B1E166">
      <w:pPr>
        <w:pStyle w:val="11"/>
        <w:kinsoku w:val="0"/>
        <w:overflowPunct w:val="0"/>
        <w:spacing w:before="36"/>
        <w:ind w:left="10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sectPr>
          <w:headerReference r:id="rId13" w:type="default"/>
          <w:footerReference r:id="rId14" w:type="default"/>
          <w:pgSz w:w="11905" w:h="16838"/>
          <w:pgMar w:top="1417" w:right="1417" w:bottom="1417" w:left="1417" w:header="992" w:footer="992" w:gutter="0"/>
          <w:lnNumType w:countBy="0" w:distance="360"/>
          <w:cols w:space="720" w:num="1"/>
        </w:sectPr>
      </w:pPr>
    </w:p>
    <w:p w14:paraId="5A2D587F">
      <w:pPr>
        <w:pStyle w:val="6"/>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26" w:name="bookmark190"/>
      <w:bookmarkEnd w:id="226"/>
      <w:bookmarkStart w:id="227" w:name="bookmark188"/>
      <w:bookmarkEnd w:id="227"/>
      <w:bookmarkStart w:id="228" w:name="bookmark189"/>
      <w:bookmarkEnd w:id="228"/>
      <w:bookmarkStart w:id="229" w:name="_Toc11195"/>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）拟委任的主要人员汇总表</w:t>
      </w:r>
      <w:bookmarkEnd w:id="229"/>
    </w:p>
    <w:p w14:paraId="694B93CF">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2BFFB8A4">
      <w:pPr>
        <w:pStyle w:val="11"/>
        <w:kinsoku w:val="0"/>
        <w:overflowPunct w:val="0"/>
        <w:spacing w:before="11"/>
        <w:ind w:left="0"/>
        <w:rPr>
          <w:rFonts w:hint="eastAsia" w:asciiTheme="minorEastAsia" w:hAnsiTheme="minorEastAsia" w:eastAsiaTheme="minorEastAsia" w:cstheme="minorEastAsia"/>
          <w:color w:val="000000" w:themeColor="text1"/>
          <w:sz w:val="22"/>
          <w:szCs w:val="24"/>
          <w:highlight w:val="none"/>
          <w14:textFill>
            <w14:solidFill>
              <w14:schemeClr w14:val="tx1"/>
            </w14:solidFill>
          </w14:textFill>
        </w:rPr>
      </w:pPr>
    </w:p>
    <w:tbl>
      <w:tblPr>
        <w:tblStyle w:val="20"/>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24E0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7922D">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AD191">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07CB2">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65CFB">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6722E">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A5AEA">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D00FE">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备注</w:t>
            </w:r>
          </w:p>
        </w:tc>
      </w:tr>
      <w:tr w14:paraId="2946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C302D">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5D23F">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F0E45">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F1651">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8C741">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BC8B4">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EA0D3">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DC47E">
            <w:pPr>
              <w:pStyle w:val="28"/>
              <w:keepNext w:val="0"/>
              <w:keepLines w:val="0"/>
              <w:suppressLineNumbers w:val="0"/>
              <w:kinsoku w:val="0"/>
              <w:overflowPunct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0B26E">
            <w:pPr>
              <w:keepNext w:val="0"/>
              <w:keepLines w:val="0"/>
              <w:suppressLineNumbers w:val="0"/>
              <w:spacing w:before="0" w:beforeAutospacing="0" w:after="0" w:afterAutospacing="0" w:line="240" w:lineRule="atLeast"/>
              <w:ind w:left="0" w:right="0"/>
              <w:jc w:val="cente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tc>
      </w:tr>
      <w:tr w14:paraId="3FCE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2C8C9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D6CF3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AA0F3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8DC3B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304CC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01F76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4BE2F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D43B9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87A01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444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4A580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19896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10E92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DEFD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51E5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31C0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F0296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86CA7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7DB71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FBF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ED330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6887C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A4670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BE62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90F4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CC811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70D53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2ED78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F2F92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49D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4EB0E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06B7B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7B648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2E17D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05137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6996F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2899B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8C89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C2574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11A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01D5C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32113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21583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253CA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4DDC4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D2260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F705D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3F806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B8C6D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6F0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EFE83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99C1A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8E33A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C9952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EA520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6A207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2C372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55BB8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3A93B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A1B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5467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1466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D8B1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14C4E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10CE5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9002C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7ED90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8AC79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27FD2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DFE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63CB1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F62CE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F66F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5C93E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B2E3C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BC37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118E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D9013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9708B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6F2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6A2F6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59219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70081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93BA0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5A65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A7DF8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4AEBC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EF107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145A7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DE4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A17A6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EF865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5E7A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2EDE0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6ECA5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31F16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C45D8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962C4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3390B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05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F7355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BE971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E4113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66739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4EDF9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FE716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AFDCD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43A26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C7AFD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C12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D7C2A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5E5D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D0F0E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EBEF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F294A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5B086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30A83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F63A8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982E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895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23148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C2128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10B81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8E663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D0B7E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4A931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57B25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64782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7A1FA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A2A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3711C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4E94F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AF2C0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4541C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B986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F5DB4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C7C2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E85E1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6B29C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1AF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17DFE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08A07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2235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56A63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E5710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3F42B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7D6D3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785DE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D274A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783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A12B7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16258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9F8E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7B33A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61E5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35B9C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2C047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53D25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C0F62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A46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27282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DFE6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19E15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55C2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1BAAD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446AB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42F1A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1D70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2C809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713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CF32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5450F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1FADD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BBAA6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F187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59287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18938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42F22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F6235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003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6C6A2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04843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0B963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6E826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3A5E7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5C60C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5995C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67BAF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EF96F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B3C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56CB5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D2C7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2C58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9CD2C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62864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3BFD6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DAAD3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D2B15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4AC45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0E7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D3A69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5BC62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D88C9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F28E8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BF993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F328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F004C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9C5CF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70072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3DFEA4D4">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headerReference r:id="rId15" w:type="default"/>
          <w:footerReference r:id="rId16" w:type="default"/>
          <w:pgSz w:w="11905" w:h="16838"/>
          <w:pgMar w:top="1417" w:right="1417" w:bottom="1417" w:left="1417" w:header="992" w:footer="992" w:gutter="0"/>
          <w:lnNumType w:countBy="0" w:distance="360"/>
          <w:cols w:space="720" w:num="1"/>
        </w:sectPr>
      </w:pPr>
    </w:p>
    <w:p w14:paraId="5A26A72C">
      <w:pPr>
        <w:pStyle w:val="6"/>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30" w:name="bookmark191"/>
      <w:bookmarkEnd w:id="230"/>
      <w:bookmarkStart w:id="231" w:name="_Toc2391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）主要人员</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项目总监</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简历表</w:t>
      </w:r>
      <w:bookmarkEnd w:id="231"/>
    </w:p>
    <w:p w14:paraId="240BF521">
      <w:pPr>
        <w:pStyle w:val="11"/>
        <w:kinsoku w:val="0"/>
        <w:overflowPunct w:val="0"/>
        <w:ind w:left="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B9CB641">
      <w:pPr>
        <w:pStyle w:val="11"/>
        <w:kinsoku w:val="0"/>
        <w:overflowPunct w:val="0"/>
        <w:spacing w:before="5"/>
        <w:ind w:left="0"/>
        <w:rPr>
          <w:rFonts w:hint="eastAsia" w:asciiTheme="minorEastAsia" w:hAnsiTheme="minorEastAsia" w:eastAsiaTheme="minorEastAsia" w:cstheme="minorEastAsia"/>
          <w:color w:val="000000" w:themeColor="text1"/>
          <w:sz w:val="16"/>
          <w:szCs w:val="24"/>
          <w:highlight w:val="none"/>
          <w14:textFill>
            <w14:solidFill>
              <w14:schemeClr w14:val="tx1"/>
            </w14:solidFill>
          </w14:textFill>
        </w:rPr>
      </w:pPr>
    </w:p>
    <w:tbl>
      <w:tblPr>
        <w:tblStyle w:val="20"/>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044F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4C45A">
            <w:pPr>
              <w:pStyle w:val="28"/>
              <w:keepNext w:val="0"/>
              <w:keepLines w:val="0"/>
              <w:suppressLineNumbers w:val="0"/>
              <w:tabs>
                <w:tab w:val="left" w:pos="695"/>
              </w:tabs>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26BA92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7EFAD">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CA6DC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5D223">
            <w:pPr>
              <w:pStyle w:val="28"/>
              <w:keepNext w:val="0"/>
              <w:keepLines w:val="0"/>
              <w:suppressLineNumbers w:val="0"/>
              <w:kinsoku w:val="0"/>
              <w:overflowPunct w:val="0"/>
              <w:spacing w:before="3" w:beforeAutospacing="0" w:after="0" w:afterAutospacing="0" w:line="440" w:lineRule="exact"/>
              <w:ind w:left="0" w:right="122"/>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执业资格证书（或上岗</w:t>
            </w:r>
            <w:r>
              <w:rPr>
                <w:rFonts w:hint="eastAsia" w:asciiTheme="minorEastAsia" w:hAnsiTheme="minorEastAsia" w:eastAsiaTheme="minorEastAsia" w:cstheme="minorEastAsia"/>
                <w:color w:val="000000" w:themeColor="text1"/>
                <w:spacing w:val="-8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0E55B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EC4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C3336">
            <w:pPr>
              <w:pStyle w:val="28"/>
              <w:keepNext w:val="0"/>
              <w:keepLines w:val="0"/>
              <w:suppressLineNumbers w:val="0"/>
              <w:tabs>
                <w:tab w:val="left" w:pos="695"/>
              </w:tabs>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12C288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BAC06">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CE8E3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3652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026DC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177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7F52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0E5DC9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C3A54">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856A0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46D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9A1C1">
            <w:pPr>
              <w:pStyle w:val="28"/>
              <w:keepNext w:val="0"/>
              <w:keepLines w:val="0"/>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主要工作经历</w:t>
            </w:r>
          </w:p>
        </w:tc>
      </w:tr>
      <w:tr w14:paraId="0201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CA0D8">
            <w:pPr>
              <w:pStyle w:val="28"/>
              <w:keepNext w:val="0"/>
              <w:keepLines w:val="0"/>
              <w:suppressLineNumbers w:val="0"/>
              <w:tabs>
                <w:tab w:val="left" w:pos="873"/>
              </w:tabs>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97EE0">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6D30A0">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AB445">
            <w:pPr>
              <w:pStyle w:val="28"/>
              <w:keepNext w:val="0"/>
              <w:keepLines w:val="0"/>
              <w:suppressLineNumbers w:val="0"/>
              <w:kinsoku w:val="0"/>
              <w:overflowPunct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委托人及联系电话</w:t>
            </w:r>
          </w:p>
        </w:tc>
      </w:tr>
      <w:tr w14:paraId="5E38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1F5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02E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417E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412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576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A75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CD6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B87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77E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404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6A0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8BD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E83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639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E45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907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0BC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1C2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84E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6F2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0B0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9D1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264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11C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B9E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1E2F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490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B39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7D4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CE4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D70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373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F34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2AE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62C4AAA5">
      <w:pPr>
        <w:pStyle w:val="11"/>
        <w:kinsoku w:val="0"/>
        <w:overflowPunct w:val="0"/>
        <w:spacing w:before="6"/>
        <w:ind w:lef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F9D55F8">
      <w:pPr>
        <w:pStyle w:val="11"/>
        <w:kinsoku w:val="0"/>
        <w:overflowPunct w:val="0"/>
        <w:spacing w:before="36"/>
        <w:ind w:lef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BFC3275">
      <w:pPr>
        <w:pStyle w:val="11"/>
        <w:kinsoku w:val="0"/>
        <w:overflowPunct w:val="0"/>
        <w:spacing w:before="36"/>
        <w:ind w:lef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headerReference r:id="rId17" w:type="default"/>
          <w:footerReference r:id="rId18" w:type="default"/>
          <w:pgSz w:w="11905" w:h="16838"/>
          <w:pgMar w:top="1417" w:right="1417" w:bottom="1417" w:left="1417" w:header="992" w:footer="992" w:gutter="0"/>
          <w:lnNumType w:countBy="0" w:distance="360"/>
          <w:cols w:space="720" w:num="1"/>
        </w:sectPr>
      </w:pPr>
    </w:p>
    <w:p w14:paraId="543D5ABD">
      <w:pPr>
        <w:pStyle w:val="6"/>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32" w:name="bookmark192"/>
      <w:bookmarkEnd w:id="232"/>
      <w:bookmarkStart w:id="233" w:name="_Toc1228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）拟投入本项目的主要试验检测仪器设备表</w:t>
      </w:r>
      <w:bookmarkEnd w:id="233"/>
    </w:p>
    <w:p w14:paraId="2C9C3B66">
      <w:pPr>
        <w:pStyle w:val="11"/>
        <w:kinsoku w:val="0"/>
        <w:overflowPunct w:val="0"/>
        <w:ind w:left="0"/>
        <w:rPr>
          <w:rFonts w:hint="eastAsia" w:asciiTheme="minorEastAsia" w:hAnsiTheme="minorEastAsia" w:eastAsiaTheme="minorEastAsia" w:cstheme="minorEastAsia"/>
          <w:color w:val="000000" w:themeColor="text1"/>
          <w:sz w:val="20"/>
          <w:szCs w:val="24"/>
          <w:highlight w:val="none"/>
          <w14:textFill>
            <w14:solidFill>
              <w14:schemeClr w14:val="tx1"/>
            </w14:solidFill>
          </w14:textFill>
        </w:rPr>
      </w:pPr>
    </w:p>
    <w:p w14:paraId="6FD5AF3C">
      <w:pPr>
        <w:pStyle w:val="11"/>
        <w:kinsoku w:val="0"/>
        <w:overflowPunct w:val="0"/>
        <w:spacing w:before="11"/>
        <w:ind w:left="0"/>
        <w:rPr>
          <w:rFonts w:hint="eastAsia" w:asciiTheme="minorEastAsia" w:hAnsiTheme="minorEastAsia" w:eastAsiaTheme="minorEastAsia" w:cstheme="minorEastAsia"/>
          <w:color w:val="000000" w:themeColor="text1"/>
          <w:sz w:val="22"/>
          <w:szCs w:val="24"/>
          <w:highlight w:val="none"/>
          <w14:textFill>
            <w14:solidFill>
              <w14:schemeClr w14:val="tx1"/>
            </w14:solidFill>
          </w14:textFill>
        </w:rPr>
      </w:pPr>
    </w:p>
    <w:tbl>
      <w:tblPr>
        <w:tblStyle w:val="2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274F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36" w:type="dxa"/>
            <w:noWrap w:val="0"/>
            <w:vAlign w:val="center"/>
          </w:tcPr>
          <w:p w14:paraId="19A4E25C">
            <w:pPr>
              <w:keepNext w:val="0"/>
              <w:keepLines w:val="0"/>
              <w:suppressLineNumbers w:val="0"/>
              <w:spacing w:before="0" w:beforeAutospacing="0" w:after="0" w:afterAutospacing="0" w:line="440" w:lineRule="exact"/>
              <w:ind w:left="0" w:righ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635" w:type="dxa"/>
            <w:noWrap w:val="0"/>
            <w:vAlign w:val="center"/>
          </w:tcPr>
          <w:p w14:paraId="68A0BCFD">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仪器设备</w:t>
            </w:r>
          </w:p>
          <w:p w14:paraId="2021BEE7">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1170" w:type="dxa"/>
            <w:noWrap w:val="0"/>
            <w:vAlign w:val="center"/>
          </w:tcPr>
          <w:p w14:paraId="30F4D8C0">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型号</w:t>
            </w:r>
          </w:p>
          <w:p w14:paraId="308F8859">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w:t>
            </w:r>
          </w:p>
        </w:tc>
        <w:tc>
          <w:tcPr>
            <w:tcW w:w="747" w:type="dxa"/>
            <w:noWrap w:val="0"/>
            <w:vAlign w:val="center"/>
          </w:tcPr>
          <w:p w14:paraId="30EDC719">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993" w:type="dxa"/>
            <w:noWrap w:val="0"/>
            <w:vAlign w:val="center"/>
          </w:tcPr>
          <w:p w14:paraId="5E6214AF">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国别</w:t>
            </w:r>
          </w:p>
          <w:p w14:paraId="6B056DEA">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产地</w:t>
            </w:r>
          </w:p>
        </w:tc>
        <w:tc>
          <w:tcPr>
            <w:tcW w:w="994" w:type="dxa"/>
            <w:noWrap w:val="0"/>
            <w:vAlign w:val="center"/>
          </w:tcPr>
          <w:p w14:paraId="069F7168">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制造</w:t>
            </w:r>
          </w:p>
          <w:p w14:paraId="6681A712">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年份</w:t>
            </w:r>
          </w:p>
        </w:tc>
        <w:tc>
          <w:tcPr>
            <w:tcW w:w="1529" w:type="dxa"/>
            <w:noWrap w:val="0"/>
            <w:vAlign w:val="center"/>
          </w:tcPr>
          <w:p w14:paraId="4FFA4ECE">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用途</w:t>
            </w:r>
          </w:p>
        </w:tc>
        <w:tc>
          <w:tcPr>
            <w:tcW w:w="990" w:type="dxa"/>
            <w:noWrap w:val="0"/>
            <w:vAlign w:val="center"/>
          </w:tcPr>
          <w:p w14:paraId="0EB8FC8C">
            <w:pPr>
              <w:keepNext w:val="0"/>
              <w:keepLines w:val="0"/>
              <w:suppressLineNumbers w:val="0"/>
              <w:spacing w:before="0" w:beforeAutospacing="0" w:after="0" w:afterAutospacing="0" w:line="440" w:lineRule="exact"/>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6DC9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center"/>
          </w:tcPr>
          <w:p w14:paraId="45B11BFB">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635" w:type="dxa"/>
            <w:noWrap w:val="0"/>
            <w:vAlign w:val="center"/>
          </w:tcPr>
          <w:p w14:paraId="66CBB43C">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水准仪</w:t>
            </w:r>
          </w:p>
        </w:tc>
        <w:tc>
          <w:tcPr>
            <w:tcW w:w="1170" w:type="dxa"/>
            <w:noWrap w:val="0"/>
            <w:vAlign w:val="center"/>
          </w:tcPr>
          <w:p w14:paraId="76DDF4AE">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center"/>
          </w:tcPr>
          <w:p w14:paraId="0C7A019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center"/>
          </w:tcPr>
          <w:p w14:paraId="4A0E927F">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center"/>
          </w:tcPr>
          <w:p w14:paraId="7DDB8DB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center"/>
          </w:tcPr>
          <w:p w14:paraId="512A132C">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center"/>
          </w:tcPr>
          <w:p w14:paraId="05AA4DD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3FFD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6" w:type="dxa"/>
            <w:noWrap w:val="0"/>
            <w:vAlign w:val="center"/>
          </w:tcPr>
          <w:p w14:paraId="1002416F">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635" w:type="dxa"/>
            <w:noWrap w:val="0"/>
            <w:vAlign w:val="center"/>
          </w:tcPr>
          <w:p w14:paraId="3F63A66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经纬仪</w:t>
            </w:r>
          </w:p>
        </w:tc>
        <w:tc>
          <w:tcPr>
            <w:tcW w:w="1170" w:type="dxa"/>
            <w:noWrap w:val="0"/>
            <w:vAlign w:val="center"/>
          </w:tcPr>
          <w:p w14:paraId="31A5556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center"/>
          </w:tcPr>
          <w:p w14:paraId="7194396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center"/>
          </w:tcPr>
          <w:p w14:paraId="17FC8E9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center"/>
          </w:tcPr>
          <w:p w14:paraId="74DD1EA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center"/>
          </w:tcPr>
          <w:p w14:paraId="585A72E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center"/>
          </w:tcPr>
          <w:p w14:paraId="6E75B18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09AF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05644439">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635" w:type="dxa"/>
            <w:noWrap w:val="0"/>
            <w:vAlign w:val="center"/>
          </w:tcPr>
          <w:p w14:paraId="492AB0B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全站仪</w:t>
            </w:r>
          </w:p>
        </w:tc>
        <w:tc>
          <w:tcPr>
            <w:tcW w:w="1170" w:type="dxa"/>
            <w:noWrap w:val="0"/>
            <w:vAlign w:val="top"/>
          </w:tcPr>
          <w:p w14:paraId="7F85C53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0913B96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2060BFB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7F844DB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788570A7">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04F1A4B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5E4D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6002ED6A">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635" w:type="dxa"/>
            <w:noWrap w:val="0"/>
            <w:vAlign w:val="top"/>
          </w:tcPr>
          <w:p w14:paraId="22FA2F1E">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卷尺</w:t>
            </w:r>
          </w:p>
        </w:tc>
        <w:tc>
          <w:tcPr>
            <w:tcW w:w="1170" w:type="dxa"/>
            <w:noWrap w:val="0"/>
            <w:vAlign w:val="top"/>
          </w:tcPr>
          <w:p w14:paraId="70D9960F">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0AF19EE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0E112E1C">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238150C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7F60837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1CC7743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C8F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59615CE6">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635" w:type="dxa"/>
            <w:noWrap w:val="0"/>
            <w:vAlign w:val="top"/>
          </w:tcPr>
          <w:p w14:paraId="4B57A3A8">
            <w:pPr>
              <w:keepNext w:val="0"/>
              <w:keepLines w:val="0"/>
              <w:suppressLineNumbers w:val="0"/>
              <w:spacing w:before="0" w:beforeAutospacing="0" w:after="0" w:afterAutospacing="0"/>
              <w:ind w:left="0" w:right="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钢尺</w:t>
            </w:r>
          </w:p>
        </w:tc>
        <w:tc>
          <w:tcPr>
            <w:tcW w:w="1170" w:type="dxa"/>
            <w:noWrap w:val="0"/>
            <w:vAlign w:val="top"/>
          </w:tcPr>
          <w:p w14:paraId="02D9408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372A117F">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108E09E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7491A3A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1478042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165E744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B4A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36" w:type="dxa"/>
            <w:noWrap w:val="0"/>
            <w:vAlign w:val="top"/>
          </w:tcPr>
          <w:p w14:paraId="26537089">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635" w:type="dxa"/>
            <w:noWrap w:val="0"/>
            <w:vAlign w:val="center"/>
          </w:tcPr>
          <w:p w14:paraId="2EB911A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响鼓锤</w:t>
            </w:r>
          </w:p>
        </w:tc>
        <w:tc>
          <w:tcPr>
            <w:tcW w:w="1170" w:type="dxa"/>
            <w:noWrap w:val="0"/>
            <w:vAlign w:val="top"/>
          </w:tcPr>
          <w:p w14:paraId="505FE24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3D03CD1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09A3CC2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35D46977">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270A396F">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6E5ADE1C">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3AE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0867F2CF">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635" w:type="dxa"/>
            <w:noWrap w:val="0"/>
            <w:vAlign w:val="center"/>
          </w:tcPr>
          <w:p w14:paraId="16C687D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回弹仪</w:t>
            </w:r>
          </w:p>
        </w:tc>
        <w:tc>
          <w:tcPr>
            <w:tcW w:w="1170" w:type="dxa"/>
            <w:noWrap w:val="0"/>
            <w:vAlign w:val="top"/>
          </w:tcPr>
          <w:p w14:paraId="2FF2DBE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016B755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30EE879E">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35B5D6D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35267C8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0AFA6B9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4A28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6FB21B69">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635" w:type="dxa"/>
            <w:noWrap w:val="0"/>
            <w:vAlign w:val="center"/>
          </w:tcPr>
          <w:p w14:paraId="0B4B858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建筑工程检测尺</w:t>
            </w:r>
          </w:p>
        </w:tc>
        <w:tc>
          <w:tcPr>
            <w:tcW w:w="1170" w:type="dxa"/>
            <w:noWrap w:val="0"/>
            <w:vAlign w:val="top"/>
          </w:tcPr>
          <w:p w14:paraId="6838ABF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446F0EB8">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6B270A3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7EB3241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1790F79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7BF3199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3000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1370E9F2">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635" w:type="dxa"/>
            <w:noWrap w:val="0"/>
            <w:vAlign w:val="center"/>
          </w:tcPr>
          <w:p w14:paraId="473B89F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坍落度仪</w:t>
            </w:r>
          </w:p>
        </w:tc>
        <w:tc>
          <w:tcPr>
            <w:tcW w:w="1170" w:type="dxa"/>
            <w:noWrap w:val="0"/>
            <w:vAlign w:val="top"/>
          </w:tcPr>
          <w:p w14:paraId="0CC169E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2A7392C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35D2947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14B30A8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1EDBA96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5C7F5EB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946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378E5E6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635" w:type="dxa"/>
            <w:noWrap w:val="0"/>
            <w:vAlign w:val="center"/>
          </w:tcPr>
          <w:p w14:paraId="783BE41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游标卡尺</w:t>
            </w:r>
          </w:p>
        </w:tc>
        <w:tc>
          <w:tcPr>
            <w:tcW w:w="1170" w:type="dxa"/>
            <w:noWrap w:val="0"/>
            <w:vAlign w:val="top"/>
          </w:tcPr>
          <w:p w14:paraId="054E7E38">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7373128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0EF143E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5FDE62F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329E4B4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5B94227C">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4F8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4F56E65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635" w:type="dxa"/>
            <w:noWrap w:val="0"/>
            <w:vAlign w:val="center"/>
          </w:tcPr>
          <w:p w14:paraId="5A602D5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激光测距仪</w:t>
            </w:r>
          </w:p>
        </w:tc>
        <w:tc>
          <w:tcPr>
            <w:tcW w:w="1170" w:type="dxa"/>
            <w:noWrap w:val="0"/>
            <w:vAlign w:val="top"/>
          </w:tcPr>
          <w:p w14:paraId="317CB7A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0A171E9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0CFBC8C8">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360BD7B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6D4AB1A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5C329958">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7720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1C6CCF1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635" w:type="dxa"/>
            <w:noWrap w:val="0"/>
            <w:vAlign w:val="center"/>
          </w:tcPr>
          <w:p w14:paraId="371240E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内外直角检测尺</w:t>
            </w:r>
          </w:p>
        </w:tc>
        <w:tc>
          <w:tcPr>
            <w:tcW w:w="1170" w:type="dxa"/>
            <w:noWrap w:val="0"/>
            <w:vAlign w:val="top"/>
          </w:tcPr>
          <w:p w14:paraId="544264EF">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7D4CCA0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0A6A1DC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104891F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4DD616A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557F5747">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3083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0B2C56EF">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635" w:type="dxa"/>
            <w:noWrap w:val="0"/>
            <w:vAlign w:val="top"/>
          </w:tcPr>
          <w:p w14:paraId="66EEE96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测厚规</w:t>
            </w:r>
          </w:p>
        </w:tc>
        <w:tc>
          <w:tcPr>
            <w:tcW w:w="1170" w:type="dxa"/>
            <w:noWrap w:val="0"/>
            <w:vAlign w:val="top"/>
          </w:tcPr>
          <w:p w14:paraId="47539C97">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4E0626D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295D549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6E9DD5B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7055EF1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7B95F49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450B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36" w:type="dxa"/>
            <w:noWrap w:val="0"/>
            <w:vAlign w:val="top"/>
          </w:tcPr>
          <w:p w14:paraId="4BD1B28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635" w:type="dxa"/>
            <w:noWrap w:val="0"/>
            <w:vAlign w:val="top"/>
          </w:tcPr>
          <w:p w14:paraId="7A343E53">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氯离子含量测定仪（混凝土）</w:t>
            </w:r>
          </w:p>
        </w:tc>
        <w:tc>
          <w:tcPr>
            <w:tcW w:w="1170" w:type="dxa"/>
            <w:noWrap w:val="0"/>
            <w:vAlign w:val="top"/>
          </w:tcPr>
          <w:p w14:paraId="58C2704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331D63F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26B249F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24BD69D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6CD23AF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505D7B7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282C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2167EF5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635" w:type="dxa"/>
            <w:noWrap w:val="0"/>
            <w:vAlign w:val="top"/>
          </w:tcPr>
          <w:p w14:paraId="1A72DC7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接地电阻测试仪</w:t>
            </w:r>
          </w:p>
        </w:tc>
        <w:tc>
          <w:tcPr>
            <w:tcW w:w="1170" w:type="dxa"/>
            <w:noWrap w:val="0"/>
            <w:vAlign w:val="top"/>
          </w:tcPr>
          <w:p w14:paraId="2D1FC36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7C37626E">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190DCC0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0BA7C678">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501C3EB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673B9EE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170D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7EF4298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635" w:type="dxa"/>
            <w:noWrap w:val="0"/>
            <w:vAlign w:val="top"/>
          </w:tcPr>
          <w:p w14:paraId="4F2BD06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裂缝测宽仪</w:t>
            </w:r>
          </w:p>
        </w:tc>
        <w:tc>
          <w:tcPr>
            <w:tcW w:w="1170" w:type="dxa"/>
            <w:noWrap w:val="0"/>
            <w:vAlign w:val="top"/>
          </w:tcPr>
          <w:p w14:paraId="276F01C8">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1D39A57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2018E5E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662AE38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2684D03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7805124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FC2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597DD09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635" w:type="dxa"/>
            <w:noWrap w:val="0"/>
            <w:vAlign w:val="top"/>
          </w:tcPr>
          <w:p w14:paraId="111BABC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兆欧表</w:t>
            </w:r>
          </w:p>
        </w:tc>
        <w:tc>
          <w:tcPr>
            <w:tcW w:w="1170" w:type="dxa"/>
            <w:noWrap w:val="0"/>
            <w:vAlign w:val="top"/>
          </w:tcPr>
          <w:p w14:paraId="72CADCC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0A6BA6E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6C36CCD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69201C0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3CCBD4C7">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68CE6DD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1AE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485B58B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635" w:type="dxa"/>
            <w:noWrap w:val="0"/>
            <w:vAlign w:val="top"/>
          </w:tcPr>
          <w:p w14:paraId="13F1A63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漏电测试仪</w:t>
            </w:r>
          </w:p>
        </w:tc>
        <w:tc>
          <w:tcPr>
            <w:tcW w:w="1170" w:type="dxa"/>
            <w:noWrap w:val="0"/>
            <w:vAlign w:val="top"/>
          </w:tcPr>
          <w:p w14:paraId="3E9FB50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51A409C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0EEDAD8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2A82223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332DD24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509D833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037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3A21A72C">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635" w:type="dxa"/>
            <w:noWrap w:val="0"/>
            <w:vAlign w:val="top"/>
          </w:tcPr>
          <w:p w14:paraId="23EE52B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相位检测仪</w:t>
            </w:r>
          </w:p>
        </w:tc>
        <w:tc>
          <w:tcPr>
            <w:tcW w:w="1170" w:type="dxa"/>
            <w:noWrap w:val="0"/>
            <w:vAlign w:val="top"/>
          </w:tcPr>
          <w:p w14:paraId="782F267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10A856F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66603906">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7216DFC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50DAC9C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0432A5D5">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68B7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17850FC1">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635" w:type="dxa"/>
            <w:noWrap w:val="0"/>
            <w:vAlign w:val="top"/>
          </w:tcPr>
          <w:p w14:paraId="71BE22AF">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影像记录仪（可使用手机替代）</w:t>
            </w:r>
          </w:p>
        </w:tc>
        <w:tc>
          <w:tcPr>
            <w:tcW w:w="1170" w:type="dxa"/>
            <w:noWrap w:val="0"/>
            <w:vAlign w:val="top"/>
          </w:tcPr>
          <w:p w14:paraId="08C7D16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7E13D45C">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4119E91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429D24E2">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2AB3BAC0">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29B6EB64">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r w14:paraId="13AC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6" w:type="dxa"/>
            <w:noWrap w:val="0"/>
            <w:vAlign w:val="top"/>
          </w:tcPr>
          <w:p w14:paraId="48A388AC">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635" w:type="dxa"/>
            <w:noWrap w:val="0"/>
            <w:vAlign w:val="top"/>
          </w:tcPr>
          <w:p w14:paraId="370F2817">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70" w:type="dxa"/>
            <w:noWrap w:val="0"/>
            <w:vAlign w:val="top"/>
          </w:tcPr>
          <w:p w14:paraId="2713896E">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747" w:type="dxa"/>
            <w:noWrap w:val="0"/>
            <w:vAlign w:val="top"/>
          </w:tcPr>
          <w:p w14:paraId="0733499B">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3" w:type="dxa"/>
            <w:noWrap w:val="0"/>
            <w:vAlign w:val="top"/>
          </w:tcPr>
          <w:p w14:paraId="299E8BB9">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4" w:type="dxa"/>
            <w:noWrap w:val="0"/>
            <w:vAlign w:val="top"/>
          </w:tcPr>
          <w:p w14:paraId="223774EA">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1529" w:type="dxa"/>
            <w:noWrap w:val="0"/>
            <w:vAlign w:val="top"/>
          </w:tcPr>
          <w:p w14:paraId="76163048">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c>
          <w:tcPr>
            <w:tcW w:w="990" w:type="dxa"/>
            <w:noWrap w:val="0"/>
            <w:vAlign w:val="top"/>
          </w:tcPr>
          <w:p w14:paraId="35619BAD">
            <w:pPr>
              <w:keepNext w:val="0"/>
              <w:keepLines w:val="0"/>
              <w:suppressLineNumbers w:val="0"/>
              <w:spacing w:before="0" w:beforeAutospacing="0" w:after="0" w:afterAutospacing="0"/>
              <w:ind w:left="0" w:right="0"/>
              <w:jc w:val="center"/>
              <w:rPr>
                <w:rFonts w:ascii="宋体" w:hAnsi="宋体" w:cs="宋体"/>
                <w:color w:val="000000" w:themeColor="text1"/>
                <w:szCs w:val="21"/>
                <w:highlight w:val="none"/>
                <w14:textFill>
                  <w14:solidFill>
                    <w14:schemeClr w14:val="tx1"/>
                  </w14:solidFill>
                </w14:textFill>
              </w:rPr>
            </w:pPr>
          </w:p>
        </w:tc>
      </w:tr>
    </w:tbl>
    <w:p w14:paraId="3EF47D85">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headerReference r:id="rId19" w:type="default"/>
          <w:footerReference r:id="rId20" w:type="default"/>
          <w:pgSz w:w="11905" w:h="16838"/>
          <w:pgMar w:top="1417" w:right="1417" w:bottom="1417" w:left="1417" w:header="992" w:footer="992" w:gutter="0"/>
          <w:lnNumType w:countBy="0" w:distance="360"/>
          <w:cols w:space="720" w:num="1"/>
        </w:sectPr>
      </w:pPr>
    </w:p>
    <w:p w14:paraId="150A3EA7">
      <w:pPr>
        <w:pStyle w:val="6"/>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34" w:name="_Toc32582"/>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（六）投标人声明格式</w:t>
      </w:r>
      <w:bookmarkEnd w:id="234"/>
    </w:p>
    <w:p w14:paraId="004EE0FA">
      <w:pPr>
        <w:pStyle w:val="17"/>
        <w:spacing w:before="157" w:beforeLines="50" w:after="157" w:afterLines="50"/>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35" w:name="_Toc7353"/>
      <w:bookmarkStart w:id="236" w:name="_Toc681"/>
      <w:r>
        <w:rPr>
          <w:rFonts w:hint="eastAsia" w:asciiTheme="minorEastAsia" w:hAnsiTheme="minorEastAsia" w:eastAsiaTheme="minorEastAsia" w:cstheme="minorEastAsia"/>
          <w:b/>
          <w:color w:val="000000" w:themeColor="text1"/>
          <w:sz w:val="32"/>
          <w:szCs w:val="32"/>
          <w:highlight w:val="none"/>
          <w:lang w:val="en-US" w:eastAsia="zh-CN" w:bidi="ar-SA"/>
          <w14:textFill>
            <w14:solidFill>
              <w14:schemeClr w14:val="tx1"/>
            </w14:solidFill>
          </w14:textFill>
        </w:rPr>
        <w:t>投标人声明</w:t>
      </w:r>
      <w:bookmarkEnd w:id="235"/>
      <w:bookmarkEnd w:id="236"/>
      <w:r>
        <w:rPr>
          <w:rFonts w:hint="eastAsia" w:asciiTheme="minorEastAsia" w:hAnsiTheme="minorEastAsia" w:eastAsiaTheme="minorEastAsia" w:cstheme="minorEastAsia"/>
          <w:b/>
          <w:color w:val="000000" w:themeColor="text1"/>
          <w:sz w:val="32"/>
          <w:szCs w:val="32"/>
          <w:highlight w:val="none"/>
          <w:lang w:val="en-US" w:eastAsia="zh-CN" w:bidi="ar-SA"/>
          <w14:textFill>
            <w14:solidFill>
              <w14:schemeClr w14:val="tx1"/>
            </w14:solidFill>
          </w14:textFill>
        </w:rPr>
        <w:t>（参考格式）</w:t>
      </w:r>
    </w:p>
    <w:p w14:paraId="12225543">
      <w:pPr>
        <w:snapToGrid w:val="0"/>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C3733F1">
      <w:pPr>
        <w:snapToGrid w:val="0"/>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本招标项目招标人及招标监管机构：</w:t>
      </w:r>
    </w:p>
    <w:p w14:paraId="06AADA8D">
      <w:pPr>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本公司就参加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项目投标工作，作出郑重声明：</w:t>
      </w:r>
    </w:p>
    <w:p w14:paraId="543F8671">
      <w:pPr>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一、本公司保证投标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及其后提供的一切材料都是真实的。如我司成为本项目中标候选人，我司同意并授权招标人将我司投标文件商务部分的人员、业绩、奖项等资料进行公开。</w:t>
      </w:r>
    </w:p>
    <w:p w14:paraId="3BB9749A">
      <w:pPr>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w:t>
      </w:r>
      <w:r>
        <w:rPr>
          <w:rFonts w:hint="eastAsia" w:ascii="宋体" w:hAnsi="宋体" w:cs="宋体"/>
          <w:b/>
          <w:color w:val="000000" w:themeColor="text1"/>
          <w:kern w:val="0"/>
          <w:sz w:val="21"/>
          <w:szCs w:val="21"/>
          <w:highlight w:val="none"/>
          <w14:textFill>
            <w14:solidFill>
              <w14:schemeClr w14:val="tx1"/>
            </w14:solidFill>
          </w14:textFill>
        </w:rPr>
        <w:t>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000C198">
      <w:pPr>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三、本公司不存在招标文件第二章投标人须知第1.4.3项所规定的任何一种情形。</w:t>
      </w:r>
    </w:p>
    <w:p w14:paraId="073B50E8">
      <w:pPr>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四、本公司及其有隶属关系的机构，没有参加本项目招标文件的编写工作；本公司与本次招标的招标代理机构没有隶属关系或其他利害关系。</w:t>
      </w:r>
    </w:p>
    <w:p w14:paraId="23BFE856">
      <w:pPr>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237" w:name="_Toc14569"/>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五、本公司</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具有履行合同的能力，包括专业、技术资格和能力，资金、设备和其他物质设施能力，管理能力，类似工程经验、信誉状况等。</w:t>
      </w:r>
    </w:p>
    <w:p w14:paraId="458C0210">
      <w:pPr>
        <w:snapToGrid w:val="0"/>
        <w:spacing w:line="360" w:lineRule="auto"/>
        <w:ind w:firstLine="420" w:firstLineChars="20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38" w:name="_Toc4666"/>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、本公司承诺，中标后严格执行安全生产相关管理规定。</w:t>
      </w:r>
      <w:bookmarkEnd w:id="237"/>
      <w:bookmarkEnd w:id="238"/>
    </w:p>
    <w:p w14:paraId="42A240C7">
      <w:pPr>
        <w:snapToGrid w:val="0"/>
        <w:spacing w:line="360" w:lineRule="auto"/>
        <w:ind w:firstLine="420" w:firstLineChars="20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七、本公司积极响应广州市关于投身“百千万工程”的号召，主动参与政府投资类建设工程施工项目的建筑业结对帮扶等活动（市属国有企业投资项目参照执行）。</w:t>
      </w:r>
    </w:p>
    <w:p w14:paraId="2661173D">
      <w:pPr>
        <w:pStyle w:val="2"/>
        <w:spacing w:line="360" w:lineRule="auto"/>
        <w:ind w:firstLine="420" w:firstLineChars="200"/>
        <w:rPr>
          <w:rFonts w:hint="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八、与本公司单位负责人为同一人或者与本公司存在控股、管理关系的其他单位包括：       。（注：本条由投标人如实填写，如有，应列出全部满足招标公告资质要求的相关单位的名称；如无，则填写“无”。）</w:t>
      </w:r>
    </w:p>
    <w:p w14:paraId="79B2D97F">
      <w:pPr>
        <w:snapToGrid w:val="0"/>
        <w:spacing w:line="360" w:lineRule="auto"/>
        <w:ind w:firstLine="482"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本公司违反上述承诺，或本声明陈述与事实不符，经查实，本公司愿意接受公开通报，愿意按照《</w:t>
      </w:r>
      <w:r>
        <w:rPr>
          <w:rFonts w:hint="eastAsia" w:ascii="宋体" w:hAnsi="宋体" w:cs="宋体"/>
          <w:b/>
          <w:bCs/>
          <w:color w:val="000000" w:themeColor="text1"/>
          <w:kern w:val="0"/>
          <w:sz w:val="24"/>
          <w:szCs w:val="24"/>
          <w:highlight w:val="none"/>
          <w14:textFill>
            <w14:solidFill>
              <w14:schemeClr w14:val="tx1"/>
            </w14:solidFill>
          </w14:textFill>
        </w:rPr>
        <w:t>广州市水务工程施工和监理企业诚信评价管理办法</w:t>
      </w:r>
      <w:r>
        <w:rPr>
          <w:rFonts w:hint="eastAsia" w:ascii="宋体" w:hAnsi="宋体" w:cs="宋体"/>
          <w:b/>
          <w:color w:val="000000" w:themeColor="text1"/>
          <w:kern w:val="0"/>
          <w:sz w:val="24"/>
          <w:szCs w:val="24"/>
          <w:highlight w:val="none"/>
          <w14:textFill>
            <w14:solidFill>
              <w14:schemeClr w14:val="tx1"/>
            </w14:solidFill>
          </w14:textFill>
        </w:rPr>
        <w:t>》（穗水规字〔2020〕11号）的规定被记录为失信信息，</w:t>
      </w:r>
      <w:r>
        <w:rPr>
          <w:rFonts w:hint="eastAsia" w:ascii="宋体" w:hAnsi="宋体" w:cs="宋体"/>
          <w:color w:val="000000" w:themeColor="text1"/>
          <w:kern w:val="0"/>
          <w:sz w:val="24"/>
          <w:szCs w:val="24"/>
          <w:highlight w:val="none"/>
          <w14:textFill>
            <w14:solidFill>
              <w14:schemeClr w14:val="tx1"/>
            </w14:solidFill>
          </w14:textFill>
        </w:rPr>
        <w:t>承担由此带来的一切后果，并自愿停止参加广州市行政辖区内的招标投标活动三个月</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203CB84">
      <w:pPr>
        <w:widowControl/>
        <w:shd w:val="clear" w:color="auto" w:fill="FFFFFF"/>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特此声明。</w:t>
      </w:r>
    </w:p>
    <w:p w14:paraId="3ED21E7B">
      <w:pPr>
        <w:pStyle w:val="34"/>
        <w:ind w:right="1449"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D3A4E7F">
      <w:pPr>
        <w:pStyle w:val="34"/>
        <w:spacing w:line="240" w:lineRule="auto"/>
        <w:ind w:left="629" w:right="1449"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声明企业：</w:t>
      </w:r>
    </w:p>
    <w:p w14:paraId="26EACB87">
      <w:pPr>
        <w:pStyle w:val="29"/>
        <w:spacing w:line="240" w:lineRule="auto"/>
        <w:ind w:right="1779" w:firstLine="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法定代表人（签字）：</w:t>
      </w:r>
    </w:p>
    <w:p w14:paraId="2EBCF47A">
      <w:pPr>
        <w:pStyle w:val="29"/>
        <w:spacing w:line="240" w:lineRule="auto"/>
        <w:ind w:right="1779" w:firstLine="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总监理工程师（签字）：</w:t>
      </w:r>
    </w:p>
    <w:p w14:paraId="069146B7">
      <w:pPr>
        <w:pStyle w:val="29"/>
        <w:spacing w:line="240" w:lineRule="auto"/>
        <w:ind w:right="1779" w:firstLine="0"/>
        <w:jc w:val="righ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技术负责人（签字）：</w:t>
      </w:r>
    </w:p>
    <w:p w14:paraId="605340E9">
      <w:pPr>
        <w:pStyle w:val="29"/>
        <w:spacing w:line="240" w:lineRule="auto"/>
        <w:ind w:right="879"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（企业公章）</w:t>
      </w:r>
    </w:p>
    <w:p w14:paraId="37F8E789">
      <w:pPr>
        <w:pStyle w:val="29"/>
        <w:spacing w:line="240" w:lineRule="auto"/>
        <w:ind w:right="879"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  月  日</w:t>
      </w:r>
    </w:p>
    <w:p w14:paraId="1ED8F4D0">
      <w:pPr>
        <w:pStyle w:val="25"/>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0AE65D7A">
      <w:pPr>
        <w:pStyle w:val="6"/>
        <w:pageBreakBefore/>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投标人廉洁承诺书（格式）</w:t>
      </w:r>
    </w:p>
    <w:p w14:paraId="08DF0F70">
      <w:pPr>
        <w:pStyle w:val="17"/>
        <w:spacing w:before="157" w:beforeLines="50" w:beforeAutospacing="0" w:after="157" w:afterLines="50" w:afterAutospacing="0" w:line="360" w:lineRule="auto"/>
        <w:ind w:firstLine="0"/>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投标人廉洁承诺书</w:t>
      </w:r>
    </w:p>
    <w:p w14:paraId="2ED212A8">
      <w:pPr>
        <w:pStyle w:val="17"/>
        <w:shd w:val="clear" w:color="auto" w:fill="FFFFFF"/>
        <w:spacing w:before="0" w:beforeAutospacing="0" w:after="0" w:afterAutospacing="0" w:line="360" w:lineRule="auto"/>
        <w:ind w:firstLine="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广州市水务局、本招标项目招标人及招标监管机构：</w:t>
      </w:r>
    </w:p>
    <w:p w14:paraId="2F8A5409">
      <w:pPr>
        <w:pStyle w:val="2"/>
        <w:spacing w:line="360" w:lineRule="auto"/>
        <w:ind w:right="42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本公司参加了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（项目名称/标段名称）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51BCA5C">
      <w:pPr>
        <w:pStyle w:val="2"/>
        <w:spacing w:line="360" w:lineRule="auto"/>
        <w:ind w:right="42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一、自觉遵守国家有关法律法规及廉洁规定。</w:t>
      </w:r>
    </w:p>
    <w:p w14:paraId="3DC8B166">
      <w:pPr>
        <w:pStyle w:val="2"/>
        <w:spacing w:line="360" w:lineRule="auto"/>
        <w:ind w:right="42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二、不与招标单位工作人员串通投标，损害国家利益、企业利益以及他人的合法利益；</w:t>
      </w:r>
    </w:p>
    <w:p w14:paraId="0A71742F">
      <w:pPr>
        <w:pStyle w:val="2"/>
        <w:spacing w:line="360" w:lineRule="auto"/>
        <w:ind w:right="42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三、不与其他单位围标、串标，不出让投标资格，不向招标人或评标委员会成员行贿。</w:t>
      </w:r>
    </w:p>
    <w:p w14:paraId="191E71E7">
      <w:pPr>
        <w:pStyle w:val="2"/>
        <w:spacing w:line="360" w:lineRule="auto"/>
        <w:ind w:right="42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四、不以任何名义向参与招标、评标工作的有关人员提供高消费宴请及娱乐活动和赠送回扣、红包、礼金、购物卡、有价证券、贵重物品和好处费、感谢费等； </w:t>
      </w:r>
    </w:p>
    <w:p w14:paraId="210E6C4B">
      <w:pPr>
        <w:pStyle w:val="2"/>
        <w:spacing w:line="360" w:lineRule="auto"/>
        <w:ind w:right="420"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五、不以任何名义为参与招标、评标工作的有关人员装修住房、婚丧嫁取、配偶子女的工作安排以及境内外旅游等提供方便；</w:t>
      </w:r>
    </w:p>
    <w:p w14:paraId="08D2B336">
      <w:pPr>
        <w:pStyle w:val="2"/>
        <w:spacing w:line="360" w:lineRule="auto"/>
        <w:ind w:right="420"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六、不以谋取非正当利益为目的，擅自与参与招标、评标工作的有关人员就业务问题进行私下商谈或者达成利益默契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76965CDF">
      <w:pPr>
        <w:pStyle w:val="17"/>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本公司违反上述承诺，或本承诺陈述与事实不符，经查实，本公司愿意接受公开通报，承担由此带来的法律后果。</w:t>
      </w:r>
    </w:p>
    <w:p w14:paraId="3EEC3A5E">
      <w:pPr>
        <w:pStyle w:val="17"/>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606A8A3">
      <w:pPr>
        <w:pStyle w:val="17"/>
        <w:shd w:val="clear" w:color="auto" w:fill="FFFFFF"/>
        <w:spacing w:before="0" w:beforeAutospacing="0" w:after="0" w:afterAutospacing="0" w:line="360" w:lineRule="auto"/>
        <w:ind w:right="1455" w:firstLine="288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承诺企业（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单位章）：      </w:t>
      </w:r>
    </w:p>
    <w:p w14:paraId="535A686C">
      <w:pPr>
        <w:pStyle w:val="17"/>
        <w:shd w:val="clear" w:color="auto" w:fill="FFFFFF"/>
        <w:spacing w:before="0" w:beforeAutospacing="0" w:after="0" w:afterAutospacing="0" w:line="360" w:lineRule="auto"/>
        <w:ind w:firstLine="48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法定代表人签字：           </w:t>
      </w:r>
    </w:p>
    <w:p w14:paraId="7828E8A5">
      <w:pPr>
        <w:pStyle w:val="25"/>
        <w:ind w:firstLine="0" w:firstLineChars="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   月   日</w:t>
      </w:r>
    </w:p>
    <w:p w14:paraId="62FDE277">
      <w:pPr>
        <w:pStyle w:val="5"/>
        <w:widowControl/>
        <w:jc w:val="center"/>
        <w:outlineLvl w:val="1"/>
        <w:rPr>
          <w:rFonts w:hint="eastAsia" w:ascii="宋体" w:hAnsi="宋体" w:eastAsia="宋体" w:cs="宋体"/>
          <w:b/>
          <w:bCs w:val="0"/>
          <w:color w:val="000000" w:themeColor="text1"/>
          <w:sz w:val="28"/>
          <w:szCs w:val="28"/>
          <w:highlight w:val="none"/>
          <w14:textFill>
            <w14:solidFill>
              <w14:schemeClr w14:val="tx1"/>
            </w14:solidFill>
          </w14:textFill>
        </w:rPr>
      </w:pPr>
      <w:bookmarkStart w:id="239" w:name="bookmark193"/>
      <w:bookmarkEnd w:id="239"/>
      <w:bookmarkStart w:id="240" w:name="_Toc3592"/>
      <w:r>
        <w:rPr>
          <w:rFonts w:hint="eastAsia" w:ascii="宋体" w:hAnsi="宋体" w:eastAsia="宋体" w:cs="宋体"/>
          <w:b/>
          <w:bCs w:val="0"/>
          <w:color w:val="000000" w:themeColor="text1"/>
          <w:sz w:val="28"/>
          <w:szCs w:val="28"/>
          <w:highlight w:val="none"/>
          <w14:textFill>
            <w14:solidFill>
              <w14:schemeClr w14:val="tx1"/>
            </w14:solidFill>
          </w14:textFill>
        </w:rPr>
        <w:t>五、资信业绩资料</w:t>
      </w:r>
    </w:p>
    <w:p w14:paraId="31A90F2A">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50BF7B68">
      <w:pPr>
        <w:keepNext w:val="0"/>
        <w:keepLines w:val="0"/>
        <w:widowControl w:val="0"/>
        <w:suppressLineNumbers w:val="0"/>
        <w:autoSpaceDE w:val="0"/>
        <w:autoSpaceDN w:val="0"/>
        <w:adjustRightInd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投标人根据评审办法提供相应评审资料。</w:t>
      </w:r>
    </w:p>
    <w:p w14:paraId="4DC615BB">
      <w:pPr>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p>
    <w:p w14:paraId="34280BB2">
      <w:pPr>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br w:type="page"/>
      </w:r>
    </w:p>
    <w:p w14:paraId="0D665A9C">
      <w:pPr>
        <w:pStyle w:val="5"/>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、监理大纲</w:t>
      </w:r>
      <w:bookmarkEnd w:id="240"/>
    </w:p>
    <w:p w14:paraId="10B68FFF">
      <w:pPr>
        <w:pStyle w:val="11"/>
        <w:kinsoku w:val="0"/>
        <w:overflowPunct w:val="0"/>
        <w:spacing w:beforeLines="100" w:line="360" w:lineRule="auto"/>
        <w:ind w:lef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监理大纲应包括（但不限于）下列内容：</w:t>
      </w:r>
    </w:p>
    <w:p w14:paraId="6F1447CE">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一、监理工程概况；</w:t>
      </w:r>
    </w:p>
    <w:p w14:paraId="063A85FA">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二、监理范围、监理内容；</w:t>
      </w:r>
    </w:p>
    <w:p w14:paraId="2FAA71E0">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三、监理依据、</w:t>
      </w:r>
      <w:r>
        <w:rPr>
          <w:rFonts w:hint="eastAsia" w:ascii="宋体" w:hAnsi="宋体" w:cs="宋体"/>
          <w:color w:val="000000" w:themeColor="text1"/>
          <w:highlight w:val="none"/>
          <w14:textFill>
            <w14:solidFill>
              <w14:schemeClr w14:val="tx1"/>
            </w14:solidFill>
          </w14:textFill>
        </w:rPr>
        <w:t>监理工作目标</w:t>
      </w:r>
      <w:r>
        <w:rPr>
          <w:rFonts w:hint="eastAsia" w:ascii="宋体" w:hAnsi="宋体" w:cs="宋体"/>
          <w:color w:val="000000" w:themeColor="text1"/>
          <w:szCs w:val="21"/>
          <w:highlight w:val="none"/>
          <w14:textFill>
            <w14:solidFill>
              <w14:schemeClr w14:val="tx1"/>
            </w14:solidFill>
          </w14:textFill>
        </w:rPr>
        <w:t>；</w:t>
      </w:r>
    </w:p>
    <w:p w14:paraId="790C045C">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四、监理机构设置（框图）、岗位职责；</w:t>
      </w:r>
    </w:p>
    <w:p w14:paraId="3C443024">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五、监理工作程序、方法和制度；</w:t>
      </w:r>
    </w:p>
    <w:p w14:paraId="5FC51885">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六、拟投入的监理人员、试验检测仪器设备；</w:t>
      </w:r>
    </w:p>
    <w:p w14:paraId="67DF1D23">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七、质量、进度、造价、安全、环保监理措施； </w:t>
      </w:r>
    </w:p>
    <w:p w14:paraId="352B5EA9">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八、合同、信息管理方案；</w:t>
      </w:r>
    </w:p>
    <w:p w14:paraId="01F88900">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九、组织协调内容及措施；</w:t>
      </w:r>
    </w:p>
    <w:p w14:paraId="2E995721">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十、监理工作重点、难点分析；</w:t>
      </w:r>
    </w:p>
    <w:p w14:paraId="2C5CE914">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十一、工程进度款、工程结算的管理；</w:t>
      </w:r>
    </w:p>
    <w:p w14:paraId="69623BE9">
      <w:pPr>
        <w:spacing w:line="360" w:lineRule="auto"/>
        <w:ind w:firstLine="542" w:firstLineChars="22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十二、会议制度；</w:t>
      </w:r>
    </w:p>
    <w:p w14:paraId="3D32AEA6">
      <w:pPr>
        <w:pStyle w:val="11"/>
        <w:numPr>
          <w:ilvl w:val="0"/>
          <w:numId w:val="0"/>
        </w:numPr>
        <w:kinsoku w:val="0"/>
        <w:overflowPunct w:val="0"/>
        <w:spacing w:line="360" w:lineRule="auto"/>
        <w:ind w:left="48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十三、对本工程监理的合理化建议。</w:t>
      </w:r>
    </w:p>
    <w:p w14:paraId="16AC556B">
      <w:pPr>
        <w:pStyle w:val="11"/>
        <w:kinsoku w:val="0"/>
        <w:overflowPunct w:val="0"/>
        <w:spacing w:before="275" w:line="357" w:lineRule="auto"/>
        <w:ind w:left="555" w:right="383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5" w:h="16838"/>
          <w:pgMar w:top="1417" w:right="1417" w:bottom="1417" w:left="1417" w:header="992" w:footer="992" w:gutter="0"/>
          <w:lnNumType w:countBy="0" w:distance="360"/>
          <w:cols w:space="720" w:num="1"/>
        </w:sectPr>
      </w:pPr>
    </w:p>
    <w:p w14:paraId="62554237">
      <w:pPr>
        <w:pStyle w:val="5"/>
        <w:numPr>
          <w:ilvl w:val="-1"/>
          <w:numId w:val="0"/>
        </w:numPr>
        <w:jc w:val="center"/>
        <w:outlineLvl w:val="1"/>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bookmarkStart w:id="241" w:name="bookmark194"/>
      <w:bookmarkEnd w:id="241"/>
      <w:bookmarkStart w:id="242" w:name="_Toc29707"/>
      <w:r>
        <w:rPr>
          <w:rFonts w:hint="eastAsia" w:asciiTheme="minorEastAsia" w:hAnsiTheme="minorEastAsia" w:eastAsiaTheme="minorEastAsia" w:cstheme="minorEastAsia"/>
          <w:color w:val="000000" w:themeColor="text1"/>
          <w:sz w:val="28"/>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t>其他资料</w:t>
      </w:r>
      <w:bookmarkEnd w:id="242"/>
    </w:p>
    <w:p w14:paraId="420ACC78">
      <w:pP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lang w:eastAsia="zh-CN"/>
          <w14:textFill>
            <w14:solidFill>
              <w14:schemeClr w14:val="tx1"/>
            </w14:solidFill>
          </w14:textFill>
        </w:rPr>
        <w:t>）中小企业声明函</w:t>
      </w:r>
    </w:p>
    <w:p w14:paraId="2CD980E0">
      <w:pPr>
        <w:pStyle w:val="5"/>
        <w:bidi w:val="0"/>
        <w:jc w:val="center"/>
        <w:rPr>
          <w:strike w:val="0"/>
          <w:color w:val="000000" w:themeColor="text1"/>
          <w:sz w:val="32"/>
          <w:szCs w:val="32"/>
          <w:highlight w:val="none"/>
          <w14:textFill>
            <w14:solidFill>
              <w14:schemeClr w14:val="tx1"/>
            </w14:solidFill>
          </w14:textFill>
        </w:rPr>
      </w:pPr>
      <w:bookmarkStart w:id="243" w:name="_Toc30671"/>
      <w:bookmarkStart w:id="244" w:name="_Toc22649"/>
      <w:r>
        <w:rPr>
          <w:rFonts w:hint="eastAsia"/>
          <w:strike w:val="0"/>
          <w:color w:val="000000" w:themeColor="text1"/>
          <w:sz w:val="32"/>
          <w:szCs w:val="32"/>
          <w:highlight w:val="none"/>
          <w14:textFill>
            <w14:solidFill>
              <w14:schemeClr w14:val="tx1"/>
            </w14:solidFill>
          </w14:textFill>
        </w:rPr>
        <w:t>中小企业声明函</w:t>
      </w:r>
      <w:bookmarkEnd w:id="243"/>
      <w:bookmarkEnd w:id="244"/>
    </w:p>
    <w:p w14:paraId="4724E8D8">
      <w:pPr>
        <w:autoSpaceDE w:val="0"/>
        <w:autoSpaceDN w:val="0"/>
        <w:adjustRightInd w:val="0"/>
        <w:snapToGrid w:val="0"/>
        <w:spacing w:line="360" w:lineRule="auto"/>
        <w:ind w:right="-49"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w:t>
      </w:r>
      <w:r>
        <w:rPr>
          <w:rFonts w:hint="eastAsia" w:ascii="宋体" w:hAnsi="宋体" w:eastAsia="宋体" w:cs="宋体"/>
          <w:color w:val="000000" w:themeColor="text1"/>
          <w:spacing w:val="3"/>
          <w:kern w:val="0"/>
          <w:sz w:val="24"/>
          <w:szCs w:val="24"/>
          <w:highlight w:val="none"/>
          <w14:textFill>
            <w14:solidFill>
              <w14:schemeClr w14:val="tx1"/>
            </w14:solidFill>
          </w14:textFill>
        </w:rPr>
        <w:t>公</w:t>
      </w:r>
      <w:r>
        <w:rPr>
          <w:rFonts w:hint="eastAsia" w:ascii="宋体" w:hAnsi="宋体" w:eastAsia="宋体" w:cs="宋体"/>
          <w:color w:val="000000" w:themeColor="text1"/>
          <w:spacing w:val="-5"/>
          <w:kern w:val="0"/>
          <w:sz w:val="24"/>
          <w:szCs w:val="24"/>
          <w:highlight w:val="none"/>
          <w14:textFill>
            <w14:solidFill>
              <w14:schemeClr w14:val="tx1"/>
            </w14:solidFill>
          </w14:textFill>
        </w:rPr>
        <w:t>司</w:t>
      </w:r>
      <w:r>
        <w:rPr>
          <w:rFonts w:hint="eastAsia" w:ascii="宋体" w:hAnsi="宋体" w:eastAsia="宋体" w:cs="宋体"/>
          <w:color w:val="000000" w:themeColor="text1"/>
          <w:kern w:val="0"/>
          <w:sz w:val="24"/>
          <w:szCs w:val="24"/>
          <w:highlight w:val="none"/>
          <w14:textFill>
            <w14:solidFill>
              <w14:schemeClr w14:val="tx1"/>
            </w14:solidFill>
          </w14:textFill>
        </w:rPr>
        <w:t>郑</w:t>
      </w:r>
      <w:r>
        <w:rPr>
          <w:rFonts w:hint="eastAsia" w:ascii="宋体" w:hAnsi="宋体" w:eastAsia="宋体" w:cs="宋体"/>
          <w:color w:val="000000" w:themeColor="text1"/>
          <w:spacing w:val="3"/>
          <w:kern w:val="0"/>
          <w:sz w:val="24"/>
          <w:szCs w:val="24"/>
          <w:highlight w:val="none"/>
          <w14:textFill>
            <w14:solidFill>
              <w14:schemeClr w14:val="tx1"/>
            </w14:solidFill>
          </w14:textFill>
        </w:rPr>
        <w:t>重</w:t>
      </w:r>
      <w:r>
        <w:rPr>
          <w:rFonts w:hint="eastAsia" w:ascii="宋体" w:hAnsi="宋体" w:eastAsia="宋体" w:cs="宋体"/>
          <w:color w:val="000000" w:themeColor="text1"/>
          <w:kern w:val="0"/>
          <w:sz w:val="24"/>
          <w:szCs w:val="24"/>
          <w:highlight w:val="none"/>
          <w14:textFill>
            <w14:solidFill>
              <w14:schemeClr w14:val="tx1"/>
            </w14:solidFill>
          </w14:textFill>
        </w:rPr>
        <w:t>声</w:t>
      </w:r>
      <w:r>
        <w:rPr>
          <w:rFonts w:hint="eastAsia" w:ascii="宋体" w:hAnsi="宋体" w:eastAsia="宋体" w:cs="宋体"/>
          <w:color w:val="000000" w:themeColor="text1"/>
          <w:spacing w:val="3"/>
          <w:kern w:val="0"/>
          <w:sz w:val="24"/>
          <w:szCs w:val="24"/>
          <w:highlight w:val="none"/>
          <w14:textFill>
            <w14:solidFill>
              <w14:schemeClr w14:val="tx1"/>
            </w14:solidFill>
          </w14:textFill>
        </w:rPr>
        <w:t>明</w:t>
      </w:r>
      <w:r>
        <w:rPr>
          <w:rFonts w:hint="eastAsia" w:ascii="宋体" w:hAnsi="宋体" w:eastAsia="宋体" w:cs="宋体"/>
          <w:color w:val="000000" w:themeColor="text1"/>
          <w:spacing w:val="-2"/>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根</w:t>
      </w:r>
      <w:r>
        <w:rPr>
          <w:rFonts w:hint="eastAsia" w:ascii="宋体" w:hAnsi="宋体" w:eastAsia="宋体" w:cs="宋体"/>
          <w:color w:val="000000" w:themeColor="text1"/>
          <w:spacing w:val="-2"/>
          <w:kern w:val="0"/>
          <w:sz w:val="24"/>
          <w:szCs w:val="24"/>
          <w:highlight w:val="none"/>
          <w14:textFill>
            <w14:solidFill>
              <w14:schemeClr w14:val="tx1"/>
            </w14:solidFill>
          </w14:textFill>
        </w:rPr>
        <w:t>据</w:t>
      </w:r>
      <w:r>
        <w:rPr>
          <w:rFonts w:hint="eastAsia" w:ascii="宋体" w:hAnsi="宋体" w:eastAsia="宋体" w:cs="宋体"/>
          <w:color w:val="000000" w:themeColor="text1"/>
          <w:spacing w:val="3"/>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政</w:t>
      </w:r>
      <w:r>
        <w:rPr>
          <w:rFonts w:hint="eastAsia" w:ascii="宋体" w:hAnsi="宋体" w:eastAsia="宋体" w:cs="宋体"/>
          <w:color w:val="000000" w:themeColor="text1"/>
          <w:spacing w:val="3"/>
          <w:kern w:val="0"/>
          <w:sz w:val="24"/>
          <w:szCs w:val="24"/>
          <w:highlight w:val="none"/>
          <w14:textFill>
            <w14:solidFill>
              <w14:schemeClr w14:val="tx1"/>
            </w14:solidFill>
          </w14:textFill>
        </w:rPr>
        <w:t>府</w:t>
      </w:r>
      <w:r>
        <w:rPr>
          <w:rFonts w:hint="eastAsia" w:ascii="宋体" w:hAnsi="宋体" w:eastAsia="宋体" w:cs="宋体"/>
          <w:color w:val="000000" w:themeColor="text1"/>
          <w:kern w:val="0"/>
          <w:sz w:val="24"/>
          <w:szCs w:val="24"/>
          <w:highlight w:val="none"/>
          <w14:textFill>
            <w14:solidFill>
              <w14:schemeClr w14:val="tx1"/>
            </w14:solidFill>
          </w14:textFill>
        </w:rPr>
        <w:t>采购促进中小企业发展管理办法》（财库﹝2020﹞46号）的规</w:t>
      </w:r>
      <w:r>
        <w:rPr>
          <w:rFonts w:hint="eastAsia" w:ascii="宋体" w:hAnsi="宋体" w:eastAsia="宋体" w:cs="宋体"/>
          <w:color w:val="000000" w:themeColor="text1"/>
          <w:spacing w:val="3"/>
          <w:kern w:val="0"/>
          <w:sz w:val="24"/>
          <w:szCs w:val="24"/>
          <w:highlight w:val="none"/>
          <w14:textFill>
            <w14:solidFill>
              <w14:schemeClr w14:val="tx1"/>
            </w14:solidFill>
          </w14:textFill>
        </w:rPr>
        <w:t>定</w:t>
      </w:r>
      <w:r>
        <w:rPr>
          <w:rFonts w:hint="eastAsia" w:ascii="宋体" w:hAnsi="宋体" w:eastAsia="宋体" w:cs="宋体"/>
          <w:color w:val="000000" w:themeColor="text1"/>
          <w:spacing w:val="5"/>
          <w:kern w:val="0"/>
          <w:sz w:val="24"/>
          <w:szCs w:val="24"/>
          <w:highlight w:val="none"/>
          <w14:textFill>
            <w14:solidFill>
              <w14:schemeClr w14:val="tx1"/>
            </w14:solidFill>
          </w14:textFill>
        </w:rPr>
        <w:t>，</w:t>
      </w:r>
      <w:r>
        <w:rPr>
          <w:rFonts w:hint="eastAsia" w:ascii="宋体" w:hAnsi="宋体" w:eastAsia="宋体" w:cs="宋体"/>
          <w:color w:val="000000" w:themeColor="text1"/>
          <w:spacing w:val="3"/>
          <w:kern w:val="0"/>
          <w:sz w:val="24"/>
          <w:szCs w:val="24"/>
          <w:highlight w:val="none"/>
          <w14:textFill>
            <w14:solidFill>
              <w14:schemeClr w14:val="tx1"/>
            </w14:solidFill>
          </w14:textFill>
        </w:rPr>
        <w:t>本</w:t>
      </w:r>
      <w:r>
        <w:rPr>
          <w:rFonts w:hint="eastAsia" w:ascii="宋体" w:hAnsi="宋体" w:eastAsia="宋体" w:cs="宋体"/>
          <w:color w:val="000000" w:themeColor="text1"/>
          <w:spacing w:val="5"/>
          <w:kern w:val="0"/>
          <w:sz w:val="24"/>
          <w:szCs w:val="24"/>
          <w:highlight w:val="none"/>
          <w14:textFill>
            <w14:solidFill>
              <w14:schemeClr w14:val="tx1"/>
            </w14:solidFill>
          </w14:textFill>
        </w:rPr>
        <w:t>公</w:t>
      </w:r>
      <w:r>
        <w:rPr>
          <w:rFonts w:hint="eastAsia" w:ascii="宋体" w:hAnsi="宋体" w:eastAsia="宋体" w:cs="宋体"/>
          <w:color w:val="000000" w:themeColor="text1"/>
          <w:kern w:val="0"/>
          <w:sz w:val="24"/>
          <w:szCs w:val="24"/>
          <w:highlight w:val="none"/>
          <w14:textFill>
            <w14:solidFill>
              <w14:schemeClr w14:val="tx1"/>
            </w14:solidFill>
          </w14:textFill>
        </w:rPr>
        <w:t>司参</w:t>
      </w:r>
      <w:r>
        <w:rPr>
          <w:rFonts w:hint="eastAsia" w:ascii="宋体" w:hAnsi="宋体" w:eastAsia="宋体" w:cs="宋体"/>
          <w:color w:val="000000" w:themeColor="text1"/>
          <w:spacing w:val="-14"/>
          <w:kern w:val="0"/>
          <w:sz w:val="24"/>
          <w:szCs w:val="24"/>
          <w:highlight w:val="none"/>
          <w14:textFill>
            <w14:solidFill>
              <w14:schemeClr w14:val="tx1"/>
            </w14:solidFill>
          </w14:textFill>
        </w:rPr>
        <w:t>加</w:t>
      </w:r>
      <w:r>
        <w:rPr>
          <w:rFonts w:hint="eastAsia" w:ascii="宋体" w:hAnsi="宋体" w:eastAsia="宋体" w:cs="宋体"/>
          <w:color w:val="000000" w:themeColor="text1"/>
          <w:spacing w:val="-14"/>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（招标人） </w:t>
      </w:r>
      <w:r>
        <w:rPr>
          <w:rFonts w:hint="eastAsia" w:ascii="宋体" w:hAnsi="宋体" w:eastAsia="宋体" w:cs="宋体"/>
          <w:color w:val="000000" w:themeColor="text1"/>
          <w:spacing w:val="-14"/>
          <w:kern w:val="0"/>
          <w:sz w:val="24"/>
          <w:szCs w:val="24"/>
          <w:highlight w:val="none"/>
          <w14:textFill>
            <w14:solidFill>
              <w14:schemeClr w14:val="tx1"/>
            </w14:solidFill>
          </w14:textFill>
        </w:rPr>
        <w:t>的</w:t>
      </w:r>
      <w:r>
        <w:rPr>
          <w:rFonts w:hint="eastAsia" w:ascii="宋体" w:hAnsi="宋体" w:eastAsia="宋体" w:cs="宋体"/>
          <w:color w:val="000000" w:themeColor="text1"/>
          <w:spacing w:val="-14"/>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（项目名称） </w:t>
      </w:r>
      <w:r>
        <w:rPr>
          <w:rFonts w:hint="eastAsia" w:ascii="宋体" w:hAnsi="宋体" w:eastAsia="宋体" w:cs="宋体"/>
          <w:color w:val="000000" w:themeColor="text1"/>
          <w:kern w:val="0"/>
          <w:sz w:val="24"/>
          <w:szCs w:val="24"/>
          <w:highlight w:val="none"/>
          <w14:textFill>
            <w14:solidFill>
              <w14:schemeClr w14:val="tx1"/>
            </w14:solidFill>
          </w14:textFill>
        </w:rPr>
        <w:t>招标活</w:t>
      </w:r>
      <w:r>
        <w:rPr>
          <w:rFonts w:hint="eastAsia" w:ascii="宋体" w:hAnsi="宋体" w:eastAsia="宋体" w:cs="宋体"/>
          <w:color w:val="000000" w:themeColor="text1"/>
          <w:spacing w:val="3"/>
          <w:kern w:val="0"/>
          <w:sz w:val="24"/>
          <w:szCs w:val="24"/>
          <w:highlight w:val="none"/>
          <w14:textFill>
            <w14:solidFill>
              <w14:schemeClr w14:val="tx1"/>
            </w14:solidFill>
          </w14:textFill>
        </w:rPr>
        <w:t>动</w:t>
      </w:r>
      <w:r>
        <w:rPr>
          <w:rFonts w:hint="eastAsia" w:ascii="宋体" w:hAnsi="宋体" w:eastAsia="宋体" w:cs="宋体"/>
          <w:color w:val="000000" w:themeColor="text1"/>
          <w:spacing w:val="-2"/>
          <w:kern w:val="0"/>
          <w:sz w:val="24"/>
          <w:szCs w:val="24"/>
          <w:highlight w:val="none"/>
          <w14:textFill>
            <w14:solidFill>
              <w14:schemeClr w14:val="tx1"/>
            </w14:solidFill>
          </w14:textFill>
        </w:rPr>
        <w:t>，服务全部由符合政策要求的中小企业承接</w:t>
      </w:r>
      <w:r>
        <w:rPr>
          <w:rFonts w:hint="eastAsia" w:ascii="宋体" w:hAnsi="宋体" w:eastAsia="宋体" w:cs="宋体"/>
          <w:color w:val="000000" w:themeColor="text1"/>
          <w:spacing w:val="7"/>
          <w:kern w:val="0"/>
          <w:position w:val="-2"/>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w:t>
      </w:r>
      <w:r>
        <w:rPr>
          <w:rFonts w:hint="eastAsia" w:ascii="宋体" w:hAnsi="宋体" w:eastAsia="宋体" w:cs="宋体"/>
          <w:color w:val="000000" w:themeColor="text1"/>
          <w:spacing w:val="3"/>
          <w:kern w:val="0"/>
          <w:sz w:val="24"/>
          <w:szCs w:val="24"/>
          <w:highlight w:val="none"/>
          <w14:textFill>
            <w14:solidFill>
              <w14:schemeClr w14:val="tx1"/>
            </w14:solidFill>
          </w14:textFill>
        </w:rPr>
        <w:t>体</w:t>
      </w:r>
      <w:r>
        <w:rPr>
          <w:rFonts w:hint="eastAsia" w:ascii="宋体" w:hAnsi="宋体" w:eastAsia="宋体" w:cs="宋体"/>
          <w:color w:val="000000" w:themeColor="text1"/>
          <w:kern w:val="0"/>
          <w:sz w:val="24"/>
          <w:szCs w:val="24"/>
          <w:highlight w:val="none"/>
          <w14:textFill>
            <w14:solidFill>
              <w14:schemeClr w14:val="tx1"/>
            </w14:solidFill>
          </w14:textFill>
        </w:rPr>
        <w:t>情况</w:t>
      </w:r>
      <w:r>
        <w:rPr>
          <w:rFonts w:hint="eastAsia" w:ascii="宋体" w:hAnsi="宋体" w:eastAsia="宋体" w:cs="宋体"/>
          <w:color w:val="000000" w:themeColor="text1"/>
          <w:spacing w:val="3"/>
          <w:kern w:val="0"/>
          <w:sz w:val="24"/>
          <w:szCs w:val="24"/>
          <w:highlight w:val="none"/>
          <w14:textFill>
            <w14:solidFill>
              <w14:schemeClr w14:val="tx1"/>
            </w14:solidFill>
          </w14:textFill>
        </w:rPr>
        <w:t>如</w:t>
      </w:r>
      <w:r>
        <w:rPr>
          <w:rFonts w:hint="eastAsia" w:ascii="宋体" w:hAnsi="宋体" w:eastAsia="宋体" w:cs="宋体"/>
          <w:color w:val="000000" w:themeColor="text1"/>
          <w:kern w:val="0"/>
          <w:sz w:val="24"/>
          <w:szCs w:val="24"/>
          <w:highlight w:val="none"/>
          <w14:textFill>
            <w14:solidFill>
              <w14:schemeClr w14:val="tx1"/>
            </w14:solidFill>
          </w14:textFill>
        </w:rPr>
        <w:t>下：</w:t>
      </w:r>
    </w:p>
    <w:p w14:paraId="178CC813">
      <w:pPr>
        <w:numPr>
          <w:ilvl w:val="0"/>
          <w:numId w:val="0"/>
        </w:numPr>
        <w:autoSpaceDE w:val="0"/>
        <w:autoSpaceDN w:val="0"/>
        <w:adjustRightInd w:val="0"/>
        <w:snapToGrid w:val="0"/>
        <w:spacing w:line="360" w:lineRule="auto"/>
        <w:ind w:right="-49" w:rightChars="0"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5"/>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5"/>
          <w:kern w:val="0"/>
          <w:sz w:val="24"/>
          <w:szCs w:val="24"/>
          <w:highlight w:val="none"/>
          <w:u w:val="single"/>
          <w14:textFill>
            <w14:solidFill>
              <w14:schemeClr w14:val="tx1"/>
            </w14:solidFill>
          </w14:textFill>
        </w:rPr>
        <w:t>（标的名称）</w:t>
      </w:r>
      <w:r>
        <w:rPr>
          <w:rFonts w:hint="eastAsia" w:ascii="宋体" w:hAnsi="宋体" w:eastAsia="宋体" w:cs="宋体"/>
          <w:color w:val="000000" w:themeColor="text1"/>
          <w:spacing w:val="5"/>
          <w:kern w:val="0"/>
          <w:sz w:val="24"/>
          <w:szCs w:val="24"/>
          <w:highlight w:val="none"/>
          <w14:textFill>
            <w14:solidFill>
              <w14:schemeClr w14:val="tx1"/>
            </w14:solidFill>
          </w14:textFill>
        </w:rPr>
        <w:t>，属于</w:t>
      </w:r>
      <w:r>
        <w:rPr>
          <w:rFonts w:hint="eastAsia" w:ascii="宋体" w:hAnsi="宋体" w:eastAsia="宋体" w:cs="宋体"/>
          <w:color w:val="000000" w:themeColor="text1"/>
          <w:spacing w:val="5"/>
          <w:kern w:val="0"/>
          <w:sz w:val="24"/>
          <w:szCs w:val="24"/>
          <w:highlight w:val="none"/>
          <w:u w:val="single"/>
          <w:lang w:val="en-US" w:eastAsia="zh-CN"/>
          <w14:textFill>
            <w14:solidFill>
              <w14:schemeClr w14:val="tx1"/>
            </w14:solidFill>
          </w14:textFill>
        </w:rPr>
        <w:t>其他未列明行业</w:t>
      </w:r>
      <w:r>
        <w:rPr>
          <w:rFonts w:hint="eastAsia" w:ascii="宋体" w:hAnsi="宋体" w:eastAsia="宋体" w:cs="宋体"/>
          <w:color w:val="000000" w:themeColor="text1"/>
          <w:spacing w:val="5"/>
          <w:kern w:val="0"/>
          <w:sz w:val="24"/>
          <w:szCs w:val="24"/>
          <w:highlight w:val="none"/>
          <w14:textFill>
            <w14:solidFill>
              <w14:schemeClr w14:val="tx1"/>
            </w14:solidFill>
          </w14:textFill>
        </w:rPr>
        <w:t>；承建（承接）企业为</w:t>
      </w:r>
      <w:r>
        <w:rPr>
          <w:rFonts w:hint="eastAsia" w:ascii="宋体" w:hAnsi="宋体" w:eastAsia="宋体" w:cs="宋体"/>
          <w:color w:val="000000" w:themeColor="text1"/>
          <w:spacing w:val="5"/>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5"/>
          <w:ker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5"/>
          <w:ker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5"/>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5"/>
          <w:kern w:val="0"/>
          <w:sz w:val="24"/>
          <w:szCs w:val="24"/>
          <w:highlight w:val="none"/>
          <w14:textFill>
            <w14:solidFill>
              <w14:schemeClr w14:val="tx1"/>
            </w14:solidFill>
          </w14:textFill>
        </w:rPr>
        <w:t>人，</w:t>
      </w:r>
      <w:r>
        <w:rPr>
          <w:rFonts w:hint="eastAsia" w:ascii="宋体" w:hAnsi="宋体" w:eastAsia="宋体" w:cs="宋体"/>
          <w:color w:val="000000" w:themeColor="text1"/>
          <w:spacing w:val="7"/>
          <w:kern w:val="0"/>
          <w:sz w:val="24"/>
          <w:szCs w:val="24"/>
          <w:highlight w:val="none"/>
          <w14:textFill>
            <w14:solidFill>
              <w14:schemeClr w14:val="tx1"/>
            </w14:solidFill>
          </w14:textFill>
        </w:rPr>
        <w:t>营</w:t>
      </w:r>
      <w:r>
        <w:rPr>
          <w:rFonts w:hint="eastAsia" w:ascii="宋体" w:hAnsi="宋体" w:eastAsia="宋体" w:cs="宋体"/>
          <w:color w:val="000000" w:themeColor="text1"/>
          <w:kern w:val="0"/>
          <w:sz w:val="24"/>
          <w:szCs w:val="24"/>
          <w:highlight w:val="none"/>
          <w14:textFill>
            <w14:solidFill>
              <w14:schemeClr w14:val="tx1"/>
            </w14:solidFill>
          </w14:textFill>
        </w:rPr>
        <w:t>业收</w:t>
      </w:r>
      <w:r>
        <w:rPr>
          <w:rFonts w:hint="eastAsia" w:ascii="宋体" w:hAnsi="宋体" w:eastAsia="宋体" w:cs="宋体"/>
          <w:color w:val="000000" w:themeColor="text1"/>
          <w:spacing w:val="3"/>
          <w:kern w:val="0"/>
          <w:sz w:val="24"/>
          <w:szCs w:val="24"/>
          <w:highlight w:val="none"/>
          <w14:textFill>
            <w14:solidFill>
              <w14:schemeClr w14:val="tx1"/>
            </w14:solidFill>
          </w14:textFill>
        </w:rPr>
        <w:t>入</w:t>
      </w:r>
      <w:r>
        <w:rPr>
          <w:rFonts w:hint="eastAsia" w:ascii="宋体" w:hAnsi="宋体" w:eastAsia="宋体" w:cs="宋体"/>
          <w:color w:val="000000" w:themeColor="text1"/>
          <w:kern w:val="0"/>
          <w:sz w:val="24"/>
          <w:szCs w:val="24"/>
          <w:highlight w:val="none"/>
          <w14:textFill>
            <w14:solidFill>
              <w14:schemeClr w14:val="tx1"/>
            </w14:solidFill>
          </w14:textFill>
        </w:rPr>
        <w:t>为</w:t>
      </w:r>
      <w:r>
        <w:rPr>
          <w:rFonts w:hint="eastAsia" w:ascii="宋体" w:hAnsi="宋体" w:eastAsia="宋体" w:cs="宋体"/>
          <w:color w:val="000000" w:themeColor="text1"/>
          <w:kern w:val="0"/>
          <w:sz w:val="24"/>
          <w:szCs w:val="24"/>
          <w:highlight w:val="none"/>
          <w:u w:val="single"/>
          <w14:textFill>
            <w14:solidFill>
              <w14:schemeClr w14:val="tx1"/>
            </w14:solidFill>
          </w14:textFill>
        </w:rPr>
        <w:tab/>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万</w:t>
      </w:r>
      <w:r>
        <w:rPr>
          <w:rFonts w:hint="eastAsia" w:ascii="宋体" w:hAnsi="宋体" w:eastAsia="宋体" w:cs="宋体"/>
          <w:color w:val="000000" w:themeColor="text1"/>
          <w:spacing w:val="3"/>
          <w:kern w:val="0"/>
          <w:sz w:val="24"/>
          <w:szCs w:val="24"/>
          <w:highlight w:val="none"/>
          <w14:textFill>
            <w14:solidFill>
              <w14:schemeClr w14:val="tx1"/>
            </w14:solidFill>
          </w14:textFill>
        </w:rPr>
        <w:t>元</w:t>
      </w:r>
      <w:r>
        <w:rPr>
          <w:rFonts w:hint="eastAsia" w:ascii="宋体" w:hAnsi="宋体" w:eastAsia="宋体" w:cs="宋体"/>
          <w:color w:val="000000" w:themeColor="text1"/>
          <w:kern w:val="0"/>
          <w:sz w:val="24"/>
          <w:szCs w:val="24"/>
          <w:highlight w:val="none"/>
          <w14:textFill>
            <w14:solidFill>
              <w14:schemeClr w14:val="tx1"/>
            </w14:solidFill>
          </w14:textFill>
        </w:rPr>
        <w:t>，资</w:t>
      </w:r>
      <w:r>
        <w:rPr>
          <w:rFonts w:hint="eastAsia" w:ascii="宋体" w:hAnsi="宋体" w:eastAsia="宋体" w:cs="宋体"/>
          <w:color w:val="000000" w:themeColor="text1"/>
          <w:spacing w:val="3"/>
          <w:kern w:val="0"/>
          <w:sz w:val="24"/>
          <w:szCs w:val="24"/>
          <w:highlight w:val="none"/>
          <w14:textFill>
            <w14:solidFill>
              <w14:schemeClr w14:val="tx1"/>
            </w14:solidFill>
          </w14:textFill>
        </w:rPr>
        <w:t>产</w:t>
      </w:r>
      <w:r>
        <w:rPr>
          <w:rFonts w:hint="eastAsia" w:ascii="宋体" w:hAnsi="宋体" w:eastAsia="宋体" w:cs="宋体"/>
          <w:color w:val="000000" w:themeColor="text1"/>
          <w:kern w:val="0"/>
          <w:sz w:val="24"/>
          <w:szCs w:val="24"/>
          <w:highlight w:val="none"/>
          <w14:textFill>
            <w14:solidFill>
              <w14:schemeClr w14:val="tx1"/>
            </w14:solidFill>
          </w14:textFill>
        </w:rPr>
        <w:t>总额为</w:t>
      </w:r>
      <w:r>
        <w:rPr>
          <w:rFonts w:hint="eastAsia" w:ascii="宋体" w:hAnsi="宋体" w:eastAsia="宋体" w:cs="宋体"/>
          <w:color w:val="000000" w:themeColor="text1"/>
          <w:spacing w:val="73"/>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73"/>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万</w:t>
      </w:r>
      <w:r>
        <w:rPr>
          <w:rFonts w:hint="eastAsia" w:ascii="宋体" w:hAnsi="宋体" w:eastAsia="宋体" w:cs="宋体"/>
          <w:color w:val="000000" w:themeColor="text1"/>
          <w:spacing w:val="3"/>
          <w:kern w:val="0"/>
          <w:sz w:val="24"/>
          <w:szCs w:val="24"/>
          <w:highlight w:val="none"/>
          <w14:textFill>
            <w14:solidFill>
              <w14:schemeClr w14:val="tx1"/>
            </w14:solidFill>
          </w14:textFill>
        </w:rPr>
        <w:t>元</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pacing w:val="3"/>
          <w:kern w:val="0"/>
          <w:sz w:val="24"/>
          <w:szCs w:val="24"/>
          <w:highlight w:val="none"/>
          <w14:textFill>
            <w14:solidFill>
              <w14:schemeClr w14:val="tx1"/>
            </w14:solidFill>
          </w14:textFill>
        </w:rPr>
        <w:t>属</w:t>
      </w:r>
      <w:r>
        <w:rPr>
          <w:rFonts w:hint="eastAsia" w:ascii="宋体" w:hAnsi="宋体" w:eastAsia="宋体" w:cs="宋体"/>
          <w:color w:val="000000" w:themeColor="text1"/>
          <w:spacing w:val="-14"/>
          <w:kern w:val="0"/>
          <w:sz w:val="24"/>
          <w:szCs w:val="24"/>
          <w:highlight w:val="none"/>
          <w14:textFill>
            <w14:solidFill>
              <w14:schemeClr w14:val="tx1"/>
            </w14:solidFill>
          </w14:textFill>
        </w:rPr>
        <w:t>于</w:t>
      </w:r>
      <w:r>
        <w:rPr>
          <w:rFonts w:hint="eastAsia" w:ascii="宋体" w:hAnsi="宋体" w:eastAsia="宋体" w:cs="宋体"/>
          <w:color w:val="000000" w:themeColor="text1"/>
          <w:spacing w:val="-14"/>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0"/>
          <w:position w:val="-2"/>
          <w:sz w:val="24"/>
          <w:szCs w:val="24"/>
          <w:highlight w:val="none"/>
          <w14:textFill>
            <w14:solidFill>
              <w14:schemeClr w14:val="tx1"/>
            </w14:solidFill>
          </w14:textFill>
        </w:rPr>
        <w:t>。</w:t>
      </w:r>
    </w:p>
    <w:p w14:paraId="7E2559D1">
      <w:pPr>
        <w:autoSpaceDE w:val="0"/>
        <w:autoSpaceDN w:val="0"/>
        <w:adjustRightInd w:val="0"/>
        <w:snapToGrid w:val="0"/>
        <w:spacing w:before="22" w:line="360" w:lineRule="auto"/>
        <w:ind w:right="-49"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w:t>
      </w:r>
      <w:r>
        <w:rPr>
          <w:rFonts w:hint="eastAsia" w:ascii="宋体" w:hAnsi="宋体" w:eastAsia="宋体" w:cs="宋体"/>
          <w:color w:val="000000" w:themeColor="text1"/>
          <w:spacing w:val="3"/>
          <w:kern w:val="0"/>
          <w:sz w:val="24"/>
          <w:szCs w:val="24"/>
          <w:highlight w:val="none"/>
          <w14:textFill>
            <w14:solidFill>
              <w14:schemeClr w14:val="tx1"/>
            </w14:solidFill>
          </w14:textFill>
        </w:rPr>
        <w:t>上</w:t>
      </w:r>
      <w:r>
        <w:rPr>
          <w:rFonts w:hint="eastAsia" w:ascii="宋体" w:hAnsi="宋体" w:eastAsia="宋体" w:cs="宋体"/>
          <w:color w:val="000000" w:themeColor="text1"/>
          <w:kern w:val="0"/>
          <w:sz w:val="24"/>
          <w:szCs w:val="24"/>
          <w:highlight w:val="none"/>
          <w14:textFill>
            <w14:solidFill>
              <w14:schemeClr w14:val="tx1"/>
            </w14:solidFill>
          </w14:textFill>
        </w:rPr>
        <w:t>企业</w:t>
      </w:r>
      <w:r>
        <w:rPr>
          <w:rFonts w:hint="eastAsia" w:ascii="宋体" w:hAnsi="宋体" w:eastAsia="宋体" w:cs="宋体"/>
          <w:color w:val="000000" w:themeColor="text1"/>
          <w:spacing w:val="-9"/>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不</w:t>
      </w:r>
      <w:r>
        <w:rPr>
          <w:rFonts w:hint="eastAsia" w:ascii="宋体" w:hAnsi="宋体" w:eastAsia="宋体" w:cs="宋体"/>
          <w:color w:val="000000" w:themeColor="text1"/>
          <w:spacing w:val="3"/>
          <w:kern w:val="0"/>
          <w:sz w:val="24"/>
          <w:szCs w:val="24"/>
          <w:highlight w:val="none"/>
          <w14:textFill>
            <w14:solidFill>
              <w14:schemeClr w14:val="tx1"/>
            </w14:solidFill>
          </w14:textFill>
        </w:rPr>
        <w:t>属</w:t>
      </w:r>
      <w:r>
        <w:rPr>
          <w:rFonts w:hint="eastAsia" w:ascii="宋体" w:hAnsi="宋体" w:eastAsia="宋体" w:cs="宋体"/>
          <w:color w:val="000000" w:themeColor="text1"/>
          <w:kern w:val="0"/>
          <w:sz w:val="24"/>
          <w:szCs w:val="24"/>
          <w:highlight w:val="none"/>
          <w14:textFill>
            <w14:solidFill>
              <w14:schemeClr w14:val="tx1"/>
            </w14:solidFill>
          </w14:textFill>
        </w:rPr>
        <w:t>于大</w:t>
      </w:r>
      <w:r>
        <w:rPr>
          <w:rFonts w:hint="eastAsia" w:ascii="宋体" w:hAnsi="宋体" w:eastAsia="宋体" w:cs="宋体"/>
          <w:color w:val="000000" w:themeColor="text1"/>
          <w:spacing w:val="3"/>
          <w:kern w:val="0"/>
          <w:sz w:val="24"/>
          <w:szCs w:val="24"/>
          <w:highlight w:val="none"/>
          <w14:textFill>
            <w14:solidFill>
              <w14:schemeClr w14:val="tx1"/>
            </w14:solidFill>
          </w14:textFill>
        </w:rPr>
        <w:t>企</w:t>
      </w:r>
      <w:r>
        <w:rPr>
          <w:rFonts w:hint="eastAsia" w:ascii="宋体" w:hAnsi="宋体" w:eastAsia="宋体" w:cs="宋体"/>
          <w:color w:val="000000" w:themeColor="text1"/>
          <w:kern w:val="0"/>
          <w:sz w:val="24"/>
          <w:szCs w:val="24"/>
          <w:highlight w:val="none"/>
          <w14:textFill>
            <w14:solidFill>
              <w14:schemeClr w14:val="tx1"/>
            </w14:solidFill>
          </w14:textFill>
        </w:rPr>
        <w:t>业的</w:t>
      </w:r>
      <w:r>
        <w:rPr>
          <w:rFonts w:hint="eastAsia" w:ascii="宋体" w:hAnsi="宋体" w:eastAsia="宋体" w:cs="宋体"/>
          <w:color w:val="000000" w:themeColor="text1"/>
          <w:spacing w:val="3"/>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14:textFill>
            <w14:solidFill>
              <w14:schemeClr w14:val="tx1"/>
            </w14:solidFill>
          </w14:textFill>
        </w:rPr>
        <w:t>支</w:t>
      </w:r>
      <w:r>
        <w:rPr>
          <w:rFonts w:hint="eastAsia" w:ascii="宋体" w:hAnsi="宋体" w:eastAsia="宋体" w:cs="宋体"/>
          <w:color w:val="000000" w:themeColor="text1"/>
          <w:spacing w:val="3"/>
          <w:kern w:val="0"/>
          <w:sz w:val="24"/>
          <w:szCs w:val="24"/>
          <w:highlight w:val="none"/>
          <w14:textFill>
            <w14:solidFill>
              <w14:schemeClr w14:val="tx1"/>
            </w14:solidFill>
          </w14:textFill>
        </w:rPr>
        <w:t>机</w:t>
      </w:r>
      <w:r>
        <w:rPr>
          <w:rFonts w:hint="eastAsia" w:ascii="宋体" w:hAnsi="宋体" w:eastAsia="宋体" w:cs="宋体"/>
          <w:color w:val="000000" w:themeColor="text1"/>
          <w:kern w:val="0"/>
          <w:sz w:val="24"/>
          <w:szCs w:val="24"/>
          <w:highlight w:val="none"/>
          <w14:textFill>
            <w14:solidFill>
              <w14:schemeClr w14:val="tx1"/>
            </w14:solidFill>
          </w14:textFill>
        </w:rPr>
        <w:t>构</w:t>
      </w:r>
      <w:r>
        <w:rPr>
          <w:rFonts w:hint="eastAsia" w:ascii="宋体" w:hAnsi="宋体" w:eastAsia="宋体" w:cs="宋体"/>
          <w:color w:val="000000" w:themeColor="text1"/>
          <w:spacing w:val="-9"/>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不</w:t>
      </w:r>
      <w:r>
        <w:rPr>
          <w:rFonts w:hint="eastAsia" w:ascii="宋体" w:hAnsi="宋体" w:eastAsia="宋体" w:cs="宋体"/>
          <w:color w:val="000000" w:themeColor="text1"/>
          <w:spacing w:val="3"/>
          <w:kern w:val="0"/>
          <w:sz w:val="24"/>
          <w:szCs w:val="24"/>
          <w:highlight w:val="none"/>
          <w14:textFill>
            <w14:solidFill>
              <w14:schemeClr w14:val="tx1"/>
            </w14:solidFill>
          </w14:textFill>
        </w:rPr>
        <w:t>存</w:t>
      </w:r>
      <w:r>
        <w:rPr>
          <w:rFonts w:hint="eastAsia" w:ascii="宋体" w:hAnsi="宋体" w:eastAsia="宋体" w:cs="宋体"/>
          <w:color w:val="000000" w:themeColor="text1"/>
          <w:kern w:val="0"/>
          <w:sz w:val="24"/>
          <w:szCs w:val="24"/>
          <w:highlight w:val="none"/>
          <w14:textFill>
            <w14:solidFill>
              <w14:schemeClr w14:val="tx1"/>
            </w14:solidFill>
          </w14:textFill>
        </w:rPr>
        <w:t>在控</w:t>
      </w:r>
      <w:r>
        <w:rPr>
          <w:rFonts w:hint="eastAsia" w:ascii="宋体" w:hAnsi="宋体" w:eastAsia="宋体" w:cs="宋体"/>
          <w:color w:val="000000" w:themeColor="text1"/>
          <w:spacing w:val="3"/>
          <w:kern w:val="0"/>
          <w:sz w:val="24"/>
          <w:szCs w:val="24"/>
          <w:highlight w:val="none"/>
          <w14:textFill>
            <w14:solidFill>
              <w14:schemeClr w14:val="tx1"/>
            </w14:solidFill>
          </w14:textFill>
        </w:rPr>
        <w:t>股</w:t>
      </w:r>
      <w:r>
        <w:rPr>
          <w:rFonts w:hint="eastAsia" w:ascii="宋体" w:hAnsi="宋体" w:eastAsia="宋体" w:cs="宋体"/>
          <w:color w:val="000000" w:themeColor="text1"/>
          <w:kern w:val="0"/>
          <w:sz w:val="24"/>
          <w:szCs w:val="24"/>
          <w:highlight w:val="none"/>
          <w14:textFill>
            <w14:solidFill>
              <w14:schemeClr w14:val="tx1"/>
            </w14:solidFill>
          </w14:textFill>
        </w:rPr>
        <w:t>股东为</w:t>
      </w:r>
      <w:r>
        <w:rPr>
          <w:rFonts w:hint="eastAsia" w:ascii="宋体" w:hAnsi="宋体" w:eastAsia="宋体" w:cs="宋体"/>
          <w:color w:val="000000" w:themeColor="text1"/>
          <w:spacing w:val="3"/>
          <w:kern w:val="0"/>
          <w:sz w:val="24"/>
          <w:szCs w:val="24"/>
          <w:highlight w:val="none"/>
          <w14:textFill>
            <w14:solidFill>
              <w14:schemeClr w14:val="tx1"/>
            </w14:solidFill>
          </w14:textFill>
        </w:rPr>
        <w:t>大</w:t>
      </w:r>
      <w:r>
        <w:rPr>
          <w:rFonts w:hint="eastAsia" w:ascii="宋体" w:hAnsi="宋体" w:eastAsia="宋体" w:cs="宋体"/>
          <w:color w:val="000000" w:themeColor="text1"/>
          <w:kern w:val="0"/>
          <w:sz w:val="24"/>
          <w:szCs w:val="24"/>
          <w:highlight w:val="none"/>
          <w14:textFill>
            <w14:solidFill>
              <w14:schemeClr w14:val="tx1"/>
            </w14:solidFill>
          </w14:textFill>
        </w:rPr>
        <w:t>企业</w:t>
      </w:r>
      <w:r>
        <w:rPr>
          <w:rFonts w:hint="eastAsia" w:ascii="宋体" w:hAnsi="宋体" w:eastAsia="宋体" w:cs="宋体"/>
          <w:color w:val="000000" w:themeColor="text1"/>
          <w:spacing w:val="3"/>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14:textFill>
            <w14:solidFill>
              <w14:schemeClr w14:val="tx1"/>
            </w14:solidFill>
          </w14:textFill>
        </w:rPr>
        <w:t>情形</w:t>
      </w:r>
      <w:r>
        <w:rPr>
          <w:rFonts w:hint="eastAsia" w:ascii="宋体" w:hAnsi="宋体" w:eastAsia="宋体" w:cs="宋体"/>
          <w:color w:val="000000" w:themeColor="text1"/>
          <w:spacing w:val="-12"/>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也</w:t>
      </w:r>
      <w:r>
        <w:rPr>
          <w:rFonts w:hint="eastAsia" w:ascii="宋体" w:hAnsi="宋体" w:eastAsia="宋体" w:cs="宋体"/>
          <w:color w:val="000000" w:themeColor="text1"/>
          <w:spacing w:val="3"/>
          <w:kern w:val="0"/>
          <w:sz w:val="24"/>
          <w:szCs w:val="24"/>
          <w:highlight w:val="none"/>
          <w14:textFill>
            <w14:solidFill>
              <w14:schemeClr w14:val="tx1"/>
            </w14:solidFill>
          </w14:textFill>
        </w:rPr>
        <w:t>不</w:t>
      </w:r>
      <w:r>
        <w:rPr>
          <w:rFonts w:hint="eastAsia" w:ascii="宋体" w:hAnsi="宋体" w:eastAsia="宋体" w:cs="宋体"/>
          <w:color w:val="000000" w:themeColor="text1"/>
          <w:kern w:val="0"/>
          <w:sz w:val="24"/>
          <w:szCs w:val="24"/>
          <w:highlight w:val="none"/>
          <w14:textFill>
            <w14:solidFill>
              <w14:schemeClr w14:val="tx1"/>
            </w14:solidFill>
          </w14:textFill>
        </w:rPr>
        <w:t>存在</w:t>
      </w:r>
      <w:r>
        <w:rPr>
          <w:rFonts w:hint="eastAsia" w:ascii="宋体" w:hAnsi="宋体" w:eastAsia="宋体" w:cs="宋体"/>
          <w:color w:val="000000" w:themeColor="text1"/>
          <w:spacing w:val="3"/>
          <w:kern w:val="0"/>
          <w:sz w:val="24"/>
          <w:szCs w:val="24"/>
          <w:highlight w:val="none"/>
          <w14:textFill>
            <w14:solidFill>
              <w14:schemeClr w14:val="tx1"/>
            </w14:solidFill>
          </w14:textFill>
        </w:rPr>
        <w:t>与</w:t>
      </w:r>
      <w:r>
        <w:rPr>
          <w:rFonts w:hint="eastAsia" w:ascii="宋体" w:hAnsi="宋体" w:eastAsia="宋体" w:cs="宋体"/>
          <w:color w:val="000000" w:themeColor="text1"/>
          <w:kern w:val="0"/>
          <w:sz w:val="24"/>
          <w:szCs w:val="24"/>
          <w:highlight w:val="none"/>
          <w14:textFill>
            <w14:solidFill>
              <w14:schemeClr w14:val="tx1"/>
            </w14:solidFill>
          </w14:textFill>
        </w:rPr>
        <w:t>大企</w:t>
      </w:r>
      <w:r>
        <w:rPr>
          <w:rFonts w:hint="eastAsia" w:ascii="宋体" w:hAnsi="宋体" w:eastAsia="宋体" w:cs="宋体"/>
          <w:color w:val="000000" w:themeColor="text1"/>
          <w:spacing w:val="3"/>
          <w:kern w:val="0"/>
          <w:sz w:val="24"/>
          <w:szCs w:val="24"/>
          <w:highlight w:val="none"/>
          <w14:textFill>
            <w14:solidFill>
              <w14:schemeClr w14:val="tx1"/>
            </w14:solidFill>
          </w14:textFill>
        </w:rPr>
        <w:t>业</w:t>
      </w:r>
      <w:r>
        <w:rPr>
          <w:rFonts w:hint="eastAsia" w:ascii="宋体" w:hAnsi="宋体" w:eastAsia="宋体" w:cs="宋体"/>
          <w:color w:val="000000" w:themeColor="text1"/>
          <w:kern w:val="0"/>
          <w:sz w:val="24"/>
          <w:szCs w:val="24"/>
          <w:highlight w:val="none"/>
          <w14:textFill>
            <w14:solidFill>
              <w14:schemeClr w14:val="tx1"/>
            </w14:solidFill>
          </w14:textFill>
        </w:rPr>
        <w:t>的负</w:t>
      </w:r>
      <w:r>
        <w:rPr>
          <w:rFonts w:hint="eastAsia" w:ascii="宋体" w:hAnsi="宋体" w:eastAsia="宋体" w:cs="宋体"/>
          <w:color w:val="000000" w:themeColor="text1"/>
          <w:spacing w:val="3"/>
          <w:kern w:val="0"/>
          <w:sz w:val="24"/>
          <w:szCs w:val="24"/>
          <w:highlight w:val="none"/>
          <w14:textFill>
            <w14:solidFill>
              <w14:schemeClr w14:val="tx1"/>
            </w14:solidFill>
          </w14:textFill>
        </w:rPr>
        <w:t>责</w:t>
      </w:r>
      <w:r>
        <w:rPr>
          <w:rFonts w:hint="eastAsia" w:ascii="宋体" w:hAnsi="宋体" w:eastAsia="宋体" w:cs="宋体"/>
          <w:color w:val="000000" w:themeColor="text1"/>
          <w:kern w:val="0"/>
          <w:sz w:val="24"/>
          <w:szCs w:val="24"/>
          <w:highlight w:val="none"/>
          <w14:textFill>
            <w14:solidFill>
              <w14:schemeClr w14:val="tx1"/>
            </w14:solidFill>
          </w14:textFill>
        </w:rPr>
        <w:t>人为</w:t>
      </w:r>
      <w:r>
        <w:rPr>
          <w:rFonts w:hint="eastAsia" w:ascii="宋体" w:hAnsi="宋体" w:eastAsia="宋体" w:cs="宋体"/>
          <w:color w:val="000000" w:themeColor="text1"/>
          <w:spacing w:val="3"/>
          <w:kern w:val="0"/>
          <w:sz w:val="24"/>
          <w:szCs w:val="24"/>
          <w:highlight w:val="none"/>
          <w14:textFill>
            <w14:solidFill>
              <w14:schemeClr w14:val="tx1"/>
            </w14:solidFill>
          </w14:textFill>
        </w:rPr>
        <w:t>同</w:t>
      </w:r>
      <w:r>
        <w:rPr>
          <w:rFonts w:hint="eastAsia" w:ascii="宋体" w:hAnsi="宋体" w:eastAsia="宋体" w:cs="宋体"/>
          <w:color w:val="000000" w:themeColor="text1"/>
          <w:kern w:val="0"/>
          <w:sz w:val="24"/>
          <w:szCs w:val="24"/>
          <w:highlight w:val="none"/>
          <w14:textFill>
            <w14:solidFill>
              <w14:schemeClr w14:val="tx1"/>
            </w14:solidFill>
          </w14:textFill>
        </w:rPr>
        <w:t>一人</w:t>
      </w:r>
      <w:r>
        <w:rPr>
          <w:rFonts w:hint="eastAsia" w:ascii="宋体" w:hAnsi="宋体" w:eastAsia="宋体" w:cs="宋体"/>
          <w:color w:val="000000" w:themeColor="text1"/>
          <w:spacing w:val="3"/>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14:textFill>
            <w14:solidFill>
              <w14:schemeClr w14:val="tx1"/>
            </w14:solidFill>
          </w14:textFill>
        </w:rPr>
        <w:t>情形。</w:t>
      </w:r>
    </w:p>
    <w:p w14:paraId="5B5059B0">
      <w:pPr>
        <w:pStyle w:val="2"/>
        <w:spacing w:line="560" w:lineRule="exact"/>
        <w:ind w:firstLine="480" w:firstLineChars="200"/>
        <w:jc w:val="both"/>
        <w:rPr>
          <w:rFonts w:hint="eastAsia" w:ascii="宋体" w:hAnsi="宋体" w:eastAsia="宋体" w:cs="宋体"/>
          <w: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position w:val="-2"/>
          <w:sz w:val="24"/>
          <w:szCs w:val="24"/>
          <w:highlight w:val="none"/>
          <w14:textFill>
            <w14:solidFill>
              <w14:schemeClr w14:val="tx1"/>
            </w14:solidFill>
          </w14:textFill>
        </w:rPr>
        <w:t>本</w:t>
      </w:r>
      <w:r>
        <w:rPr>
          <w:rFonts w:hint="eastAsia" w:ascii="宋体" w:hAnsi="宋体" w:eastAsia="宋体" w:cs="宋体"/>
          <w:color w:val="000000" w:themeColor="text1"/>
          <w:spacing w:val="3"/>
          <w:kern w:val="0"/>
          <w:position w:val="-2"/>
          <w:sz w:val="24"/>
          <w:szCs w:val="24"/>
          <w:highlight w:val="none"/>
          <w14:textFill>
            <w14:solidFill>
              <w14:schemeClr w14:val="tx1"/>
            </w14:solidFill>
          </w14:textFill>
        </w:rPr>
        <w:t>企</w:t>
      </w:r>
      <w:r>
        <w:rPr>
          <w:rFonts w:hint="eastAsia" w:ascii="宋体" w:hAnsi="宋体" w:eastAsia="宋体" w:cs="宋体"/>
          <w:color w:val="000000" w:themeColor="text1"/>
          <w:kern w:val="0"/>
          <w:position w:val="-2"/>
          <w:sz w:val="24"/>
          <w:szCs w:val="24"/>
          <w:highlight w:val="none"/>
          <w14:textFill>
            <w14:solidFill>
              <w14:schemeClr w14:val="tx1"/>
            </w14:solidFill>
          </w14:textFill>
        </w:rPr>
        <w:t>业对</w:t>
      </w:r>
      <w:r>
        <w:rPr>
          <w:rFonts w:hint="eastAsia" w:ascii="宋体" w:hAnsi="宋体" w:eastAsia="宋体" w:cs="宋体"/>
          <w:color w:val="000000" w:themeColor="text1"/>
          <w:spacing w:val="3"/>
          <w:kern w:val="0"/>
          <w:position w:val="-2"/>
          <w:sz w:val="24"/>
          <w:szCs w:val="24"/>
          <w:highlight w:val="none"/>
          <w14:textFill>
            <w14:solidFill>
              <w14:schemeClr w14:val="tx1"/>
            </w14:solidFill>
          </w14:textFill>
        </w:rPr>
        <w:t>上</w:t>
      </w:r>
      <w:r>
        <w:rPr>
          <w:rFonts w:hint="eastAsia" w:ascii="宋体" w:hAnsi="宋体" w:eastAsia="宋体" w:cs="宋体"/>
          <w:color w:val="000000" w:themeColor="text1"/>
          <w:kern w:val="0"/>
          <w:position w:val="-2"/>
          <w:sz w:val="24"/>
          <w:szCs w:val="24"/>
          <w:highlight w:val="none"/>
          <w14:textFill>
            <w14:solidFill>
              <w14:schemeClr w14:val="tx1"/>
            </w14:solidFill>
          </w14:textFill>
        </w:rPr>
        <w:t>述声</w:t>
      </w:r>
      <w:r>
        <w:rPr>
          <w:rFonts w:hint="eastAsia" w:ascii="宋体" w:hAnsi="宋体" w:eastAsia="宋体" w:cs="宋体"/>
          <w:color w:val="000000" w:themeColor="text1"/>
          <w:spacing w:val="3"/>
          <w:kern w:val="0"/>
          <w:position w:val="-2"/>
          <w:sz w:val="24"/>
          <w:szCs w:val="24"/>
          <w:highlight w:val="none"/>
          <w14:textFill>
            <w14:solidFill>
              <w14:schemeClr w14:val="tx1"/>
            </w14:solidFill>
          </w14:textFill>
        </w:rPr>
        <w:t>明</w:t>
      </w:r>
      <w:r>
        <w:rPr>
          <w:rFonts w:hint="eastAsia" w:ascii="宋体" w:hAnsi="宋体" w:eastAsia="宋体" w:cs="宋体"/>
          <w:color w:val="000000" w:themeColor="text1"/>
          <w:kern w:val="0"/>
          <w:position w:val="-2"/>
          <w:sz w:val="24"/>
          <w:szCs w:val="24"/>
          <w:highlight w:val="none"/>
          <w14:textFill>
            <w14:solidFill>
              <w14:schemeClr w14:val="tx1"/>
            </w14:solidFill>
          </w14:textFill>
        </w:rPr>
        <w:t>内容</w:t>
      </w:r>
      <w:r>
        <w:rPr>
          <w:rFonts w:hint="eastAsia" w:ascii="宋体" w:hAnsi="宋体" w:eastAsia="宋体" w:cs="宋体"/>
          <w:color w:val="000000" w:themeColor="text1"/>
          <w:spacing w:val="3"/>
          <w:kern w:val="0"/>
          <w:position w:val="-2"/>
          <w:sz w:val="24"/>
          <w:szCs w:val="24"/>
          <w:highlight w:val="none"/>
          <w14:textFill>
            <w14:solidFill>
              <w14:schemeClr w14:val="tx1"/>
            </w14:solidFill>
          </w14:textFill>
        </w:rPr>
        <w:t>的</w:t>
      </w:r>
      <w:r>
        <w:rPr>
          <w:rFonts w:hint="eastAsia" w:ascii="宋体" w:hAnsi="宋体" w:eastAsia="宋体" w:cs="宋体"/>
          <w:color w:val="000000" w:themeColor="text1"/>
          <w:kern w:val="0"/>
          <w:position w:val="-2"/>
          <w:sz w:val="24"/>
          <w:szCs w:val="24"/>
          <w:highlight w:val="none"/>
          <w14:textFill>
            <w14:solidFill>
              <w14:schemeClr w14:val="tx1"/>
            </w14:solidFill>
          </w14:textFill>
        </w:rPr>
        <w:t>真实</w:t>
      </w:r>
      <w:r>
        <w:rPr>
          <w:rFonts w:hint="eastAsia" w:ascii="宋体" w:hAnsi="宋体" w:eastAsia="宋体" w:cs="宋体"/>
          <w:color w:val="000000" w:themeColor="text1"/>
          <w:spacing w:val="3"/>
          <w:kern w:val="0"/>
          <w:position w:val="-2"/>
          <w:sz w:val="24"/>
          <w:szCs w:val="24"/>
          <w:highlight w:val="none"/>
          <w14:textFill>
            <w14:solidFill>
              <w14:schemeClr w14:val="tx1"/>
            </w14:solidFill>
          </w14:textFill>
        </w:rPr>
        <w:t>性</w:t>
      </w:r>
      <w:r>
        <w:rPr>
          <w:rFonts w:hint="eastAsia" w:ascii="宋体" w:hAnsi="宋体" w:eastAsia="宋体" w:cs="宋体"/>
          <w:color w:val="000000" w:themeColor="text1"/>
          <w:kern w:val="0"/>
          <w:position w:val="-2"/>
          <w:sz w:val="24"/>
          <w:szCs w:val="24"/>
          <w:highlight w:val="none"/>
          <w14:textFill>
            <w14:solidFill>
              <w14:schemeClr w14:val="tx1"/>
            </w14:solidFill>
          </w14:textFill>
        </w:rPr>
        <w:t>负责</w:t>
      </w:r>
      <w:r>
        <w:rPr>
          <w:rFonts w:hint="eastAsia" w:ascii="宋体" w:hAnsi="宋体" w:eastAsia="宋体" w:cs="宋体"/>
          <w:color w:val="000000" w:themeColor="text1"/>
          <w:spacing w:val="-7"/>
          <w:kern w:val="0"/>
          <w:position w:val="-2"/>
          <w:sz w:val="24"/>
          <w:szCs w:val="24"/>
          <w:highlight w:val="none"/>
          <w14:textFill>
            <w14:solidFill>
              <w14:schemeClr w14:val="tx1"/>
            </w14:solidFill>
          </w14:textFill>
        </w:rPr>
        <w:t>。</w:t>
      </w:r>
      <w:r>
        <w:rPr>
          <w:rFonts w:hint="eastAsia" w:ascii="宋体" w:hAnsi="宋体" w:eastAsia="宋体" w:cs="宋体"/>
          <w:color w:val="000000" w:themeColor="text1"/>
          <w:kern w:val="0"/>
          <w:position w:val="-2"/>
          <w:sz w:val="24"/>
          <w:szCs w:val="24"/>
          <w:highlight w:val="none"/>
          <w14:textFill>
            <w14:solidFill>
              <w14:schemeClr w14:val="tx1"/>
            </w14:solidFill>
          </w14:textFill>
        </w:rPr>
        <w:t>如</w:t>
      </w:r>
      <w:r>
        <w:rPr>
          <w:rFonts w:hint="eastAsia" w:ascii="宋体" w:hAnsi="宋体" w:eastAsia="宋体" w:cs="宋体"/>
          <w:color w:val="000000" w:themeColor="text1"/>
          <w:spacing w:val="3"/>
          <w:kern w:val="0"/>
          <w:position w:val="-2"/>
          <w:sz w:val="24"/>
          <w:szCs w:val="24"/>
          <w:highlight w:val="none"/>
          <w14:textFill>
            <w14:solidFill>
              <w14:schemeClr w14:val="tx1"/>
            </w14:solidFill>
          </w14:textFill>
        </w:rPr>
        <w:t>有</w:t>
      </w:r>
      <w:r>
        <w:rPr>
          <w:rFonts w:hint="eastAsia" w:ascii="宋体" w:hAnsi="宋体" w:eastAsia="宋体" w:cs="宋体"/>
          <w:color w:val="000000" w:themeColor="text1"/>
          <w:kern w:val="0"/>
          <w:position w:val="-2"/>
          <w:sz w:val="24"/>
          <w:szCs w:val="24"/>
          <w:highlight w:val="none"/>
          <w14:textFill>
            <w14:solidFill>
              <w14:schemeClr w14:val="tx1"/>
            </w14:solidFill>
          </w14:textFill>
        </w:rPr>
        <w:t>虚</w:t>
      </w:r>
      <w:r>
        <w:rPr>
          <w:rFonts w:hint="eastAsia" w:ascii="宋体" w:hAnsi="宋体" w:eastAsia="宋体" w:cs="宋体"/>
          <w:color w:val="000000" w:themeColor="text1"/>
          <w:spacing w:val="3"/>
          <w:kern w:val="0"/>
          <w:position w:val="-2"/>
          <w:sz w:val="24"/>
          <w:szCs w:val="24"/>
          <w:highlight w:val="none"/>
          <w14:textFill>
            <w14:solidFill>
              <w14:schemeClr w14:val="tx1"/>
            </w14:solidFill>
          </w14:textFill>
        </w:rPr>
        <w:t>假</w:t>
      </w:r>
      <w:r>
        <w:rPr>
          <w:rFonts w:hint="eastAsia" w:ascii="宋体" w:hAnsi="宋体" w:eastAsia="宋体" w:cs="宋体"/>
          <w:color w:val="000000" w:themeColor="text1"/>
          <w:spacing w:val="-7"/>
          <w:kern w:val="0"/>
          <w:position w:val="-2"/>
          <w:sz w:val="24"/>
          <w:szCs w:val="24"/>
          <w:highlight w:val="none"/>
          <w14:textFill>
            <w14:solidFill>
              <w14:schemeClr w14:val="tx1"/>
            </w14:solidFill>
          </w14:textFill>
        </w:rPr>
        <w:t>，</w:t>
      </w:r>
      <w:r>
        <w:rPr>
          <w:rFonts w:hint="eastAsia" w:ascii="宋体" w:hAnsi="宋体" w:eastAsia="宋体" w:cs="宋体"/>
          <w:color w:val="000000" w:themeColor="text1"/>
          <w:kern w:val="0"/>
          <w:position w:val="-2"/>
          <w:sz w:val="24"/>
          <w:szCs w:val="24"/>
          <w:highlight w:val="none"/>
          <w14:textFill>
            <w14:solidFill>
              <w14:schemeClr w14:val="tx1"/>
            </w14:solidFill>
          </w14:textFill>
        </w:rPr>
        <w:t>将依</w:t>
      </w:r>
      <w:r>
        <w:rPr>
          <w:rFonts w:hint="eastAsia" w:ascii="宋体" w:hAnsi="宋体" w:eastAsia="宋体" w:cs="宋体"/>
          <w:color w:val="000000" w:themeColor="text1"/>
          <w:kern w:val="0"/>
          <w:position w:val="-5"/>
          <w:sz w:val="24"/>
          <w:szCs w:val="24"/>
          <w:highlight w:val="none"/>
          <w14:textFill>
            <w14:solidFill>
              <w14:schemeClr w14:val="tx1"/>
            </w14:solidFill>
          </w14:textFill>
        </w:rPr>
        <w:t>法</w:t>
      </w:r>
      <w:r>
        <w:rPr>
          <w:rFonts w:hint="eastAsia" w:ascii="宋体" w:hAnsi="宋体" w:eastAsia="宋体" w:cs="宋体"/>
          <w:color w:val="000000" w:themeColor="text1"/>
          <w:spacing w:val="3"/>
          <w:kern w:val="0"/>
          <w:position w:val="-5"/>
          <w:sz w:val="24"/>
          <w:szCs w:val="24"/>
          <w:highlight w:val="none"/>
          <w14:textFill>
            <w14:solidFill>
              <w14:schemeClr w14:val="tx1"/>
            </w14:solidFill>
          </w14:textFill>
        </w:rPr>
        <w:t>承</w:t>
      </w:r>
      <w:r>
        <w:rPr>
          <w:rFonts w:hint="eastAsia" w:ascii="宋体" w:hAnsi="宋体" w:eastAsia="宋体" w:cs="宋体"/>
          <w:color w:val="000000" w:themeColor="text1"/>
          <w:kern w:val="0"/>
          <w:position w:val="-5"/>
          <w:sz w:val="24"/>
          <w:szCs w:val="24"/>
          <w:highlight w:val="none"/>
          <w14:textFill>
            <w14:solidFill>
              <w14:schemeClr w14:val="tx1"/>
            </w14:solidFill>
          </w14:textFill>
        </w:rPr>
        <w:t>担相</w:t>
      </w:r>
      <w:r>
        <w:rPr>
          <w:rFonts w:hint="eastAsia" w:ascii="宋体" w:hAnsi="宋体" w:eastAsia="宋体" w:cs="宋体"/>
          <w:color w:val="000000" w:themeColor="text1"/>
          <w:spacing w:val="3"/>
          <w:kern w:val="0"/>
          <w:position w:val="-5"/>
          <w:sz w:val="24"/>
          <w:szCs w:val="24"/>
          <w:highlight w:val="none"/>
          <w14:textFill>
            <w14:solidFill>
              <w14:schemeClr w14:val="tx1"/>
            </w14:solidFill>
          </w14:textFill>
        </w:rPr>
        <w:t>应</w:t>
      </w:r>
      <w:r>
        <w:rPr>
          <w:rFonts w:hint="eastAsia" w:ascii="宋体" w:hAnsi="宋体" w:eastAsia="宋体" w:cs="宋体"/>
          <w:color w:val="000000" w:themeColor="text1"/>
          <w:kern w:val="0"/>
          <w:position w:val="-5"/>
          <w:sz w:val="24"/>
          <w:szCs w:val="24"/>
          <w:highlight w:val="none"/>
          <w14:textFill>
            <w14:solidFill>
              <w14:schemeClr w14:val="tx1"/>
            </w14:solidFill>
          </w14:textFill>
        </w:rPr>
        <w:t>责任</w:t>
      </w:r>
      <w:r>
        <w:rPr>
          <w:rFonts w:hint="eastAsia" w:ascii="宋体" w:hAnsi="宋体" w:eastAsia="宋体" w:cs="宋体"/>
          <w:strike w:val="0"/>
          <w:color w:val="000000" w:themeColor="text1"/>
          <w:sz w:val="24"/>
          <w:szCs w:val="24"/>
          <w:highlight w:val="none"/>
          <w14:textFill>
            <w14:solidFill>
              <w14:schemeClr w14:val="tx1"/>
            </w14:solidFill>
          </w14:textFill>
        </w:rPr>
        <w:t xml:space="preserve">。 </w:t>
      </w:r>
    </w:p>
    <w:p w14:paraId="2C9331CB">
      <w:pPr>
        <w:pStyle w:val="2"/>
        <w:spacing w:line="560" w:lineRule="exact"/>
        <w:ind w:firstLine="480" w:firstLineChars="200"/>
        <w:jc w:val="both"/>
        <w:rPr>
          <w:rFonts w:hint="eastAsia" w:ascii="宋体" w:hAnsi="宋体" w:eastAsia="宋体" w:cs="宋体"/>
          <w:strike w:val="0"/>
          <w:color w:val="000000" w:themeColor="text1"/>
          <w:sz w:val="24"/>
          <w:szCs w:val="24"/>
          <w:highlight w:val="none"/>
          <w14:textFill>
            <w14:solidFill>
              <w14:schemeClr w14:val="tx1"/>
            </w14:solidFill>
          </w14:textFill>
        </w:rPr>
      </w:pPr>
    </w:p>
    <w:p w14:paraId="0EA9B697">
      <w:pPr>
        <w:pStyle w:val="2"/>
        <w:spacing w:line="560" w:lineRule="exact"/>
        <w:ind w:firstLine="3600" w:firstLineChars="1500"/>
        <w:jc w:val="both"/>
        <w:rPr>
          <w:rFonts w:hint="eastAsia" w:ascii="宋体" w:hAnsi="宋体" w:eastAsia="宋体" w:cs="宋体"/>
          <w:strike w:val="0"/>
          <w:color w:val="000000" w:themeColor="text1"/>
          <w:sz w:val="24"/>
          <w:szCs w:val="24"/>
          <w:highlight w:val="none"/>
          <w14:textFill>
            <w14:solidFill>
              <w14:schemeClr w14:val="tx1"/>
            </w14:solidFill>
          </w14:textFill>
        </w:rPr>
      </w:pPr>
      <w:r>
        <w:rPr>
          <w:rFonts w:hint="eastAsia" w:ascii="宋体" w:hAnsi="宋体" w:eastAsia="宋体" w:cs="宋体"/>
          <w:strike w:val="0"/>
          <w:color w:val="000000" w:themeColor="text1"/>
          <w:sz w:val="24"/>
          <w:szCs w:val="24"/>
          <w:highlight w:val="none"/>
          <w14:textFill>
            <w14:solidFill>
              <w14:schemeClr w14:val="tx1"/>
            </w14:solidFill>
          </w14:textFill>
        </w:rPr>
        <w:t>企业名称（盖</w:t>
      </w:r>
      <w:r>
        <w:rPr>
          <w:rFonts w:hint="eastAsia" w:hAnsi="宋体" w:eastAsia="宋体" w:cs="宋体"/>
          <w:strike w:val="0"/>
          <w:color w:val="000000" w:themeColor="text1"/>
          <w:sz w:val="24"/>
          <w:szCs w:val="24"/>
          <w:highlight w:val="none"/>
          <w:lang w:eastAsia="zh-CN"/>
          <w14:textFill>
            <w14:solidFill>
              <w14:schemeClr w14:val="tx1"/>
            </w14:solidFill>
          </w14:textFill>
        </w:rPr>
        <w:t>单位</w:t>
      </w:r>
      <w:r>
        <w:rPr>
          <w:rFonts w:hint="eastAsia" w:ascii="宋体" w:hAnsi="宋体" w:eastAsia="宋体" w:cs="宋体"/>
          <w:strike w:val="0"/>
          <w:color w:val="000000" w:themeColor="text1"/>
          <w:sz w:val="24"/>
          <w:szCs w:val="24"/>
          <w:highlight w:val="none"/>
          <w14:textFill>
            <w14:solidFill>
              <w14:schemeClr w14:val="tx1"/>
            </w14:solidFill>
          </w14:textFill>
        </w:rPr>
        <w:t>章）：</w:t>
      </w:r>
    </w:p>
    <w:p w14:paraId="36EF8E19">
      <w:pPr>
        <w:pStyle w:val="2"/>
        <w:spacing w:line="560" w:lineRule="exact"/>
        <w:ind w:firstLine="4560" w:firstLineChars="1900"/>
        <w:jc w:val="both"/>
        <w:rPr>
          <w:rFonts w:hint="eastAsia" w:ascii="宋体" w:hAnsi="宋体" w:eastAsia="宋体" w:cs="宋体"/>
          <w:strike w:val="0"/>
          <w:color w:val="000000" w:themeColor="text1"/>
          <w:sz w:val="24"/>
          <w:szCs w:val="24"/>
          <w:highlight w:val="none"/>
          <w14:textFill>
            <w14:solidFill>
              <w14:schemeClr w14:val="tx1"/>
            </w14:solidFill>
          </w14:textFill>
        </w:rPr>
      </w:pPr>
      <w:r>
        <w:rPr>
          <w:rFonts w:hint="eastAsia" w:ascii="宋体" w:hAnsi="宋体" w:eastAsia="宋体" w:cs="宋体"/>
          <w:strike w:val="0"/>
          <w:color w:val="000000" w:themeColor="text1"/>
          <w:sz w:val="24"/>
          <w:szCs w:val="24"/>
          <w:highlight w:val="none"/>
          <w14:textFill>
            <w14:solidFill>
              <w14:schemeClr w14:val="tx1"/>
            </w14:solidFill>
          </w14:textFill>
        </w:rPr>
        <w:t xml:space="preserve">日 </w:t>
      </w:r>
      <w:r>
        <w:rPr>
          <w:rFonts w:hint="eastAsia" w:ascii="宋体" w:hAnsi="宋体" w:eastAsia="宋体" w:cs="宋体"/>
          <w:strike w:val="0"/>
          <w:color w:val="000000" w:themeColor="text1"/>
          <w:sz w:val="24"/>
          <w:szCs w:val="24"/>
          <w:highlight w:val="none"/>
          <w:lang w:val="en"/>
          <w14:textFill>
            <w14:solidFill>
              <w14:schemeClr w14:val="tx1"/>
            </w14:solidFill>
          </w14:textFill>
        </w:rPr>
        <w:t xml:space="preserve">  </w:t>
      </w:r>
      <w:r>
        <w:rPr>
          <w:rFonts w:hint="eastAsia" w:ascii="宋体" w:hAnsi="宋体" w:eastAsia="宋体" w:cs="宋体"/>
          <w:strike w:val="0"/>
          <w:color w:val="000000" w:themeColor="text1"/>
          <w:sz w:val="24"/>
          <w:szCs w:val="24"/>
          <w:highlight w:val="none"/>
          <w14:textFill>
            <w14:solidFill>
              <w14:schemeClr w14:val="tx1"/>
            </w14:solidFill>
          </w14:textFill>
        </w:rPr>
        <w:t>期：</w:t>
      </w:r>
    </w:p>
    <w:p w14:paraId="3FB9460C">
      <w:pPr>
        <w:spacing w:line="440" w:lineRule="exact"/>
        <w:jc w:val="both"/>
        <w:rPr>
          <w:rFonts w:hint="eastAsia" w:ascii="楷体_GB2312" w:hAnsi="楷体_GB2312" w:eastAsia="楷体_GB2312" w:cs="楷体_GB2312"/>
          <w:strike w:val="0"/>
          <w:color w:val="000000" w:themeColor="text1"/>
          <w:kern w:val="2"/>
          <w:sz w:val="21"/>
          <w:szCs w:val="24"/>
          <w:highlight w:val="none"/>
          <w:lang w:val="en-US" w:eastAsia="zh-CN" w:bidi="ar-SA"/>
          <w14:textFill>
            <w14:solidFill>
              <w14:schemeClr w14:val="tx1"/>
            </w14:solidFill>
          </w14:textFill>
        </w:rPr>
      </w:pPr>
    </w:p>
    <w:p w14:paraId="0EF21923">
      <w:pPr>
        <w:spacing w:line="440" w:lineRule="exact"/>
        <w:jc w:val="both"/>
        <w:rPr>
          <w:rFonts w:hint="eastAsia" w:ascii="楷体_GB2312" w:hAnsi="楷体_GB2312" w:eastAsia="楷体_GB2312" w:cs="楷体_GB2312"/>
          <w:strike w:val="0"/>
          <w:color w:val="000000" w:themeColor="text1"/>
          <w:kern w:val="2"/>
          <w:sz w:val="21"/>
          <w:szCs w:val="24"/>
          <w:highlight w:val="none"/>
          <w:lang w:val="en-US" w:eastAsia="zh-CN" w:bidi="ar-SA"/>
          <w14:textFill>
            <w14:solidFill>
              <w14:schemeClr w14:val="tx1"/>
            </w14:solidFill>
          </w14:textFill>
        </w:rPr>
      </w:pPr>
      <w:r>
        <w:rPr>
          <w:rFonts w:hint="eastAsia" w:ascii="楷体_GB2312" w:hAnsi="楷体_GB2312" w:eastAsia="楷体_GB2312" w:cs="楷体_GB2312"/>
          <w:strike w:val="0"/>
          <w:color w:val="000000" w:themeColor="text1"/>
          <w:kern w:val="2"/>
          <w:sz w:val="21"/>
          <w:szCs w:val="24"/>
          <w:highlight w:val="none"/>
          <w:lang w:val="en-US" w:eastAsia="zh-CN" w:bidi="ar-SA"/>
          <w14:textFill>
            <w14:solidFill>
              <w14:schemeClr w14:val="tx1"/>
            </w14:solidFill>
          </w14:textFill>
        </w:rPr>
        <w:t>注：</w:t>
      </w:r>
    </w:p>
    <w:p w14:paraId="6723460F">
      <w:pPr>
        <w:autoSpaceDE w:val="0"/>
        <w:autoSpaceDN w:val="0"/>
        <w:adjustRightInd w:val="0"/>
        <w:snapToGrid w:val="0"/>
        <w:spacing w:line="360" w:lineRule="auto"/>
        <w:ind w:right="-68"/>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备注：1.从业人员、营业收入、资产总额填报上一年度数据，无上一年度数据的新成立企业可不填报。</w:t>
      </w:r>
    </w:p>
    <w:p w14:paraId="0CB92DA4">
      <w:pPr>
        <w:autoSpaceDE w:val="0"/>
        <w:autoSpaceDN w:val="0"/>
        <w:adjustRightInd w:val="0"/>
        <w:snapToGrid w:val="0"/>
        <w:spacing w:line="360" w:lineRule="auto"/>
        <w:ind w:right="-68"/>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ab/>
      </w:r>
      <w:r>
        <w:rPr>
          <w:rFonts w:hint="eastAsia" w:ascii="宋体" w:hAnsi="宋体" w:eastAsia="宋体" w:cs="宋体"/>
          <w:color w:val="000000" w:themeColor="text1"/>
          <w:kern w:val="0"/>
          <w:sz w:val="21"/>
          <w:szCs w:val="21"/>
          <w:highlight w:val="none"/>
          <w14:textFill>
            <w14:solidFill>
              <w14:schemeClr w14:val="tx1"/>
            </w14:solidFill>
          </w14:textFill>
        </w:rPr>
        <w:t>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https://www.gzggzy.cn/jtgg/1001279.jhtml）填写，《中小企业声明函》由参加招投标活动的投标人出具。</w:t>
      </w:r>
    </w:p>
    <w:p w14:paraId="0A8FA54B">
      <w:pPr>
        <w:spacing w:line="360" w:lineRule="auto"/>
        <w:ind w:right="-149" w:rightChars="-6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3.投标人应当自行核实是否属于小微企业，并认真填写《中小企业声明函》，若有虚假将追究其责任。</w:t>
      </w:r>
    </w:p>
    <w:p w14:paraId="1A9F6053">
      <w:pPr>
        <w:spacing w:line="360" w:lineRule="auto"/>
        <w:ind w:right="-149" w:rightChars="-62"/>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4.《中小企业声明函》须按照本函格式填写，否则评标委员会有权视其为非中小企业，不享受经济标评审优惠政策。</w:t>
      </w:r>
    </w:p>
    <w:p w14:paraId="2512ECA2">
      <w:pPr>
        <w:spacing w:line="440" w:lineRule="exact"/>
        <w:jc w:val="both"/>
        <w:rPr>
          <w:rFonts w:hint="eastAsia" w:ascii="宋体" w:hAnsi="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招标人、招标代理机构将按有关规定公开《中小企业声明函》</w:t>
      </w:r>
      <w:r>
        <w:rPr>
          <w:rFonts w:hint="eastAsia" w:ascii="楷体_GB2312" w:hAnsi="楷体_GB2312" w:eastAsia="楷体_GB2312" w:cs="楷体_GB2312"/>
          <w:strike w:val="0"/>
          <w:color w:val="000000" w:themeColor="text1"/>
          <w:kern w:val="2"/>
          <w:sz w:val="21"/>
          <w:szCs w:val="24"/>
          <w:highlight w:val="none"/>
          <w:lang w:val="en-US" w:eastAsia="zh-CN" w:bidi="ar-SA"/>
          <w14:textFill>
            <w14:solidFill>
              <w14:schemeClr w14:val="tx1"/>
            </w14:solidFill>
          </w14:textFill>
        </w:rPr>
        <w:t>。</w:t>
      </w:r>
    </w:p>
    <w:p w14:paraId="371614D4">
      <w:pP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lang w:eastAsia="zh-CN"/>
          <w14:textFill>
            <w14:solidFill>
              <w14:schemeClr w14:val="tx1"/>
            </w14:solidFill>
          </w14:textFill>
        </w:rPr>
        <w:t>）投标人认为有必要提交的其他资料，格式自定。</w:t>
      </w:r>
    </w:p>
    <w:p w14:paraId="59F74E75">
      <w:pPr>
        <w:numPr>
          <w:ilvl w:val="0"/>
          <w:numId w:val="2"/>
        </w:numPr>
        <w:rPr>
          <w:rFonts w:hint="eastAsia"/>
          <w:color w:val="000000" w:themeColor="text1"/>
          <w:highlight w:val="none"/>
          <w14:textFill>
            <w14:solidFill>
              <w14:schemeClr w14:val="tx1"/>
            </w14:solidFill>
          </w14:textFill>
        </w:rPr>
        <w:sectPr>
          <w:headerReference r:id="rId21" w:type="default"/>
          <w:footerReference r:id="rId22" w:type="default"/>
          <w:pgSz w:w="11905" w:h="16838"/>
          <w:pgMar w:top="1417" w:right="1417" w:bottom="1417" w:left="1417" w:header="992" w:footer="992" w:gutter="0"/>
          <w:lnNumType w:countBy="0" w:distance="360"/>
          <w:cols w:space="720" w:num="1"/>
        </w:sectPr>
      </w:pPr>
    </w:p>
    <w:p w14:paraId="5C1F708D">
      <w:pPr>
        <w:pStyle w:val="4"/>
        <w:outlineLvl w:val="0"/>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pPr>
      <w:bookmarkStart w:id="245" w:name="_Toc27375"/>
      <w:r>
        <w:rPr>
          <w:rFonts w:hint="eastAsia" w:asciiTheme="minorEastAsia" w:hAnsiTheme="minorEastAsia" w:eastAsiaTheme="minorEastAsia" w:cstheme="minorEastAsia"/>
          <w:color w:val="000000" w:themeColor="text1"/>
          <w:sz w:val="44"/>
          <w:szCs w:val="4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t>投标人须知前附表规定的其他资料。</w:t>
      </w:r>
      <w:bookmarkEnd w:id="245"/>
    </w:p>
    <w:p w14:paraId="576ED0A4">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C2A306F">
      <w:pPr>
        <w:pStyle w:val="5"/>
        <w:jc w:val="center"/>
        <w:outlineLvl w:val="0"/>
        <w:rPr>
          <w:rFonts w:hint="eastAsia" w:asciiTheme="minorEastAsia" w:hAnsiTheme="minorEastAsia" w:eastAsiaTheme="minorEastAsia" w:cstheme="minorEastAsia"/>
          <w:color w:val="000000" w:themeColor="text1"/>
          <w:sz w:val="30"/>
          <w:szCs w:val="24"/>
          <w:highlight w:val="none"/>
          <w:lang w:val="en-US" w:eastAsia="zh-CN"/>
          <w14:textFill>
            <w14:solidFill>
              <w14:schemeClr w14:val="tx1"/>
            </w14:solidFill>
          </w14:textFill>
        </w:rPr>
      </w:pPr>
      <w:bookmarkStart w:id="246" w:name="_Toc11244"/>
      <w:r>
        <w:rPr>
          <w:rFonts w:hint="eastAsia" w:asciiTheme="minorEastAsia" w:hAnsiTheme="minorEastAsia" w:eastAsiaTheme="minorEastAsia" w:cstheme="minorEastAsia"/>
          <w:color w:val="000000" w:themeColor="text1"/>
          <w:sz w:val="30"/>
          <w:szCs w:val="24"/>
          <w:highlight w:val="none"/>
          <w:lang w:val="en-US" w:eastAsia="zh-CN"/>
          <w14:textFill>
            <w14:solidFill>
              <w14:schemeClr w14:val="tx1"/>
            </w14:solidFill>
          </w14:textFill>
        </w:rPr>
        <w:t>否决性条款汇总</w:t>
      </w:r>
      <w:bookmarkEnd w:id="246"/>
    </w:p>
    <w:p w14:paraId="04690129">
      <w:pPr>
        <w:widowControl/>
        <w:spacing w:after="0" w:line="240" w:lineRule="auto"/>
        <w:ind w:firstLine="482"/>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否决性条款单列参考格式</w:t>
      </w:r>
    </w:p>
    <w:p w14:paraId="779190A6">
      <w:pPr>
        <w:widowControl/>
        <w:spacing w:after="135" w:line="585" w:lineRule="atLeast"/>
        <w:ind w:firstLine="48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（*格式仅供参考，条款的实际内容应与招标文件条款相对应）</w:t>
      </w:r>
    </w:p>
    <w:p w14:paraId="109678A9">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4D6111A8">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65BE42FA">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BB8B617">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一、开标时，出现下列情形之一的，不参与资格审查和评标</w:t>
      </w:r>
    </w:p>
    <w:p w14:paraId="7E0F8A91">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1.未成功递交投标文件的；</w:t>
      </w:r>
    </w:p>
    <w:p w14:paraId="2D4C35EF">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因投标人原因造成投标文件未解密</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或逾期解密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w:t>
      </w:r>
    </w:p>
    <w:p w14:paraId="0523435C">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3.两个（含两个）以上的投标人加密打包投标文件电脑机器特征码一致的；</w:t>
      </w:r>
    </w:p>
    <w:p w14:paraId="303F7B8D">
      <w:pPr>
        <w:keepNext w:val="0"/>
        <w:keepLines w:val="0"/>
        <w:widowControl/>
        <w:suppressLineNumbers w:val="0"/>
        <w:autoSpaceDE w:val="0"/>
        <w:autoSpaceDN/>
        <w:adjustRightInd w:val="0"/>
        <w:spacing w:before="0" w:beforeAutospacing="0" w:after="135" w:afterAutospacing="0" w:line="360" w:lineRule="auto"/>
        <w:ind w:left="0" w:right="0" w:firstLine="480" w:firstLineChars="200"/>
        <w:jc w:val="left"/>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4.投标文件中的投标人、项目负责人（总监理工程师）与投标登记时的信息不一致的。</w:t>
      </w:r>
    </w:p>
    <w:p w14:paraId="6F088E10">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二、作无效投标的情形</w:t>
      </w:r>
    </w:p>
    <w:p w14:paraId="3859B366">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投标文件不符合招标文件评标办法中形式评审标准、资格评审标准、响应性评审标准的要求。</w:t>
      </w:r>
    </w:p>
    <w:p w14:paraId="41D0E767">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三、作不合格标处理的情形</w:t>
      </w:r>
    </w:p>
    <w:p w14:paraId="5ABF7B0A">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 按投标报价的算术校核原则及方法调整或修正投标文件的投标报价，调整后的投标报价对投标人起约束作用。如果投标人不接受修正后的报价，则取消其中标资格；</w:t>
      </w:r>
    </w:p>
    <w:p w14:paraId="6A12EF01">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 资审合格后，投标人的资格发生变化而不满足投标人合格条件，在发出中标通知书前，资格问题仍未解决的，招标人将取消其中标资格；</w:t>
      </w:r>
    </w:p>
    <w:p w14:paraId="29649A4C">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 中标人未按本招标文件约定提交履约担保，视为放弃中标，其投标担保不予退还，给招标人造成的损失超过投标担保数额的，中标人还应当对超过部分予以赔偿；</w:t>
      </w:r>
    </w:p>
    <w:p w14:paraId="6530A44E">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 投标人如在本项目中存在串通投标、弄虚作假、行贿情形的，中标无效。行政监督部门将对其违法行为进行政处罚并通报</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p w14:paraId="2C378F2C">
      <w:pPr>
        <w:widowControl/>
        <w:autoSpaceDE/>
        <w:autoSpaceDN/>
        <w:adjustRightInd/>
        <w:spacing w:after="135"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四、其他否定投标文件效力情形</w:t>
      </w:r>
    </w:p>
    <w:p w14:paraId="1090606A">
      <w:pPr>
        <w:spacing w:line="360" w:lineRule="auto"/>
        <w:ind w:firstLine="484" w:firstLineChars="202"/>
        <w:rPr>
          <w:rFonts w:hint="eastAsia" w:asciiTheme="minorEastAsia" w:hAnsiTheme="minorEastAsia" w:eastAsiaTheme="minorEastAsia" w:cstheme="minorEastAsia"/>
          <w:color w:val="000000" w:themeColor="text1"/>
          <w:kern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无。 </w:t>
      </w: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0507">
    <w:pPr>
      <w:pStyle w:val="13"/>
      <w:rPr>
        <w:rFonts w:hint="default"/>
        <w:sz w:val="18"/>
        <w:szCs w:val="24"/>
      </w:rPr>
    </w:pPr>
    <w:r>
      <w:rPr>
        <w:rFonts w:hint="default"/>
        <w:sz w:val="18"/>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CEA8B">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14:paraId="297CEA8B">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4D9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C6F3F0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1C6F3F0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20AA">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8B5E475">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68B5E475">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F666">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B3E4312">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4B3E4312">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0063">
    <w:pPr>
      <w:pStyle w:val="11"/>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2FC668B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2FC668B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2FC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EF5FEB5">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0EF5FEB5">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31D0">
    <w:pPr>
      <w:pStyle w:val="11"/>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8DFA29E">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28DFA29E">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AEEB">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382ED0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1382ED0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1B7B">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D3E79D6">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7D3E79D6">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BB80">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7005"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17E856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7155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Xys1VcMBAACBAwAADgAAAAAAAAABACAAAAAiAQAAZHJzL2Uyb0RvYy54&#10;bWxQSwUGAAAAAAYABgBZAQAAVwUAAAAA&#10;">
              <v:fill on="f" focussize="0,0"/>
              <v:stroke on="f"/>
              <v:imagedata o:title=""/>
              <o:lock v:ext="edit" aspectratio="f"/>
              <v:textbox inset="0mm,0mm,0mm,0mm">
                <w:txbxContent>
                  <w:p w14:paraId="717E856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2EFA">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09BF05">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6E09BF05">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3360"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2CDF5718">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312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2CDF5718">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A9B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7F9C9E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07F9C9E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34AF7">
    <w:pPr>
      <w:pStyle w:val="14"/>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4101">
    <w:pPr>
      <w:pStyle w:val="14"/>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2260">
    <w:pPr>
      <w:pStyle w:val="14"/>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47EA">
    <w:pPr>
      <w:pStyle w:val="14"/>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1FA4">
    <w:pPr>
      <w:pStyle w:val="14"/>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B157">
    <w:pPr>
      <w:pStyle w:val="14"/>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B0CC">
    <w:pPr>
      <w:pStyle w:val="14"/>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5683A">
    <w:pPr>
      <w:pStyle w:val="14"/>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A1883"/>
    <w:multiLevelType w:val="singleLevel"/>
    <w:tmpl w:val="9D4A1883"/>
    <w:lvl w:ilvl="0" w:tentative="0">
      <w:start w:val="87"/>
      <w:numFmt w:val="chineseCounting"/>
      <w:suff w:val="nothing"/>
      <w:lvlText w:val="%1、"/>
      <w:lvlJc w:val="left"/>
      <w:rPr>
        <w:rFonts w:hint="eastAsia"/>
      </w:rPr>
    </w:lvl>
  </w:abstractNum>
  <w:abstractNum w:abstractNumId="1">
    <w:nsid w:val="C8649F8E"/>
    <w:multiLevelType w:val="singleLevel"/>
    <w:tmpl w:val="C8649F8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0D15F7D"/>
    <w:rsid w:val="00DC2D5A"/>
    <w:rsid w:val="0102542E"/>
    <w:rsid w:val="016D1799"/>
    <w:rsid w:val="02D51A04"/>
    <w:rsid w:val="04162113"/>
    <w:rsid w:val="05486CD8"/>
    <w:rsid w:val="05BB5302"/>
    <w:rsid w:val="07B35AF2"/>
    <w:rsid w:val="09695DE1"/>
    <w:rsid w:val="09C27272"/>
    <w:rsid w:val="0A6B1FEC"/>
    <w:rsid w:val="10804703"/>
    <w:rsid w:val="10913B38"/>
    <w:rsid w:val="114A0833"/>
    <w:rsid w:val="132E7181"/>
    <w:rsid w:val="15D361A8"/>
    <w:rsid w:val="16472A5F"/>
    <w:rsid w:val="175F30F2"/>
    <w:rsid w:val="17FA3BE0"/>
    <w:rsid w:val="19805B78"/>
    <w:rsid w:val="1C0A2194"/>
    <w:rsid w:val="1D137258"/>
    <w:rsid w:val="1E847D39"/>
    <w:rsid w:val="1EAA7ACD"/>
    <w:rsid w:val="1F146DB6"/>
    <w:rsid w:val="209534C5"/>
    <w:rsid w:val="20C86D2F"/>
    <w:rsid w:val="22345E5B"/>
    <w:rsid w:val="23E7074D"/>
    <w:rsid w:val="24475584"/>
    <w:rsid w:val="25A44C59"/>
    <w:rsid w:val="25ED3EFB"/>
    <w:rsid w:val="27ED755D"/>
    <w:rsid w:val="28EF1334"/>
    <w:rsid w:val="2B6C3C42"/>
    <w:rsid w:val="2B8325F8"/>
    <w:rsid w:val="2B9E431A"/>
    <w:rsid w:val="2BB4677D"/>
    <w:rsid w:val="2F9B208F"/>
    <w:rsid w:val="30C67022"/>
    <w:rsid w:val="31A348F2"/>
    <w:rsid w:val="32292413"/>
    <w:rsid w:val="355E2940"/>
    <w:rsid w:val="373B789A"/>
    <w:rsid w:val="374101FF"/>
    <w:rsid w:val="3A4A7D8D"/>
    <w:rsid w:val="3BFD68F1"/>
    <w:rsid w:val="3D404AB5"/>
    <w:rsid w:val="3D9A6C3F"/>
    <w:rsid w:val="3DF909C6"/>
    <w:rsid w:val="3E2A7656"/>
    <w:rsid w:val="3F6B2F1A"/>
    <w:rsid w:val="3FB12286"/>
    <w:rsid w:val="40632CF4"/>
    <w:rsid w:val="43DA3072"/>
    <w:rsid w:val="44293F63"/>
    <w:rsid w:val="471C7F53"/>
    <w:rsid w:val="4A977AF4"/>
    <w:rsid w:val="4E9F590E"/>
    <w:rsid w:val="4F2D00A8"/>
    <w:rsid w:val="4FA62AF1"/>
    <w:rsid w:val="506036C9"/>
    <w:rsid w:val="51684E80"/>
    <w:rsid w:val="526E487B"/>
    <w:rsid w:val="545B4B0B"/>
    <w:rsid w:val="54927C0A"/>
    <w:rsid w:val="55BD2AE1"/>
    <w:rsid w:val="56F5366D"/>
    <w:rsid w:val="56F87B9A"/>
    <w:rsid w:val="58C66C34"/>
    <w:rsid w:val="5A1170DE"/>
    <w:rsid w:val="5BC715AF"/>
    <w:rsid w:val="5CAD483A"/>
    <w:rsid w:val="5D5E4AAE"/>
    <w:rsid w:val="5E6315EA"/>
    <w:rsid w:val="5F836D59"/>
    <w:rsid w:val="5FEA20BE"/>
    <w:rsid w:val="604678A4"/>
    <w:rsid w:val="61723CCE"/>
    <w:rsid w:val="61D14789"/>
    <w:rsid w:val="64C33B59"/>
    <w:rsid w:val="64F831CA"/>
    <w:rsid w:val="668C4B37"/>
    <w:rsid w:val="66AB743B"/>
    <w:rsid w:val="66CA3897"/>
    <w:rsid w:val="6FC61FCF"/>
    <w:rsid w:val="70316526"/>
    <w:rsid w:val="707A29C2"/>
    <w:rsid w:val="722A54E3"/>
    <w:rsid w:val="72482193"/>
    <w:rsid w:val="73221EB1"/>
    <w:rsid w:val="7341797A"/>
    <w:rsid w:val="756248C1"/>
    <w:rsid w:val="75B0548E"/>
    <w:rsid w:val="767B079C"/>
    <w:rsid w:val="784210E3"/>
    <w:rsid w:val="78BE7C47"/>
    <w:rsid w:val="7BA6356E"/>
    <w:rsid w:val="7D7F0EF0"/>
    <w:rsid w:val="7DCE4049"/>
    <w:rsid w:val="7DD11077"/>
    <w:rsid w:val="7E724B78"/>
    <w:rsid w:val="7ED83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4">
    <w:name w:val="heading 2"/>
    <w:basedOn w:val="3"/>
    <w:next w:val="1"/>
    <w:link w:val="35"/>
    <w:unhideWhenUsed/>
    <w:qFormat/>
    <w:uiPriority w:val="1"/>
    <w:pPr>
      <w:ind w:left="3"/>
      <w:jc w:val="center"/>
      <w:outlineLvl w:val="1"/>
    </w:pPr>
    <w:rPr>
      <w:rFonts w:hint="default" w:ascii="宋体" w:hAnsi="宋体" w:eastAsia="宋体"/>
      <w:sz w:val="30"/>
      <w:szCs w:val="24"/>
    </w:rPr>
  </w:style>
  <w:style w:type="paragraph" w:styleId="5">
    <w:name w:val="heading 3"/>
    <w:basedOn w:val="1"/>
    <w:next w:val="1"/>
    <w:link w:val="27"/>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6">
    <w:name w:val="heading 4"/>
    <w:basedOn w:val="1"/>
    <w:next w:val="1"/>
    <w:unhideWhenUsed/>
    <w:qFormat/>
    <w:uiPriority w:val="1"/>
    <w:pPr>
      <w:outlineLvl w:val="3"/>
    </w:pPr>
    <w:rPr>
      <w:rFonts w:hint="default" w:ascii="宋体" w:hAnsi="宋体" w:eastAsia="宋体"/>
      <w:sz w:val="28"/>
      <w:szCs w:val="24"/>
    </w:rPr>
  </w:style>
  <w:style w:type="paragraph" w:styleId="7">
    <w:name w:val="heading 5"/>
    <w:basedOn w:val="1"/>
    <w:next w:val="1"/>
    <w:unhideWhenUsed/>
    <w:qFormat/>
    <w:uiPriority w:val="1"/>
    <w:pPr>
      <w:ind w:left="237"/>
      <w:outlineLvl w:val="4"/>
    </w:pPr>
    <w:rPr>
      <w:rFonts w:hint="default" w:ascii="宋体" w:hAnsi="宋体" w:eastAsia="宋体"/>
      <w:sz w:val="28"/>
      <w:szCs w:val="24"/>
    </w:rPr>
  </w:style>
  <w:style w:type="paragraph" w:styleId="8">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1">
    <w:name w:val="Default Paragraph Font"/>
    <w:unhideWhenUsed/>
    <w:qFormat/>
    <w:uiPriority w:val="99"/>
    <w:rPr>
      <w:rFonts w:hint="default"/>
      <w:sz w:val="24"/>
      <w:szCs w:val="24"/>
    </w:rPr>
  </w:style>
  <w:style w:type="table" w:default="1" w:styleId="20">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unhideWhenUsed/>
    <w:qFormat/>
    <w:uiPriority w:val="0"/>
    <w:rPr>
      <w:rFonts w:hint="default" w:ascii="宋体" w:hAnsi="Courier New" w:eastAsia="宋体"/>
      <w:sz w:val="24"/>
      <w:szCs w:val="24"/>
    </w:rPr>
  </w:style>
  <w:style w:type="paragraph" w:styleId="9">
    <w:name w:val="annotation text"/>
    <w:basedOn w:val="1"/>
    <w:unhideWhenUsed/>
    <w:qFormat/>
    <w:uiPriority w:val="99"/>
    <w:pPr>
      <w:jc w:val="left"/>
    </w:pPr>
  </w:style>
  <w:style w:type="paragraph" w:styleId="10">
    <w:name w:val="Body Text 3"/>
    <w:basedOn w:val="1"/>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next w:val="1"/>
    <w:unhideWhenUsed/>
    <w:qFormat/>
    <w:uiPriority w:val="1"/>
    <w:pPr>
      <w:ind w:left="520"/>
    </w:pPr>
    <w:rPr>
      <w:rFonts w:hint="default" w:ascii="宋体" w:hAnsi="宋体" w:eastAsia="宋体"/>
      <w:sz w:val="21"/>
      <w:szCs w:val="24"/>
    </w:rPr>
  </w:style>
  <w:style w:type="paragraph" w:styleId="12">
    <w:name w:val="toc 3"/>
    <w:basedOn w:val="1"/>
    <w:next w:val="1"/>
    <w:qFormat/>
    <w:uiPriority w:val="99"/>
    <w:pPr>
      <w:ind w:left="840" w:leftChars="400"/>
    </w:pPr>
  </w:style>
  <w:style w:type="paragraph" w:styleId="13">
    <w:name w:val="footer"/>
    <w:basedOn w:val="1"/>
    <w:unhideWhenUsed/>
    <w:qFormat/>
    <w:uiPriority w:val="99"/>
    <w:pPr>
      <w:tabs>
        <w:tab w:val="center" w:pos="4153"/>
        <w:tab w:val="right" w:pos="8306"/>
      </w:tabs>
      <w:snapToGrid w:val="0"/>
    </w:pPr>
    <w:rPr>
      <w:rFonts w:hint="default"/>
      <w:sz w:val="18"/>
      <w:szCs w:val="24"/>
    </w:rPr>
  </w:style>
  <w:style w:type="paragraph" w:styleId="14">
    <w:name w:val="header"/>
    <w:basedOn w:val="1"/>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8">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19">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2">
    <w:name w:val="Strong"/>
    <w:basedOn w:val="21"/>
    <w:qFormat/>
    <w:uiPriority w:val="99"/>
    <w:rPr>
      <w:b/>
    </w:rPr>
  </w:style>
  <w:style w:type="character" w:styleId="23">
    <w:name w:val="FollowedHyperlink"/>
    <w:basedOn w:val="21"/>
    <w:qFormat/>
    <w:uiPriority w:val="99"/>
    <w:rPr>
      <w:color w:val="800080"/>
      <w:u w:val="single"/>
    </w:rPr>
  </w:style>
  <w:style w:type="character" w:styleId="24">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5">
    <w:name w:val="正文缩进1"/>
    <w:basedOn w:val="26"/>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6">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7">
    <w:name w:val="标题 3 Char"/>
    <w:link w:val="5"/>
    <w:unhideWhenUsed/>
    <w:qFormat/>
    <w:uiPriority w:val="1"/>
    <w:rPr>
      <w:rFonts w:hint="default" w:ascii="宋体" w:hAnsi="宋体" w:eastAsia="宋体"/>
      <w:b/>
      <w:sz w:val="24"/>
      <w:szCs w:val="24"/>
    </w:rPr>
  </w:style>
  <w:style w:type="paragraph" w:customStyle="1" w:styleId="28">
    <w:name w:val="Table Paragraph"/>
    <w:basedOn w:val="1"/>
    <w:unhideWhenUsed/>
    <w:qFormat/>
    <w:uiPriority w:val="1"/>
    <w:rPr>
      <w:rFonts w:hint="default"/>
      <w:sz w:val="24"/>
      <w:szCs w:val="24"/>
    </w:rPr>
  </w:style>
  <w:style w:type="paragraph" w:customStyle="1" w:styleId="29">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0">
    <w:name w:val="p0"/>
    <w:basedOn w:val="1"/>
    <w:unhideWhenUsed/>
    <w:qFormat/>
    <w:uiPriority w:val="0"/>
    <w:pPr>
      <w:widowControl/>
      <w:spacing w:before="75" w:after="75"/>
    </w:pPr>
    <w:rPr>
      <w:rFonts w:hint="default" w:ascii="宋体" w:hAnsi="宋体" w:eastAsia="宋体" w:cs="宋体"/>
      <w:sz w:val="24"/>
      <w:szCs w:val="24"/>
    </w:rPr>
  </w:style>
  <w:style w:type="paragraph" w:styleId="31">
    <w:name w:val="List Paragraph"/>
    <w:basedOn w:val="1"/>
    <w:unhideWhenUsed/>
    <w:qFormat/>
    <w:uiPriority w:val="1"/>
    <w:rPr>
      <w:rFonts w:hint="default"/>
      <w:sz w:val="24"/>
      <w:szCs w:val="24"/>
    </w:rPr>
  </w:style>
  <w:style w:type="paragraph" w:customStyle="1" w:styleId="32">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3">
    <w:name w:val="样式 宋体 行距: 1.5 倍行距"/>
    <w:basedOn w:val="1"/>
    <w:unhideWhenUsed/>
    <w:qFormat/>
    <w:uiPriority w:val="0"/>
    <w:pPr>
      <w:jc w:val="center"/>
    </w:pPr>
    <w:rPr>
      <w:rFonts w:hint="default"/>
      <w:b/>
      <w:sz w:val="24"/>
      <w:szCs w:val="24"/>
    </w:rPr>
  </w:style>
  <w:style w:type="paragraph" w:customStyle="1" w:styleId="34">
    <w:name w:val="发文落款"/>
    <w:basedOn w:val="29"/>
    <w:unhideWhenUsed/>
    <w:qFormat/>
    <w:uiPriority w:val="99"/>
    <w:pPr>
      <w:ind w:left="4094" w:right="607" w:firstLine="0"/>
      <w:jc w:val="center"/>
    </w:pPr>
    <w:rPr>
      <w:rFonts w:hint="eastAsia" w:cs="仿宋_GB2312"/>
      <w:sz w:val="32"/>
      <w:szCs w:val="32"/>
    </w:rPr>
  </w:style>
  <w:style w:type="character" w:customStyle="1" w:styleId="35">
    <w:name w:val="标题 2 Char"/>
    <w:link w:val="4"/>
    <w:unhideWhenUsed/>
    <w:qFormat/>
    <w:uiPriority w:val="1"/>
    <w:rPr>
      <w:rFonts w:hint="default" w:ascii="宋体" w:hAnsi="宋体" w:eastAsia="宋体"/>
      <w:b/>
      <w:sz w:val="30"/>
      <w:szCs w:val="24"/>
    </w:rPr>
  </w:style>
  <w:style w:type="character" w:customStyle="1" w:styleId="36">
    <w:name w:val="NormalCharacter"/>
    <w:unhideWhenUsed/>
    <w:qFormat/>
    <w:uiPriority w:val="0"/>
    <w:rPr>
      <w:rFonts w:hint="default"/>
      <w:sz w:val="24"/>
      <w:szCs w:val="24"/>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15"/>
    <w:basedOn w:val="21"/>
    <w:qFormat/>
    <w:uiPriority w:val="0"/>
    <w:rPr>
      <w:rFonts w:hint="default" w:ascii="Times New Roman" w:hAnsi="Times New Roman" w:cs="Times New Roman"/>
    </w:rPr>
  </w:style>
  <w:style w:type="character" w:customStyle="1" w:styleId="42">
    <w:name w:val="10"/>
    <w:basedOn w:val="21"/>
    <w:qFormat/>
    <w:uiPriority w:val="0"/>
    <w:rPr>
      <w:rFonts w:hint="default" w:ascii="Times New Roman" w:hAnsi="Times New Roman" w:cs="Times New Roman"/>
    </w:rPr>
  </w:style>
  <w:style w:type="paragraph" w:customStyle="1" w:styleId="43">
    <w:name w:val="Default"/>
    <w:next w:val="4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6'"/>
    <w:basedOn w:val="1"/>
    <w:next w:val="45"/>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5">
    <w:name w:val="AOHead3"/>
    <w:basedOn w:val="1"/>
    <w:next w:val="1"/>
    <w:qFormat/>
    <w:uiPriority w:val="0"/>
    <w:pPr>
      <w:spacing w:line="360" w:lineRule="auto"/>
      <w:ind w:left="1260"/>
      <w:outlineLvl w:val="2"/>
    </w:pPr>
    <w:rPr>
      <w:color w:val="0000F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144</Pages>
  <Words>12634</Words>
  <Characters>13544</Characters>
  <TotalTime>0</TotalTime>
  <ScaleCrop>false</ScaleCrop>
  <LinksUpToDate>false</LinksUpToDate>
  <CharactersWithSpaces>13856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Kenny</cp:lastModifiedBy>
  <dcterms:modified xsi:type="dcterms:W3CDTF">2025-08-08T10:21:16Z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A1C8D80B1E2E46289C67480C9AA93D6C_13</vt:lpwstr>
  </property>
  <property fmtid="{D5CDD505-2E9C-101B-9397-08002B2CF9AE}" pid="4" name="KSOTemplateDocerSaveRecord">
    <vt:lpwstr>eyJoZGlkIjoiYzBlZDY0N2Y0NjBkNTYyM2Y5NzQwY2Q3MDg3YWY1YzEiLCJ1c2VySWQiOiI0NTk0MDQ1MDkifQ==</vt:lpwstr>
  </property>
</Properties>
</file>