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line="360" w:lineRule="auto"/>
        <w:jc w:val="center"/>
        <w:rPr>
          <w:rFonts w:hint="eastAsia" w:ascii="仿宋" w:hAnsi="仿宋" w:eastAsia="仿宋" w:cs="仿宋"/>
          <w:b/>
          <w:bCs/>
          <w:color w:val="auto"/>
          <w:szCs w:val="21"/>
          <w:highlight w:val="none"/>
          <w:u w:val="single"/>
        </w:rPr>
      </w:pPr>
      <w:r>
        <w:rPr>
          <w:rFonts w:hint="eastAsia" w:ascii="仿宋" w:hAnsi="仿宋" w:eastAsia="仿宋" w:cs="仿宋"/>
          <w:b/>
          <w:bCs/>
          <w:color w:val="auto"/>
          <w:sz w:val="28"/>
          <w:highlight w:val="none"/>
        </w:rPr>
        <w:t>深汕高速公路东段交通安全设施精细化提升工程招</w:t>
      </w:r>
      <w:r>
        <w:rPr>
          <w:rFonts w:hint="eastAsia" w:ascii="仿宋" w:hAnsi="仿宋" w:eastAsia="仿宋" w:cs="仿宋"/>
          <w:b/>
          <w:bCs/>
          <w:color w:val="auto"/>
          <w:spacing w:val="-3"/>
          <w:sz w:val="28"/>
          <w:highlight w:val="none"/>
        </w:rPr>
        <w:t>标</w:t>
      </w:r>
      <w:r>
        <w:rPr>
          <w:rFonts w:hint="eastAsia" w:ascii="仿宋" w:hAnsi="仿宋" w:eastAsia="仿宋" w:cs="仿宋"/>
          <w:b/>
          <w:bCs/>
          <w:color w:val="auto"/>
          <w:sz w:val="28"/>
          <w:highlight w:val="none"/>
        </w:rPr>
        <w:t>公告</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1．招标条件</w:t>
      </w:r>
    </w:p>
    <w:p>
      <w:pPr>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本招标项目</w:t>
      </w:r>
      <w:r>
        <w:rPr>
          <w:rFonts w:hint="eastAsia" w:ascii="仿宋" w:hAnsi="仿宋" w:eastAsia="仿宋" w:cs="仿宋"/>
          <w:b/>
          <w:bCs/>
          <w:color w:val="auto"/>
          <w:szCs w:val="21"/>
          <w:highlight w:val="none"/>
          <w:u w:val="single"/>
        </w:rPr>
        <w:t>深汕高速公路东段交通安全设施精细化提升工程</w:t>
      </w:r>
      <w:r>
        <w:rPr>
          <w:rFonts w:hint="eastAsia" w:ascii="仿宋" w:hAnsi="仿宋" w:eastAsia="仿宋" w:cs="仿宋"/>
          <w:color w:val="auto"/>
          <w:szCs w:val="21"/>
          <w:highlight w:val="none"/>
        </w:rPr>
        <w:t>已由</w:t>
      </w:r>
      <w:r>
        <w:rPr>
          <w:rFonts w:hint="eastAsia" w:ascii="仿宋" w:hAnsi="仿宋" w:eastAsia="仿宋" w:cs="仿宋"/>
          <w:b/>
          <w:color w:val="auto"/>
          <w:highlight w:val="none"/>
          <w:u w:val="single"/>
        </w:rPr>
        <w:t>广东深汕高速公路东段有限公司</w:t>
      </w:r>
      <w:r>
        <w:rPr>
          <w:rFonts w:hint="eastAsia" w:ascii="仿宋" w:hAnsi="仿宋" w:eastAsia="仿宋" w:cs="仿宋"/>
          <w:color w:val="auto"/>
          <w:szCs w:val="21"/>
          <w:highlight w:val="none"/>
        </w:rPr>
        <w:t>批准，项目发包人为</w:t>
      </w:r>
      <w:r>
        <w:rPr>
          <w:rFonts w:hint="eastAsia" w:ascii="仿宋" w:hAnsi="仿宋" w:eastAsia="仿宋" w:cs="仿宋"/>
          <w:color w:val="auto"/>
          <w:szCs w:val="21"/>
          <w:highlight w:val="none"/>
          <w:u w:val="single"/>
        </w:rPr>
        <w:t>广东深汕高速公路东段有限公司</w:t>
      </w:r>
      <w:r>
        <w:rPr>
          <w:rFonts w:hint="eastAsia" w:ascii="仿宋" w:hAnsi="仿宋" w:eastAsia="仿宋" w:cs="仿宋"/>
          <w:color w:val="auto"/>
          <w:szCs w:val="21"/>
          <w:highlight w:val="none"/>
        </w:rPr>
        <w:t>（以下简称“发包人”)，项目资金来自</w:t>
      </w:r>
      <w:r>
        <w:rPr>
          <w:rFonts w:hint="eastAsia" w:ascii="仿宋" w:hAnsi="仿宋" w:eastAsia="仿宋" w:cs="仿宋"/>
          <w:color w:val="auto"/>
          <w:szCs w:val="21"/>
          <w:highlight w:val="none"/>
          <w:u w:val="single"/>
        </w:rPr>
        <w:t>发包人自筹</w:t>
      </w:r>
      <w:r>
        <w:rPr>
          <w:rFonts w:hint="eastAsia" w:ascii="仿宋" w:hAnsi="仿宋" w:eastAsia="仿宋" w:cs="仿宋"/>
          <w:color w:val="auto"/>
          <w:szCs w:val="21"/>
          <w:highlight w:val="none"/>
        </w:rPr>
        <w:t>，</w:t>
      </w:r>
      <w:r>
        <w:rPr>
          <w:rFonts w:hint="eastAsia" w:ascii="仿宋" w:hAnsi="仿宋" w:eastAsia="仿宋" w:cs="仿宋"/>
          <w:color w:val="auto"/>
          <w:highlight w:val="none"/>
        </w:rPr>
        <w:t>项目出资比例为</w:t>
      </w:r>
      <w:r>
        <w:rPr>
          <w:rFonts w:hint="eastAsia" w:ascii="仿宋" w:hAnsi="仿宋" w:eastAsia="仿宋" w:cs="仿宋"/>
          <w:color w:val="auto"/>
          <w:highlight w:val="none"/>
          <w:u w:val="single"/>
        </w:rPr>
        <w:t>100%</w:t>
      </w:r>
      <w:r>
        <w:rPr>
          <w:rFonts w:hint="eastAsia" w:ascii="仿宋" w:hAnsi="仿宋" w:eastAsia="仿宋" w:cs="仿宋"/>
          <w:color w:val="auto"/>
          <w:highlight w:val="none"/>
        </w:rPr>
        <w:t>，招标人为</w:t>
      </w:r>
      <w:r>
        <w:rPr>
          <w:rFonts w:hint="eastAsia" w:ascii="仿宋" w:hAnsi="仿宋" w:eastAsia="仿宋" w:cs="仿宋"/>
          <w:color w:val="auto"/>
          <w:szCs w:val="21"/>
          <w:highlight w:val="none"/>
          <w:u w:val="single"/>
        </w:rPr>
        <w:t>广东深汕高速公路东段有限公司</w:t>
      </w:r>
      <w:r>
        <w:rPr>
          <w:rFonts w:hint="eastAsia" w:ascii="仿宋" w:hAnsi="仿宋" w:eastAsia="仿宋" w:cs="仿宋"/>
          <w:color w:val="auto"/>
          <w:highlight w:val="none"/>
        </w:rPr>
        <w:t>。</w:t>
      </w:r>
      <w:r>
        <w:rPr>
          <w:rFonts w:hint="eastAsia" w:ascii="仿宋" w:hAnsi="仿宋" w:eastAsia="仿宋" w:cs="仿宋"/>
          <w:color w:val="auto"/>
          <w:szCs w:val="21"/>
          <w:highlight w:val="none"/>
        </w:rPr>
        <w:t>项目已具备招标条件，现对该项目的施工采用资格后审方式进行公开招标。</w:t>
      </w:r>
      <w:r>
        <w:rPr>
          <w:rFonts w:hint="eastAsia" w:ascii="仿宋" w:hAnsi="仿宋" w:eastAsia="仿宋" w:cs="仿宋"/>
          <w:color w:val="auto"/>
          <w:highlight w:val="none"/>
        </w:rPr>
        <w:t xml:space="preserve">   </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2．项目概况与招标范围</w:t>
      </w:r>
    </w:p>
    <w:p>
      <w:pPr>
        <w:widowControl/>
        <w:topLinePunct/>
        <w:spacing w:before="120" w:beforeLines="50" w:line="360" w:lineRule="auto"/>
        <w:ind w:firstLine="424"/>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2.1项目概况与招标范围</w:t>
      </w:r>
    </w:p>
    <w:p>
      <w:pPr>
        <w:widowControl/>
        <w:spacing w:before="120" w:beforeLines="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分为两个标段：</w:t>
      </w:r>
    </w:p>
    <w:p>
      <w:pPr>
        <w:widowControl/>
        <w:spacing w:before="120" w:beforeLines="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第1标段为</w:t>
      </w:r>
      <w:bookmarkStart w:id="0" w:name="OLE_LINK10"/>
      <w:r>
        <w:rPr>
          <w:rFonts w:hint="eastAsia" w:ascii="仿宋" w:hAnsi="仿宋" w:eastAsia="仿宋" w:cs="仿宋"/>
          <w:color w:val="auto"/>
          <w:szCs w:val="21"/>
          <w:highlight w:val="none"/>
        </w:rPr>
        <w:t>K2565+348~K2610+000</w:t>
      </w:r>
      <w:bookmarkEnd w:id="0"/>
      <w:r>
        <w:rPr>
          <w:rFonts w:hint="eastAsia" w:ascii="仿宋" w:hAnsi="仿宋" w:eastAsia="仿宋" w:cs="仿宋"/>
          <w:color w:val="auto"/>
          <w:szCs w:val="21"/>
          <w:highlight w:val="none"/>
        </w:rPr>
        <w:t>段交通安全设施精细化提升，主要包括</w:t>
      </w:r>
      <w:bookmarkStart w:id="1" w:name="OLE_LINK11"/>
      <w:bookmarkStart w:id="2" w:name="OLE_LINK14"/>
      <w:r>
        <w:rPr>
          <w:rFonts w:hint="eastAsia" w:ascii="仿宋" w:hAnsi="仿宋" w:eastAsia="仿宋" w:cs="仿宋"/>
          <w:color w:val="auto"/>
          <w:szCs w:val="21"/>
          <w:highlight w:val="none"/>
        </w:rPr>
        <w:t>波形护栏、中分带活动开口、桥梁砼护栏与波形护栏过渡段、匝道出口端防撞垫改造或增设，标志标线维修等</w:t>
      </w:r>
      <w:bookmarkEnd w:id="1"/>
      <w:bookmarkEnd w:id="2"/>
      <w:r>
        <w:rPr>
          <w:rFonts w:hint="eastAsia" w:ascii="仿宋" w:hAnsi="仿宋" w:eastAsia="仿宋" w:cs="仿宋"/>
          <w:color w:val="auto"/>
          <w:szCs w:val="21"/>
          <w:highlight w:val="none"/>
        </w:rPr>
        <w:t>。</w:t>
      </w:r>
    </w:p>
    <w:p>
      <w:pPr>
        <w:pStyle w:val="2"/>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第2标段为K2610+000~K2705+364段交通安全设施精细化提升，主要包括波形护栏、中分带活动开口、桥梁砼护栏与波形护栏过渡段、匝道出口端防撞垫改造或增设，标志标线维修等。</w:t>
      </w:r>
    </w:p>
    <w:p>
      <w:pPr>
        <w:widowControl/>
        <w:topLinePunct/>
        <w:spacing w:before="120" w:beforeLines="50" w:line="360" w:lineRule="auto"/>
        <w:ind w:firstLine="424"/>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 xml:space="preserve">2.2 招标控制价：1标段  </w:t>
      </w:r>
      <w:r>
        <w:rPr>
          <w:rFonts w:hint="eastAsia" w:ascii="仿宋" w:hAnsi="仿宋" w:eastAsia="仿宋" w:cs="仿宋"/>
          <w:b/>
          <w:color w:val="auto"/>
          <w:sz w:val="24"/>
          <w:szCs w:val="20"/>
          <w:highlight w:val="none"/>
          <w:u w:val="single"/>
        </w:rPr>
        <w:t xml:space="preserve"> 13,486,194.00</w:t>
      </w:r>
      <w:bookmarkStart w:id="3" w:name="OLE_LINK8"/>
      <w:bookmarkStart w:id="4" w:name="OLE_LINK9"/>
      <w:r>
        <w:rPr>
          <w:rFonts w:hint="eastAsia" w:ascii="仿宋" w:hAnsi="仿宋" w:eastAsia="仿宋" w:cs="仿宋"/>
          <w:b/>
          <w:color w:val="auto"/>
          <w:sz w:val="24"/>
          <w:szCs w:val="20"/>
          <w:highlight w:val="none"/>
          <w:u w:val="single"/>
        </w:rPr>
        <w:t xml:space="preserve"> </w:t>
      </w:r>
      <w:r>
        <w:rPr>
          <w:rFonts w:hint="eastAsia" w:ascii="仿宋" w:hAnsi="仿宋" w:eastAsia="仿宋" w:cs="仿宋"/>
          <w:b/>
          <w:color w:val="auto"/>
          <w:sz w:val="24"/>
          <w:szCs w:val="20"/>
          <w:highlight w:val="none"/>
        </w:rPr>
        <w:t>元，2标段</w:t>
      </w:r>
      <w:r>
        <w:rPr>
          <w:rFonts w:hint="eastAsia" w:ascii="仿宋" w:hAnsi="仿宋" w:eastAsia="仿宋" w:cs="仿宋"/>
          <w:b/>
          <w:color w:val="auto"/>
          <w:sz w:val="24"/>
          <w:szCs w:val="20"/>
          <w:highlight w:val="none"/>
          <w:u w:val="single"/>
        </w:rPr>
        <w:t xml:space="preserve">  18,955,431.00 </w:t>
      </w:r>
      <w:r>
        <w:rPr>
          <w:rFonts w:hint="eastAsia" w:ascii="仿宋" w:hAnsi="仿宋" w:eastAsia="仿宋" w:cs="仿宋"/>
          <w:b/>
          <w:color w:val="auto"/>
          <w:sz w:val="24"/>
          <w:szCs w:val="20"/>
          <w:highlight w:val="none"/>
        </w:rPr>
        <w:t>元</w:t>
      </w:r>
      <w:bookmarkEnd w:id="3"/>
      <w:bookmarkEnd w:id="4"/>
      <w:r>
        <w:rPr>
          <w:rFonts w:hint="eastAsia" w:ascii="仿宋" w:hAnsi="仿宋" w:eastAsia="仿宋" w:cs="仿宋"/>
          <w:b/>
          <w:color w:val="auto"/>
          <w:sz w:val="24"/>
          <w:szCs w:val="20"/>
          <w:highlight w:val="none"/>
        </w:rPr>
        <w:t>。</w:t>
      </w:r>
    </w:p>
    <w:p>
      <w:pPr>
        <w:widowControl/>
        <w:topLinePunct/>
        <w:spacing w:before="120" w:beforeLines="50" w:line="360" w:lineRule="auto"/>
        <w:ind w:firstLine="424"/>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2.3标段划分</w:t>
      </w:r>
    </w:p>
    <w:p>
      <w:pPr>
        <w:spacing w:before="120" w:beforeLines="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本次招标共2个标段，主要工程项目情况详见附件1。投标人必须同时对2个标段进行投标，但只能成为其中一个标段的中标人，不能兼中（即兼投不兼中）。具体标段划分如下：</w:t>
      </w:r>
    </w:p>
    <w:tbl>
      <w:tblPr>
        <w:tblStyle w:val="4"/>
        <w:tblW w:w="0" w:type="auto"/>
        <w:jc w:val="center"/>
        <w:tblLayout w:type="autofit"/>
        <w:tblCellMar>
          <w:top w:w="0" w:type="dxa"/>
          <w:left w:w="108" w:type="dxa"/>
          <w:bottom w:w="0" w:type="dxa"/>
          <w:right w:w="108" w:type="dxa"/>
        </w:tblCellMar>
      </w:tblPr>
      <w:tblGrid>
        <w:gridCol w:w="721"/>
        <w:gridCol w:w="455"/>
        <w:gridCol w:w="2211"/>
        <w:gridCol w:w="962"/>
        <w:gridCol w:w="2031"/>
        <w:gridCol w:w="1345"/>
        <w:gridCol w:w="797"/>
      </w:tblGrid>
      <w:tr>
        <w:tblPrEx>
          <w:tblCellMar>
            <w:top w:w="0" w:type="dxa"/>
            <w:left w:w="108" w:type="dxa"/>
            <w:bottom w:w="0" w:type="dxa"/>
            <w:right w:w="108" w:type="dxa"/>
          </w:tblCellMar>
        </w:tblPrEx>
        <w:trPr>
          <w:trHeight w:val="51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标段</w:t>
            </w:r>
          </w:p>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类别</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标段</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位置</w:t>
            </w:r>
          </w:p>
        </w:tc>
        <w:tc>
          <w:tcPr>
            <w:tcW w:w="0" w:type="auto"/>
            <w:tcBorders>
              <w:top w:val="single" w:color="000000" w:sz="4" w:space="0"/>
              <w:left w:val="nil"/>
              <w:bottom w:val="single" w:color="000000" w:sz="4" w:space="0"/>
              <w:right w:val="single" w:color="000000" w:sz="4" w:space="0"/>
            </w:tcBorders>
            <w:noWrap w:val="0"/>
            <w:vAlign w:val="center"/>
          </w:tcPr>
          <w:p>
            <w:pPr>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计划工期（天）</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主要工程项目</w:t>
            </w:r>
          </w:p>
        </w:tc>
        <w:tc>
          <w:tcPr>
            <w:tcW w:w="0" w:type="auto"/>
            <w:tcBorders>
              <w:top w:val="single" w:color="000000" w:sz="4" w:space="0"/>
              <w:left w:val="nil"/>
              <w:bottom w:val="single" w:color="000000" w:sz="4" w:space="0"/>
              <w:right w:val="single" w:color="auto"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申请人资质要求</w:t>
            </w:r>
          </w:p>
        </w:tc>
        <w:tc>
          <w:tcPr>
            <w:tcW w:w="0" w:type="auto"/>
            <w:tcBorders>
              <w:top w:val="single" w:color="000000" w:sz="4" w:space="0"/>
              <w:left w:val="single" w:color="auto" w:sz="4" w:space="0"/>
              <w:bottom w:val="single" w:color="000000" w:sz="4" w:space="0"/>
              <w:right w:val="single" w:color="000000" w:sz="4" w:space="0"/>
            </w:tcBorders>
            <w:noWrap w:val="0"/>
            <w:vAlign w:val="center"/>
          </w:tcPr>
          <w:p>
            <w:pPr>
              <w:topLinePunct/>
              <w:spacing w:before="120" w:beforeLine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CellMar>
            <w:top w:w="0" w:type="dxa"/>
            <w:left w:w="108" w:type="dxa"/>
            <w:bottom w:w="0" w:type="dxa"/>
            <w:right w:w="108" w:type="dxa"/>
          </w:tblCellMar>
        </w:tblPrEx>
        <w:trPr>
          <w:trHeight w:val="180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topLinePunct/>
              <w:spacing w:before="120" w:beforeLines="50" w:line="360"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交通安全设施精细化提升工程</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Cs w:val="21"/>
                <w:highlight w:val="none"/>
              </w:rPr>
              <w:t>K2565+348~K2610+000</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8</w:t>
            </w:r>
            <w:r>
              <w:rPr>
                <w:rFonts w:hint="eastAsia" w:ascii="仿宋" w:hAnsi="仿宋" w:eastAsia="仿宋" w:cs="仿宋"/>
                <w:color w:val="auto"/>
                <w:sz w:val="18"/>
                <w:szCs w:val="18"/>
                <w:highlight w:val="none"/>
              </w:rPr>
              <w:t>0</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Cs w:val="21"/>
                <w:highlight w:val="none"/>
              </w:rPr>
              <w:t>包括波形护栏、中分带活动开口、桥梁砼护栏与波形护栏过渡段、匝道出口端防撞垫改造或增设，标志标线维修等</w:t>
            </w:r>
          </w:p>
        </w:tc>
        <w:tc>
          <w:tcPr>
            <w:tcW w:w="0" w:type="auto"/>
            <w:vMerge w:val="restart"/>
            <w:tcBorders>
              <w:top w:val="single" w:color="000000" w:sz="4" w:space="0"/>
              <w:left w:val="nil"/>
              <w:right w:val="single" w:color="auto" w:sz="4" w:space="0"/>
            </w:tcBorders>
            <w:noWrap w:val="0"/>
            <w:vAlign w:val="center"/>
          </w:tcPr>
          <w:p>
            <w:pPr>
              <w:shd w:val="solid" w:color="FFFFFF" w:fill="auto"/>
              <w:autoSpaceDN w:val="0"/>
              <w:snapToGrid w:val="0"/>
              <w:spacing w:before="120" w:beforeLines="50" w:line="360" w:lineRule="auto"/>
              <w:jc w:val="left"/>
              <w:textAlignment w:val="center"/>
              <w:rPr>
                <w:rFonts w:hint="eastAsia" w:ascii="仿宋" w:hAnsi="仿宋" w:eastAsia="仿宋" w:cs="仿宋"/>
                <w:color w:val="auto"/>
                <w:spacing w:val="-4"/>
                <w:sz w:val="18"/>
                <w:szCs w:val="18"/>
                <w:highlight w:val="none"/>
              </w:rPr>
            </w:pPr>
            <w:r>
              <w:rPr>
                <w:rFonts w:hint="eastAsia" w:ascii="仿宋" w:hAnsi="仿宋" w:eastAsia="仿宋" w:cs="仿宋"/>
                <w:color w:val="auto"/>
                <w:sz w:val="18"/>
                <w:szCs w:val="18"/>
                <w:highlight w:val="none"/>
              </w:rPr>
              <w:t>具备:</w:t>
            </w:r>
          </w:p>
          <w:p>
            <w:pPr>
              <w:autoSpaceDE w:val="0"/>
              <w:autoSpaceDN w:val="0"/>
              <w:adjustRightInd w:val="0"/>
              <w:spacing w:before="120" w:beforeLines="50" w:line="360" w:lineRule="auto"/>
              <w:jc w:val="left"/>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交通运输部《公路养护作业单位资质管理办法》中规定的交通安全设施养护资质</w:t>
            </w:r>
          </w:p>
        </w:tc>
        <w:tc>
          <w:tcPr>
            <w:tcW w:w="0" w:type="auto"/>
            <w:vMerge w:val="restart"/>
            <w:tcBorders>
              <w:top w:val="single" w:color="000000" w:sz="4" w:space="0"/>
              <w:left w:val="single" w:color="auto" w:sz="4" w:space="0"/>
              <w:right w:val="single" w:color="000000" w:sz="4" w:space="0"/>
            </w:tcBorders>
            <w:noWrap w:val="0"/>
            <w:vAlign w:val="center"/>
          </w:tcPr>
          <w:p>
            <w:pPr>
              <w:autoSpaceDE w:val="0"/>
              <w:autoSpaceDN w:val="0"/>
              <w:adjustRightInd w:val="0"/>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资格审查条件附录1~7详见附件2</w:t>
            </w:r>
          </w:p>
        </w:tc>
      </w:tr>
      <w:tr>
        <w:tblPrEx>
          <w:tblCellMar>
            <w:top w:w="0" w:type="dxa"/>
            <w:left w:w="108" w:type="dxa"/>
            <w:bottom w:w="0" w:type="dxa"/>
            <w:right w:w="108" w:type="dxa"/>
          </w:tblCellMar>
        </w:tblPrEx>
        <w:trPr>
          <w:trHeight w:val="910"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pPr>
              <w:topLinePunct/>
              <w:spacing w:before="120" w:beforeLines="50" w:line="360" w:lineRule="auto"/>
              <w:rPr>
                <w:rFonts w:hint="eastAsia" w:ascii="仿宋" w:hAnsi="仿宋" w:eastAsia="仿宋" w:cs="仿宋"/>
                <w:color w:val="auto"/>
                <w:sz w:val="18"/>
                <w:szCs w:val="18"/>
                <w:highlight w:val="none"/>
              </w:rPr>
            </w:pP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Cs w:val="21"/>
                <w:highlight w:val="none"/>
              </w:rPr>
              <w:t>K2610+000~K2705+364</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8</w:t>
            </w:r>
            <w:r>
              <w:rPr>
                <w:rFonts w:hint="eastAsia" w:ascii="仿宋" w:hAnsi="仿宋" w:eastAsia="仿宋" w:cs="仿宋"/>
                <w:color w:val="auto"/>
                <w:sz w:val="18"/>
                <w:szCs w:val="18"/>
                <w:highlight w:val="none"/>
              </w:rPr>
              <w:t>0</w:t>
            </w:r>
          </w:p>
        </w:tc>
        <w:tc>
          <w:tcPr>
            <w:tcW w:w="0" w:type="auto"/>
            <w:tcBorders>
              <w:top w:val="single" w:color="000000" w:sz="4" w:space="0"/>
              <w:left w:val="nil"/>
              <w:bottom w:val="single" w:color="000000" w:sz="4" w:space="0"/>
              <w:right w:val="single" w:color="000000" w:sz="4" w:space="0"/>
            </w:tcBorders>
            <w:noWrap w:val="0"/>
            <w:vAlign w:val="center"/>
          </w:tcPr>
          <w:p>
            <w:pPr>
              <w:topLinePunct/>
              <w:spacing w:before="120" w:beforeLines="50"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Cs w:val="21"/>
                <w:highlight w:val="none"/>
              </w:rPr>
              <w:t>包括波形护栏、中分带活动开口、桥梁砼护栏与波形护栏过渡段、匝道出口端防撞垫改造或增设，标志标线维修等</w:t>
            </w:r>
          </w:p>
        </w:tc>
        <w:tc>
          <w:tcPr>
            <w:tcW w:w="0" w:type="auto"/>
            <w:vMerge w:val="continue"/>
            <w:tcBorders>
              <w:left w:val="nil"/>
              <w:bottom w:val="single" w:color="000000" w:sz="4" w:space="0"/>
              <w:right w:val="single" w:color="auto" w:sz="4" w:space="0"/>
            </w:tcBorders>
            <w:noWrap w:val="0"/>
            <w:vAlign w:val="center"/>
          </w:tcPr>
          <w:p>
            <w:pPr>
              <w:autoSpaceDE w:val="0"/>
              <w:autoSpaceDN w:val="0"/>
              <w:adjustRightInd w:val="0"/>
              <w:spacing w:before="120" w:beforeLines="50" w:line="360" w:lineRule="auto"/>
              <w:jc w:val="center"/>
              <w:rPr>
                <w:rFonts w:hint="eastAsia" w:ascii="仿宋" w:hAnsi="仿宋" w:eastAsia="仿宋" w:cs="仿宋"/>
                <w:color w:val="auto"/>
                <w:sz w:val="18"/>
                <w:szCs w:val="18"/>
                <w:highlight w:val="none"/>
              </w:rPr>
            </w:pPr>
          </w:p>
        </w:tc>
        <w:tc>
          <w:tcPr>
            <w:tcW w:w="0" w:type="auto"/>
            <w:vMerge w:val="continue"/>
            <w:tcBorders>
              <w:left w:val="single" w:color="auto" w:sz="4" w:space="0"/>
              <w:bottom w:val="single" w:color="000000" w:sz="4" w:space="0"/>
              <w:right w:val="single" w:color="000000" w:sz="4" w:space="0"/>
            </w:tcBorders>
            <w:noWrap w:val="0"/>
            <w:vAlign w:val="center"/>
          </w:tcPr>
          <w:p>
            <w:pPr>
              <w:autoSpaceDE w:val="0"/>
              <w:autoSpaceDN w:val="0"/>
              <w:adjustRightInd w:val="0"/>
              <w:spacing w:before="120" w:beforeLines="50" w:line="360" w:lineRule="auto"/>
              <w:jc w:val="center"/>
              <w:rPr>
                <w:rFonts w:hint="eastAsia" w:ascii="仿宋" w:hAnsi="仿宋" w:eastAsia="仿宋" w:cs="仿宋"/>
                <w:color w:val="auto"/>
                <w:sz w:val="18"/>
                <w:szCs w:val="18"/>
                <w:highlight w:val="none"/>
              </w:rPr>
            </w:pPr>
          </w:p>
        </w:tc>
      </w:tr>
    </w:tbl>
    <w:p>
      <w:pPr>
        <w:spacing w:before="120" w:beforeLines="50" w:line="360" w:lineRule="auto"/>
        <w:rPr>
          <w:rFonts w:hint="eastAsia" w:ascii="仿宋" w:hAnsi="仿宋" w:eastAsia="仿宋" w:cs="仿宋"/>
          <w:color w:val="auto"/>
          <w:sz w:val="18"/>
          <w:szCs w:val="18"/>
          <w:highlight w:val="none"/>
        </w:rPr>
      </w:pPr>
      <w:r>
        <w:rPr>
          <w:rFonts w:hint="eastAsia" w:ascii="仿宋" w:hAnsi="仿宋" w:eastAsia="仿宋" w:cs="仿宋"/>
          <w:b/>
          <w:bCs/>
          <w:color w:val="auto"/>
          <w:kern w:val="0"/>
          <w:sz w:val="24"/>
          <w:szCs w:val="21"/>
          <w:highlight w:val="none"/>
        </w:rPr>
        <w:t xml:space="preserve">      </w:t>
      </w:r>
      <w:r>
        <w:rPr>
          <w:rFonts w:hint="eastAsia" w:ascii="仿宋" w:hAnsi="仿宋" w:eastAsia="仿宋" w:cs="仿宋"/>
          <w:color w:val="auto"/>
          <w:sz w:val="18"/>
          <w:szCs w:val="18"/>
          <w:highlight w:val="none"/>
        </w:rPr>
        <w:t>注：具体工程数量以招标文件工程量清单为准。</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3．投标人资格要求</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3.1本次招标要求投标人具备上述第2.3款表中所列相应资质，类似工程业绩，并在人员、设备、资金等方面具有相应的施工能力。</w:t>
      </w:r>
    </w:p>
    <w:p>
      <w:pPr>
        <w:widowControl/>
        <w:topLinePunct/>
        <w:spacing w:before="120" w:beforeLines="50" w:line="360" w:lineRule="auto"/>
        <w:ind w:right="18"/>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投标人应进入交通运输部“全国公路建设市场监督管理系统（http: glxy.mot.gov.cn)”中的公路工程施工资质企业名录，且投标人名称和资质与该名录 中的相应企业名称和资质完全一致。</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3.2本次招标不接受联合体投标。</w:t>
      </w:r>
    </w:p>
    <w:p>
      <w:pPr>
        <w:widowControl/>
        <w:topLinePunct/>
        <w:spacing w:before="120" w:beforeLines="50" w:line="360" w:lineRule="auto"/>
        <w:ind w:right="18" w:firstLine="424"/>
        <w:rPr>
          <w:rFonts w:hint="eastAsia" w:ascii="仿宋" w:hAnsi="仿宋" w:eastAsia="仿宋" w:cs="仿宋"/>
          <w:color w:val="auto"/>
          <w:highlight w:val="none"/>
        </w:rPr>
      </w:pPr>
      <w:r>
        <w:rPr>
          <w:rFonts w:hint="eastAsia" w:ascii="仿宋" w:hAnsi="仿宋" w:eastAsia="仿宋" w:cs="仿宋"/>
          <w:color w:val="auto"/>
          <w:highlight w:val="none"/>
        </w:rPr>
        <w:t>3.3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widowControl/>
        <w:wordWrap w:val="0"/>
        <w:topLinePunct/>
        <w:spacing w:before="120" w:beforeLines="50" w:line="360" w:lineRule="auto"/>
        <w:ind w:right="17" w:firstLine="425"/>
        <w:rPr>
          <w:rFonts w:hint="eastAsia" w:ascii="仿宋" w:hAnsi="仿宋" w:eastAsia="仿宋" w:cs="仿宋"/>
          <w:color w:val="auto"/>
          <w:highlight w:val="none"/>
          <w:lang w:eastAsia="zh-CN"/>
        </w:rPr>
      </w:pPr>
      <w:r>
        <w:rPr>
          <w:rFonts w:hint="eastAsia" w:ascii="仿宋" w:hAnsi="仿宋" w:eastAsia="仿宋" w:cs="仿宋"/>
          <w:color w:val="auto"/>
          <w:highlight w:val="none"/>
        </w:rPr>
        <w:t>3.4在“信用中国”网站（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"http://www.creditchina.gov.cn/)%e4%b8%ad%e8%a2%ab%e5%88%97%e5%85%a5%e5%a4%b1%e4%bf%a1%e8%a2%ab%e6%89%a7"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http://www.creditchina.gov.cn/)中被列入</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严重失信</w:t>
      </w:r>
      <w:r>
        <w:rPr>
          <w:rFonts w:hint="eastAsia" w:ascii="仿宋" w:hAnsi="仿宋" w:eastAsia="仿宋" w:cs="仿宋"/>
          <w:color w:val="auto"/>
          <w:highlight w:val="none"/>
        </w:rPr>
        <w:t>的投标人，在国家企业信用信息公示系统（www.gsxt.gov.cn）中被列入严重违法失信企业名单的投标人，均按否决投标处理。</w:t>
      </w:r>
      <w:r>
        <w:rPr>
          <w:rFonts w:hint="eastAsia" w:ascii="仿宋" w:hAnsi="仿宋" w:eastAsia="仿宋" w:cs="仿宋"/>
          <w:color w:val="auto"/>
          <w:highlight w:val="none"/>
          <w:lang w:val="en-US" w:eastAsia="zh-CN"/>
        </w:rPr>
        <w:t>注：</w:t>
      </w:r>
      <w:r>
        <w:rPr>
          <w:rFonts w:hint="eastAsia" w:ascii="仿宋" w:hAnsi="仿宋" w:eastAsia="仿宋" w:cs="仿宋"/>
          <w:color w:val="auto"/>
          <w:highlight w:val="none"/>
        </w:rPr>
        <w:t>上述2个网站的企业查询页面最终以招标代理在开标当日的网站查询结果为准</w:t>
      </w:r>
      <w:r>
        <w:rPr>
          <w:rFonts w:hint="eastAsia" w:ascii="仿宋" w:hAnsi="仿宋" w:eastAsia="仿宋" w:cs="仿宋"/>
          <w:color w:val="auto"/>
          <w:highlight w:val="none"/>
          <w:lang w:eastAsia="zh-CN"/>
        </w:rPr>
        <w:t>。</w:t>
      </w:r>
    </w:p>
    <w:p>
      <w:pPr>
        <w:widowControl/>
        <w:topLinePunct/>
        <w:spacing w:line="440" w:lineRule="atLeast"/>
        <w:ind w:firstLine="424"/>
        <w:rPr>
          <w:rFonts w:hint="eastAsia" w:ascii="仿宋" w:hAnsi="仿宋" w:eastAsia="仿宋" w:cs="仿宋"/>
          <w:b/>
          <w:bCs/>
          <w:color w:val="auto"/>
          <w:kern w:val="0"/>
          <w:sz w:val="24"/>
          <w:szCs w:val="21"/>
          <w:highlight w:val="none"/>
        </w:rPr>
      </w:pPr>
      <w:bookmarkStart w:id="5" w:name="_Toc5888"/>
      <w:bookmarkStart w:id="6" w:name="_Toc17459"/>
      <w:bookmarkStart w:id="7" w:name="_Toc5185"/>
      <w:bookmarkStart w:id="8" w:name="_Toc22505"/>
      <w:bookmarkStart w:id="9" w:name="_Toc29679"/>
      <w:bookmarkStart w:id="10" w:name="_Toc6989"/>
      <w:r>
        <w:rPr>
          <w:rFonts w:hint="eastAsia" w:ascii="仿宋" w:hAnsi="仿宋" w:eastAsia="仿宋" w:cs="仿宋"/>
          <w:b/>
          <w:bCs/>
          <w:color w:val="auto"/>
          <w:kern w:val="0"/>
          <w:sz w:val="24"/>
          <w:szCs w:val="21"/>
          <w:highlight w:val="none"/>
        </w:rPr>
        <w:t>4．招标文件的获取（先递交投标登记申请再获取）</w:t>
      </w:r>
    </w:p>
    <w:p>
      <w:pPr>
        <w:widowControl/>
        <w:topLinePunct/>
        <w:spacing w:line="440" w:lineRule="atLeast"/>
        <w:ind w:firstLine="424"/>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4.1、投标登记申请及招标文件的获取手续：</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
          <w:bCs w:val="0"/>
          <w:color w:val="auto"/>
          <w:kern w:val="0"/>
          <w:szCs w:val="21"/>
          <w:highlight w:val="none"/>
        </w:rPr>
        <w:t>招标公告日期：</w:t>
      </w:r>
      <w:r>
        <w:rPr>
          <w:rFonts w:hint="eastAsia" w:ascii="仿宋" w:hAnsi="仿宋" w:eastAsia="仿宋" w:cs="仿宋"/>
          <w:b/>
          <w:bCs w:val="0"/>
          <w:color w:val="auto"/>
          <w:kern w:val="0"/>
          <w:szCs w:val="21"/>
          <w:highlight w:val="none"/>
          <w:u w:val="single"/>
        </w:rPr>
        <w:t>2025年</w:t>
      </w:r>
      <w:r>
        <w:rPr>
          <w:rFonts w:hint="eastAsia" w:ascii="仿宋" w:hAnsi="仿宋" w:eastAsia="仿宋" w:cs="仿宋"/>
          <w:b/>
          <w:bCs w:val="0"/>
          <w:color w:val="auto"/>
          <w:kern w:val="0"/>
          <w:szCs w:val="21"/>
          <w:highlight w:val="none"/>
          <w:u w:val="single"/>
          <w:lang w:val="en-US" w:eastAsia="zh-CN"/>
        </w:rPr>
        <w:t>8</w:t>
      </w:r>
      <w:r>
        <w:rPr>
          <w:rFonts w:hint="eastAsia" w:ascii="仿宋" w:hAnsi="仿宋" w:eastAsia="仿宋" w:cs="仿宋"/>
          <w:b/>
          <w:bCs w:val="0"/>
          <w:color w:val="auto"/>
          <w:kern w:val="0"/>
          <w:szCs w:val="21"/>
          <w:highlight w:val="none"/>
          <w:u w:val="single"/>
        </w:rPr>
        <w:t>月</w:t>
      </w:r>
      <w:r>
        <w:rPr>
          <w:rFonts w:hint="eastAsia" w:ascii="仿宋" w:hAnsi="仿宋" w:eastAsia="仿宋" w:cs="仿宋"/>
          <w:b/>
          <w:bCs w:val="0"/>
          <w:color w:val="auto"/>
          <w:kern w:val="0"/>
          <w:szCs w:val="21"/>
          <w:highlight w:val="none"/>
          <w:u w:val="single"/>
          <w:lang w:val="en-US" w:eastAsia="zh-CN"/>
        </w:rPr>
        <w:t>8</w:t>
      </w:r>
      <w:r>
        <w:rPr>
          <w:rFonts w:hint="eastAsia" w:ascii="仿宋" w:hAnsi="仿宋" w:eastAsia="仿宋" w:cs="仿宋"/>
          <w:b/>
          <w:bCs w:val="0"/>
          <w:color w:val="auto"/>
          <w:kern w:val="0"/>
          <w:szCs w:val="21"/>
          <w:highlight w:val="none"/>
          <w:u w:val="single"/>
        </w:rPr>
        <w:t>日起-2025年</w:t>
      </w:r>
      <w:r>
        <w:rPr>
          <w:rFonts w:hint="eastAsia" w:ascii="仿宋" w:hAnsi="仿宋" w:eastAsia="仿宋" w:cs="仿宋"/>
          <w:b/>
          <w:bCs w:val="0"/>
          <w:color w:val="auto"/>
          <w:kern w:val="0"/>
          <w:szCs w:val="21"/>
          <w:highlight w:val="none"/>
          <w:u w:val="single"/>
          <w:lang w:val="en-US" w:eastAsia="zh-CN"/>
        </w:rPr>
        <w:t>8</w:t>
      </w:r>
      <w:r>
        <w:rPr>
          <w:rFonts w:hint="eastAsia" w:ascii="仿宋" w:hAnsi="仿宋" w:eastAsia="仿宋" w:cs="仿宋"/>
          <w:b/>
          <w:bCs w:val="0"/>
          <w:color w:val="auto"/>
          <w:kern w:val="0"/>
          <w:szCs w:val="21"/>
          <w:highlight w:val="none"/>
          <w:u w:val="single"/>
        </w:rPr>
        <w:t>月</w:t>
      </w:r>
      <w:r>
        <w:rPr>
          <w:rFonts w:hint="eastAsia" w:ascii="仿宋" w:hAnsi="仿宋" w:eastAsia="仿宋" w:cs="仿宋"/>
          <w:b/>
          <w:bCs w:val="0"/>
          <w:color w:val="auto"/>
          <w:kern w:val="0"/>
          <w:szCs w:val="21"/>
          <w:highlight w:val="none"/>
          <w:u w:val="single"/>
          <w:lang w:val="en-US" w:eastAsia="zh-CN"/>
        </w:rPr>
        <w:t>15</w:t>
      </w:r>
      <w:r>
        <w:rPr>
          <w:rFonts w:hint="eastAsia" w:ascii="仿宋" w:hAnsi="仿宋" w:eastAsia="仿宋" w:cs="仿宋"/>
          <w:b/>
          <w:bCs w:val="0"/>
          <w:color w:val="auto"/>
          <w:kern w:val="0"/>
          <w:szCs w:val="21"/>
          <w:highlight w:val="none"/>
          <w:u w:val="single"/>
        </w:rPr>
        <w:t>日止</w:t>
      </w:r>
      <w:r>
        <w:rPr>
          <w:rFonts w:hint="eastAsia" w:ascii="仿宋" w:hAnsi="仿宋" w:eastAsia="仿宋" w:cs="仿宋"/>
          <w:b/>
          <w:bCs w:val="0"/>
          <w:color w:val="auto"/>
          <w:kern w:val="0"/>
          <w:szCs w:val="21"/>
          <w:highlight w:val="none"/>
        </w:rPr>
        <w:t>；</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
          <w:bCs w:val="0"/>
          <w:color w:val="auto"/>
          <w:kern w:val="0"/>
          <w:szCs w:val="21"/>
          <w:highlight w:val="none"/>
        </w:rPr>
        <w:t>递交投标登记资料时间：</w:t>
      </w:r>
      <w:r>
        <w:rPr>
          <w:rFonts w:hint="eastAsia" w:ascii="仿宋" w:hAnsi="仿宋" w:eastAsia="仿宋" w:cs="仿宋"/>
          <w:b/>
          <w:bCs w:val="0"/>
          <w:color w:val="auto"/>
          <w:kern w:val="0"/>
          <w:szCs w:val="21"/>
          <w:highlight w:val="none"/>
          <w:u w:val="single"/>
        </w:rPr>
        <w:t>2025年</w:t>
      </w:r>
      <w:r>
        <w:rPr>
          <w:rFonts w:hint="eastAsia" w:ascii="仿宋" w:hAnsi="仿宋" w:eastAsia="仿宋" w:cs="仿宋"/>
          <w:b/>
          <w:bCs w:val="0"/>
          <w:color w:val="auto"/>
          <w:kern w:val="0"/>
          <w:szCs w:val="21"/>
          <w:highlight w:val="none"/>
          <w:u w:val="single"/>
          <w:lang w:val="en-US" w:eastAsia="zh-CN"/>
        </w:rPr>
        <w:t>8</w:t>
      </w:r>
      <w:r>
        <w:rPr>
          <w:rFonts w:hint="eastAsia" w:ascii="仿宋" w:hAnsi="仿宋" w:eastAsia="仿宋" w:cs="仿宋"/>
          <w:b/>
          <w:bCs w:val="0"/>
          <w:color w:val="auto"/>
          <w:kern w:val="0"/>
          <w:szCs w:val="21"/>
          <w:highlight w:val="none"/>
          <w:u w:val="single"/>
        </w:rPr>
        <w:t>月</w:t>
      </w:r>
      <w:r>
        <w:rPr>
          <w:rFonts w:hint="eastAsia" w:ascii="仿宋" w:hAnsi="仿宋" w:eastAsia="仿宋" w:cs="仿宋"/>
          <w:b/>
          <w:bCs w:val="0"/>
          <w:color w:val="auto"/>
          <w:kern w:val="0"/>
          <w:szCs w:val="21"/>
          <w:highlight w:val="none"/>
          <w:u w:val="single"/>
          <w:lang w:val="en-US" w:eastAsia="zh-CN"/>
        </w:rPr>
        <w:t>9</w:t>
      </w:r>
      <w:r>
        <w:rPr>
          <w:rFonts w:hint="eastAsia" w:ascii="仿宋" w:hAnsi="仿宋" w:eastAsia="仿宋" w:cs="仿宋"/>
          <w:b/>
          <w:bCs w:val="0"/>
          <w:color w:val="auto"/>
          <w:kern w:val="0"/>
          <w:szCs w:val="21"/>
          <w:highlight w:val="none"/>
          <w:u w:val="single"/>
        </w:rPr>
        <w:t>日至2025年</w:t>
      </w:r>
      <w:r>
        <w:rPr>
          <w:rFonts w:hint="eastAsia" w:ascii="仿宋" w:hAnsi="仿宋" w:eastAsia="仿宋" w:cs="仿宋"/>
          <w:b/>
          <w:bCs w:val="0"/>
          <w:color w:val="auto"/>
          <w:kern w:val="0"/>
          <w:szCs w:val="21"/>
          <w:highlight w:val="none"/>
          <w:u w:val="single"/>
          <w:lang w:val="en-US" w:eastAsia="zh-CN"/>
        </w:rPr>
        <w:t>8</w:t>
      </w:r>
      <w:r>
        <w:rPr>
          <w:rFonts w:hint="eastAsia" w:ascii="仿宋" w:hAnsi="仿宋" w:eastAsia="仿宋" w:cs="仿宋"/>
          <w:b/>
          <w:bCs w:val="0"/>
          <w:color w:val="auto"/>
          <w:kern w:val="0"/>
          <w:szCs w:val="21"/>
          <w:highlight w:val="none"/>
          <w:u w:val="single"/>
        </w:rPr>
        <w:t>月</w:t>
      </w:r>
      <w:r>
        <w:rPr>
          <w:rFonts w:hint="eastAsia" w:ascii="仿宋" w:hAnsi="仿宋" w:eastAsia="仿宋" w:cs="仿宋"/>
          <w:b/>
          <w:bCs w:val="0"/>
          <w:color w:val="auto"/>
          <w:kern w:val="0"/>
          <w:szCs w:val="21"/>
          <w:highlight w:val="none"/>
          <w:u w:val="single"/>
          <w:lang w:val="en-US" w:eastAsia="zh-CN"/>
        </w:rPr>
        <w:t>15</w:t>
      </w:r>
      <w:r>
        <w:rPr>
          <w:rFonts w:hint="eastAsia" w:ascii="仿宋" w:hAnsi="仿宋" w:eastAsia="仿宋" w:cs="仿宋"/>
          <w:b/>
          <w:bCs w:val="0"/>
          <w:color w:val="auto"/>
          <w:kern w:val="0"/>
          <w:szCs w:val="21"/>
          <w:highlight w:val="none"/>
          <w:u w:val="single"/>
        </w:rPr>
        <w:t>日，上午09:30-11:30,下午14:00-16:00（北京时间）</w:t>
      </w:r>
      <w:r>
        <w:rPr>
          <w:rFonts w:hint="eastAsia" w:ascii="仿宋" w:hAnsi="仿宋" w:eastAsia="仿宋" w:cs="仿宋"/>
          <w:bCs/>
          <w:color w:val="auto"/>
          <w:kern w:val="0"/>
          <w:szCs w:val="21"/>
          <w:highlight w:val="none"/>
          <w:u w:val="single"/>
        </w:rPr>
        <w:t>。</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投标人的授权代表或联系人应经常留意并检查投标申请登记表中所登记的电子邮箱及手机联系电话，以便及时获取招标代理机构发出的项目相关通知。</w:t>
      </w:r>
      <w:r>
        <w:rPr>
          <w:rFonts w:hint="eastAsia" w:ascii="仿宋" w:hAnsi="仿宋" w:eastAsia="仿宋" w:cs="仿宋"/>
          <w:bCs/>
          <w:color w:val="auto"/>
          <w:kern w:val="0"/>
          <w:szCs w:val="21"/>
          <w:highlight w:val="none"/>
          <w:u w:val="single"/>
        </w:rPr>
        <w:t>请前往广州公共资源交易中心网：www.gzggzy.cn下载投标登记申请表</w:t>
      </w:r>
      <w:r>
        <w:rPr>
          <w:rFonts w:hint="eastAsia" w:ascii="仿宋" w:hAnsi="仿宋" w:eastAsia="仿宋" w:cs="仿宋"/>
          <w:bCs/>
          <w:color w:val="auto"/>
          <w:kern w:val="0"/>
          <w:szCs w:val="21"/>
          <w:highlight w:val="none"/>
        </w:rPr>
        <w:t>。</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
          <w:bCs/>
          <w:color w:val="auto"/>
          <w:kern w:val="0"/>
          <w:szCs w:val="21"/>
          <w:highlight w:val="none"/>
        </w:rPr>
        <w:t>**重要提示：</w:t>
      </w:r>
      <w:r>
        <w:rPr>
          <w:rFonts w:hint="eastAsia" w:ascii="仿宋" w:hAnsi="仿宋" w:eastAsia="仿宋" w:cs="仿宋"/>
          <w:bCs/>
          <w:color w:val="auto"/>
          <w:kern w:val="0"/>
          <w:szCs w:val="21"/>
          <w:highlight w:val="none"/>
        </w:rPr>
        <w:t>无论采取以下哪种投标登记方式，投标申请人（含联合体成员）在登记前应完成在广州公共资源交易中心的企业信息登记手续（参见广州公共资源交易中心官网的服务指引），否则将由投标申请人自行负责投标登记不成功的后果。</w:t>
      </w:r>
    </w:p>
    <w:p>
      <w:pPr>
        <w:widowControl/>
        <w:topLinePunct/>
        <w:spacing w:line="440" w:lineRule="atLeas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投标登记方式1：</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派员到以下地点现场递交。现场提交登记签章完整的《投标登记申请表》后方可登记。地点：广州市天润路333号广州公共资源交易中心，具体接受登记的窗口见交易中心电子信息屏幕或网站上的安排。</w:t>
      </w:r>
    </w:p>
    <w:p>
      <w:pPr>
        <w:widowControl/>
        <w:topLinePunct/>
        <w:spacing w:line="440" w:lineRule="atLeast"/>
        <w:ind w:firstLine="424"/>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投标登记方式2（推荐）：</w:t>
      </w:r>
    </w:p>
    <w:p>
      <w:pPr>
        <w:widowControl/>
        <w:topLinePunct/>
        <w:spacing w:line="440" w:lineRule="atLeast"/>
        <w:ind w:firstLine="424"/>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本项目可以采用电子文件的形式递交投标登记资料（请于在本公告所示递交投标登记资料截止时间之前，将签章完整的《投标登记申请表》扫描件发送至邮箱liuhuan@ebidding.com（邮件中须注明单位名称以及项目名称）或上传至新国e平台（new.ebidding.com）本项目的“申请材料递交”。</w:t>
      </w:r>
    </w:p>
    <w:p>
      <w:pPr>
        <w:widowControl/>
        <w:tabs>
          <w:tab w:val="left" w:pos="360"/>
        </w:tabs>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在国e平台（new.ebidding.com） 递交投标登记表资料步骤：“项目管理”-“我要参与”，“搜索框”处输入项目名称进行查找，在列表中选择需要参与的项目，点击“立即参与”，点击“我的项目”，在列表中选择相应的项目，点击“申请材料递交”。递交后请联系招标代理。</w:t>
      </w:r>
    </w:p>
    <w:p>
      <w:pPr>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4.2招标文件的获取：</w:t>
      </w:r>
      <w:r>
        <w:rPr>
          <w:rFonts w:hint="eastAsia" w:ascii="仿宋" w:hAnsi="仿宋" w:eastAsia="仿宋" w:cs="仿宋"/>
          <w:color w:val="auto"/>
          <w:szCs w:val="21"/>
          <w:highlight w:val="none"/>
        </w:rPr>
        <w:t>接招标代理通知或待国e平台的递交申请材料的状态更新为“通过”后，登录国e平台完成电子招标文件的获取及付款程序（注意：本次招标仅提供电子招标文件且售后不退）。</w:t>
      </w:r>
    </w:p>
    <w:p>
      <w:pPr>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u w:val="single"/>
        </w:rPr>
        <w:t>招标文件获取时间：2025年</w:t>
      </w:r>
      <w:r>
        <w:rPr>
          <w:rFonts w:hint="eastAsia" w:ascii="仿宋" w:hAnsi="仿宋" w:eastAsia="仿宋" w:cs="仿宋"/>
          <w:b/>
          <w:bCs/>
          <w:color w:val="auto"/>
          <w:szCs w:val="21"/>
          <w:highlight w:val="none"/>
          <w:u w:val="single"/>
          <w:lang w:val="en-US" w:eastAsia="zh-CN"/>
        </w:rPr>
        <w:t>8</w:t>
      </w:r>
      <w:r>
        <w:rPr>
          <w:rFonts w:hint="eastAsia" w:ascii="仿宋" w:hAnsi="仿宋" w:eastAsia="仿宋" w:cs="仿宋"/>
          <w:b/>
          <w:bCs/>
          <w:color w:val="auto"/>
          <w:szCs w:val="21"/>
          <w:highlight w:val="none"/>
          <w:u w:val="single"/>
        </w:rPr>
        <w:t>月</w:t>
      </w:r>
      <w:r>
        <w:rPr>
          <w:rFonts w:hint="eastAsia" w:ascii="仿宋" w:hAnsi="仿宋" w:eastAsia="仿宋" w:cs="仿宋"/>
          <w:b/>
          <w:bCs/>
          <w:color w:val="auto"/>
          <w:szCs w:val="21"/>
          <w:highlight w:val="none"/>
          <w:u w:val="single"/>
          <w:lang w:val="en-US" w:eastAsia="zh-CN"/>
        </w:rPr>
        <w:t>9</w:t>
      </w:r>
      <w:r>
        <w:rPr>
          <w:rFonts w:hint="eastAsia" w:ascii="仿宋" w:hAnsi="仿宋" w:eastAsia="仿宋" w:cs="仿宋"/>
          <w:b/>
          <w:bCs/>
          <w:color w:val="auto"/>
          <w:szCs w:val="21"/>
          <w:highlight w:val="none"/>
          <w:u w:val="single"/>
        </w:rPr>
        <w:t>日 –2025年</w:t>
      </w:r>
      <w:r>
        <w:rPr>
          <w:rFonts w:hint="eastAsia" w:ascii="仿宋" w:hAnsi="仿宋" w:eastAsia="仿宋" w:cs="仿宋"/>
          <w:b/>
          <w:bCs/>
          <w:color w:val="auto"/>
          <w:szCs w:val="21"/>
          <w:highlight w:val="none"/>
          <w:u w:val="single"/>
          <w:lang w:val="en-US" w:eastAsia="zh-CN"/>
        </w:rPr>
        <w:t>8</w:t>
      </w:r>
      <w:r>
        <w:rPr>
          <w:rFonts w:hint="eastAsia" w:ascii="仿宋" w:hAnsi="仿宋" w:eastAsia="仿宋" w:cs="仿宋"/>
          <w:b/>
          <w:bCs/>
          <w:color w:val="auto"/>
          <w:szCs w:val="21"/>
          <w:highlight w:val="none"/>
          <w:u w:val="single"/>
        </w:rPr>
        <w:t>月</w:t>
      </w:r>
      <w:r>
        <w:rPr>
          <w:rFonts w:hint="eastAsia" w:ascii="仿宋" w:hAnsi="仿宋" w:eastAsia="仿宋" w:cs="仿宋"/>
          <w:b/>
          <w:bCs/>
          <w:color w:val="auto"/>
          <w:szCs w:val="21"/>
          <w:highlight w:val="none"/>
          <w:u w:val="single"/>
          <w:lang w:val="en-US" w:eastAsia="zh-CN"/>
        </w:rPr>
        <w:t>15</w:t>
      </w:r>
      <w:r>
        <w:rPr>
          <w:rFonts w:hint="eastAsia" w:ascii="仿宋" w:hAnsi="仿宋" w:eastAsia="仿宋" w:cs="仿宋"/>
          <w:b/>
          <w:bCs/>
          <w:color w:val="auto"/>
          <w:szCs w:val="21"/>
          <w:highlight w:val="none"/>
          <w:u w:val="single"/>
        </w:rPr>
        <w:t>日23时59分（北京时间），电子招标文件每套售价详见国e平台，售后不退。</w:t>
      </w:r>
    </w:p>
    <w:p>
      <w:pPr>
        <w:widowControl/>
        <w:tabs>
          <w:tab w:val="left" w:pos="360"/>
        </w:tabs>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招标文件购买获取具体步骤：完成投标登记后登录“国e平台”,完成电子招标文件的获取及付款程序，“项目管理”-“我要参与 ”点击“我的项目”，在列表中选择已登记的项目，点击“购买文件”。或详见官网的操作手册。</w:t>
      </w:r>
    </w:p>
    <w:p>
      <w:pPr>
        <w:widowControl/>
        <w:tabs>
          <w:tab w:val="left" w:pos="360"/>
        </w:tabs>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p>
    <w:p>
      <w:pPr>
        <w:widowControl/>
        <w:topLinePunct/>
        <w:spacing w:before="120" w:beforeLines="50" w:line="400" w:lineRule="exact"/>
        <w:outlineLvl w:val="2"/>
        <w:rPr>
          <w:rFonts w:hint="eastAsia" w:ascii="仿宋" w:hAnsi="仿宋" w:eastAsia="仿宋" w:cs="仿宋"/>
          <w:b/>
          <w:bCs/>
          <w:color w:val="auto"/>
          <w:kern w:val="0"/>
          <w:szCs w:val="21"/>
          <w:highlight w:val="none"/>
        </w:rPr>
      </w:pPr>
      <w:bookmarkStart w:id="11" w:name="_Toc3265"/>
      <w:bookmarkStart w:id="12" w:name="_Toc3344"/>
      <w:bookmarkStart w:id="13" w:name="_Toc1233"/>
      <w:bookmarkStart w:id="14" w:name="_Toc27110"/>
      <w:bookmarkStart w:id="15" w:name="_Toc9666"/>
      <w:bookmarkStart w:id="16" w:name="_Toc2298"/>
      <w:r>
        <w:rPr>
          <w:rFonts w:hint="eastAsia" w:ascii="仿宋" w:hAnsi="仿宋" w:eastAsia="仿宋" w:cs="仿宋"/>
          <w:b/>
          <w:bCs/>
          <w:color w:val="auto"/>
          <w:kern w:val="0"/>
          <w:szCs w:val="21"/>
          <w:highlight w:val="none"/>
        </w:rPr>
        <w:t>5．投标截止时间、交标地点及开标时间地点：</w:t>
      </w:r>
      <w:bookmarkEnd w:id="11"/>
      <w:bookmarkEnd w:id="12"/>
      <w:bookmarkEnd w:id="13"/>
      <w:bookmarkEnd w:id="14"/>
      <w:bookmarkEnd w:id="15"/>
      <w:bookmarkEnd w:id="16"/>
    </w:p>
    <w:p>
      <w:pPr>
        <w:widowControl/>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r>
        <w:rPr>
          <w:rFonts w:hint="eastAsia" w:ascii="仿宋" w:hAnsi="仿宋" w:eastAsia="仿宋" w:cs="仿宋"/>
          <w:b/>
          <w:bCs/>
          <w:color w:val="auto"/>
          <w:szCs w:val="21"/>
          <w:highlight w:val="none"/>
          <w:u w:val="single"/>
        </w:rPr>
        <w:t>投标截止：投标截止时间为2025年</w:t>
      </w:r>
      <w:r>
        <w:rPr>
          <w:rFonts w:hint="eastAsia" w:ascii="仿宋" w:hAnsi="仿宋" w:eastAsia="仿宋" w:cs="仿宋"/>
          <w:b/>
          <w:bCs/>
          <w:color w:val="auto"/>
          <w:szCs w:val="21"/>
          <w:highlight w:val="none"/>
          <w:u w:val="single"/>
          <w:lang w:val="en-US" w:eastAsia="zh-CN"/>
        </w:rPr>
        <w:t>9</w:t>
      </w:r>
      <w:r>
        <w:rPr>
          <w:rFonts w:hint="eastAsia" w:ascii="仿宋" w:hAnsi="仿宋" w:eastAsia="仿宋" w:cs="仿宋"/>
          <w:b/>
          <w:bCs/>
          <w:color w:val="auto"/>
          <w:szCs w:val="21"/>
          <w:highlight w:val="none"/>
          <w:u w:val="single"/>
        </w:rPr>
        <w:t>月</w:t>
      </w:r>
      <w:r>
        <w:rPr>
          <w:rFonts w:hint="eastAsia" w:ascii="仿宋" w:hAnsi="仿宋" w:eastAsia="仿宋" w:cs="仿宋"/>
          <w:b/>
          <w:bCs/>
          <w:color w:val="auto"/>
          <w:szCs w:val="21"/>
          <w:highlight w:val="none"/>
          <w:u w:val="single"/>
          <w:lang w:val="en-US" w:eastAsia="zh-CN"/>
        </w:rPr>
        <w:t>2</w:t>
      </w:r>
      <w:r>
        <w:rPr>
          <w:rFonts w:hint="eastAsia" w:ascii="仿宋" w:hAnsi="仿宋" w:eastAsia="仿宋" w:cs="仿宋"/>
          <w:b/>
          <w:bCs/>
          <w:color w:val="auto"/>
          <w:szCs w:val="21"/>
          <w:highlight w:val="none"/>
          <w:u w:val="single"/>
        </w:rPr>
        <w:t>日</w:t>
      </w:r>
      <w:r>
        <w:rPr>
          <w:rFonts w:hint="eastAsia" w:ascii="仿宋" w:hAnsi="仿宋" w:eastAsia="仿宋" w:cs="仿宋"/>
          <w:b/>
          <w:bCs/>
          <w:color w:val="auto"/>
          <w:szCs w:val="21"/>
          <w:highlight w:val="none"/>
          <w:u w:val="single"/>
          <w:lang w:val="en-US" w:eastAsia="zh-CN"/>
        </w:rPr>
        <w:t>10</w:t>
      </w:r>
      <w:r>
        <w:rPr>
          <w:rFonts w:hint="eastAsia" w:ascii="仿宋" w:hAnsi="仿宋" w:eastAsia="仿宋" w:cs="仿宋"/>
          <w:b/>
          <w:bCs/>
          <w:color w:val="auto"/>
          <w:szCs w:val="21"/>
          <w:highlight w:val="none"/>
          <w:u w:val="single"/>
        </w:rPr>
        <w:t>时</w:t>
      </w:r>
      <w:r>
        <w:rPr>
          <w:rFonts w:hint="eastAsia" w:ascii="仿宋" w:hAnsi="仿宋" w:eastAsia="仿宋" w:cs="仿宋"/>
          <w:b/>
          <w:bCs/>
          <w:color w:val="auto"/>
          <w:szCs w:val="21"/>
          <w:highlight w:val="none"/>
          <w:u w:val="single"/>
          <w:lang w:val="en-US" w:eastAsia="zh-CN"/>
        </w:rPr>
        <w:t>00</w:t>
      </w:r>
      <w:r>
        <w:rPr>
          <w:rFonts w:hint="eastAsia" w:ascii="仿宋" w:hAnsi="仿宋" w:eastAsia="仿宋" w:cs="仿宋"/>
          <w:b/>
          <w:bCs/>
          <w:color w:val="auto"/>
          <w:szCs w:val="21"/>
          <w:highlight w:val="none"/>
          <w:u w:val="single"/>
        </w:rPr>
        <w:t>分（北京时间）；</w:t>
      </w:r>
      <w:r>
        <w:rPr>
          <w:rFonts w:hint="eastAsia" w:ascii="仿宋" w:hAnsi="仿宋" w:eastAsia="仿宋" w:cs="仿宋"/>
          <w:b/>
          <w:bCs/>
          <w:color w:val="auto"/>
          <w:szCs w:val="21"/>
          <w:highlight w:val="none"/>
        </w:rPr>
        <w:t>投标人应于</w:t>
      </w:r>
      <w:r>
        <w:rPr>
          <w:rFonts w:hint="eastAsia" w:ascii="仿宋" w:hAnsi="仿宋" w:eastAsia="仿宋" w:cs="仿宋"/>
          <w:b/>
          <w:bCs/>
          <w:color w:val="auto"/>
          <w:szCs w:val="21"/>
          <w:highlight w:val="none"/>
          <w:u w:val="single"/>
        </w:rPr>
        <w:t>当日</w:t>
      </w:r>
      <w:r>
        <w:rPr>
          <w:rFonts w:hint="eastAsia" w:ascii="仿宋" w:hAnsi="仿宋" w:eastAsia="仿宋" w:cs="仿宋"/>
          <w:b/>
          <w:bCs/>
          <w:color w:val="auto"/>
          <w:szCs w:val="21"/>
          <w:highlight w:val="none"/>
          <w:u w:val="single"/>
          <w:lang w:val="en-US" w:eastAsia="zh-CN"/>
        </w:rPr>
        <w:t>9</w:t>
      </w:r>
      <w:r>
        <w:rPr>
          <w:rFonts w:hint="eastAsia" w:ascii="仿宋" w:hAnsi="仿宋" w:eastAsia="仿宋" w:cs="仿宋"/>
          <w:b/>
          <w:bCs/>
          <w:color w:val="auto"/>
          <w:szCs w:val="21"/>
          <w:highlight w:val="none"/>
          <w:u w:val="single"/>
        </w:rPr>
        <w:t>时</w:t>
      </w:r>
      <w:r>
        <w:rPr>
          <w:rFonts w:hint="eastAsia" w:ascii="仿宋" w:hAnsi="仿宋" w:eastAsia="仿宋" w:cs="仿宋"/>
          <w:b/>
          <w:bCs/>
          <w:color w:val="auto"/>
          <w:szCs w:val="21"/>
          <w:highlight w:val="none"/>
          <w:u w:val="single"/>
          <w:lang w:val="en-US" w:eastAsia="zh-CN"/>
        </w:rPr>
        <w:t>45</w:t>
      </w:r>
      <w:r>
        <w:rPr>
          <w:rFonts w:hint="eastAsia" w:ascii="仿宋" w:hAnsi="仿宋" w:eastAsia="仿宋" w:cs="仿宋"/>
          <w:b/>
          <w:bCs/>
          <w:color w:val="auto"/>
          <w:szCs w:val="21"/>
          <w:highlight w:val="none"/>
          <w:u w:val="single"/>
        </w:rPr>
        <w:t>分至</w:t>
      </w:r>
      <w:r>
        <w:rPr>
          <w:rFonts w:hint="eastAsia" w:ascii="仿宋" w:hAnsi="仿宋" w:eastAsia="仿宋" w:cs="仿宋"/>
          <w:b/>
          <w:bCs/>
          <w:color w:val="auto"/>
          <w:szCs w:val="21"/>
          <w:highlight w:val="none"/>
          <w:u w:val="single"/>
          <w:lang w:val="en-US" w:eastAsia="zh-CN"/>
        </w:rPr>
        <w:t>10</w:t>
      </w:r>
      <w:r>
        <w:rPr>
          <w:rFonts w:hint="eastAsia" w:ascii="仿宋" w:hAnsi="仿宋" w:eastAsia="仿宋" w:cs="仿宋"/>
          <w:b/>
          <w:bCs/>
          <w:color w:val="auto"/>
          <w:szCs w:val="21"/>
          <w:highlight w:val="none"/>
          <w:u w:val="single"/>
        </w:rPr>
        <w:t>时</w:t>
      </w:r>
      <w:r>
        <w:rPr>
          <w:rFonts w:hint="eastAsia" w:ascii="仿宋" w:hAnsi="仿宋" w:eastAsia="仿宋" w:cs="仿宋"/>
          <w:b/>
          <w:bCs/>
          <w:color w:val="auto"/>
          <w:szCs w:val="21"/>
          <w:highlight w:val="none"/>
          <w:u w:val="single"/>
          <w:lang w:val="en-US" w:eastAsia="zh-CN"/>
        </w:rPr>
        <w:t>00</w:t>
      </w:r>
      <w:r>
        <w:rPr>
          <w:rFonts w:hint="eastAsia" w:ascii="仿宋" w:hAnsi="仿宋" w:eastAsia="仿宋" w:cs="仿宋"/>
          <w:b/>
          <w:bCs/>
          <w:color w:val="auto"/>
          <w:szCs w:val="21"/>
          <w:highlight w:val="none"/>
          <w:u w:val="single"/>
        </w:rPr>
        <w:t>分</w:t>
      </w:r>
      <w:r>
        <w:rPr>
          <w:rFonts w:hint="eastAsia" w:ascii="仿宋" w:hAnsi="仿宋" w:eastAsia="仿宋" w:cs="仿宋"/>
          <w:b/>
          <w:bCs/>
          <w:color w:val="auto"/>
          <w:szCs w:val="21"/>
          <w:highlight w:val="none"/>
        </w:rPr>
        <w:t>将投标文件递交至指定地点，逾期送达的、未送达指定地点的或不按照招标文件要求密封的投标文件，招标人将予以拒收。</w:t>
      </w:r>
    </w:p>
    <w:p>
      <w:pPr>
        <w:widowControl/>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r>
        <w:rPr>
          <w:rFonts w:hint="eastAsia" w:ascii="仿宋" w:hAnsi="仿宋" w:eastAsia="仿宋" w:cs="仿宋"/>
          <w:b/>
          <w:bCs/>
          <w:color w:val="auto"/>
          <w:szCs w:val="21"/>
          <w:highlight w:val="none"/>
        </w:rPr>
        <w:t>投标文件提交地点：</w:t>
      </w:r>
      <w:r>
        <w:rPr>
          <w:rFonts w:hint="eastAsia" w:ascii="仿宋" w:hAnsi="仿宋" w:eastAsia="仿宋" w:cs="仿宋"/>
          <w:b/>
          <w:bCs/>
          <w:color w:val="auto"/>
          <w:szCs w:val="21"/>
          <w:highlight w:val="none"/>
          <w:u w:val="single"/>
        </w:rPr>
        <w:t>广州市天河区天润路333号广州公共资源交易中心2楼开标室。</w:t>
      </w:r>
      <w:r>
        <w:rPr>
          <w:rFonts w:hint="eastAsia" w:ascii="仿宋" w:hAnsi="仿宋" w:eastAsia="仿宋" w:cs="仿宋"/>
          <w:color w:val="auto"/>
          <w:szCs w:val="21"/>
          <w:highlight w:val="none"/>
        </w:rPr>
        <w:t>（具体请进入广州公共资源交易中心网站“日程安排”查询）。请投标人授权代表届时出席。</w:t>
      </w:r>
    </w:p>
    <w:p>
      <w:pPr>
        <w:widowControl/>
        <w:topLinePunct/>
        <w:spacing w:before="120" w:beforeLines="50" w:line="400" w:lineRule="exact"/>
        <w:ind w:firstLine="424"/>
        <w:rPr>
          <w:rFonts w:hint="eastAsia" w:ascii="仿宋" w:hAnsi="仿宋" w:eastAsia="仿宋" w:cs="仿宋"/>
          <w:color w:val="auto"/>
          <w:szCs w:val="21"/>
          <w:highlight w:val="none"/>
        </w:rPr>
      </w:pPr>
      <w:r>
        <w:rPr>
          <w:rFonts w:hint="eastAsia" w:ascii="仿宋" w:hAnsi="仿宋" w:eastAsia="仿宋" w:cs="仿宋"/>
          <w:color w:val="auto"/>
          <w:szCs w:val="21"/>
          <w:highlight w:val="none"/>
        </w:rPr>
        <w:t>5.3、开标：开标时间同投标截止时间；开标地点同投标文件提交地点。</w:t>
      </w:r>
    </w:p>
    <w:p>
      <w:pPr>
        <w:spacing w:before="120" w:beforeLines="50" w:line="400" w:lineRule="exact"/>
        <w:ind w:firstLine="420" w:firstLineChars="200"/>
        <w:rPr>
          <w:rFonts w:hint="eastAsia" w:ascii="仿宋" w:hAnsi="仿宋" w:eastAsia="仿宋" w:cs="仿宋"/>
          <w:color w:val="auto"/>
          <w:szCs w:val="21"/>
          <w:highlight w:val="none"/>
        </w:rPr>
      </w:pPr>
      <w:bookmarkStart w:id="17" w:name="_Toc3508"/>
      <w:r>
        <w:rPr>
          <w:rFonts w:hint="eastAsia" w:ascii="仿宋" w:hAnsi="仿宋" w:eastAsia="仿宋" w:cs="仿宋"/>
          <w:color w:val="auto"/>
          <w:szCs w:val="21"/>
          <w:highlight w:val="none"/>
        </w:rPr>
        <w:t>5.4、招标人不组织进行工程现场踏勘，不召开投标预备会。</w:t>
      </w:r>
      <w:bookmarkEnd w:id="17"/>
    </w:p>
    <w:p>
      <w:pPr>
        <w:widowControl/>
        <w:topLinePunct/>
        <w:spacing w:before="120" w:beforeLines="50" w:line="400" w:lineRule="exact"/>
        <w:outlineLvl w:val="2"/>
        <w:rPr>
          <w:rFonts w:hint="eastAsia" w:ascii="仿宋" w:hAnsi="仿宋" w:eastAsia="仿宋" w:cs="仿宋"/>
          <w:b/>
          <w:bCs/>
          <w:color w:val="auto"/>
          <w:kern w:val="0"/>
          <w:szCs w:val="21"/>
          <w:highlight w:val="none"/>
        </w:rPr>
      </w:pPr>
      <w:bookmarkStart w:id="18" w:name="_Toc7720"/>
      <w:bookmarkStart w:id="19" w:name="_Toc21883"/>
      <w:bookmarkStart w:id="20" w:name="_Toc27152"/>
      <w:bookmarkStart w:id="21" w:name="_Toc29038"/>
      <w:bookmarkStart w:id="22" w:name="_Toc1372"/>
      <w:bookmarkStart w:id="23" w:name="_Toc3579"/>
      <w:r>
        <w:rPr>
          <w:rFonts w:hint="eastAsia" w:ascii="仿宋" w:hAnsi="仿宋" w:eastAsia="仿宋" w:cs="仿宋"/>
          <w:b/>
          <w:bCs/>
          <w:color w:val="auto"/>
          <w:kern w:val="0"/>
          <w:szCs w:val="21"/>
          <w:highlight w:val="none"/>
        </w:rPr>
        <w:t>6．发布公告的媒介</w:t>
      </w:r>
      <w:bookmarkEnd w:id="18"/>
      <w:bookmarkEnd w:id="19"/>
      <w:bookmarkEnd w:id="20"/>
      <w:bookmarkEnd w:id="21"/>
      <w:bookmarkEnd w:id="22"/>
      <w:bookmarkEnd w:id="23"/>
    </w:p>
    <w:p>
      <w:pPr>
        <w:widowControl/>
        <w:topLinePunct/>
        <w:spacing w:before="120" w:beforeLines="50"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次招标的相关事宜及信息的发布：本次招标公告同时在广州公共资源交易中心网平台www.gzggzy.cn、国义招标股份有限公司（国e招标采购平台）www.ebidding.com、中国招标投标公共服务平台www.cebpubservice.com、等法定平台上发布。法定平台之间按《招标公告和公示信息发布管理办法》（简称10号令）和《招标公告和公示数据接口规范》等相关规定对接交互本招标公告内容。如有不一致以广州公共资源交易中心网平台为准。</w:t>
      </w:r>
    </w:p>
    <w:p>
      <w:pPr>
        <w:widowControl/>
        <w:topLinePunct/>
        <w:spacing w:before="120" w:beforeLines="50" w:line="360" w:lineRule="auto"/>
        <w:ind w:firstLine="420"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规定的投标登记期间，投标登记并购买招标文件的投标人不足3家时，招标人依法有权选择以下任一方式：（1）在广州公共资源交易中心网站发布公告延长投标登记时间，在延期投标登记时间内，已投标登记投标人的资料仍有效并可自行补充资料，未投标登记的投标人可根据公告的约定进行投标登记；（2）依法重新组织招标或不再招标。</w:t>
      </w:r>
    </w:p>
    <w:p>
      <w:pPr>
        <w:widowControl/>
        <w:topLinePunct/>
        <w:spacing w:before="120" w:beforeLines="50" w:line="360" w:lineRule="auto"/>
        <w:outlineLvl w:val="2"/>
        <w:rPr>
          <w:rFonts w:hint="eastAsia" w:ascii="仿宋" w:hAnsi="仿宋" w:eastAsia="仿宋" w:cs="仿宋"/>
          <w:b/>
          <w:bCs/>
          <w:color w:val="auto"/>
          <w:kern w:val="0"/>
          <w:sz w:val="24"/>
          <w:szCs w:val="21"/>
          <w:highlight w:val="none"/>
        </w:rPr>
      </w:pPr>
      <w:r>
        <w:rPr>
          <w:rFonts w:hint="eastAsia" w:ascii="仿宋" w:hAnsi="仿宋" w:eastAsia="仿宋" w:cs="仿宋"/>
          <w:b/>
          <w:bCs/>
          <w:color w:val="auto"/>
          <w:kern w:val="0"/>
          <w:sz w:val="24"/>
          <w:szCs w:val="21"/>
          <w:highlight w:val="none"/>
        </w:rPr>
        <w:t>7、联系方式</w:t>
      </w:r>
      <w:bookmarkEnd w:id="5"/>
      <w:bookmarkEnd w:id="6"/>
      <w:bookmarkEnd w:id="7"/>
      <w:bookmarkEnd w:id="8"/>
      <w:bookmarkEnd w:id="9"/>
      <w:bookmarkEnd w:id="10"/>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招标人：</w:t>
      </w:r>
      <w:r>
        <w:rPr>
          <w:rFonts w:hint="eastAsia" w:ascii="仿宋" w:hAnsi="仿宋" w:eastAsia="仿宋" w:cs="仿宋"/>
          <w:color w:val="auto"/>
          <w:szCs w:val="21"/>
          <w:highlight w:val="none"/>
          <w:u w:val="single"/>
        </w:rPr>
        <w:t>广东深汕高速公路东段有限公司</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广东省汕头市濠江区河浦大道中段</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515098   </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林工</w:t>
      </w: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0754-87873157</w:t>
      </w:r>
    </w:p>
    <w:p>
      <w:pPr>
        <w:topLinePunct/>
        <w:spacing w:line="400" w:lineRule="atLeast"/>
        <w:ind w:firstLine="420" w:firstLineChars="200"/>
        <w:rPr>
          <w:rFonts w:hint="eastAsia" w:ascii="仿宋" w:hAnsi="仿宋" w:eastAsia="仿宋" w:cs="仿宋"/>
          <w:color w:val="auto"/>
          <w:szCs w:val="21"/>
          <w:highlight w:val="none"/>
        </w:rPr>
      </w:pPr>
    </w:p>
    <w:p>
      <w:pPr>
        <w:topLinePunct/>
        <w:spacing w:line="40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招标代理机构：</w:t>
      </w:r>
      <w:r>
        <w:rPr>
          <w:rFonts w:hint="eastAsia" w:ascii="仿宋" w:hAnsi="仿宋" w:eastAsia="仿宋" w:cs="仿宋"/>
          <w:color w:val="auto"/>
          <w:szCs w:val="21"/>
          <w:highlight w:val="none"/>
          <w:u w:val="single"/>
        </w:rPr>
        <w:t>国义招标股份有限公司</w:t>
      </w:r>
    </w:p>
    <w:p>
      <w:pPr>
        <w:topLinePunct/>
        <w:spacing w:line="400" w:lineRule="atLeast"/>
        <w:ind w:firstLine="420" w:firstLineChars="2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招标代理地址：</w:t>
      </w:r>
      <w:r>
        <w:rPr>
          <w:rFonts w:hint="eastAsia" w:ascii="仿宋" w:hAnsi="仿宋" w:eastAsia="仿宋" w:cs="仿宋"/>
          <w:color w:val="auto"/>
          <w:szCs w:val="21"/>
          <w:highlight w:val="none"/>
          <w:u w:val="single"/>
        </w:rPr>
        <w:t>广州市东风东路726号</w:t>
      </w:r>
      <w:r>
        <w:rPr>
          <w:rFonts w:hint="eastAsia" w:ascii="仿宋" w:hAnsi="仿宋" w:eastAsia="仿宋" w:cs="仿宋"/>
          <w:color w:val="auto"/>
          <w:szCs w:val="21"/>
          <w:highlight w:val="none"/>
          <w:u w:val="single"/>
          <w:lang w:val="en-US" w:eastAsia="zh-CN"/>
        </w:rPr>
        <w:t>16楼</w:t>
      </w:r>
    </w:p>
    <w:p>
      <w:pPr>
        <w:topLinePunct/>
        <w:spacing w:line="400" w:lineRule="atLeas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510030</w:t>
      </w:r>
    </w:p>
    <w:p>
      <w:pPr>
        <w:tabs>
          <w:tab w:val="left" w:pos="500"/>
        </w:tabs>
        <w:spacing w:line="400" w:lineRule="atLeas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招标代理联系人：</w:t>
      </w:r>
      <w:r>
        <w:rPr>
          <w:rFonts w:hint="eastAsia" w:ascii="仿宋" w:hAnsi="仿宋" w:eastAsia="仿宋" w:cs="仿宋"/>
          <w:color w:val="auto"/>
          <w:szCs w:val="21"/>
          <w:highlight w:val="none"/>
          <w:u w:val="single"/>
        </w:rPr>
        <w:t>吴工、刘工、王工</w:t>
      </w:r>
    </w:p>
    <w:p>
      <w:pPr>
        <w:tabs>
          <w:tab w:val="left" w:pos="500"/>
        </w:tabs>
        <w:spacing w:line="400" w:lineRule="atLeas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电话：020-37860627、020-37861101、020-37860645</w:t>
      </w:r>
    </w:p>
    <w:p>
      <w:pPr>
        <w:tabs>
          <w:tab w:val="left" w:pos="500"/>
        </w:tabs>
        <w:spacing w:line="400" w:lineRule="atLeas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u w:val="single"/>
        </w:rPr>
        <w:t>Email：liuhuan@ebidding.com</w:t>
      </w:r>
    </w:p>
    <w:p>
      <w:pPr>
        <w:pStyle w:val="2"/>
        <w:rPr>
          <w:rFonts w:hint="eastAsia" w:ascii="仿宋" w:hAnsi="仿宋" w:eastAsia="仿宋" w:cs="仿宋"/>
          <w:color w:val="auto"/>
          <w:highlight w:val="none"/>
        </w:rPr>
      </w:pPr>
      <w:bookmarkStart w:id="24" w:name="_GoBack"/>
      <w:bookmarkEnd w:id="24"/>
    </w:p>
    <w:p>
      <w:pPr>
        <w:pStyle w:val="2"/>
        <w:ind w:left="0" w:leftChars="0" w:firstLine="0" w:firstLineChars="0"/>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jc w:val="right"/>
        <w:rPr>
          <w:rFonts w:hint="eastAsia" w:ascii="仿宋" w:hAnsi="仿宋" w:eastAsia="仿宋" w:cs="仿宋"/>
          <w:color w:val="auto"/>
          <w:highlight w:val="none"/>
        </w:rPr>
      </w:pPr>
      <w:r>
        <w:rPr>
          <w:rFonts w:hint="eastAsia" w:ascii="仿宋" w:hAnsi="仿宋" w:eastAsia="仿宋" w:cs="仿宋"/>
          <w:color w:val="auto"/>
          <w:highlight w:val="none"/>
        </w:rPr>
        <w:t>广东深汕高速公路东段有限公司</w:t>
      </w:r>
    </w:p>
    <w:p>
      <w:pPr>
        <w:topLinePunct/>
        <w:spacing w:before="120" w:beforeLines="50" w:line="360" w:lineRule="auto"/>
        <w:ind w:right="480" w:firstLine="480" w:firstLineChars="200"/>
        <w:jc w:val="righ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2025年</w:t>
      </w:r>
      <w:r>
        <w:rPr>
          <w:rFonts w:hint="eastAsia" w:ascii="仿宋" w:hAnsi="仿宋" w:eastAsia="仿宋" w:cs="仿宋"/>
          <w:color w:val="auto"/>
          <w:kern w:val="0"/>
          <w:sz w:val="24"/>
          <w:szCs w:val="21"/>
          <w:highlight w:val="none"/>
          <w:lang w:val="en-US" w:eastAsia="zh-CN"/>
        </w:rPr>
        <w:t>8</w:t>
      </w:r>
      <w:r>
        <w:rPr>
          <w:rFonts w:hint="eastAsia" w:ascii="仿宋" w:hAnsi="仿宋" w:eastAsia="仿宋" w:cs="仿宋"/>
          <w:color w:val="auto"/>
          <w:kern w:val="0"/>
          <w:sz w:val="24"/>
          <w:szCs w:val="21"/>
          <w:highlight w:val="none"/>
        </w:rPr>
        <w:t>月</w:t>
      </w:r>
      <w:r>
        <w:rPr>
          <w:rFonts w:hint="eastAsia" w:ascii="仿宋" w:hAnsi="仿宋" w:eastAsia="仿宋" w:cs="仿宋"/>
          <w:color w:val="auto"/>
          <w:kern w:val="0"/>
          <w:sz w:val="24"/>
          <w:szCs w:val="21"/>
          <w:highlight w:val="none"/>
          <w:lang w:val="en-US" w:eastAsia="zh-CN"/>
        </w:rPr>
        <w:t>8</w:t>
      </w:r>
      <w:r>
        <w:rPr>
          <w:rFonts w:hint="eastAsia" w:ascii="仿宋" w:hAnsi="仿宋" w:eastAsia="仿宋" w:cs="仿宋"/>
          <w:color w:val="auto"/>
          <w:kern w:val="0"/>
          <w:sz w:val="24"/>
          <w:szCs w:val="21"/>
          <w:highlight w:val="none"/>
        </w:rPr>
        <w:t>日</w:t>
      </w:r>
    </w:p>
    <w:p>
      <w:pPr>
        <w:pStyle w:val="2"/>
        <w:rPr>
          <w:rFonts w:hint="eastAsia" w:ascii="仿宋" w:hAnsi="仿宋" w:eastAsia="仿宋" w:cs="仿宋"/>
          <w:color w:val="auto"/>
          <w:highlight w:val="none"/>
        </w:rPr>
      </w:pPr>
    </w:p>
    <w:p>
      <w:pPr>
        <w:pStyle w:val="2"/>
        <w:ind w:left="0" w:leftChars="0" w:firstLine="0" w:firstLineChars="0"/>
        <w:rPr>
          <w:rFonts w:hint="eastAsia" w:ascii="仿宋" w:hAnsi="仿宋" w:eastAsia="仿宋" w:cs="仿宋"/>
          <w:color w:val="auto"/>
          <w:highlight w:val="none"/>
        </w:rPr>
      </w:pPr>
    </w:p>
    <w:p>
      <w:pPr>
        <w:spacing w:line="4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附件1：标段的划分及主要工程项目情况</w:t>
      </w:r>
    </w:p>
    <w:p>
      <w:pPr>
        <w:spacing w:line="4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附件2：资格审查条件附录1至附录7</w:t>
      </w:r>
    </w:p>
    <w:p>
      <w:pPr>
        <w:spacing w:line="4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附件3：评标办法 </w:t>
      </w:r>
    </w:p>
    <w:p>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以上附件可从发布公告的网站媒介上下载。</w:t>
      </w: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G"/>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A659C"/>
    <w:rsid w:val="06D840D6"/>
    <w:rsid w:val="66BB14FA"/>
    <w:rsid w:val="72BA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eastAsia="宋体" w:cs="Times New Roman"/>
      <w:szCs w:val="24"/>
    </w:rPr>
  </w:style>
  <w:style w:type="paragraph" w:styleId="3">
    <w:name w:val="Body Text Indent"/>
    <w:basedOn w:val="1"/>
    <w:qFormat/>
    <w:uiPriority w:val="99"/>
    <w:pPr>
      <w:spacing w:after="120" w:afterLines="0"/>
      <w:ind w:left="420" w:left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2802</Words>
  <Characters>3342</Characters>
  <Lines>0</Lines>
  <Paragraphs>0</Paragraphs>
  <TotalTime>2</TotalTime>
  <ScaleCrop>false</ScaleCrop>
  <LinksUpToDate>false</LinksUpToDate>
  <CharactersWithSpaces>3379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2025-08-08T08:41:00Z</dcterms:created>
  <dc:creator>刘Laura</dc:creator>
  <cp:lastModifiedBy>刘Laura</cp:lastModifiedBy>
  <dcterms:modified xsi:type="dcterms:W3CDTF">2025-08-08T09:05:02Z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313BA96441E340B5BF53E160B91808BF</vt:lpwstr>
  </property>
</Properties>
</file>