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 xml:space="preserve">附件1                     </w:t>
      </w: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工程项目情况</w:t>
      </w:r>
    </w:p>
    <w:p>
      <w:pPr>
        <w:adjustRightInd w:val="0"/>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一、工程项目描述</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1、工程地点和建设意义</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深汕高速公路东段（G15汕头至汕尾段）东起汕头达濠，与海湾大桥相接，向西途经汕头市、揭阳市、汕尾市，西止于陆丰潭西，与深汕高速西段连接，国高网桩号范围为K2565+348～K2705+364，路段全长140.016km，均为沥青混凝土路面。全线共有桥梁210 座，其中特大桥1 座、大桥10 座、中桥47 座、小桥152 座，涵洞644 座，设达濠、河浦、海门、田心、仙庵、惠来、隆江、东港、内湖、霞湖十个收费站，十二个出入口，设计为全封闭、全立交双向四车道的高速公路，路基宽24.5m，设计时速为100km/h。1993 年11 月1 日开工，1996 年11 月8 日竣工。</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2、工程内容：</w:t>
      </w:r>
    </w:p>
    <w:p>
      <w:pPr>
        <w:pStyle w:val="2"/>
        <w:spacing w:after="0"/>
        <w:ind w:left="0" w:leftChars="0"/>
        <w:rPr>
          <w:rFonts w:hint="eastAsia" w:ascii="仿宋" w:hAnsi="仿宋" w:eastAsia="仿宋" w:cs="仿宋"/>
          <w:color w:val="auto"/>
          <w:highlight w:val="none"/>
        </w:rPr>
      </w:pPr>
      <w:r>
        <w:rPr>
          <w:rFonts w:hint="eastAsia" w:ascii="仿宋" w:hAnsi="仿宋" w:eastAsia="仿宋" w:cs="仿宋"/>
          <w:color w:val="auto"/>
          <w:highlight w:val="none"/>
        </w:rPr>
        <w:t>本项目分为两个标段，其中</w:t>
      </w:r>
    </w:p>
    <w:p>
      <w:pPr>
        <w:widowControl/>
        <w:adjustRightInd/>
        <w:snapToGrid/>
        <w:spacing w:before="120" w:beforeLines="50" w:line="360" w:lineRule="auto"/>
        <w:ind w:firstLine="420" w:firstLineChars="200"/>
        <w:jc w:val="both"/>
        <w:rPr>
          <w:rFonts w:hint="eastAsia" w:ascii="仿宋" w:hAnsi="仿宋" w:eastAsia="仿宋" w:cs="仿宋"/>
          <w:color w:val="auto"/>
          <w:szCs w:val="21"/>
          <w:highlight w:val="none"/>
        </w:rPr>
      </w:pPr>
      <w:bookmarkStart w:id="0" w:name="OLE_LINK88"/>
      <w:bookmarkStart w:id="1" w:name="OLE_LINK87"/>
      <w:r>
        <w:rPr>
          <w:rFonts w:hint="eastAsia" w:ascii="仿宋" w:hAnsi="仿宋" w:eastAsia="仿宋" w:cs="仿宋"/>
          <w:color w:val="auto"/>
          <w:szCs w:val="21"/>
          <w:highlight w:val="none"/>
        </w:rPr>
        <w:t>（1）、</w:t>
      </w:r>
      <w:bookmarkStart w:id="2" w:name="OLE_LINK89"/>
      <w:r>
        <w:rPr>
          <w:rFonts w:hint="eastAsia" w:ascii="仿宋" w:hAnsi="仿宋" w:eastAsia="仿宋" w:cs="仿宋"/>
          <w:color w:val="auto"/>
          <w:szCs w:val="21"/>
          <w:highlight w:val="none"/>
        </w:rPr>
        <w:t>第1标段为K2565+348~K2610+000段交通安全设施精细化提升，主要包括波形护栏、中分带活动开口、桥梁砼护栏与波形护栏过渡段、匝道出口端防撞垫改造或增设，标志标线维修等。</w:t>
      </w:r>
      <w:bookmarkEnd w:id="2"/>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bookmarkStart w:id="3" w:name="OLE_LINK90"/>
      <w:bookmarkStart w:id="4" w:name="OLE_LINK91"/>
      <w:r>
        <w:rPr>
          <w:rFonts w:hint="eastAsia" w:ascii="仿宋" w:hAnsi="仿宋" w:eastAsia="仿宋" w:cs="仿宋"/>
          <w:color w:val="auto"/>
          <w:szCs w:val="21"/>
          <w:highlight w:val="none"/>
        </w:rPr>
        <w:t>第2标段为</w:t>
      </w:r>
      <w:bookmarkStart w:id="5" w:name="OLE_LINK73"/>
      <w:r>
        <w:rPr>
          <w:rFonts w:hint="eastAsia" w:ascii="仿宋" w:hAnsi="仿宋" w:eastAsia="仿宋" w:cs="仿宋"/>
          <w:color w:val="auto"/>
          <w:szCs w:val="21"/>
          <w:highlight w:val="none"/>
        </w:rPr>
        <w:t>K2610+000~K2705+364</w:t>
      </w:r>
      <w:bookmarkEnd w:id="5"/>
      <w:r>
        <w:rPr>
          <w:rFonts w:hint="eastAsia" w:ascii="仿宋" w:hAnsi="仿宋" w:eastAsia="仿宋" w:cs="仿宋"/>
          <w:color w:val="auto"/>
          <w:szCs w:val="21"/>
          <w:highlight w:val="none"/>
        </w:rPr>
        <w:t>段交通安全设施精细化提升，主要包括波形护栏、中分带活动开口、桥梁砼护栏与波形护栏过渡段、匝道出口端防撞垫改造或增设，标志标线维修等。。</w:t>
      </w:r>
      <w:bookmarkEnd w:id="0"/>
      <w:bookmarkEnd w:id="1"/>
      <w:bookmarkEnd w:id="3"/>
      <w:bookmarkEnd w:id="4"/>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3、工程地质、地形与地貌</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路线所经地区为粤东沿海山地丘陵台地与滨海平原、河口平原、冲积平原交替区。总的地势是西北高、东南低，背山（莲花山、大南山）面海（南海）呈阶梯状。沿路线相对高差小于百米。其中平原台地约占路线总长的40%，低山微丘约占路线总长的60%。</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4、水文与气候</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本项目所在区域沿线处于北回归线以南属南亚热带季风海洋性气候，夏热多雨，东暖而霜期短。年平均气温22～23℃，其中7 月份平均温度最高,均值为28.1～28.5℃，最高温度39.0～39.2℃。1 月份平均温度最低，均值为13.4～13.5℃，极端最低温度-0.7～1.0℃。年平均降雨量为183～2200mm。公路自然区划属IV7 区，按公路工程自然区划气候分区属夏季炎热，冬季温暖潮湿区。</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5、交通、动力供应及其他服务条件</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本工程交通方面可通过高速公路到达施工现场。</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期间必须严格按照规定办理上路施工作业审批手续（办理施工交通组织方案评审、施工许可审批、施工公告费用等由中标人自行负责），按照规范要求设置各类道路施工标志，配备专门人员维护施工作业区域安全秩序，加强路面维修专项工程实施期间安全管理，确保自身作业安全和过往车辆交通安全。</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各类施工车辆行驶道路所需缴纳的通行费用等由承包人自行承担。发包人将按工程量清单100章106-1子目中固定总额报价的金额，在工程完工后一次性支付给承包人，作为本项目承包人施工车辆及机械行驶道路的包干通行费用。 </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 工程说明</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（1）、本项目分为两个标段，其中</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a、第1标段主要对K2565+348~K2610+000段交通安全设施进行精细化提升。主要施工内容包括：事故多发路段护栏提升改造、路侧增设护栏、波形护栏与同护栏连接段提升改造、中分带活动护栏提升改造、出口分流端增设防撞垫、中分带桥墩增设防撞设施、部分标志牌提升改造或增设等。具体见施工图设计文件《广东深汕高速公路东段交通安全设施精细化提升工程施工图设计》。</w:t>
      </w:r>
      <w:r>
        <w:rPr>
          <w:rFonts w:hint="eastAsia" w:ascii="仿宋" w:hAnsi="仿宋" w:eastAsia="仿宋" w:cs="仿宋"/>
          <w:color w:val="auto"/>
          <w:szCs w:val="21"/>
          <w:highlight w:val="none"/>
        </w:rPr>
        <w:tab/>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b、第2标段主要对K2610+000~K2705+364段交通安全设施进行精细化提升。主要施工内容包括：事故多发路段护栏提升改造、路侧增设护栏、波形护栏与同护栏连接段提升改造、中分带活动护栏提升改造、出口分流端增设防撞垫、中分带桥墩增设防撞设施、部分标志牌提升改造或增设等。具体见施工图设计文件《广东深汕高速公路东段交通安全设施精细化提升工程施工图设计》。</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（2）、本项目弃土场由承包人负责，工程所产生的所有废料不得存放在高速公路征地范围内。</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（3）、本工程实际维修的数量将可能存在变化，承包人应无条件执行发包人的相关工作指令。</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（4）、承包人所有施工车辆及机械均必须严格遵守相关交通法律法规及安全操作规程、相关行业管理规定，特种车辆、设备操作人员必须持证上岗，所有施工车辆不得超限超载、不得人货混载。</w:t>
      </w:r>
    </w:p>
    <w:p>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（5）、凡施工作业区与其他公路(道路)交叉或共线的，承包人须按规定做好施工和疏导交通所需安全标志的摆设和相应的交通组织方案，所有作业和摆设必须符合《公路养护技术规范》(JTG H10-2009)、《公路养护安全作业规程》（JTG H30-2015）、《公路工程施工安全技术规程》(JTG F9-2016)、《道路交通标志和标线设置规范》(JTG D82-2009)、《道路交通标志和标线  第4部分：作业区》（GB 5768.4-2017）和《中华人民共和国公共安全行业标准道路作业交通安全标志》(GA182-1998)、《省交通集团高速公路占道施工安全管理工作指引》(2021年3月印发)、交通组织设计以及发包人、路政部门、交警部门相关路上施工安全的要求，做好各项安全措施及应急预案，确保施工安全及与作业路段交叉或共线公路(道路)正常的通车运营需要和交通安全维护。</w:t>
      </w:r>
    </w:p>
    <w:p>
      <w:pPr>
        <w:topLinePunct/>
        <w:adjustRightInd w:val="0"/>
        <w:snapToGrid w:val="0"/>
        <w:spacing w:line="360" w:lineRule="auto"/>
        <w:ind w:firstLine="556" w:firstLineChars="265"/>
        <w:jc w:val="left"/>
        <w:rPr>
          <w:rFonts w:hint="eastAsia" w:ascii="仿宋" w:hAnsi="仿宋" w:eastAsia="仿宋" w:cs="仿宋"/>
          <w:b/>
          <w:bCs/>
          <w:color w:val="auto"/>
          <w:sz w:val="28"/>
          <w:szCs w:val="28"/>
          <w:highlight w:val="none"/>
        </w:rPr>
      </w:pPr>
      <w:r>
        <w:rPr>
          <w:rFonts w:hint="eastAsia" w:ascii="仿宋" w:hAnsi="仿宋" w:eastAsia="仿宋" w:cs="仿宋"/>
          <w:color w:val="auto"/>
          <w:szCs w:val="21"/>
          <w:highlight w:val="none"/>
        </w:rPr>
        <w:t>（6）、承包人所有施工车辆及机械均必须严格遵守相关交通法律法规及安全操作规程，特种车辆、设备操作人员必须持证上岗，所有施工车辆不得超限超载、不得人货混载。</w:t>
      </w:r>
      <w:r>
        <w:rPr>
          <w:rFonts w:hint="eastAsia" w:ascii="仿宋" w:hAnsi="仿宋" w:eastAsia="仿宋" w:cs="仿宋"/>
          <w:color w:val="auto"/>
          <w:sz w:val="20"/>
          <w:szCs w:val="21"/>
          <w:highlight w:val="none"/>
        </w:rPr>
        <w:br w:type="page"/>
      </w:r>
      <w:r>
        <w:rPr>
          <w:rFonts w:hint="eastAsia" w:ascii="仿宋" w:hAnsi="仿宋" w:eastAsia="仿宋" w:cs="仿宋"/>
          <w:b/>
          <w:bCs/>
          <w:color w:val="auto"/>
          <w:sz w:val="28"/>
          <w:szCs w:val="28"/>
          <w:highlight w:val="none"/>
        </w:rPr>
        <w:t xml:space="preserve">附录1  资格审查条件(资质最低要求)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8460" w:type="dxa"/>
            <w:noWrap w:val="0"/>
            <w:vAlign w:val="center"/>
          </w:tcPr>
          <w:p>
            <w:pPr>
              <w:adjustRightInd w:val="0"/>
              <w:snapToGrid w:val="0"/>
              <w:spacing w:before="120" w:beforeLines="5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8460" w:type="dxa"/>
            <w:noWrap w:val="0"/>
            <w:vAlign w:val="center"/>
          </w:tcPr>
          <w:p>
            <w:pPr>
              <w:shd w:val="solid" w:color="FFFFFF" w:fill="auto"/>
              <w:autoSpaceDN w:val="0"/>
              <w:adjustRightInd w:val="0"/>
              <w:snapToGrid w:val="0"/>
              <w:spacing w:before="120" w:beforeLines="50" w:line="360" w:lineRule="auto"/>
              <w:jc w:val="left"/>
              <w:textAlignment w:val="center"/>
              <w:rPr>
                <w:rFonts w:hint="eastAsia" w:ascii="仿宋" w:hAnsi="仿宋" w:eastAsia="仿宋" w:cs="仿宋"/>
                <w:bCs/>
                <w:color w:val="auto"/>
                <w:spacing w:val="-4"/>
                <w:sz w:val="24"/>
                <w:szCs w:val="20"/>
                <w:highlight w:val="none"/>
              </w:rPr>
            </w:pPr>
            <w:r>
              <w:rPr>
                <w:rFonts w:hint="eastAsia" w:ascii="仿宋" w:hAnsi="仿宋" w:eastAsia="仿宋" w:cs="仿宋"/>
                <w:bCs/>
                <w:color w:val="auto"/>
                <w:spacing w:val="-4"/>
                <w:sz w:val="24"/>
                <w:szCs w:val="20"/>
                <w:highlight w:val="none"/>
              </w:rPr>
              <w:t>具备：</w:t>
            </w:r>
          </w:p>
          <w:p>
            <w:pPr>
              <w:adjustRightInd w:val="0"/>
              <w:snapToGrid w:val="0"/>
              <w:spacing w:before="120" w:beforeLines="50" w:line="360" w:lineRule="auto"/>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 w:val="24"/>
                <w:highlight w:val="none"/>
              </w:rPr>
              <w:t>交通运输部《公路养护作业单位资质管理办法》中规定的交通安全设施养护资质。</w:t>
            </w:r>
            <w:r>
              <w:rPr>
                <w:rFonts w:hint="eastAsia" w:ascii="仿宋" w:hAnsi="仿宋" w:eastAsia="仿宋" w:cs="仿宋"/>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8460" w:type="dxa"/>
            <w:noWrap w:val="0"/>
            <w:vAlign w:val="center"/>
          </w:tcPr>
          <w:p>
            <w:pPr>
              <w:snapToGrid w:val="0"/>
              <w:spacing w:before="120" w:beforeLines="50" w:line="360" w:lineRule="auto"/>
              <w:rPr>
                <w:rFonts w:hint="eastAsia" w:ascii="仿宋" w:hAnsi="仿宋" w:eastAsia="仿宋" w:cs="仿宋"/>
                <w:bCs/>
                <w:color w:val="auto"/>
                <w:spacing w:val="-4"/>
                <w:sz w:val="24"/>
                <w:highlight w:val="none"/>
              </w:rPr>
            </w:pPr>
            <w:r>
              <w:rPr>
                <w:rFonts w:hint="eastAsia" w:ascii="仿宋" w:hAnsi="仿宋" w:eastAsia="仿宋" w:cs="仿宋"/>
                <w:bCs/>
                <w:color w:val="auto"/>
                <w:spacing w:val="-4"/>
                <w:sz w:val="24"/>
                <w:highlight w:val="none"/>
              </w:rPr>
              <w:t>安全生产资格：</w:t>
            </w:r>
          </w:p>
          <w:p>
            <w:pPr>
              <w:adjustRightInd w:val="0"/>
              <w:snapToGrid w:val="0"/>
              <w:spacing w:before="120" w:beforeLines="50" w:line="360" w:lineRule="auto"/>
              <w:ind w:firstLine="464" w:firstLineChars="200"/>
              <w:rPr>
                <w:rFonts w:hint="eastAsia" w:ascii="仿宋" w:hAnsi="仿宋" w:eastAsia="仿宋" w:cs="仿宋"/>
                <w:color w:val="auto"/>
                <w:szCs w:val="21"/>
                <w:highlight w:val="none"/>
              </w:rPr>
            </w:pPr>
            <w:r>
              <w:rPr>
                <w:rFonts w:hint="eastAsia" w:ascii="仿宋" w:hAnsi="仿宋" w:eastAsia="仿宋" w:cs="仿宋"/>
                <w:bCs/>
                <w:color w:val="auto"/>
                <w:spacing w:val="-4"/>
                <w:sz w:val="24"/>
                <w:highlight w:val="none"/>
              </w:rPr>
              <w:t>投标人应具有合法有效的安全生产许可证。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8" w:hRule="atLeast"/>
          <w:jc w:val="center"/>
        </w:trPr>
        <w:tc>
          <w:tcPr>
            <w:tcW w:w="8460" w:type="dxa"/>
            <w:noWrap w:val="0"/>
            <w:vAlign w:val="center"/>
          </w:tcPr>
          <w:p>
            <w:pPr>
              <w:adjustRightInd w:val="0"/>
              <w:snapToGrid w:val="0"/>
              <w:spacing w:before="120" w:beforeLines="50"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 w:val="24"/>
                <w:highlight w:val="none"/>
              </w:rPr>
              <w:t>根据交通运输部办公厅《交通运输部办公厅关于进一步加强公路建设市场信用信息管理和使用有关工作的通知》，参加本次招标的投标人企业名称应已列入全国公路建设市场监督管理系统</w:t>
            </w:r>
            <w:r>
              <w:rPr>
                <w:rFonts w:hint="eastAsia" w:ascii="仿宋" w:hAnsi="仿宋" w:eastAsia="仿宋" w:cs="仿宋"/>
                <w:bCs/>
                <w:color w:val="auto"/>
                <w:spacing w:val="-4"/>
                <w:sz w:val="24"/>
                <w:highlight w:val="none"/>
              </w:rPr>
              <w:t>（以下简称监督管理系统），以监督管理系统生成的名录信息为准。</w:t>
            </w:r>
          </w:p>
        </w:tc>
      </w:tr>
    </w:tbl>
    <w:p>
      <w:pPr>
        <w:widowControl/>
        <w:topLinePunct/>
        <w:spacing w:before="120" w:beforeLines="50" w:line="360" w:lineRule="auto"/>
        <w:rPr>
          <w:rFonts w:hint="eastAsia" w:ascii="仿宋" w:hAnsi="仿宋" w:eastAsia="仿宋" w:cs="仿宋"/>
          <w:b/>
          <w:bCs/>
          <w:color w:val="auto"/>
          <w:kern w:val="0"/>
          <w:sz w:val="28"/>
          <w:szCs w:val="28"/>
          <w:highlight w:val="none"/>
        </w:rPr>
      </w:pPr>
    </w:p>
    <w:p>
      <w:pPr>
        <w:widowControl/>
        <w:snapToGrid w:val="0"/>
        <w:spacing w:before="120" w:beforeLines="50" w:line="360" w:lineRule="auto"/>
        <w:rPr>
          <w:rFonts w:hint="eastAsia" w:ascii="仿宋" w:hAnsi="仿宋" w:eastAsia="仿宋" w:cs="仿宋"/>
          <w:b/>
          <w:bCs/>
          <w:color w:val="auto"/>
          <w:kern w:val="0"/>
          <w:sz w:val="28"/>
          <w:szCs w:val="28"/>
          <w:highlight w:val="none"/>
        </w:rPr>
      </w:pPr>
    </w:p>
    <w:p>
      <w:pPr>
        <w:pStyle w:val="11"/>
        <w:snapToGrid w:val="0"/>
        <w:spacing w:before="120" w:beforeLines="50" w:line="360" w:lineRule="auto"/>
        <w:jc w:val="center"/>
        <w:rPr>
          <w:rFonts w:hint="eastAsia" w:ascii="仿宋" w:hAnsi="仿宋" w:eastAsia="仿宋" w:cs="仿宋"/>
          <w:b/>
          <w:bCs/>
          <w:color w:val="auto"/>
          <w:sz w:val="28"/>
          <w:szCs w:val="28"/>
          <w:highlight w:val="none"/>
        </w:rPr>
      </w:pPr>
    </w:p>
    <w:p>
      <w:pPr>
        <w:pStyle w:val="11"/>
        <w:snapToGrid w:val="0"/>
        <w:spacing w:before="120" w:beforeLines="50" w:line="360" w:lineRule="auto"/>
        <w:jc w:val="center"/>
        <w:rPr>
          <w:rFonts w:hint="eastAsia" w:ascii="仿宋" w:hAnsi="仿宋" w:eastAsia="仿宋" w:cs="仿宋"/>
          <w:b/>
          <w:bCs/>
          <w:color w:val="auto"/>
          <w:sz w:val="28"/>
          <w:szCs w:val="28"/>
          <w:highlight w:val="none"/>
        </w:rPr>
      </w:pPr>
    </w:p>
    <w:p>
      <w:pPr>
        <w:pStyle w:val="11"/>
        <w:snapToGrid w:val="0"/>
        <w:spacing w:before="120" w:beforeLines="50" w:line="360" w:lineRule="auto"/>
        <w:jc w:val="center"/>
        <w:rPr>
          <w:rFonts w:hint="eastAsia" w:ascii="仿宋" w:hAnsi="仿宋" w:eastAsia="仿宋" w:cs="仿宋"/>
          <w:b/>
          <w:bCs/>
          <w:color w:val="auto"/>
          <w:sz w:val="28"/>
          <w:szCs w:val="28"/>
          <w:highlight w:val="none"/>
        </w:rPr>
      </w:pPr>
    </w:p>
    <w:p>
      <w:pPr>
        <w:pStyle w:val="12"/>
        <w:topLinePunct/>
        <w:spacing w:before="120" w:beforeLines="5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附录2  资格审查条件(财务最低要求)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380" w:type="dxa"/>
            <w:noWrap w:val="0"/>
            <w:vAlign w:val="center"/>
          </w:tcPr>
          <w:p>
            <w:pPr>
              <w:adjustRightInd w:val="0"/>
              <w:snapToGrid w:val="0"/>
              <w:spacing w:before="120" w:beforeLines="5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财 务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7" w:hRule="atLeast"/>
          <w:jc w:val="center"/>
        </w:trPr>
        <w:tc>
          <w:tcPr>
            <w:tcW w:w="7380" w:type="dxa"/>
            <w:noWrap w:val="0"/>
            <w:vAlign w:val="center"/>
          </w:tcPr>
          <w:p>
            <w:pPr>
              <w:adjustRightInd w:val="0"/>
              <w:snapToGrid w:val="0"/>
              <w:spacing w:before="120" w:beforeLines="5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1、2024年经审计的财务报表中营运资本（流动资产－流动负债）不少于300万元人民币；</w:t>
            </w:r>
          </w:p>
          <w:p>
            <w:pPr>
              <w:adjustRightInd w:val="0"/>
              <w:snapToGrid w:val="0"/>
              <w:spacing w:before="120" w:beforeLines="50" w:line="360" w:lineRule="auto"/>
              <w:ind w:left="3" w:firstLine="475" w:firstLineChars="198"/>
              <w:rPr>
                <w:rFonts w:hint="eastAsia" w:ascii="仿宋" w:hAnsi="仿宋" w:eastAsia="仿宋" w:cs="仿宋"/>
                <w:color w:val="auto"/>
                <w:sz w:val="24"/>
                <w:highlight w:val="none"/>
              </w:rPr>
            </w:pPr>
            <w:r>
              <w:rPr>
                <w:rFonts w:hint="eastAsia" w:ascii="仿宋" w:hAnsi="仿宋" w:eastAsia="仿宋" w:cs="仿宋"/>
                <w:color w:val="auto"/>
                <w:sz w:val="24"/>
                <w:highlight w:val="none"/>
              </w:rPr>
              <w:t>2、2022-2024年度的营业总收入不少于900万元人民币；</w:t>
            </w:r>
          </w:p>
          <w:p>
            <w:pPr>
              <w:adjustRightInd w:val="0"/>
              <w:snapToGrid w:val="0"/>
              <w:spacing w:before="120" w:beforeLines="50" w:line="360" w:lineRule="auto"/>
              <w:ind w:left="3" w:firstLine="475" w:firstLineChars="198"/>
              <w:rPr>
                <w:rFonts w:hint="eastAsia" w:ascii="仿宋" w:hAnsi="仿宋" w:eastAsia="仿宋" w:cs="仿宋"/>
                <w:color w:val="auto"/>
                <w:szCs w:val="21"/>
                <w:highlight w:val="none"/>
              </w:rPr>
            </w:pPr>
            <w:r>
              <w:rPr>
                <w:rFonts w:hint="eastAsia" w:ascii="仿宋" w:hAnsi="仿宋" w:eastAsia="仿宋" w:cs="仿宋"/>
                <w:color w:val="auto"/>
                <w:sz w:val="24"/>
                <w:highlight w:val="none"/>
              </w:rPr>
              <w:t>3、2022-2024年度至少有两年盈利。</w:t>
            </w:r>
          </w:p>
        </w:tc>
      </w:tr>
    </w:tbl>
    <w:p>
      <w:pPr>
        <w:pStyle w:val="3"/>
        <w:spacing w:before="120" w:beforeLines="50" w:after="0" w:line="360" w:lineRule="auto"/>
        <w:ind w:left="0" w:leftChars="0" w:firstLine="360" w:firstLineChars="200"/>
        <w:rPr>
          <w:rFonts w:hint="eastAsia" w:ascii="仿宋" w:hAnsi="仿宋" w:eastAsia="仿宋" w:cs="仿宋"/>
          <w:color w:val="auto"/>
          <w:sz w:val="18"/>
          <w:szCs w:val="18"/>
          <w:highlight w:val="none"/>
        </w:rPr>
      </w:pPr>
    </w:p>
    <w:p>
      <w:pPr>
        <w:pStyle w:val="3"/>
        <w:spacing w:before="120" w:beforeLines="50" w:after="0" w:line="360" w:lineRule="auto"/>
        <w:ind w:left="0" w:leftChars="0" w:firstLine="360" w:firstLineChars="200"/>
        <w:rPr>
          <w:rFonts w:hint="eastAsia" w:ascii="仿宋" w:hAnsi="仿宋" w:eastAsia="仿宋" w:cs="仿宋"/>
          <w:color w:val="auto"/>
          <w:sz w:val="18"/>
          <w:szCs w:val="18"/>
          <w:highlight w:val="none"/>
        </w:rPr>
      </w:pPr>
    </w:p>
    <w:p>
      <w:pPr>
        <w:pStyle w:val="3"/>
        <w:spacing w:before="120" w:beforeLines="50" w:after="0" w:line="360" w:lineRule="auto"/>
        <w:ind w:left="0" w:leftChars="0" w:firstLine="360" w:firstLineChars="200"/>
        <w:rPr>
          <w:rFonts w:hint="eastAsia" w:ascii="仿宋" w:hAnsi="仿宋" w:eastAsia="仿宋" w:cs="仿宋"/>
          <w:color w:val="auto"/>
          <w:sz w:val="18"/>
          <w:szCs w:val="18"/>
          <w:highlight w:val="none"/>
        </w:rPr>
      </w:pPr>
    </w:p>
    <w:p>
      <w:pPr>
        <w:pStyle w:val="12"/>
        <w:topLinePunct/>
        <w:spacing w:before="120" w:beforeLines="5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 xml:space="preserve">附录3  资格审查条件(业绩最低要求)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231" w:type="dxa"/>
            <w:noWrap w:val="0"/>
            <w:vAlign w:val="center"/>
          </w:tcPr>
          <w:p>
            <w:pPr>
              <w:adjustRightInd w:val="0"/>
              <w:snapToGrid w:val="0"/>
              <w:spacing w:before="120" w:beforeLines="5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8231" w:type="dxa"/>
            <w:noWrap w:val="0"/>
            <w:vAlign w:val="center"/>
          </w:tcPr>
          <w:p>
            <w:pPr>
              <w:snapToGrid w:val="0"/>
              <w:spacing w:before="120" w:beforeLines="50" w:line="360" w:lineRule="auto"/>
              <w:ind w:firstLine="464" w:firstLineChars="200"/>
              <w:rPr>
                <w:rFonts w:hint="eastAsia" w:ascii="仿宋" w:hAnsi="仿宋" w:eastAsia="仿宋" w:cs="仿宋"/>
                <w:bCs/>
                <w:color w:val="auto"/>
                <w:spacing w:val="-4"/>
                <w:sz w:val="24"/>
                <w:highlight w:val="none"/>
              </w:rPr>
            </w:pPr>
            <w:r>
              <w:rPr>
                <w:rFonts w:hint="eastAsia" w:ascii="仿宋" w:hAnsi="仿宋" w:eastAsia="仿宋" w:cs="仿宋"/>
                <w:bCs/>
                <w:color w:val="auto"/>
                <w:spacing w:val="-4"/>
                <w:sz w:val="24"/>
                <w:highlight w:val="none"/>
              </w:rPr>
              <w:t>近五年内，至少成功地独立完成1项营运高速公路交通安全设施养护维修工程，且合同金额300万元以上；或成功独立完成1项包含有</w:t>
            </w:r>
            <w:r>
              <w:rPr>
                <w:rFonts w:hint="eastAsia" w:ascii="仿宋" w:hAnsi="仿宋" w:eastAsia="仿宋" w:cs="仿宋"/>
                <w:bCs/>
                <w:color w:val="auto"/>
                <w:spacing w:val="-4"/>
                <w:sz w:val="24"/>
                <w:highlight w:val="none"/>
                <w:lang w:eastAsia="zh-CN"/>
              </w:rPr>
              <w:t>交通安全设施</w:t>
            </w:r>
            <w:r>
              <w:rPr>
                <w:rFonts w:hint="eastAsia" w:ascii="仿宋" w:hAnsi="仿宋" w:eastAsia="仿宋" w:cs="仿宋"/>
                <w:bCs/>
                <w:color w:val="auto"/>
                <w:spacing w:val="-4"/>
                <w:sz w:val="24"/>
                <w:highlight w:val="none"/>
              </w:rPr>
              <w:t>养护维修内容的营运高速公路养护维修工程，且该工程包含的交通安全设施养护维修分项的结算金额300万元以上。</w:t>
            </w:r>
          </w:p>
          <w:p>
            <w:pPr>
              <w:adjustRightInd w:val="0"/>
              <w:snapToGrid w:val="0"/>
              <w:spacing w:before="120" w:beforeLines="50" w:line="360" w:lineRule="auto"/>
              <w:rPr>
                <w:rFonts w:hint="eastAsia" w:ascii="仿宋" w:hAnsi="仿宋" w:eastAsia="仿宋" w:cs="仿宋"/>
                <w:color w:val="auto"/>
                <w:szCs w:val="21"/>
                <w:highlight w:val="none"/>
              </w:rPr>
            </w:pPr>
          </w:p>
        </w:tc>
      </w:tr>
    </w:tbl>
    <w:p>
      <w:pPr>
        <w:widowControl/>
        <w:spacing w:before="120" w:beforeLines="50" w:line="360" w:lineRule="auto"/>
        <w:ind w:right="88" w:rightChars="42"/>
        <w:rPr>
          <w:rFonts w:hint="eastAsia" w:ascii="仿宋" w:hAnsi="仿宋" w:eastAsia="仿宋" w:cs="仿宋"/>
          <w:color w:val="auto"/>
          <w:highlight w:val="none"/>
        </w:rPr>
      </w:pPr>
      <w:r>
        <w:rPr>
          <w:rFonts w:hint="eastAsia" w:ascii="仿宋" w:hAnsi="仿宋" w:eastAsia="仿宋" w:cs="仿宋"/>
          <w:color w:val="auto"/>
          <w:highlight w:val="none"/>
        </w:rPr>
        <w:t>注：</w:t>
      </w:r>
    </w:p>
    <w:p>
      <w:pPr>
        <w:widowControl/>
        <w:spacing w:before="120" w:beforeLines="50" w:line="360" w:lineRule="auto"/>
        <w:ind w:leftChars="200" w:right="88" w:rightChars="42"/>
        <w:rPr>
          <w:rFonts w:hint="eastAsia" w:ascii="仿宋" w:hAnsi="仿宋" w:eastAsia="仿宋" w:cs="仿宋"/>
          <w:color w:val="auto"/>
          <w:highlight w:val="none"/>
        </w:rPr>
      </w:pPr>
      <w:r>
        <w:rPr>
          <w:rFonts w:hint="eastAsia" w:ascii="仿宋" w:hAnsi="仿宋" w:eastAsia="仿宋" w:cs="仿宋"/>
          <w:color w:val="auto"/>
          <w:highlight w:val="none"/>
        </w:rPr>
        <w:t>1、近五年是指2020年1月1日至投标文件递交之日止，业绩计算以此期间通过交工验收的项目为准，本文提到的交工验收是指交工验收或一次性竣工验收。</w:t>
      </w:r>
    </w:p>
    <w:p>
      <w:pPr>
        <w:widowControl/>
        <w:spacing w:before="120" w:beforeLines="50" w:line="360" w:lineRule="auto"/>
        <w:ind w:leftChars="200" w:right="88" w:rightChars="42"/>
        <w:rPr>
          <w:rFonts w:hint="eastAsia" w:ascii="仿宋" w:hAnsi="仿宋" w:eastAsia="仿宋" w:cs="仿宋"/>
          <w:color w:val="auto"/>
          <w:highlight w:val="none"/>
        </w:rPr>
      </w:pPr>
      <w:r>
        <w:rPr>
          <w:rFonts w:hint="eastAsia" w:ascii="仿宋" w:hAnsi="仿宋" w:eastAsia="仿宋" w:cs="仿宋"/>
          <w:color w:val="auto"/>
          <w:highlight w:val="none"/>
        </w:rPr>
        <w:t>2、“独立”指非联合体形式完成业绩，即以联合体形式完成的业绩不予认定。</w:t>
      </w:r>
    </w:p>
    <w:p>
      <w:pPr>
        <w:widowControl/>
        <w:spacing w:before="120" w:beforeLines="50" w:line="360" w:lineRule="auto"/>
        <w:ind w:leftChars="200" w:right="88" w:rightChars="42"/>
        <w:rPr>
          <w:rFonts w:hint="eastAsia" w:ascii="仿宋" w:hAnsi="仿宋" w:eastAsia="仿宋" w:cs="仿宋"/>
          <w:color w:val="auto"/>
          <w:highlight w:val="none"/>
        </w:rPr>
      </w:pPr>
      <w:r>
        <w:rPr>
          <w:rFonts w:hint="eastAsia" w:ascii="仿宋" w:hAnsi="仿宋" w:eastAsia="仿宋" w:cs="仿宋"/>
          <w:color w:val="auto"/>
          <w:highlight w:val="none"/>
        </w:rPr>
        <w:t>3、业绩为“包含有交通安全设施养护维修内容的营运高速公路养护维修工程”，除需提供“中标通知书、合同协议书、</w:t>
      </w:r>
      <w:r>
        <w:rPr>
          <w:rFonts w:hint="eastAsia" w:ascii="仿宋" w:hAnsi="仿宋" w:eastAsia="仿宋" w:cs="仿宋"/>
          <w:b/>
          <w:bCs/>
          <w:color w:val="auto"/>
          <w:highlight w:val="none"/>
          <w:u w:val="single"/>
        </w:rPr>
        <w:t>结算协议书（含清单）</w:t>
      </w:r>
      <w:r>
        <w:rPr>
          <w:rFonts w:hint="eastAsia" w:ascii="仿宋" w:hAnsi="仿宋" w:eastAsia="仿宋" w:cs="仿宋"/>
          <w:b w:val="0"/>
          <w:bCs w:val="0"/>
          <w:color w:val="auto"/>
          <w:highlight w:val="none"/>
        </w:rPr>
        <w:t>、</w:t>
      </w:r>
      <w:r>
        <w:rPr>
          <w:rFonts w:hint="eastAsia" w:ascii="仿宋" w:hAnsi="仿宋" w:eastAsia="仿宋" w:cs="仿宋"/>
          <w:color w:val="auto"/>
          <w:highlight w:val="none"/>
        </w:rPr>
        <w:t>工程验收证书的复印件以及全国公路建设市场监督管理系统查询业绩的截图”外，</w:t>
      </w:r>
      <w:r>
        <w:rPr>
          <w:rFonts w:hint="eastAsia" w:ascii="仿宋" w:hAnsi="仿宋" w:eastAsia="仿宋" w:cs="仿宋"/>
          <w:b/>
          <w:bCs/>
          <w:color w:val="auto"/>
          <w:highlight w:val="none"/>
          <w:u w:val="single"/>
        </w:rPr>
        <w:t>还需提供该项目结算清单中交通安全设施养护维修分项工程结算费用的汇总统计表</w:t>
      </w:r>
      <w:r>
        <w:rPr>
          <w:rFonts w:hint="eastAsia" w:ascii="仿宋" w:hAnsi="仿宋" w:eastAsia="仿宋" w:cs="仿宋"/>
          <w:color w:val="auto"/>
          <w:highlight w:val="none"/>
        </w:rPr>
        <w:t>。</w:t>
      </w:r>
    </w:p>
    <w:p>
      <w:pPr>
        <w:widowControl/>
        <w:spacing w:before="120" w:beforeLines="50" w:line="360" w:lineRule="auto"/>
        <w:ind w:leftChars="200" w:right="88" w:rightChars="42"/>
        <w:rPr>
          <w:rFonts w:hint="eastAsia" w:ascii="仿宋" w:hAnsi="仿宋" w:eastAsia="仿宋" w:cs="仿宋"/>
          <w:color w:val="auto"/>
          <w:highlight w:val="none"/>
        </w:rPr>
      </w:pPr>
      <w:r>
        <w:rPr>
          <w:rFonts w:hint="eastAsia" w:ascii="仿宋" w:hAnsi="仿宋" w:eastAsia="仿宋" w:cs="仿宋"/>
          <w:color w:val="auto"/>
          <w:highlight w:val="none"/>
        </w:rPr>
        <w:t>4、“交通安全设施养护工程”包含交通安全设施的养护维修工程、预防养护、专项养护、应急养护等；不包含日常养护、新建、 改扩建的交通安全设施工程。可以是护栏、标线标志、防眩网、声屏障、隔离栅等交安设施的一项或多项内容。</w:t>
      </w:r>
    </w:p>
    <w:p>
      <w:pPr>
        <w:widowControl/>
        <w:spacing w:before="120" w:beforeLines="50" w:line="360" w:lineRule="auto"/>
        <w:ind w:right="88" w:rightChars="42"/>
        <w:rPr>
          <w:rFonts w:hint="eastAsia" w:ascii="仿宋" w:hAnsi="仿宋" w:eastAsia="仿宋" w:cs="仿宋"/>
          <w:color w:val="auto"/>
          <w:highlight w:val="none"/>
        </w:rPr>
      </w:pPr>
    </w:p>
    <w:p>
      <w:pPr>
        <w:pStyle w:val="11"/>
        <w:snapToGrid w:val="0"/>
        <w:spacing w:before="120" w:beforeLines="50" w:line="360" w:lineRule="auto"/>
        <w:jc w:val="center"/>
        <w:rPr>
          <w:rFonts w:hint="eastAsia" w:ascii="仿宋" w:hAnsi="仿宋" w:eastAsia="仿宋" w:cs="仿宋"/>
          <w:b/>
          <w:bCs/>
          <w:color w:val="auto"/>
          <w:sz w:val="28"/>
          <w:szCs w:val="28"/>
          <w:highlight w:val="none"/>
        </w:rPr>
      </w:pPr>
    </w:p>
    <w:p>
      <w:pPr>
        <w:pStyle w:val="11"/>
        <w:snapToGrid w:val="0"/>
        <w:spacing w:before="120" w:beforeLines="5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附录4  资格审查条件(信誉最低要求)</w:t>
      </w:r>
    </w:p>
    <w:p>
      <w:pPr>
        <w:widowControl/>
        <w:snapToGrid w:val="0"/>
        <w:spacing w:before="120" w:beforeLines="50" w:line="360" w:lineRule="auto"/>
        <w:jc w:val="left"/>
        <w:rPr>
          <w:rFonts w:hint="eastAsia" w:ascii="仿宋" w:hAnsi="仿宋" w:eastAsia="仿宋" w:cs="仿宋"/>
          <w:b/>
          <w:bCs/>
          <w:color w:val="auto"/>
          <w:kern w:val="0"/>
          <w:sz w:val="28"/>
          <w:szCs w:val="28"/>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7290" w:type="dxa"/>
            <w:noWrap w:val="0"/>
            <w:vAlign w:val="center"/>
          </w:tcPr>
          <w:p>
            <w:pPr>
              <w:adjustRightInd w:val="0"/>
              <w:snapToGrid w:val="0"/>
              <w:spacing w:before="120" w:beforeLines="50"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1" w:hRule="atLeast"/>
          <w:jc w:val="center"/>
        </w:trPr>
        <w:tc>
          <w:tcPr>
            <w:tcW w:w="7290" w:type="dxa"/>
            <w:noWrap w:val="0"/>
            <w:vAlign w:val="center"/>
          </w:tcPr>
          <w:p>
            <w:pPr>
              <w:adjustRightInd w:val="0"/>
              <w:snapToGrid w:val="0"/>
              <w:spacing w:before="120" w:beforeLines="50"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1、没有处于被责令停业，财务被接管、冻结、破产状态；</w:t>
            </w:r>
          </w:p>
          <w:p>
            <w:pPr>
              <w:adjustRightInd w:val="0"/>
              <w:snapToGrid w:val="0"/>
              <w:spacing w:before="120" w:beforeLines="50"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2、没有被国家住建部、交通运输部、广东省交通运输厅通报而且取消相应投标资格（处于有效期内）；</w:t>
            </w:r>
          </w:p>
          <w:p>
            <w:pPr>
              <w:adjustRightInd w:val="0"/>
              <w:snapToGrid w:val="0"/>
              <w:spacing w:before="120" w:beforeLines="50"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3、投标人没有涉及正在诉讼的案件。</w:t>
            </w:r>
          </w:p>
          <w:p>
            <w:pPr>
              <w:adjustRightInd w:val="0"/>
              <w:snapToGrid w:val="0"/>
              <w:spacing w:before="120" w:beforeLines="50" w:line="360" w:lineRule="auto"/>
              <w:ind w:left="-120" w:leftChars="-57" w:firstLine="420" w:firstLineChars="200"/>
              <w:rPr>
                <w:rFonts w:hint="eastAsia" w:ascii="仿宋" w:hAnsi="仿宋" w:eastAsia="仿宋" w:cs="仿宋"/>
                <w:color w:val="auto"/>
                <w:szCs w:val="21"/>
                <w:highlight w:val="none"/>
              </w:rPr>
            </w:pPr>
          </w:p>
        </w:tc>
      </w:tr>
    </w:tbl>
    <w:p>
      <w:pPr>
        <w:pStyle w:val="3"/>
        <w:spacing w:before="120" w:beforeLines="50" w:after="0" w:line="360" w:lineRule="auto"/>
        <w:ind w:left="0" w:leftChars="0"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w:t>
      </w:r>
    </w:p>
    <w:p>
      <w:pPr>
        <w:adjustRightInd w:val="0"/>
        <w:snapToGrid w:val="0"/>
        <w:spacing w:before="120" w:beforeLines="50" w:line="360" w:lineRule="auto"/>
        <w:rPr>
          <w:rFonts w:hint="eastAsia" w:ascii="仿宋" w:hAnsi="仿宋" w:eastAsia="仿宋" w:cs="仿宋"/>
          <w:bCs/>
          <w:color w:val="auto"/>
          <w:highlight w:val="none"/>
        </w:rPr>
      </w:pPr>
    </w:p>
    <w:p>
      <w:pPr>
        <w:widowControl/>
        <w:snapToGrid w:val="0"/>
        <w:spacing w:before="120" w:beforeLines="50" w:line="360" w:lineRule="auto"/>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br w:type="page"/>
      </w:r>
      <w:r>
        <w:rPr>
          <w:rFonts w:hint="eastAsia" w:ascii="仿宋" w:hAnsi="仿宋" w:eastAsia="仿宋" w:cs="仿宋"/>
          <w:b/>
          <w:bCs/>
          <w:color w:val="auto"/>
          <w:kern w:val="0"/>
          <w:sz w:val="28"/>
          <w:szCs w:val="28"/>
          <w:highlight w:val="none"/>
        </w:rPr>
        <w:t>附录5  资格审查条件(项目经理和项目总工最低要求)</w:t>
      </w:r>
    </w:p>
    <w:tbl>
      <w:tblPr>
        <w:tblStyle w:val="9"/>
        <w:tblW w:w="0" w:type="auto"/>
        <w:jc w:val="center"/>
        <w:tblLayout w:type="fixed"/>
        <w:tblCellMar>
          <w:top w:w="0" w:type="dxa"/>
          <w:left w:w="108" w:type="dxa"/>
          <w:bottom w:w="0" w:type="dxa"/>
          <w:right w:w="108" w:type="dxa"/>
        </w:tblCellMar>
      </w:tblPr>
      <w:tblGrid>
        <w:gridCol w:w="1194"/>
        <w:gridCol w:w="875"/>
        <w:gridCol w:w="4231"/>
        <w:gridCol w:w="1958"/>
      </w:tblGrid>
      <w:tr>
        <w:tblPrEx>
          <w:tblCellMar>
            <w:top w:w="0" w:type="dxa"/>
            <w:left w:w="108" w:type="dxa"/>
            <w:bottom w:w="0" w:type="dxa"/>
            <w:right w:w="108" w:type="dxa"/>
          </w:tblCellMar>
        </w:tblPrEx>
        <w:trPr>
          <w:trHeight w:val="931" w:hRule="atLeast"/>
          <w:jc w:val="center"/>
        </w:trPr>
        <w:tc>
          <w:tcPr>
            <w:tcW w:w="1194" w:type="dxa"/>
            <w:tcBorders>
              <w:top w:val="single" w:color="000000" w:sz="4" w:space="0"/>
              <w:left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人员</w:t>
            </w:r>
          </w:p>
        </w:tc>
        <w:tc>
          <w:tcPr>
            <w:tcW w:w="875" w:type="dxa"/>
            <w:tcBorders>
              <w:top w:val="single" w:color="000000" w:sz="4" w:space="0"/>
              <w:left w:val="nil"/>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数量（人）</w:t>
            </w:r>
          </w:p>
        </w:tc>
        <w:tc>
          <w:tcPr>
            <w:tcW w:w="4231" w:type="dxa"/>
            <w:tcBorders>
              <w:top w:val="single" w:color="000000" w:sz="4" w:space="0"/>
              <w:left w:val="single" w:color="000000" w:sz="4" w:space="0"/>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资格要求</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在岗要求</w:t>
            </w:r>
          </w:p>
        </w:tc>
      </w:tr>
      <w:tr>
        <w:tblPrEx>
          <w:tblCellMar>
            <w:top w:w="0" w:type="dxa"/>
            <w:left w:w="108" w:type="dxa"/>
            <w:bottom w:w="0" w:type="dxa"/>
            <w:right w:w="108" w:type="dxa"/>
          </w:tblCellMar>
        </w:tblPrEx>
        <w:trPr>
          <w:trHeight w:val="1126" w:hRule="atLeast"/>
          <w:jc w:val="center"/>
        </w:trPr>
        <w:tc>
          <w:tcPr>
            <w:tcW w:w="1194" w:type="dxa"/>
            <w:tcBorders>
              <w:top w:val="single" w:color="000000" w:sz="4" w:space="0"/>
              <w:left w:val="single" w:color="000000" w:sz="4" w:space="0"/>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项目经理</w:t>
            </w:r>
          </w:p>
        </w:tc>
        <w:tc>
          <w:tcPr>
            <w:tcW w:w="875" w:type="dxa"/>
            <w:tcBorders>
              <w:top w:val="single" w:color="000000" w:sz="4" w:space="0"/>
              <w:left w:val="nil"/>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4231" w:type="dxa"/>
            <w:vMerge w:val="restart"/>
            <w:tcBorders>
              <w:top w:val="single" w:color="000000" w:sz="4" w:space="0"/>
              <w:left w:val="nil"/>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r>
              <w:rPr>
                <w:rFonts w:hint="eastAsia" w:ascii="仿宋" w:hAnsi="仿宋" w:eastAsia="仿宋" w:cs="仿宋"/>
                <w:color w:val="auto"/>
                <w:szCs w:val="21"/>
                <w:highlight w:val="none"/>
              </w:rPr>
              <w:t>路桥工程师或以上职称，具备3年以上类似工程施工经历和至少担任过1个类似工程施工</w:t>
            </w:r>
            <w:r>
              <w:rPr>
                <w:rFonts w:hint="eastAsia" w:ascii="仿宋" w:hAnsi="仿宋" w:eastAsia="仿宋" w:cs="仿宋"/>
                <w:color w:val="auto"/>
                <w:highlight w:val="none"/>
              </w:rPr>
              <w:t>项目经理的岗位工作经验</w:t>
            </w:r>
            <w:r>
              <w:rPr>
                <w:rFonts w:hint="eastAsia" w:ascii="仿宋" w:hAnsi="仿宋" w:eastAsia="仿宋" w:cs="仿宋"/>
                <w:color w:val="auto"/>
                <w:szCs w:val="21"/>
                <w:highlight w:val="none"/>
              </w:rPr>
              <w:t>，并持有住房和城乡建设部颁发的公路工程专业壹级注册建造师任职资格证书，具有交通主管部门颁发的有效的安全生产“三类人员”B类证书。</w:t>
            </w:r>
          </w:p>
        </w:tc>
        <w:tc>
          <w:tcPr>
            <w:tcW w:w="1958" w:type="dxa"/>
            <w:vMerge w:val="restart"/>
            <w:tcBorders>
              <w:top w:val="single" w:color="000000" w:sz="4" w:space="0"/>
              <w:left w:val="nil"/>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r>
              <w:rPr>
                <w:rFonts w:hint="eastAsia" w:ascii="仿宋" w:hAnsi="仿宋" w:eastAsia="仿宋" w:cs="仿宋"/>
                <w:color w:val="auto"/>
                <w:spacing w:val="-14"/>
                <w:highlight w:val="none"/>
              </w:rPr>
              <w:t>无在岗项目（指目前未在其他项目上任职，或虽在其他项目上任职但本项目中标后能够从该项目撤离）</w:t>
            </w:r>
          </w:p>
        </w:tc>
      </w:tr>
      <w:tr>
        <w:tblPrEx>
          <w:tblCellMar>
            <w:top w:w="0" w:type="dxa"/>
            <w:left w:w="108" w:type="dxa"/>
            <w:bottom w:w="0" w:type="dxa"/>
            <w:right w:w="108" w:type="dxa"/>
          </w:tblCellMar>
        </w:tblPrEx>
        <w:trPr>
          <w:trHeight w:val="1811" w:hRule="atLeast"/>
          <w:jc w:val="center"/>
        </w:trPr>
        <w:tc>
          <w:tcPr>
            <w:tcW w:w="1194" w:type="dxa"/>
            <w:tcBorders>
              <w:top w:val="single" w:color="000000" w:sz="4" w:space="0"/>
              <w:left w:val="single" w:color="000000" w:sz="4" w:space="0"/>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项目经理备选人</w:t>
            </w:r>
          </w:p>
        </w:tc>
        <w:tc>
          <w:tcPr>
            <w:tcW w:w="875" w:type="dxa"/>
            <w:tcBorders>
              <w:top w:val="single" w:color="000000" w:sz="4" w:space="0"/>
              <w:left w:val="nil"/>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4231" w:type="dxa"/>
            <w:vMerge w:val="continue"/>
            <w:tcBorders>
              <w:left w:val="nil"/>
              <w:bottom w:val="single" w:color="000000" w:sz="4" w:space="0"/>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p>
        </w:tc>
        <w:tc>
          <w:tcPr>
            <w:tcW w:w="1958" w:type="dxa"/>
            <w:vMerge w:val="continue"/>
            <w:tcBorders>
              <w:left w:val="nil"/>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1003" w:hRule="atLeast"/>
          <w:jc w:val="center"/>
        </w:trPr>
        <w:tc>
          <w:tcPr>
            <w:tcW w:w="1194" w:type="dxa"/>
            <w:tcBorders>
              <w:top w:val="single" w:color="000000" w:sz="4" w:space="0"/>
              <w:left w:val="single" w:color="000000" w:sz="4" w:space="0"/>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szCs w:val="21"/>
                <w:highlight w:val="none"/>
              </w:rPr>
              <w:t>项目总工</w:t>
            </w:r>
          </w:p>
        </w:tc>
        <w:tc>
          <w:tcPr>
            <w:tcW w:w="875" w:type="dxa"/>
            <w:tcBorders>
              <w:top w:val="single" w:color="000000" w:sz="4" w:space="0"/>
              <w:left w:val="nil"/>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4231" w:type="dxa"/>
            <w:vMerge w:val="restart"/>
            <w:tcBorders>
              <w:left w:val="nil"/>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r>
              <w:rPr>
                <w:rFonts w:hint="eastAsia" w:ascii="仿宋" w:hAnsi="仿宋" w:eastAsia="仿宋" w:cs="仿宋"/>
                <w:color w:val="auto"/>
                <w:szCs w:val="21"/>
                <w:highlight w:val="none"/>
              </w:rPr>
              <w:t>路桥高级或以上职称，具备5年以上类似工程施工经历和至少担任过1个类似工程施工</w:t>
            </w:r>
            <w:r>
              <w:rPr>
                <w:rFonts w:hint="eastAsia" w:ascii="仿宋" w:hAnsi="仿宋" w:eastAsia="仿宋" w:cs="仿宋"/>
                <w:color w:val="auto"/>
                <w:highlight w:val="none"/>
              </w:rPr>
              <w:t>项目总工的岗位工作经验</w:t>
            </w:r>
            <w:r>
              <w:rPr>
                <w:rFonts w:hint="eastAsia" w:ascii="仿宋" w:hAnsi="仿宋" w:eastAsia="仿宋" w:cs="仿宋"/>
                <w:color w:val="auto"/>
                <w:szCs w:val="21"/>
                <w:highlight w:val="none"/>
              </w:rPr>
              <w:t>，并具有交通主管部门颁发的有效的安全生产“三类人员”B类证书。</w:t>
            </w:r>
          </w:p>
        </w:tc>
        <w:tc>
          <w:tcPr>
            <w:tcW w:w="1958" w:type="dxa"/>
            <w:vMerge w:val="continue"/>
            <w:tcBorders>
              <w:left w:val="nil"/>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1141" w:hRule="atLeast"/>
          <w:jc w:val="center"/>
        </w:trPr>
        <w:tc>
          <w:tcPr>
            <w:tcW w:w="1194" w:type="dxa"/>
            <w:tcBorders>
              <w:top w:val="single" w:color="000000" w:sz="4" w:space="0"/>
              <w:left w:val="single" w:color="000000" w:sz="4" w:space="0"/>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szCs w:val="21"/>
                <w:highlight w:val="none"/>
              </w:rPr>
              <w:t>项目总工备选人</w:t>
            </w:r>
          </w:p>
        </w:tc>
        <w:tc>
          <w:tcPr>
            <w:tcW w:w="875" w:type="dxa"/>
            <w:tcBorders>
              <w:top w:val="single" w:color="000000" w:sz="4" w:space="0"/>
              <w:left w:val="nil"/>
              <w:bottom w:val="single" w:color="000000" w:sz="4" w:space="0"/>
              <w:right w:val="single" w:color="000000" w:sz="4" w:space="0"/>
            </w:tcBorders>
            <w:noWrap w:val="0"/>
            <w:vAlign w:val="center"/>
          </w:tcPr>
          <w:p>
            <w:pPr>
              <w:spacing w:before="120" w:beforeLines="50"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4231" w:type="dxa"/>
            <w:vMerge w:val="continue"/>
            <w:tcBorders>
              <w:left w:val="nil"/>
              <w:bottom w:val="single" w:color="000000" w:sz="4" w:space="0"/>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p>
        </w:tc>
        <w:tc>
          <w:tcPr>
            <w:tcW w:w="1958" w:type="dxa"/>
            <w:vMerge w:val="continue"/>
            <w:tcBorders>
              <w:left w:val="nil"/>
              <w:bottom w:val="single" w:color="000000" w:sz="4" w:space="0"/>
              <w:right w:val="single" w:color="000000" w:sz="4" w:space="0"/>
            </w:tcBorders>
            <w:noWrap w:val="0"/>
            <w:vAlign w:val="center"/>
          </w:tcPr>
          <w:p>
            <w:pPr>
              <w:spacing w:before="120" w:beforeLines="50" w:line="360" w:lineRule="auto"/>
              <w:jc w:val="left"/>
              <w:rPr>
                <w:rFonts w:hint="eastAsia" w:ascii="仿宋" w:hAnsi="仿宋" w:eastAsia="仿宋" w:cs="仿宋"/>
                <w:color w:val="auto"/>
                <w:highlight w:val="none"/>
              </w:rPr>
            </w:pPr>
          </w:p>
        </w:tc>
      </w:tr>
    </w:tbl>
    <w:p>
      <w:pPr>
        <w:widowControl/>
        <w:spacing w:before="120" w:beforeLines="50" w:line="360" w:lineRule="auto"/>
        <w:ind w:left="893" w:leftChars="425"/>
        <w:rPr>
          <w:rFonts w:hint="eastAsia" w:ascii="仿宋" w:hAnsi="仿宋" w:eastAsia="仿宋" w:cs="仿宋"/>
          <w:color w:val="auto"/>
          <w:sz w:val="18"/>
          <w:szCs w:val="18"/>
          <w:highlight w:val="none"/>
        </w:rPr>
      </w:pPr>
    </w:p>
    <w:p>
      <w:pPr>
        <w:widowControl/>
        <w:spacing w:before="120" w:beforeLines="50" w:line="360" w:lineRule="auto"/>
        <w:ind w:left="893" w:leftChars="425"/>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注:</w:t>
      </w:r>
    </w:p>
    <w:p>
      <w:pPr>
        <w:pStyle w:val="3"/>
        <w:spacing w:before="120" w:beforeLines="50" w:after="0" w:line="360" w:lineRule="auto"/>
        <w:ind w:firstLine="180" w:firstLineChars="1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1.“类似工程”指营运高速公路交通安全设施养护维修工程或包含有交通安全设施养护维修内容的高速公路养护维修工程。</w:t>
      </w:r>
    </w:p>
    <w:p>
      <w:pPr>
        <w:pStyle w:val="3"/>
        <w:spacing w:before="120" w:beforeLines="50" w:after="0" w:line="360" w:lineRule="auto"/>
        <w:ind w:firstLine="540" w:firstLineChars="3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2.上述工作经历以第九章“（六）-2拟委任的项目经理和项目总工资历表”填入的第一个项目经历的起始时间开始计。</w:t>
      </w:r>
    </w:p>
    <w:p>
      <w:pPr>
        <w:pStyle w:val="3"/>
        <w:spacing w:before="120" w:beforeLines="50" w:after="0" w:line="360" w:lineRule="auto"/>
        <w:ind w:left="361" w:leftChars="172" w:firstLine="270" w:firstLineChars="15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3.本表所要求人员须按第九章“（六）-2 拟委任的项目经理和项目总工资历表”的要求附有效的证明材料，所有证明材料均须与身份证上的信息一致，否则视为无效证明材料。</w:t>
      </w:r>
    </w:p>
    <w:p>
      <w:pPr>
        <w:pStyle w:val="12"/>
        <w:topLinePunct/>
        <w:spacing w:before="120" w:beforeLines="5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color w:val="auto"/>
          <w:sz w:val="18"/>
          <w:szCs w:val="18"/>
          <w:highlight w:val="none"/>
        </w:rPr>
        <w:br w:type="page"/>
      </w:r>
      <w:r>
        <w:rPr>
          <w:rFonts w:hint="eastAsia" w:ascii="仿宋" w:hAnsi="仿宋" w:eastAsia="仿宋" w:cs="仿宋"/>
          <w:b/>
          <w:bCs/>
          <w:color w:val="auto"/>
          <w:sz w:val="28"/>
          <w:szCs w:val="28"/>
          <w:highlight w:val="none"/>
        </w:rPr>
        <w:t>附录6  资格审查条件（其他主要管理人员和技术人员最低要求）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2736"/>
        <w:gridCol w:w="4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724" w:type="dxa"/>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  员</w:t>
            </w:r>
          </w:p>
        </w:tc>
        <w:tc>
          <w:tcPr>
            <w:tcW w:w="2736" w:type="dxa"/>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相应标段最低数量要求</w:t>
            </w:r>
          </w:p>
        </w:tc>
        <w:tc>
          <w:tcPr>
            <w:tcW w:w="4645" w:type="dxa"/>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24" w:type="dxa"/>
            <w:noWrap w:val="0"/>
            <w:vAlign w:val="center"/>
          </w:tcPr>
          <w:p>
            <w:pPr>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质检工程师</w:t>
            </w:r>
          </w:p>
        </w:tc>
        <w:tc>
          <w:tcPr>
            <w:tcW w:w="2736" w:type="dxa"/>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645" w:type="dxa"/>
            <w:noWrap w:val="0"/>
            <w:vAlign w:val="center"/>
          </w:tcPr>
          <w:p>
            <w:pPr>
              <w:spacing w:before="120" w:beforeLines="5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路桥工程师或以上职称， 5年以上工作经验且必须从事类似工程施工3年以上。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24" w:type="dxa"/>
            <w:noWrap w:val="0"/>
            <w:vAlign w:val="center"/>
          </w:tcPr>
          <w:p>
            <w:pPr>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计划工程师</w:t>
            </w:r>
          </w:p>
        </w:tc>
        <w:tc>
          <w:tcPr>
            <w:tcW w:w="2736" w:type="dxa"/>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645" w:type="dxa"/>
            <w:noWrap w:val="0"/>
            <w:vAlign w:val="center"/>
          </w:tcPr>
          <w:p>
            <w:pPr>
              <w:spacing w:before="120" w:beforeLines="5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路桥工程师或以上职称，至少有负责计划3年类似工程的经验。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24" w:type="dxa"/>
            <w:noWrap w:val="0"/>
            <w:vAlign w:val="center"/>
          </w:tcPr>
          <w:p>
            <w:pPr>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桥梁工程师</w:t>
            </w:r>
          </w:p>
        </w:tc>
        <w:tc>
          <w:tcPr>
            <w:tcW w:w="2736" w:type="dxa"/>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645" w:type="dxa"/>
            <w:noWrap w:val="0"/>
            <w:vAlign w:val="center"/>
          </w:tcPr>
          <w:p>
            <w:pPr>
              <w:spacing w:before="120" w:beforeLines="5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路桥工程师或以上职称，5年以上工作经验且必须从事类似工程施工3年以上。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2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试验工程师</w:t>
            </w:r>
          </w:p>
        </w:tc>
        <w:tc>
          <w:tcPr>
            <w:tcW w:w="27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64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工程师，持有交通运输部基本建设质量监督总站颁发的试验检测资格证书，5年以上工作经验且必须从事类似工程施工3年以上。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2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内业资料员</w:t>
            </w:r>
          </w:p>
        </w:tc>
        <w:tc>
          <w:tcPr>
            <w:tcW w:w="27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64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具有大专以上学历，至少2年以上类似工作经验。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2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专职</w:t>
            </w:r>
          </w:p>
          <w:p>
            <w:pPr>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安全生产管理员</w:t>
            </w:r>
          </w:p>
        </w:tc>
        <w:tc>
          <w:tcPr>
            <w:tcW w:w="27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4645"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具有交通运输部安全生产“三类人员”C类证书，3年以上工作经验且必须具备类似工程施工经验。</w:t>
            </w:r>
          </w:p>
        </w:tc>
      </w:tr>
    </w:tbl>
    <w:p>
      <w:pPr>
        <w:widowControl/>
        <w:spacing w:before="120" w:beforeLines="50" w:line="360" w:lineRule="auto"/>
        <w:rPr>
          <w:rFonts w:hint="eastAsia" w:ascii="仿宋" w:hAnsi="仿宋" w:eastAsia="仿宋" w:cs="仿宋"/>
          <w:color w:val="auto"/>
          <w:sz w:val="18"/>
          <w:szCs w:val="18"/>
          <w:highlight w:val="none"/>
        </w:rPr>
      </w:pPr>
    </w:p>
    <w:p>
      <w:pPr>
        <w:widowControl/>
        <w:spacing w:before="120" w:beforeLines="50" w:line="360" w:lineRule="auto"/>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注：</w:t>
      </w:r>
    </w:p>
    <w:p>
      <w:pPr>
        <w:pStyle w:val="3"/>
        <w:spacing w:before="120" w:beforeLines="50" w:after="0" w:line="360" w:lineRule="auto"/>
        <w:ind w:left="0" w:leftChars="0" w:firstLine="360" w:firstLineChars="200"/>
        <w:rPr>
          <w:rFonts w:hint="eastAsia" w:ascii="仿宋" w:hAnsi="仿宋" w:eastAsia="仿宋" w:cs="仿宋"/>
          <w:color w:val="auto"/>
          <w:sz w:val="18"/>
          <w:szCs w:val="18"/>
          <w:highlight w:val="none"/>
        </w:rPr>
      </w:pPr>
      <w:bookmarkStart w:id="6" w:name="OLE_LINK105"/>
      <w:bookmarkStart w:id="7" w:name="OLE_LINK104"/>
      <w:r>
        <w:rPr>
          <w:rFonts w:hint="eastAsia" w:ascii="仿宋" w:hAnsi="仿宋" w:eastAsia="仿宋" w:cs="仿宋"/>
          <w:color w:val="auto"/>
          <w:sz w:val="18"/>
          <w:szCs w:val="18"/>
          <w:highlight w:val="none"/>
        </w:rPr>
        <w:t>1.“类似工程”指营运高速公路交通安全设施养护维修工程或包含有交通安全设施养护维修内容的高速公路养护维修工程。</w:t>
      </w:r>
    </w:p>
    <w:bookmarkEnd w:id="6"/>
    <w:bookmarkEnd w:id="7"/>
    <w:p>
      <w:pPr>
        <w:widowControl/>
        <w:spacing w:before="120" w:beforeLines="50" w:line="360" w:lineRule="auto"/>
        <w:ind w:firstLine="360" w:firstLineChars="200"/>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2.发包人有权根据工程特点、工程量及工程进度情况要求增加相应的人员，投标人不得向发包人要求增加任何相关费用。</w:t>
      </w:r>
    </w:p>
    <w:p>
      <w:pPr>
        <w:widowControl/>
        <w:spacing w:before="120" w:beforeLines="50" w:line="360" w:lineRule="auto"/>
        <w:ind w:left="893" w:leftChars="425"/>
        <w:rPr>
          <w:rFonts w:hint="eastAsia" w:ascii="仿宋" w:hAnsi="仿宋" w:eastAsia="仿宋" w:cs="仿宋"/>
          <w:color w:val="auto"/>
          <w:sz w:val="18"/>
          <w:szCs w:val="18"/>
          <w:highlight w:val="none"/>
        </w:rPr>
      </w:pPr>
    </w:p>
    <w:p>
      <w:pPr>
        <w:pStyle w:val="12"/>
        <w:topLinePunct/>
        <w:spacing w:before="120" w:beforeLines="50" w:line="360" w:lineRule="auto"/>
        <w:jc w:val="center"/>
        <w:rPr>
          <w:rFonts w:hint="eastAsia" w:ascii="仿宋" w:hAnsi="仿宋" w:eastAsia="仿宋" w:cs="仿宋"/>
          <w:b/>
          <w:bCs/>
          <w:color w:val="auto"/>
          <w:sz w:val="28"/>
          <w:szCs w:val="28"/>
          <w:highlight w:val="none"/>
        </w:rPr>
      </w:pPr>
    </w:p>
    <w:p>
      <w:pPr>
        <w:pStyle w:val="12"/>
        <w:topLinePunct/>
        <w:spacing w:before="120" w:beforeLines="50" w:line="360" w:lineRule="auto"/>
        <w:jc w:val="center"/>
        <w:rPr>
          <w:rFonts w:hint="eastAsia" w:ascii="仿宋" w:hAnsi="仿宋" w:eastAsia="仿宋" w:cs="仿宋"/>
          <w:b/>
          <w:bCs/>
          <w:color w:val="auto"/>
          <w:sz w:val="28"/>
          <w:szCs w:val="28"/>
          <w:highlight w:val="none"/>
        </w:rPr>
      </w:pPr>
    </w:p>
    <w:p>
      <w:pPr>
        <w:pStyle w:val="12"/>
        <w:topLinePunct/>
        <w:spacing w:before="120" w:beforeLines="5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pPr>
        <w:snapToGrid w:val="0"/>
        <w:spacing w:line="360" w:lineRule="auto"/>
        <w:jc w:val="center"/>
        <w:outlineLvl w:val="1"/>
        <w:rPr>
          <w:rStyle w:val="13"/>
          <w:rFonts w:hint="eastAsia" w:ascii="仿宋" w:hAnsi="仿宋" w:eastAsia="仿宋" w:cs="仿宋"/>
          <w:color w:val="auto"/>
          <w:highlight w:val="none"/>
        </w:rPr>
      </w:pPr>
      <w:r>
        <w:rPr>
          <w:rStyle w:val="13"/>
          <w:rFonts w:hint="eastAsia" w:ascii="仿宋" w:hAnsi="仿宋" w:eastAsia="仿宋" w:cs="仿宋"/>
          <w:color w:val="auto"/>
          <w:highlight w:val="none"/>
        </w:rPr>
        <w:t>附录7-1 资格审查条件</w:t>
      </w:r>
      <w:r>
        <w:rPr>
          <w:rFonts w:hint="eastAsia" w:ascii="仿宋" w:hAnsi="仿宋" w:eastAsia="仿宋" w:cs="仿宋"/>
          <w:b/>
          <w:bCs/>
          <w:color w:val="auto"/>
          <w:sz w:val="28"/>
          <w:szCs w:val="28"/>
          <w:highlight w:val="none"/>
        </w:rPr>
        <w:t>（主要机械设备配备最低要求）</w:t>
      </w:r>
    </w:p>
    <w:tbl>
      <w:tblPr>
        <w:tblStyle w:val="9"/>
        <w:tblW w:w="943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182"/>
        <w:gridCol w:w="1984"/>
        <w:gridCol w:w="709"/>
        <w:gridCol w:w="1134"/>
        <w:gridCol w:w="113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51" w:type="dxa"/>
            <w:vMerge w:val="restart"/>
            <w:noWrap w:val="0"/>
            <w:vAlign w:val="center"/>
          </w:tcPr>
          <w:p>
            <w:pPr>
              <w:spacing w:line="360" w:lineRule="auto"/>
              <w:jc w:val="center"/>
              <w:outlineLvl w:val="1"/>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序号</w:t>
            </w:r>
          </w:p>
        </w:tc>
        <w:tc>
          <w:tcPr>
            <w:tcW w:w="2182" w:type="dxa"/>
            <w:vMerge w:val="restart"/>
            <w:noWrap w:val="0"/>
            <w:vAlign w:val="center"/>
          </w:tcPr>
          <w:p>
            <w:pPr>
              <w:spacing w:line="360" w:lineRule="auto"/>
              <w:jc w:val="center"/>
              <w:outlineLvl w:val="1"/>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名称</w:t>
            </w:r>
          </w:p>
        </w:tc>
        <w:tc>
          <w:tcPr>
            <w:tcW w:w="1984" w:type="dxa"/>
            <w:vMerge w:val="restart"/>
            <w:noWrap w:val="0"/>
            <w:vAlign w:val="center"/>
          </w:tcPr>
          <w:p>
            <w:pPr>
              <w:spacing w:line="360" w:lineRule="auto"/>
              <w:jc w:val="center"/>
              <w:outlineLvl w:val="1"/>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设备要求</w:t>
            </w:r>
          </w:p>
        </w:tc>
        <w:tc>
          <w:tcPr>
            <w:tcW w:w="709" w:type="dxa"/>
            <w:vMerge w:val="restart"/>
            <w:noWrap w:val="0"/>
            <w:vAlign w:val="center"/>
          </w:tcPr>
          <w:p>
            <w:pPr>
              <w:spacing w:line="360" w:lineRule="auto"/>
              <w:jc w:val="center"/>
              <w:outlineLvl w:val="1"/>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单位</w:t>
            </w:r>
          </w:p>
        </w:tc>
        <w:tc>
          <w:tcPr>
            <w:tcW w:w="2268" w:type="dxa"/>
            <w:gridSpan w:val="2"/>
            <w:noWrap w:val="0"/>
            <w:vAlign w:val="center"/>
          </w:tcPr>
          <w:p>
            <w:pPr>
              <w:spacing w:line="360" w:lineRule="auto"/>
              <w:jc w:val="center"/>
              <w:outlineLvl w:val="1"/>
              <w:rPr>
                <w:rFonts w:hint="eastAsia" w:ascii="仿宋" w:hAnsi="仿宋" w:eastAsia="仿宋" w:cs="仿宋"/>
                <w:color w:val="auto"/>
                <w:sz w:val="18"/>
                <w:szCs w:val="18"/>
                <w:highlight w:val="none"/>
              </w:rPr>
            </w:pPr>
            <w:r>
              <w:rPr>
                <w:rFonts w:hint="eastAsia" w:ascii="仿宋" w:hAnsi="仿宋" w:eastAsia="仿宋" w:cs="仿宋"/>
                <w:color w:val="auto"/>
                <w:szCs w:val="21"/>
                <w:highlight w:val="none"/>
              </w:rPr>
              <w:t>标段最低数量要求</w:t>
            </w:r>
          </w:p>
        </w:tc>
        <w:tc>
          <w:tcPr>
            <w:tcW w:w="1843" w:type="dxa"/>
            <w:vMerge w:val="restart"/>
            <w:noWrap w:val="0"/>
            <w:vAlign w:val="center"/>
          </w:tcPr>
          <w:p>
            <w:pPr>
              <w:spacing w:line="360" w:lineRule="auto"/>
              <w:jc w:val="center"/>
              <w:outlineLvl w:val="1"/>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51" w:type="dxa"/>
            <w:vMerge w:val="continue"/>
            <w:noWrap w:val="0"/>
            <w:vAlign w:val="center"/>
          </w:tcPr>
          <w:p>
            <w:pPr>
              <w:spacing w:line="360" w:lineRule="auto"/>
              <w:jc w:val="center"/>
              <w:outlineLvl w:val="1"/>
              <w:rPr>
                <w:rFonts w:hint="eastAsia" w:ascii="仿宋" w:hAnsi="仿宋" w:eastAsia="仿宋" w:cs="仿宋"/>
                <w:color w:val="auto"/>
                <w:sz w:val="18"/>
                <w:szCs w:val="18"/>
                <w:highlight w:val="none"/>
              </w:rPr>
            </w:pPr>
          </w:p>
        </w:tc>
        <w:tc>
          <w:tcPr>
            <w:tcW w:w="2182" w:type="dxa"/>
            <w:vMerge w:val="continue"/>
            <w:noWrap w:val="0"/>
            <w:vAlign w:val="center"/>
          </w:tcPr>
          <w:p>
            <w:pPr>
              <w:spacing w:line="360" w:lineRule="auto"/>
              <w:jc w:val="center"/>
              <w:outlineLvl w:val="1"/>
              <w:rPr>
                <w:rFonts w:hint="eastAsia" w:ascii="仿宋" w:hAnsi="仿宋" w:eastAsia="仿宋" w:cs="仿宋"/>
                <w:color w:val="auto"/>
                <w:sz w:val="18"/>
                <w:szCs w:val="18"/>
                <w:highlight w:val="none"/>
              </w:rPr>
            </w:pPr>
          </w:p>
        </w:tc>
        <w:tc>
          <w:tcPr>
            <w:tcW w:w="1984" w:type="dxa"/>
            <w:vMerge w:val="continue"/>
            <w:noWrap w:val="0"/>
            <w:vAlign w:val="center"/>
          </w:tcPr>
          <w:p>
            <w:pPr>
              <w:spacing w:line="360" w:lineRule="auto"/>
              <w:jc w:val="center"/>
              <w:outlineLvl w:val="1"/>
              <w:rPr>
                <w:rFonts w:hint="eastAsia" w:ascii="仿宋" w:hAnsi="仿宋" w:eastAsia="仿宋" w:cs="仿宋"/>
                <w:color w:val="auto"/>
                <w:sz w:val="18"/>
                <w:szCs w:val="18"/>
                <w:highlight w:val="none"/>
              </w:rPr>
            </w:pPr>
          </w:p>
        </w:tc>
        <w:tc>
          <w:tcPr>
            <w:tcW w:w="709" w:type="dxa"/>
            <w:vMerge w:val="continue"/>
            <w:noWrap w:val="0"/>
            <w:vAlign w:val="center"/>
          </w:tcPr>
          <w:p>
            <w:pPr>
              <w:spacing w:line="360" w:lineRule="auto"/>
              <w:jc w:val="center"/>
              <w:outlineLvl w:val="1"/>
              <w:rPr>
                <w:rFonts w:hint="eastAsia" w:ascii="仿宋" w:hAnsi="仿宋" w:eastAsia="仿宋" w:cs="仿宋"/>
                <w:color w:val="auto"/>
                <w:sz w:val="18"/>
                <w:szCs w:val="18"/>
                <w:highlight w:val="none"/>
              </w:rPr>
            </w:pPr>
          </w:p>
        </w:tc>
        <w:tc>
          <w:tcPr>
            <w:tcW w:w="1134" w:type="dxa"/>
            <w:noWrap w:val="0"/>
            <w:vAlign w:val="center"/>
          </w:tcPr>
          <w:p>
            <w:pPr>
              <w:autoSpaceDN w:val="0"/>
              <w:spacing w:line="360" w:lineRule="auto"/>
              <w:jc w:val="center"/>
              <w:textAlignment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1标</w:t>
            </w:r>
          </w:p>
        </w:tc>
        <w:tc>
          <w:tcPr>
            <w:tcW w:w="1134" w:type="dxa"/>
            <w:noWrap w:val="0"/>
            <w:vAlign w:val="center"/>
          </w:tcPr>
          <w:p>
            <w:pPr>
              <w:spacing w:line="360" w:lineRule="auto"/>
              <w:jc w:val="center"/>
              <w:outlineLvl w:val="1"/>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2标</w:t>
            </w:r>
          </w:p>
        </w:tc>
        <w:tc>
          <w:tcPr>
            <w:tcW w:w="1843" w:type="dxa"/>
            <w:vMerge w:val="continue"/>
            <w:noWrap w:val="0"/>
            <w:vAlign w:val="center"/>
          </w:tcPr>
          <w:p>
            <w:pPr>
              <w:spacing w:line="360" w:lineRule="auto"/>
              <w:jc w:val="center"/>
              <w:outlineLvl w:val="1"/>
              <w:rPr>
                <w:rFonts w:hint="eastAsia" w:ascii="仿宋" w:hAnsi="仿宋" w:eastAsia="仿宋" w:cs="仿宋"/>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2182"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底油机</w:t>
            </w:r>
          </w:p>
        </w:tc>
        <w:tc>
          <w:tcPr>
            <w:tcW w:w="1984"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w:t>
            </w:r>
          </w:p>
        </w:tc>
        <w:tc>
          <w:tcPr>
            <w:tcW w:w="1134" w:type="dxa"/>
            <w:noWrap w:val="0"/>
            <w:vAlign w:val="center"/>
          </w:tcPr>
          <w:p>
            <w:pPr>
              <w:autoSpaceDN w:val="0"/>
              <w:spacing w:line="360" w:lineRule="auto"/>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2182" w:type="dxa"/>
            <w:noWrap w:val="0"/>
            <w:vAlign w:val="center"/>
          </w:tcPr>
          <w:p>
            <w:pPr>
              <w:pStyle w:val="7"/>
              <w:spacing w:line="360" w:lineRule="auto"/>
              <w:jc w:val="center"/>
              <w:rPr>
                <w:rFonts w:hint="eastAsia" w:ascii="仿宋" w:hAnsi="仿宋" w:eastAsia="仿宋" w:cs="仿宋"/>
                <w:color w:val="auto"/>
                <w:sz w:val="20"/>
                <w:highlight w:val="none"/>
              </w:rPr>
            </w:pPr>
            <w:r>
              <w:rPr>
                <w:rFonts w:hint="eastAsia" w:ascii="仿宋" w:hAnsi="仿宋" w:eastAsia="仿宋" w:cs="仿宋"/>
                <w:color w:val="auto"/>
                <w:sz w:val="20"/>
                <w:highlight w:val="none"/>
              </w:rPr>
              <w:t>热熔釜</w:t>
            </w:r>
          </w:p>
        </w:tc>
        <w:tc>
          <w:tcPr>
            <w:tcW w:w="1984" w:type="dxa"/>
            <w:noWrap w:val="0"/>
            <w:vAlign w:val="center"/>
          </w:tcPr>
          <w:p>
            <w:pPr>
              <w:pStyle w:val="7"/>
              <w:spacing w:line="360" w:lineRule="auto"/>
              <w:jc w:val="center"/>
              <w:rPr>
                <w:rFonts w:hint="eastAsia" w:ascii="仿宋" w:hAnsi="仿宋" w:eastAsia="仿宋" w:cs="仿宋"/>
                <w:color w:val="auto"/>
                <w:sz w:val="20"/>
                <w:highlight w:val="none"/>
              </w:rPr>
            </w:pPr>
          </w:p>
        </w:tc>
        <w:tc>
          <w:tcPr>
            <w:tcW w:w="709" w:type="dxa"/>
            <w:noWrap w:val="0"/>
            <w:vAlign w:val="center"/>
          </w:tcPr>
          <w:p>
            <w:pPr>
              <w:pStyle w:val="7"/>
              <w:spacing w:line="360" w:lineRule="auto"/>
              <w:jc w:val="center"/>
              <w:rPr>
                <w:rFonts w:hint="eastAsia" w:ascii="仿宋" w:hAnsi="仿宋" w:eastAsia="仿宋" w:cs="仿宋"/>
                <w:color w:val="auto"/>
                <w:sz w:val="20"/>
                <w:highlight w:val="none"/>
              </w:rPr>
            </w:pPr>
            <w:r>
              <w:rPr>
                <w:rFonts w:hint="eastAsia" w:ascii="仿宋" w:hAnsi="仿宋" w:eastAsia="仿宋" w:cs="仿宋"/>
                <w:color w:val="auto"/>
                <w:sz w:val="20"/>
                <w:highlight w:val="none"/>
              </w:rPr>
              <w:t>台</w:t>
            </w:r>
          </w:p>
        </w:tc>
        <w:tc>
          <w:tcPr>
            <w:tcW w:w="1134" w:type="dxa"/>
            <w:noWrap w:val="0"/>
            <w:vAlign w:val="center"/>
          </w:tcPr>
          <w:p>
            <w:pPr>
              <w:autoSpaceDN w:val="0"/>
              <w:spacing w:line="360" w:lineRule="auto"/>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划线机</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手推车</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辆</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汽车式起重机</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10T</w:t>
            </w: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辆</w:t>
            </w:r>
          </w:p>
        </w:tc>
        <w:tc>
          <w:tcPr>
            <w:tcW w:w="1134" w:type="dxa"/>
            <w:noWrap w:val="0"/>
            <w:vAlign w:val="center"/>
          </w:tcPr>
          <w:p>
            <w:pPr>
              <w:autoSpaceDN w:val="0"/>
              <w:spacing w:line="360" w:lineRule="auto"/>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发电机</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75KW以上</w:t>
            </w: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w:t>
            </w:r>
          </w:p>
        </w:tc>
        <w:tc>
          <w:tcPr>
            <w:tcW w:w="1134" w:type="dxa"/>
            <w:noWrap w:val="0"/>
            <w:vAlign w:val="center"/>
          </w:tcPr>
          <w:p>
            <w:pPr>
              <w:autoSpaceDN w:val="0"/>
              <w:spacing w:line="360" w:lineRule="auto"/>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电焊机</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30Kva以上</w:t>
            </w: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高空作业车</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辆</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打桩机</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10</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钻孔机</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r>
              <w:rPr>
                <w:rFonts w:hint="eastAsia" w:ascii="仿宋" w:hAnsi="仿宋" w:eastAsia="仿宋" w:cs="仿宋"/>
                <w:color w:val="auto"/>
                <w:sz w:val="20"/>
                <w:szCs w:val="20"/>
                <w:highlight w:val="none"/>
                <w:lang w:eastAsia="zh-CN"/>
              </w:rPr>
              <w:t>1</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千分尺</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r>
              <w:rPr>
                <w:rFonts w:hint="eastAsia" w:ascii="仿宋" w:hAnsi="仿宋" w:eastAsia="仿宋" w:cs="仿宋"/>
                <w:color w:val="auto"/>
                <w:sz w:val="20"/>
                <w:szCs w:val="20"/>
                <w:highlight w:val="none"/>
                <w:lang w:eastAsia="zh-CN"/>
              </w:rPr>
              <w:t>2</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涂层测厚仪</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13</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防撞车</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辆</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14</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逆反系数测定仪</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r>
              <w:rPr>
                <w:rFonts w:hint="eastAsia" w:ascii="仿宋" w:hAnsi="仿宋" w:eastAsia="仿宋" w:cs="仿宋"/>
                <w:color w:val="auto"/>
                <w:sz w:val="20"/>
                <w:szCs w:val="20"/>
                <w:highlight w:val="none"/>
                <w:lang w:eastAsia="zh-CN"/>
              </w:rPr>
              <w:t>5</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载重汽车</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辆</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16</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除线机</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r>
              <w:rPr>
                <w:rFonts w:hint="eastAsia" w:ascii="仿宋" w:hAnsi="仿宋" w:eastAsia="仿宋" w:cs="仿宋"/>
                <w:color w:val="auto"/>
                <w:sz w:val="20"/>
                <w:szCs w:val="20"/>
                <w:highlight w:val="none"/>
                <w:lang w:eastAsia="zh-CN"/>
              </w:rPr>
              <w:t>7</w:t>
            </w:r>
          </w:p>
        </w:tc>
        <w:tc>
          <w:tcPr>
            <w:tcW w:w="2182"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鼓风机</w:t>
            </w:r>
          </w:p>
        </w:tc>
        <w:tc>
          <w:tcPr>
            <w:tcW w:w="1984" w:type="dxa"/>
            <w:noWrap w:val="0"/>
            <w:vAlign w:val="center"/>
          </w:tcPr>
          <w:p>
            <w:pPr>
              <w:spacing w:line="360" w:lineRule="auto"/>
              <w:jc w:val="center"/>
              <w:rPr>
                <w:rFonts w:hint="eastAsia" w:ascii="仿宋" w:hAnsi="仿宋" w:eastAsia="仿宋" w:cs="仿宋"/>
                <w:color w:val="auto"/>
                <w:sz w:val="20"/>
                <w:szCs w:val="20"/>
                <w:highlight w:val="none"/>
              </w:rPr>
            </w:pPr>
          </w:p>
        </w:tc>
        <w:tc>
          <w:tcPr>
            <w:tcW w:w="709"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w:t>
            </w:r>
          </w:p>
        </w:tc>
        <w:tc>
          <w:tcPr>
            <w:tcW w:w="1134" w:type="dxa"/>
            <w:noWrap w:val="0"/>
            <w:vAlign w:val="center"/>
          </w:tcPr>
          <w:p>
            <w:pPr>
              <w:spacing w:line="360"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134" w:type="dxa"/>
            <w:noWrap w:val="0"/>
            <w:vAlign w:val="center"/>
          </w:tcPr>
          <w:p>
            <w:pPr>
              <w:spacing w:line="360" w:lineRule="auto"/>
              <w:jc w:val="center"/>
              <w:outlineLvl w:val="1"/>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3" w:type="dxa"/>
            <w:noWrap w:val="0"/>
            <w:vAlign w:val="center"/>
          </w:tcPr>
          <w:p>
            <w:pPr>
              <w:spacing w:line="360" w:lineRule="auto"/>
              <w:jc w:val="center"/>
              <w:outlineLvl w:val="1"/>
              <w:rPr>
                <w:rFonts w:hint="eastAsia" w:ascii="仿宋" w:hAnsi="仿宋" w:eastAsia="仿宋" w:cs="仿宋"/>
                <w:color w:val="auto"/>
                <w:sz w:val="20"/>
                <w:szCs w:val="20"/>
                <w:highlight w:val="none"/>
              </w:rPr>
            </w:pPr>
          </w:p>
        </w:tc>
      </w:tr>
    </w:tbl>
    <w:p>
      <w:pPr>
        <w:rPr>
          <w:rFonts w:hint="eastAsia" w:ascii="仿宋" w:hAnsi="仿宋" w:eastAsia="仿宋" w:cs="仿宋"/>
          <w:color w:val="auto"/>
          <w:sz w:val="18"/>
          <w:szCs w:val="18"/>
          <w:highlight w:val="none"/>
        </w:rPr>
      </w:pPr>
      <w:bookmarkStart w:id="8" w:name="_Toc452533300"/>
      <w:bookmarkStart w:id="9" w:name="_Toc15108"/>
      <w:bookmarkStart w:id="10" w:name="_Toc32429"/>
    </w:p>
    <w:p>
      <w:pP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注：</w:t>
      </w:r>
    </w:p>
    <w:p>
      <w:pPr>
        <w:spacing w:before="120" w:beforeLines="50" w:line="360" w:lineRule="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 xml:space="preserve">   1、投标人应保证机械设备可以正常使用。</w:t>
      </w:r>
    </w:p>
    <w:p>
      <w:pPr>
        <w:spacing w:before="120" w:beforeLines="50" w:line="360" w:lineRule="auto"/>
        <w:jc w:val="left"/>
        <w:rPr>
          <w:rFonts w:hint="eastAsia" w:ascii="仿宋" w:hAnsi="仿宋" w:eastAsia="仿宋" w:cs="仿宋"/>
          <w:color w:val="auto"/>
          <w:szCs w:val="21"/>
          <w:highlight w:val="none"/>
        </w:rPr>
      </w:pPr>
      <w:r>
        <w:rPr>
          <w:rFonts w:hint="eastAsia" w:ascii="仿宋" w:hAnsi="仿宋" w:eastAsia="仿宋" w:cs="仿宋"/>
          <w:color w:val="auto"/>
          <w:sz w:val="18"/>
          <w:szCs w:val="18"/>
          <w:highlight w:val="none"/>
        </w:rPr>
        <w:t xml:space="preserve">   2、发包人有权根据工程特点、工程量及工程进度情况要求增加相应的施工设备，投标人不得向发包人要求增加任何相关费用。</w:t>
      </w:r>
    </w:p>
    <w:p>
      <w:pPr>
        <w:spacing w:before="120" w:beforeLines="50" w:line="360" w:lineRule="auto"/>
        <w:jc w:val="center"/>
        <w:rPr>
          <w:rFonts w:hint="eastAsia" w:ascii="仿宋" w:hAnsi="仿宋" w:eastAsia="仿宋" w:cs="仿宋"/>
          <w:color w:val="auto"/>
          <w:szCs w:val="21"/>
          <w:highlight w:val="none"/>
        </w:rPr>
      </w:pPr>
    </w:p>
    <w:p>
      <w:pPr>
        <w:spacing w:before="120" w:beforeLines="50" w:line="360" w:lineRule="auto"/>
        <w:jc w:val="center"/>
        <w:rPr>
          <w:rFonts w:hint="eastAsia" w:ascii="仿宋" w:hAnsi="仿宋" w:eastAsia="仿宋" w:cs="仿宋"/>
          <w:color w:val="auto"/>
          <w:szCs w:val="21"/>
          <w:highlight w:val="none"/>
        </w:rPr>
      </w:pPr>
    </w:p>
    <w:p>
      <w:pPr>
        <w:spacing w:before="120" w:beforeLines="50" w:line="360" w:lineRule="auto"/>
        <w:jc w:val="center"/>
        <w:rPr>
          <w:rFonts w:hint="eastAsia" w:ascii="仿宋" w:hAnsi="仿宋" w:eastAsia="仿宋" w:cs="仿宋"/>
          <w:color w:val="auto"/>
          <w:szCs w:val="21"/>
          <w:highlight w:val="none"/>
        </w:rPr>
      </w:pPr>
    </w:p>
    <w:bookmarkEnd w:id="8"/>
    <w:bookmarkEnd w:id="9"/>
    <w:bookmarkEnd w:id="10"/>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8"/>
        <w:spacing w:before="120" w:beforeLines="50" w:after="0" w:line="360" w:lineRule="auto"/>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br w:type="page"/>
      </w:r>
    </w:p>
    <w:p>
      <w:pPr>
        <w:pStyle w:val="8"/>
        <w:spacing w:before="120" w:beforeLines="50" w:after="0" w:line="360" w:lineRule="auto"/>
        <w:rPr>
          <w:rFonts w:hint="eastAsia" w:ascii="仿宋" w:hAnsi="仿宋" w:eastAsia="仿宋" w:cs="仿宋"/>
          <w:bCs/>
          <w:color w:val="auto"/>
          <w:sz w:val="36"/>
          <w:szCs w:val="36"/>
          <w:highlight w:val="none"/>
        </w:rPr>
      </w:pPr>
    </w:p>
    <w:p>
      <w:pPr>
        <w:pStyle w:val="8"/>
        <w:spacing w:before="120" w:beforeLines="50" w:after="0" w:line="360" w:lineRule="auto"/>
        <w:rPr>
          <w:rFonts w:hint="eastAsia" w:ascii="仿宋" w:hAnsi="仿宋" w:eastAsia="仿宋" w:cs="仿宋"/>
          <w:bCs/>
          <w:color w:val="auto"/>
          <w:sz w:val="36"/>
          <w:szCs w:val="36"/>
          <w:highlight w:val="none"/>
        </w:rPr>
      </w:pPr>
    </w:p>
    <w:p>
      <w:pPr>
        <w:pStyle w:val="8"/>
        <w:spacing w:before="120" w:beforeLines="50" w:after="0" w:line="360" w:lineRule="auto"/>
        <w:rPr>
          <w:rFonts w:hint="eastAsia" w:ascii="仿宋" w:hAnsi="仿宋" w:eastAsia="仿宋" w:cs="仿宋"/>
          <w:bCs/>
          <w:color w:val="auto"/>
          <w:sz w:val="36"/>
          <w:szCs w:val="36"/>
          <w:highlight w:val="none"/>
        </w:rPr>
      </w:pPr>
    </w:p>
    <w:p>
      <w:pPr>
        <w:pStyle w:val="8"/>
        <w:spacing w:before="120" w:beforeLines="50" w:after="0" w:line="360" w:lineRule="auto"/>
        <w:rPr>
          <w:rFonts w:hint="eastAsia" w:ascii="仿宋" w:hAnsi="仿宋" w:eastAsia="仿宋" w:cs="仿宋"/>
          <w:bCs/>
          <w:color w:val="auto"/>
          <w:sz w:val="36"/>
          <w:szCs w:val="36"/>
          <w:highlight w:val="none"/>
        </w:rPr>
      </w:pPr>
    </w:p>
    <w:p>
      <w:pPr>
        <w:pStyle w:val="8"/>
        <w:spacing w:before="120" w:beforeLines="50" w:after="0" w:line="360" w:lineRule="auto"/>
        <w:rPr>
          <w:rFonts w:hint="eastAsia" w:ascii="仿宋" w:hAnsi="仿宋" w:eastAsia="仿宋" w:cs="仿宋"/>
          <w:bCs/>
          <w:color w:val="auto"/>
          <w:sz w:val="36"/>
          <w:szCs w:val="36"/>
          <w:highlight w:val="none"/>
        </w:rPr>
      </w:pPr>
    </w:p>
    <w:p>
      <w:pPr>
        <w:pStyle w:val="8"/>
        <w:spacing w:before="120" w:beforeLines="50" w:after="0" w:line="360" w:lineRule="auto"/>
        <w:rPr>
          <w:rFonts w:hint="eastAsia" w:ascii="仿宋" w:hAnsi="仿宋" w:eastAsia="仿宋" w:cs="仿宋"/>
          <w:bCs/>
          <w:color w:val="auto"/>
          <w:sz w:val="36"/>
          <w:szCs w:val="36"/>
          <w:highlight w:val="none"/>
        </w:rPr>
      </w:pPr>
    </w:p>
    <w:p>
      <w:pPr>
        <w:pStyle w:val="8"/>
        <w:spacing w:before="120" w:beforeLines="50" w:after="0" w:line="360" w:lineRule="auto"/>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第三章  评标办法</w:t>
      </w:r>
    </w:p>
    <w:p>
      <w:pPr>
        <w:pStyle w:val="14"/>
        <w:shd w:val="clear" w:color="auto" w:fill="auto"/>
        <w:spacing w:before="120" w:beforeLines="50" w:after="0" w:line="360" w:lineRule="auto"/>
        <w:ind w:firstLine="220"/>
        <w:rPr>
          <w:rStyle w:val="15"/>
          <w:rFonts w:hint="eastAsia" w:ascii="仿宋" w:hAnsi="仿宋" w:eastAsia="仿宋" w:cs="仿宋"/>
          <w:color w:val="auto"/>
          <w:highlight w:val="none"/>
        </w:rPr>
      </w:pPr>
      <w:r>
        <w:rPr>
          <w:rFonts w:hint="eastAsia" w:ascii="仿宋" w:hAnsi="仿宋" w:eastAsia="仿宋" w:cs="仿宋"/>
          <w:color w:val="auto"/>
          <w:sz w:val="36"/>
          <w:szCs w:val="36"/>
          <w:highlight w:val="none"/>
        </w:rPr>
        <w:br w:type="page"/>
      </w:r>
      <w:r>
        <w:rPr>
          <w:rStyle w:val="15"/>
          <w:rFonts w:hint="eastAsia" w:ascii="仿宋" w:hAnsi="仿宋" w:eastAsia="仿宋" w:cs="仿宋"/>
          <w:color w:val="auto"/>
          <w:highlight w:val="none"/>
        </w:rPr>
        <w:t>第三章评标办法（双信封的综合评分法）</w:t>
      </w:r>
    </w:p>
    <w:p>
      <w:pPr>
        <w:pStyle w:val="16"/>
        <w:shd w:val="clear" w:color="auto" w:fill="auto"/>
        <w:spacing w:before="120" w:beforeLines="50" w:line="360" w:lineRule="auto"/>
        <w:rPr>
          <w:rFonts w:hint="eastAsia" w:ascii="仿宋" w:hAnsi="仿宋" w:eastAsia="仿宋" w:cs="仿宋"/>
          <w:b w:val="0"/>
          <w:color w:val="auto"/>
          <w:highlight w:val="none"/>
        </w:rPr>
      </w:pPr>
      <w:r>
        <w:rPr>
          <w:rStyle w:val="17"/>
          <w:rFonts w:hint="eastAsia" w:ascii="仿宋" w:hAnsi="仿宋" w:eastAsia="仿宋" w:cs="仿宋"/>
          <w:b/>
          <w:bCs w:val="0"/>
          <w:color w:val="auto"/>
          <w:highlight w:val="none"/>
        </w:rPr>
        <w:t>评标办法前附表</w:t>
      </w:r>
    </w:p>
    <w:tbl>
      <w:tblPr>
        <w:tblStyle w:val="9"/>
        <w:tblW w:w="9305"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1251"/>
        <w:gridCol w:w="7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76" w:type="dxa"/>
            <w:gridSpan w:val="2"/>
            <w:tcBorders>
              <w:right w:val="single" w:color="000000" w:sz="6" w:space="0"/>
            </w:tcBorders>
            <w:noWrap w:val="0"/>
            <w:vAlign w:val="top"/>
          </w:tcPr>
          <w:p>
            <w:pPr>
              <w:pStyle w:val="18"/>
              <w:spacing w:before="120" w:beforeLines="50" w:line="240" w:lineRule="atLeast"/>
              <w:ind w:right="788" w:firstLine="517"/>
              <w:rPr>
                <w:rFonts w:hint="eastAsia" w:ascii="仿宋" w:hAnsi="仿宋" w:eastAsia="仿宋" w:cs="仿宋"/>
                <w:b/>
                <w:color w:val="auto"/>
                <w:sz w:val="21"/>
                <w:highlight w:val="none"/>
              </w:rPr>
            </w:pPr>
            <w:r>
              <w:rPr>
                <w:rFonts w:hint="eastAsia" w:ascii="仿宋" w:hAnsi="仿宋" w:eastAsia="仿宋" w:cs="仿宋"/>
                <w:b/>
                <w:color w:val="auto"/>
                <w:sz w:val="21"/>
                <w:highlight w:val="none"/>
              </w:rPr>
              <w:t>条款号</w:t>
            </w:r>
          </w:p>
        </w:tc>
        <w:tc>
          <w:tcPr>
            <w:tcW w:w="7229" w:type="dxa"/>
            <w:tcBorders>
              <w:left w:val="single" w:color="000000" w:sz="6" w:space="0"/>
            </w:tcBorders>
            <w:noWrap w:val="0"/>
            <w:vAlign w:val="top"/>
          </w:tcPr>
          <w:p>
            <w:pPr>
              <w:pStyle w:val="18"/>
              <w:spacing w:before="120" w:beforeLines="50" w:line="240" w:lineRule="atLeast"/>
              <w:ind w:left="2335" w:right="234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2" w:hRule="atLeast"/>
        </w:trPr>
        <w:tc>
          <w:tcPr>
            <w:tcW w:w="825" w:type="dxa"/>
            <w:noWrap w:val="0"/>
            <w:vAlign w:val="top"/>
          </w:tcPr>
          <w:p>
            <w:pPr>
              <w:pStyle w:val="18"/>
              <w:spacing w:before="120" w:beforeLines="50" w:line="240" w:lineRule="atLeast"/>
              <w:rPr>
                <w:rFonts w:hint="eastAsia" w:ascii="仿宋" w:hAnsi="仿宋" w:eastAsia="仿宋" w:cs="仿宋"/>
                <w:b/>
                <w:color w:val="auto"/>
                <w:highlight w:val="none"/>
              </w:rPr>
            </w:pPr>
          </w:p>
          <w:p>
            <w:pPr>
              <w:pStyle w:val="18"/>
              <w:spacing w:before="120" w:beforeLines="50" w:line="240" w:lineRule="atLeast"/>
              <w:rPr>
                <w:rFonts w:hint="eastAsia" w:ascii="仿宋" w:hAnsi="仿宋" w:eastAsia="仿宋" w:cs="仿宋"/>
                <w:b/>
                <w:color w:val="auto"/>
                <w:highlight w:val="none"/>
              </w:rPr>
            </w:pPr>
          </w:p>
          <w:p>
            <w:pPr>
              <w:pStyle w:val="18"/>
              <w:spacing w:before="120" w:beforeLines="50" w:line="240" w:lineRule="atLeast"/>
              <w:rPr>
                <w:rFonts w:hint="eastAsia" w:ascii="仿宋" w:hAnsi="仿宋" w:eastAsia="仿宋" w:cs="仿宋"/>
                <w:b/>
                <w:color w:val="auto"/>
                <w:highlight w:val="none"/>
              </w:rPr>
            </w:pPr>
          </w:p>
          <w:p>
            <w:pPr>
              <w:pStyle w:val="18"/>
              <w:spacing w:before="120" w:beforeLines="50" w:line="240" w:lineRule="atLeast"/>
              <w:rPr>
                <w:rFonts w:hint="eastAsia" w:ascii="仿宋" w:hAnsi="仿宋" w:eastAsia="仿宋" w:cs="仿宋"/>
                <w:b/>
                <w:color w:val="auto"/>
                <w:sz w:val="28"/>
                <w:highlight w:val="none"/>
              </w:rPr>
            </w:pPr>
          </w:p>
          <w:p>
            <w:pPr>
              <w:pStyle w:val="18"/>
              <w:spacing w:before="120" w:beforeLines="50" w:line="240" w:lineRule="atLeast"/>
              <w:ind w:left="9"/>
              <w:jc w:val="center"/>
              <w:rPr>
                <w:rFonts w:hint="eastAsia" w:ascii="仿宋" w:hAnsi="仿宋" w:eastAsia="仿宋" w:cs="仿宋"/>
                <w:color w:val="auto"/>
                <w:sz w:val="21"/>
                <w:highlight w:val="none"/>
              </w:rPr>
            </w:pPr>
            <w:r>
              <w:rPr>
                <w:rFonts w:hint="eastAsia" w:ascii="仿宋" w:hAnsi="仿宋" w:eastAsia="仿宋" w:cs="仿宋"/>
                <w:color w:val="auto"/>
                <w:sz w:val="21"/>
                <w:highlight w:val="none"/>
              </w:rPr>
              <w:t>1</w:t>
            </w:r>
          </w:p>
        </w:tc>
        <w:tc>
          <w:tcPr>
            <w:tcW w:w="1251" w:type="dxa"/>
            <w:tcBorders>
              <w:right w:val="single" w:color="000000" w:sz="6" w:space="0"/>
            </w:tcBorders>
            <w:noWrap w:val="0"/>
            <w:vAlign w:val="top"/>
          </w:tcPr>
          <w:p>
            <w:pPr>
              <w:pStyle w:val="18"/>
              <w:spacing w:before="120" w:beforeLines="50" w:line="240" w:lineRule="atLeast"/>
              <w:rPr>
                <w:rFonts w:hint="eastAsia" w:ascii="仿宋" w:hAnsi="仿宋" w:eastAsia="仿宋" w:cs="仿宋"/>
                <w:b/>
                <w:color w:val="auto"/>
                <w:sz w:val="20"/>
                <w:highlight w:val="none"/>
              </w:rPr>
            </w:pPr>
          </w:p>
          <w:p>
            <w:pPr>
              <w:pStyle w:val="18"/>
              <w:spacing w:before="120" w:beforeLines="50" w:line="240" w:lineRule="atLeast"/>
              <w:rPr>
                <w:rFonts w:hint="eastAsia" w:ascii="仿宋" w:hAnsi="仿宋" w:eastAsia="仿宋" w:cs="仿宋"/>
                <w:b/>
                <w:color w:val="auto"/>
                <w:sz w:val="20"/>
                <w:highlight w:val="none"/>
              </w:rPr>
            </w:pPr>
          </w:p>
          <w:p>
            <w:pPr>
              <w:pStyle w:val="18"/>
              <w:spacing w:before="120" w:beforeLines="50" w:line="240" w:lineRule="atLeast"/>
              <w:rPr>
                <w:rFonts w:hint="eastAsia" w:ascii="仿宋" w:hAnsi="仿宋" w:eastAsia="仿宋" w:cs="仿宋"/>
                <w:b/>
                <w:color w:val="auto"/>
                <w:sz w:val="20"/>
                <w:highlight w:val="none"/>
              </w:rPr>
            </w:pPr>
          </w:p>
          <w:p>
            <w:pPr>
              <w:pStyle w:val="18"/>
              <w:spacing w:before="120" w:beforeLines="50" w:line="240" w:lineRule="atLeast"/>
              <w:rPr>
                <w:rFonts w:hint="eastAsia" w:ascii="仿宋" w:hAnsi="仿宋" w:eastAsia="仿宋" w:cs="仿宋"/>
                <w:b/>
                <w:color w:val="auto"/>
                <w:sz w:val="20"/>
                <w:highlight w:val="none"/>
              </w:rPr>
            </w:pPr>
          </w:p>
          <w:p>
            <w:pPr>
              <w:pStyle w:val="18"/>
              <w:spacing w:before="120" w:beforeLines="50" w:line="240" w:lineRule="atLeast"/>
              <w:ind w:left="217"/>
              <w:rPr>
                <w:rFonts w:hint="eastAsia" w:ascii="仿宋" w:hAnsi="仿宋" w:eastAsia="仿宋" w:cs="仿宋"/>
                <w:color w:val="auto"/>
                <w:sz w:val="21"/>
                <w:highlight w:val="none"/>
              </w:rPr>
            </w:pPr>
            <w:r>
              <w:rPr>
                <w:rFonts w:hint="eastAsia" w:ascii="仿宋" w:hAnsi="仿宋" w:eastAsia="仿宋" w:cs="仿宋"/>
                <w:color w:val="auto"/>
                <w:sz w:val="21"/>
                <w:highlight w:val="none"/>
              </w:rPr>
              <w:t>评标方法</w:t>
            </w:r>
          </w:p>
        </w:tc>
        <w:tc>
          <w:tcPr>
            <w:tcW w:w="7229" w:type="dxa"/>
            <w:tcBorders>
              <w:left w:val="single" w:color="000000" w:sz="6" w:space="0"/>
            </w:tcBorders>
            <w:noWrap w:val="0"/>
            <w:vAlign w:val="top"/>
          </w:tcPr>
          <w:p>
            <w:pPr>
              <w:pStyle w:val="18"/>
              <w:spacing w:before="120" w:beforeLines="50" w:line="240" w:lineRule="atLeast"/>
              <w:ind w:right="97" w:firstLine="420"/>
              <w:rPr>
                <w:rStyle w:val="19"/>
                <w:rFonts w:hint="eastAsia" w:ascii="仿宋" w:hAnsi="仿宋" w:eastAsia="仿宋" w:cs="仿宋"/>
                <w:color w:val="auto"/>
                <w:sz w:val="21"/>
                <w:highlight w:val="none"/>
                <w:lang w:val="zh-CN" w:eastAsia="zh-CN"/>
              </w:rPr>
            </w:pPr>
            <w:r>
              <w:rPr>
                <w:rStyle w:val="19"/>
                <w:rFonts w:hint="eastAsia" w:ascii="仿宋" w:hAnsi="仿宋" w:eastAsia="仿宋" w:cs="仿宋"/>
                <w:color w:val="auto"/>
                <w:sz w:val="21"/>
                <w:highlight w:val="none"/>
                <w:lang w:val="zh-CN" w:eastAsia="zh-CN"/>
              </w:rPr>
              <w:t>综合评分相等时，评标委员会依次按照以下优先顺序推荐中标候选人或确定中标人：</w:t>
            </w:r>
          </w:p>
          <w:p>
            <w:pPr>
              <w:pStyle w:val="18"/>
              <w:numPr>
                <w:ilvl w:val="0"/>
                <w:numId w:val="2"/>
              </w:numPr>
              <w:tabs>
                <w:tab w:val="left" w:pos="1050"/>
              </w:tabs>
              <w:spacing w:before="120" w:beforeLines="50" w:line="240" w:lineRule="atLeast"/>
              <w:ind w:left="104" w:right="97" w:firstLine="420"/>
              <w:rPr>
                <w:rStyle w:val="19"/>
                <w:rFonts w:hint="eastAsia" w:ascii="仿宋" w:hAnsi="仿宋" w:eastAsia="仿宋" w:cs="仿宋"/>
                <w:color w:val="auto"/>
                <w:sz w:val="21"/>
                <w:highlight w:val="none"/>
                <w:lang w:val="zh-CN" w:eastAsia="zh-CN"/>
              </w:rPr>
            </w:pPr>
            <w:r>
              <w:rPr>
                <w:rStyle w:val="19"/>
                <w:rFonts w:hint="eastAsia" w:ascii="仿宋" w:hAnsi="仿宋" w:eastAsia="仿宋" w:cs="仿宋"/>
                <w:color w:val="auto"/>
                <w:sz w:val="21"/>
                <w:highlight w:val="none"/>
                <w:lang w:val="zh-CN" w:eastAsia="zh-CN"/>
              </w:rPr>
              <w:t>评标价低的优先，当一家以上投标人综合得分相等且评标价也相等时，若各投标人工程量清单细目单价也相同，视为串标，应否决其投标；</w:t>
            </w:r>
          </w:p>
          <w:p>
            <w:pPr>
              <w:pStyle w:val="18"/>
              <w:numPr>
                <w:ilvl w:val="0"/>
                <w:numId w:val="2"/>
              </w:numPr>
              <w:tabs>
                <w:tab w:val="left" w:pos="1050"/>
              </w:tabs>
              <w:spacing w:before="120" w:beforeLines="50" w:line="240" w:lineRule="atLeast"/>
              <w:ind w:left="104" w:right="97" w:firstLine="420"/>
              <w:rPr>
                <w:rStyle w:val="19"/>
                <w:rFonts w:hint="eastAsia" w:ascii="仿宋" w:hAnsi="仿宋" w:eastAsia="仿宋" w:cs="仿宋"/>
                <w:color w:val="auto"/>
                <w:sz w:val="21"/>
                <w:highlight w:val="none"/>
                <w:lang w:val="zh-CN" w:eastAsia="zh-CN"/>
              </w:rPr>
            </w:pPr>
            <w:r>
              <w:rPr>
                <w:rFonts w:hint="eastAsia" w:ascii="仿宋" w:hAnsi="仿宋" w:eastAsia="仿宋" w:cs="仿宋"/>
                <w:color w:val="auto"/>
                <w:szCs w:val="21"/>
                <w:highlight w:val="none"/>
                <w:lang w:eastAsia="zh-CN"/>
              </w:rPr>
              <w:t>被广东省级交通交通运输厅评为较高信用等级的投标人优先（对于信用等级为 AA、A 的企业在递交投标文件时应按要求提交使用广东省信用评价等级申请承诺书，否则，AA 级信用等级企业按 A 级对待、A 级信用等级企业按 B 级对待）；</w:t>
            </w:r>
          </w:p>
          <w:p>
            <w:pPr>
              <w:pStyle w:val="18"/>
              <w:spacing w:before="120" w:beforeLines="50" w:line="240" w:lineRule="atLeast"/>
              <w:ind w:left="104" w:right="97" w:firstLine="420"/>
              <w:rPr>
                <w:rStyle w:val="19"/>
                <w:rFonts w:hint="eastAsia" w:ascii="仿宋" w:hAnsi="仿宋" w:eastAsia="仿宋" w:cs="仿宋"/>
                <w:color w:val="auto"/>
                <w:sz w:val="21"/>
                <w:highlight w:val="none"/>
                <w:lang w:eastAsia="zh-CN"/>
              </w:rPr>
            </w:pPr>
            <w:r>
              <w:rPr>
                <w:rStyle w:val="19"/>
                <w:rFonts w:hint="eastAsia" w:ascii="仿宋" w:hAnsi="仿宋" w:eastAsia="仿宋" w:cs="仿宋"/>
                <w:color w:val="auto"/>
                <w:sz w:val="21"/>
                <w:highlight w:val="none"/>
                <w:lang w:eastAsia="zh-CN"/>
              </w:rPr>
              <w:t>（3）以投标人企业最新年度净资产较高的优先；</w:t>
            </w:r>
          </w:p>
          <w:p>
            <w:pPr>
              <w:pStyle w:val="18"/>
              <w:spacing w:before="120" w:beforeLines="50" w:line="240" w:lineRule="atLeast"/>
              <w:ind w:left="104" w:right="97" w:firstLine="420"/>
              <w:rPr>
                <w:rFonts w:hint="eastAsia" w:ascii="仿宋" w:hAnsi="仿宋" w:eastAsia="仿宋" w:cs="仿宋"/>
                <w:color w:val="auto"/>
                <w:sz w:val="21"/>
                <w:highlight w:val="none"/>
                <w:lang w:eastAsia="zh-CN"/>
              </w:rPr>
            </w:pPr>
            <w:r>
              <w:rPr>
                <w:rStyle w:val="19"/>
                <w:rFonts w:hint="eastAsia" w:ascii="仿宋" w:hAnsi="仿宋" w:eastAsia="仿宋" w:cs="仿宋"/>
                <w:color w:val="auto"/>
                <w:sz w:val="21"/>
                <w:highlight w:val="none"/>
                <w:lang w:val="zh-CN" w:eastAsia="zh-CN"/>
              </w:rPr>
              <w:t>（</w:t>
            </w:r>
            <w:r>
              <w:rPr>
                <w:rStyle w:val="19"/>
                <w:rFonts w:hint="eastAsia" w:ascii="仿宋" w:hAnsi="仿宋" w:eastAsia="仿宋" w:cs="仿宋"/>
                <w:color w:val="auto"/>
                <w:sz w:val="21"/>
                <w:highlight w:val="none"/>
                <w:lang w:eastAsia="zh-CN"/>
              </w:rPr>
              <w:t>4</w:t>
            </w:r>
            <w:r>
              <w:rPr>
                <w:rStyle w:val="19"/>
                <w:rFonts w:hint="eastAsia" w:ascii="仿宋" w:hAnsi="仿宋" w:eastAsia="仿宋" w:cs="仿宋"/>
                <w:color w:val="auto"/>
                <w:sz w:val="21"/>
                <w:highlight w:val="none"/>
                <w:lang w:val="zh-CN" w:eastAsia="zh-CN"/>
              </w:rPr>
              <w:t>）评标委员会视投标人情况综合比较，投票确定其名次。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25" w:type="dxa"/>
            <w:noWrap w:val="0"/>
            <w:vAlign w:val="top"/>
          </w:tcPr>
          <w:p>
            <w:pPr>
              <w:pStyle w:val="18"/>
              <w:spacing w:before="120" w:beforeLines="50" w:line="240" w:lineRule="atLeast"/>
              <w:rPr>
                <w:rFonts w:hint="eastAsia" w:ascii="仿宋" w:hAnsi="仿宋" w:eastAsia="仿宋" w:cs="仿宋"/>
                <w:b/>
                <w:color w:val="auto"/>
                <w:highlight w:val="none"/>
                <w:lang w:eastAsia="zh-CN"/>
              </w:rPr>
            </w:pPr>
          </w:p>
          <w:p>
            <w:pPr>
              <w:pStyle w:val="18"/>
              <w:spacing w:before="120" w:beforeLines="50" w:line="240" w:lineRule="atLeast"/>
              <w:rPr>
                <w:rFonts w:hint="eastAsia" w:ascii="仿宋" w:hAnsi="仿宋" w:eastAsia="仿宋" w:cs="仿宋"/>
                <w:b/>
                <w:color w:val="auto"/>
                <w:highlight w:val="none"/>
                <w:lang w:eastAsia="zh-CN"/>
              </w:rPr>
            </w:pPr>
          </w:p>
          <w:p>
            <w:pPr>
              <w:pStyle w:val="18"/>
              <w:spacing w:before="120" w:beforeLines="50" w:line="240" w:lineRule="atLeast"/>
              <w:rPr>
                <w:rFonts w:hint="eastAsia" w:ascii="仿宋" w:hAnsi="仿宋" w:eastAsia="仿宋" w:cs="仿宋"/>
                <w:b/>
                <w:color w:val="auto"/>
                <w:highlight w:val="none"/>
                <w:lang w:eastAsia="zh-CN"/>
              </w:rPr>
            </w:pPr>
          </w:p>
          <w:p>
            <w:pPr>
              <w:pStyle w:val="18"/>
              <w:spacing w:before="120" w:beforeLines="50" w:line="240" w:lineRule="atLeast"/>
              <w:rPr>
                <w:rFonts w:hint="eastAsia" w:ascii="仿宋" w:hAnsi="仿宋" w:eastAsia="仿宋" w:cs="仿宋"/>
                <w:b/>
                <w:color w:val="auto"/>
                <w:highlight w:val="none"/>
                <w:lang w:eastAsia="zh-CN"/>
              </w:rPr>
            </w:pPr>
          </w:p>
          <w:p>
            <w:pPr>
              <w:pStyle w:val="18"/>
              <w:spacing w:before="120" w:beforeLines="50" w:line="240" w:lineRule="atLeast"/>
              <w:rPr>
                <w:rFonts w:hint="eastAsia" w:ascii="仿宋" w:hAnsi="仿宋" w:eastAsia="仿宋" w:cs="仿宋"/>
                <w:b/>
                <w:color w:val="auto"/>
                <w:highlight w:val="none"/>
                <w:lang w:eastAsia="zh-CN"/>
              </w:rPr>
            </w:pPr>
          </w:p>
          <w:p>
            <w:pPr>
              <w:pStyle w:val="18"/>
              <w:spacing w:before="120" w:beforeLines="50" w:line="240" w:lineRule="atLeast"/>
              <w:rPr>
                <w:rFonts w:hint="eastAsia" w:ascii="仿宋" w:hAnsi="仿宋" w:eastAsia="仿宋" w:cs="仿宋"/>
                <w:b/>
                <w:color w:val="auto"/>
                <w:highlight w:val="none"/>
                <w:lang w:eastAsia="zh-CN"/>
              </w:rPr>
            </w:pPr>
          </w:p>
          <w:p>
            <w:pPr>
              <w:pStyle w:val="18"/>
              <w:spacing w:before="120" w:beforeLines="50" w:line="240" w:lineRule="atLeast"/>
              <w:rPr>
                <w:rFonts w:hint="eastAsia" w:ascii="仿宋" w:hAnsi="仿宋" w:eastAsia="仿宋" w:cs="仿宋"/>
                <w:b/>
                <w:color w:val="auto"/>
                <w:highlight w:val="none"/>
                <w:lang w:eastAsia="zh-CN"/>
              </w:rPr>
            </w:pPr>
          </w:p>
          <w:p>
            <w:pPr>
              <w:pStyle w:val="18"/>
              <w:spacing w:before="120" w:beforeLines="50" w:line="240" w:lineRule="atLeast"/>
              <w:rPr>
                <w:rFonts w:hint="eastAsia" w:ascii="仿宋" w:hAnsi="仿宋" w:eastAsia="仿宋" w:cs="仿宋"/>
                <w:b/>
                <w:color w:val="auto"/>
                <w:highlight w:val="none"/>
                <w:lang w:eastAsia="zh-CN"/>
              </w:rPr>
            </w:pPr>
          </w:p>
          <w:p>
            <w:pPr>
              <w:pStyle w:val="18"/>
              <w:spacing w:before="120" w:beforeLines="50" w:line="240" w:lineRule="atLeast"/>
              <w:rPr>
                <w:rFonts w:hint="eastAsia" w:ascii="仿宋" w:hAnsi="仿宋" w:eastAsia="仿宋" w:cs="仿宋"/>
                <w:b/>
                <w:color w:val="auto"/>
                <w:highlight w:val="none"/>
                <w:lang w:eastAsia="zh-CN"/>
              </w:rPr>
            </w:pPr>
          </w:p>
          <w:p>
            <w:pPr>
              <w:pStyle w:val="18"/>
              <w:spacing w:before="120" w:beforeLines="50" w:line="240" w:lineRule="atLeast"/>
              <w:rPr>
                <w:rFonts w:hint="eastAsia" w:ascii="仿宋" w:hAnsi="仿宋" w:eastAsia="仿宋" w:cs="仿宋"/>
                <w:b/>
                <w:color w:val="auto"/>
                <w:highlight w:val="none"/>
                <w:lang w:eastAsia="zh-CN"/>
              </w:rPr>
            </w:pPr>
          </w:p>
          <w:p>
            <w:pPr>
              <w:pStyle w:val="18"/>
              <w:spacing w:before="120" w:beforeLines="50" w:line="240" w:lineRule="atLeast"/>
              <w:rPr>
                <w:rFonts w:hint="eastAsia" w:ascii="仿宋" w:hAnsi="仿宋" w:eastAsia="仿宋" w:cs="仿宋"/>
                <w:b/>
                <w:color w:val="auto"/>
                <w:highlight w:val="none"/>
                <w:lang w:eastAsia="zh-CN"/>
              </w:rPr>
            </w:pPr>
          </w:p>
          <w:p>
            <w:pPr>
              <w:pStyle w:val="18"/>
              <w:spacing w:before="120" w:beforeLines="50" w:line="240" w:lineRule="atLeast"/>
              <w:rPr>
                <w:rFonts w:hint="eastAsia" w:ascii="仿宋" w:hAnsi="仿宋" w:eastAsia="仿宋" w:cs="仿宋"/>
                <w:b/>
                <w:color w:val="auto"/>
                <w:sz w:val="30"/>
                <w:highlight w:val="none"/>
                <w:lang w:eastAsia="zh-CN"/>
              </w:rPr>
            </w:pPr>
          </w:p>
          <w:p>
            <w:pPr>
              <w:pStyle w:val="18"/>
              <w:spacing w:before="120" w:beforeLines="50" w:line="240" w:lineRule="atLeast"/>
              <w:ind w:left="282"/>
              <w:rPr>
                <w:rFonts w:hint="eastAsia" w:ascii="仿宋" w:hAnsi="仿宋" w:eastAsia="仿宋" w:cs="仿宋"/>
                <w:color w:val="auto"/>
                <w:sz w:val="21"/>
                <w:highlight w:val="none"/>
              </w:rPr>
            </w:pPr>
            <w:r>
              <w:rPr>
                <w:rFonts w:hint="eastAsia" w:ascii="仿宋" w:hAnsi="仿宋" w:eastAsia="仿宋" w:cs="仿宋"/>
                <w:color w:val="auto"/>
                <w:sz w:val="21"/>
                <w:highlight w:val="none"/>
              </w:rPr>
              <w:t>2.1.1</w:t>
            </w:r>
          </w:p>
          <w:p>
            <w:pPr>
              <w:pStyle w:val="18"/>
              <w:spacing w:before="120" w:beforeLines="50" w:line="240" w:lineRule="atLeast"/>
              <w:ind w:left="282"/>
              <w:rPr>
                <w:rFonts w:hint="eastAsia" w:ascii="仿宋" w:hAnsi="仿宋" w:eastAsia="仿宋" w:cs="仿宋"/>
                <w:color w:val="auto"/>
                <w:sz w:val="21"/>
                <w:highlight w:val="none"/>
              </w:rPr>
            </w:pPr>
            <w:r>
              <w:rPr>
                <w:rFonts w:hint="eastAsia" w:ascii="仿宋" w:hAnsi="仿宋" w:eastAsia="仿宋" w:cs="仿宋"/>
                <w:color w:val="auto"/>
                <w:sz w:val="21"/>
                <w:highlight w:val="none"/>
              </w:rPr>
              <w:t>2.1.3</w:t>
            </w:r>
          </w:p>
        </w:tc>
        <w:tc>
          <w:tcPr>
            <w:tcW w:w="1251" w:type="dxa"/>
            <w:tcBorders>
              <w:right w:val="single" w:color="000000" w:sz="6" w:space="0"/>
            </w:tcBorders>
            <w:noWrap w:val="0"/>
            <w:vAlign w:val="top"/>
          </w:tcPr>
          <w:p>
            <w:pPr>
              <w:pStyle w:val="18"/>
              <w:spacing w:before="120" w:beforeLines="50" w:line="240" w:lineRule="atLeast"/>
              <w:rPr>
                <w:rFonts w:hint="eastAsia" w:ascii="仿宋" w:hAnsi="仿宋" w:eastAsia="仿宋" w:cs="仿宋"/>
                <w:b/>
                <w:color w:val="auto"/>
                <w:sz w:val="20"/>
                <w:highlight w:val="none"/>
                <w:lang w:eastAsia="zh-CN"/>
              </w:rPr>
            </w:pPr>
          </w:p>
          <w:p>
            <w:pPr>
              <w:pStyle w:val="18"/>
              <w:spacing w:before="120" w:beforeLines="50" w:line="240" w:lineRule="atLeast"/>
              <w:rPr>
                <w:rFonts w:hint="eastAsia" w:ascii="仿宋" w:hAnsi="仿宋" w:eastAsia="仿宋" w:cs="仿宋"/>
                <w:b/>
                <w:color w:val="auto"/>
                <w:sz w:val="20"/>
                <w:highlight w:val="none"/>
                <w:lang w:eastAsia="zh-CN"/>
              </w:rPr>
            </w:pPr>
          </w:p>
          <w:p>
            <w:pPr>
              <w:pStyle w:val="18"/>
              <w:spacing w:before="120" w:beforeLines="50" w:line="240" w:lineRule="atLeast"/>
              <w:rPr>
                <w:rFonts w:hint="eastAsia" w:ascii="仿宋" w:hAnsi="仿宋" w:eastAsia="仿宋" w:cs="仿宋"/>
                <w:b/>
                <w:color w:val="auto"/>
                <w:sz w:val="20"/>
                <w:highlight w:val="none"/>
                <w:lang w:eastAsia="zh-CN"/>
              </w:rPr>
            </w:pPr>
          </w:p>
          <w:p>
            <w:pPr>
              <w:pStyle w:val="18"/>
              <w:spacing w:before="120" w:beforeLines="50" w:line="240" w:lineRule="atLeast"/>
              <w:rPr>
                <w:rFonts w:hint="eastAsia" w:ascii="仿宋" w:hAnsi="仿宋" w:eastAsia="仿宋" w:cs="仿宋"/>
                <w:b/>
                <w:color w:val="auto"/>
                <w:sz w:val="20"/>
                <w:highlight w:val="none"/>
                <w:lang w:eastAsia="zh-CN"/>
              </w:rPr>
            </w:pPr>
          </w:p>
          <w:p>
            <w:pPr>
              <w:pStyle w:val="18"/>
              <w:spacing w:before="120" w:beforeLines="50" w:line="240" w:lineRule="atLeast"/>
              <w:rPr>
                <w:rFonts w:hint="eastAsia" w:ascii="仿宋" w:hAnsi="仿宋" w:eastAsia="仿宋" w:cs="仿宋"/>
                <w:b/>
                <w:color w:val="auto"/>
                <w:sz w:val="20"/>
                <w:highlight w:val="none"/>
                <w:lang w:eastAsia="zh-CN"/>
              </w:rPr>
            </w:pPr>
          </w:p>
          <w:p>
            <w:pPr>
              <w:pStyle w:val="18"/>
              <w:spacing w:before="120" w:beforeLines="50" w:line="240" w:lineRule="atLeast"/>
              <w:rPr>
                <w:rFonts w:hint="eastAsia" w:ascii="仿宋" w:hAnsi="仿宋" w:eastAsia="仿宋" w:cs="仿宋"/>
                <w:b/>
                <w:color w:val="auto"/>
                <w:sz w:val="20"/>
                <w:highlight w:val="none"/>
                <w:lang w:eastAsia="zh-CN"/>
              </w:rPr>
            </w:pPr>
          </w:p>
          <w:p>
            <w:pPr>
              <w:pStyle w:val="18"/>
              <w:spacing w:before="120" w:beforeLines="50" w:line="240" w:lineRule="atLeast"/>
              <w:rPr>
                <w:rFonts w:hint="eastAsia" w:ascii="仿宋" w:hAnsi="仿宋" w:eastAsia="仿宋" w:cs="仿宋"/>
                <w:b/>
                <w:color w:val="auto"/>
                <w:sz w:val="20"/>
                <w:highlight w:val="none"/>
                <w:lang w:eastAsia="zh-CN"/>
              </w:rPr>
            </w:pPr>
          </w:p>
          <w:p>
            <w:pPr>
              <w:pStyle w:val="18"/>
              <w:spacing w:before="120" w:beforeLines="50" w:line="240" w:lineRule="atLeast"/>
              <w:rPr>
                <w:rFonts w:hint="eastAsia" w:ascii="仿宋" w:hAnsi="仿宋" w:eastAsia="仿宋" w:cs="仿宋"/>
                <w:b/>
                <w:color w:val="auto"/>
                <w:sz w:val="20"/>
                <w:highlight w:val="none"/>
                <w:lang w:eastAsia="zh-CN"/>
              </w:rPr>
            </w:pPr>
          </w:p>
          <w:p>
            <w:pPr>
              <w:pStyle w:val="18"/>
              <w:spacing w:before="120" w:beforeLines="50" w:line="240" w:lineRule="atLeast"/>
              <w:rPr>
                <w:rFonts w:hint="eastAsia" w:ascii="仿宋" w:hAnsi="仿宋" w:eastAsia="仿宋" w:cs="仿宋"/>
                <w:b/>
                <w:color w:val="auto"/>
                <w:sz w:val="20"/>
                <w:highlight w:val="none"/>
                <w:lang w:eastAsia="zh-CN"/>
              </w:rPr>
            </w:pPr>
          </w:p>
          <w:p>
            <w:pPr>
              <w:pStyle w:val="18"/>
              <w:spacing w:before="120" w:beforeLines="50" w:line="240" w:lineRule="atLeast"/>
              <w:rPr>
                <w:rFonts w:hint="eastAsia" w:ascii="仿宋" w:hAnsi="仿宋" w:eastAsia="仿宋" w:cs="仿宋"/>
                <w:b/>
                <w:color w:val="auto"/>
                <w:sz w:val="20"/>
                <w:highlight w:val="none"/>
                <w:lang w:eastAsia="zh-CN"/>
              </w:rPr>
            </w:pPr>
          </w:p>
          <w:p>
            <w:pPr>
              <w:pStyle w:val="18"/>
              <w:spacing w:before="120" w:beforeLines="50" w:line="240" w:lineRule="atLeast"/>
              <w:rPr>
                <w:rFonts w:hint="eastAsia" w:ascii="仿宋" w:hAnsi="仿宋" w:eastAsia="仿宋" w:cs="仿宋"/>
                <w:b/>
                <w:color w:val="auto"/>
                <w:sz w:val="20"/>
                <w:highlight w:val="none"/>
                <w:lang w:eastAsia="zh-CN"/>
              </w:rPr>
            </w:pPr>
          </w:p>
          <w:p>
            <w:pPr>
              <w:pStyle w:val="18"/>
              <w:spacing w:before="120" w:beforeLines="50" w:line="240" w:lineRule="atLeast"/>
              <w:rPr>
                <w:rFonts w:hint="eastAsia" w:ascii="仿宋" w:hAnsi="仿宋" w:eastAsia="仿宋" w:cs="仿宋"/>
                <w:b/>
                <w:color w:val="auto"/>
                <w:sz w:val="20"/>
                <w:highlight w:val="none"/>
                <w:lang w:eastAsia="zh-CN"/>
              </w:rPr>
            </w:pPr>
          </w:p>
          <w:p>
            <w:pPr>
              <w:pStyle w:val="18"/>
              <w:spacing w:before="120" w:beforeLines="50" w:line="240" w:lineRule="atLeast"/>
              <w:rPr>
                <w:rFonts w:hint="eastAsia" w:ascii="仿宋" w:hAnsi="仿宋" w:eastAsia="仿宋" w:cs="仿宋"/>
                <w:b/>
                <w:color w:val="auto"/>
                <w:sz w:val="15"/>
                <w:highlight w:val="none"/>
                <w:lang w:eastAsia="zh-CN"/>
              </w:rPr>
            </w:pPr>
          </w:p>
          <w:p>
            <w:pPr>
              <w:pStyle w:val="18"/>
              <w:spacing w:before="120" w:beforeLines="50" w:line="240" w:lineRule="atLeast"/>
              <w:ind w:left="112" w:right="99"/>
              <w:jc w:val="center"/>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形式评审与响应性评审标准</w:t>
            </w:r>
          </w:p>
        </w:tc>
        <w:tc>
          <w:tcPr>
            <w:tcW w:w="7229" w:type="dxa"/>
            <w:tcBorders>
              <w:left w:val="single" w:color="000000" w:sz="6" w:space="0"/>
            </w:tcBorders>
            <w:noWrap w:val="0"/>
            <w:vAlign w:val="top"/>
          </w:tcPr>
          <w:p>
            <w:pPr>
              <w:pStyle w:val="18"/>
              <w:spacing w:before="120" w:beforeLines="50" w:line="240" w:lineRule="atLeast"/>
              <w:ind w:left="527"/>
              <w:rPr>
                <w:rFonts w:hint="eastAsia" w:ascii="仿宋" w:hAnsi="仿宋" w:eastAsia="仿宋" w:cs="仿宋"/>
                <w:b/>
                <w:color w:val="auto"/>
                <w:sz w:val="21"/>
                <w:highlight w:val="none"/>
                <w:lang w:eastAsia="zh-CN"/>
              </w:rPr>
            </w:pPr>
            <w:r>
              <w:rPr>
                <w:rFonts w:hint="eastAsia" w:ascii="仿宋" w:hAnsi="仿宋" w:eastAsia="仿宋" w:cs="仿宋"/>
                <w:b/>
                <w:color w:val="auto"/>
                <w:sz w:val="21"/>
                <w:highlight w:val="none"/>
                <w:lang w:eastAsia="zh-CN"/>
              </w:rPr>
              <w:t>第一个信封（商务及技术文件）评审标准：</w:t>
            </w:r>
          </w:p>
          <w:p>
            <w:pPr>
              <w:snapToGrid w:val="0"/>
              <w:spacing w:before="120" w:beforeLines="50" w:line="24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（1）投标文件按照招标文件规定的格式、内容填写，字迹清晰可辨：</w:t>
            </w:r>
            <w:r>
              <w:rPr>
                <w:rFonts w:hint="eastAsia" w:ascii="仿宋" w:hAnsi="仿宋" w:eastAsia="仿宋" w:cs="仿宋"/>
                <w:color w:val="auto"/>
                <w:szCs w:val="21"/>
                <w:highlight w:val="none"/>
              </w:rPr>
              <w:t>投标文件（第一个信封）组成齐全完整，内容均符合规定。</w:t>
            </w:r>
          </w:p>
          <w:p>
            <w:pPr>
              <w:pStyle w:val="18"/>
              <w:spacing w:before="120" w:beforeLines="50" w:line="240" w:lineRule="atLeast"/>
              <w:ind w:left="104" w:right="97" w:firstLine="42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a.</w:t>
            </w:r>
            <w:r>
              <w:rPr>
                <w:rFonts w:hint="eastAsia" w:ascii="仿宋" w:hAnsi="仿宋" w:eastAsia="仿宋" w:cs="仿宋"/>
                <w:color w:val="auto"/>
                <w:spacing w:val="-15"/>
                <w:sz w:val="21"/>
                <w:highlight w:val="none"/>
                <w:lang w:eastAsia="zh-CN"/>
              </w:rPr>
              <w:t>投标函按招标文件规定填报了项目名称、标段号、补遗书编号</w:t>
            </w:r>
            <w:r>
              <w:rPr>
                <w:rFonts w:hint="eastAsia" w:ascii="仿宋" w:hAnsi="仿宋" w:eastAsia="仿宋" w:cs="仿宋"/>
                <w:color w:val="auto"/>
                <w:spacing w:val="-3"/>
                <w:sz w:val="21"/>
                <w:highlight w:val="none"/>
                <w:lang w:eastAsia="zh-CN"/>
              </w:rPr>
              <w:t>（</w:t>
            </w:r>
            <w:r>
              <w:rPr>
                <w:rFonts w:hint="eastAsia" w:ascii="仿宋" w:hAnsi="仿宋" w:eastAsia="仿宋" w:cs="仿宋"/>
                <w:color w:val="auto"/>
                <w:sz w:val="21"/>
                <w:highlight w:val="none"/>
                <w:lang w:eastAsia="zh-CN"/>
              </w:rPr>
              <w:t>如有</w:t>
            </w:r>
            <w:r>
              <w:rPr>
                <w:rFonts w:hint="eastAsia" w:ascii="仿宋" w:hAnsi="仿宋" w:eastAsia="仿宋" w:cs="仿宋"/>
                <w:color w:val="auto"/>
                <w:spacing w:val="-106"/>
                <w:sz w:val="21"/>
                <w:highlight w:val="none"/>
                <w:lang w:eastAsia="zh-CN"/>
              </w:rPr>
              <w:t>）</w:t>
            </w:r>
            <w:r>
              <w:rPr>
                <w:rFonts w:hint="eastAsia" w:ascii="仿宋" w:hAnsi="仿宋" w:eastAsia="仿宋" w:cs="仿宋"/>
                <w:color w:val="auto"/>
                <w:spacing w:val="-3"/>
                <w:sz w:val="21"/>
                <w:highlight w:val="none"/>
                <w:lang w:eastAsia="zh-CN"/>
              </w:rPr>
              <w:t>、工期、工程质量要求及安全目标；</w:t>
            </w:r>
          </w:p>
          <w:p>
            <w:pPr>
              <w:snapToGrid w:val="0"/>
              <w:spacing w:before="120" w:beforeLines="50" w:line="240" w:lineRule="atLeast"/>
              <w:ind w:firstLine="525"/>
              <w:rPr>
                <w:rFonts w:hint="eastAsia" w:ascii="仿宋" w:hAnsi="仿宋" w:eastAsia="仿宋" w:cs="仿宋"/>
                <w:color w:val="auto"/>
                <w:highlight w:val="none"/>
              </w:rPr>
            </w:pPr>
            <w:r>
              <w:rPr>
                <w:rFonts w:hint="eastAsia" w:ascii="仿宋" w:hAnsi="仿宋" w:eastAsia="仿宋" w:cs="仿宋"/>
                <w:color w:val="auto"/>
                <w:highlight w:val="none"/>
              </w:rPr>
              <w:t>b.投标函附录的所有数据均符合招标文件规定；</w:t>
            </w:r>
          </w:p>
          <w:p>
            <w:pPr>
              <w:pStyle w:val="18"/>
              <w:spacing w:before="120" w:beforeLines="50" w:line="240" w:lineRule="atLeast"/>
              <w:ind w:left="4" w:firstLine="519"/>
              <w:rPr>
                <w:rFonts w:hint="eastAsia" w:ascii="仿宋" w:hAnsi="仿宋" w:eastAsia="仿宋" w:cs="仿宋"/>
                <w:color w:val="auto"/>
                <w:sz w:val="21"/>
                <w:highlight w:val="none"/>
                <w:lang w:eastAsia="zh-CN"/>
              </w:rPr>
            </w:pPr>
            <w:r>
              <w:rPr>
                <w:rFonts w:hint="eastAsia" w:ascii="仿宋" w:hAnsi="仿宋" w:eastAsia="仿宋" w:cs="仿宋"/>
                <w:color w:val="auto"/>
                <w:szCs w:val="21"/>
                <w:highlight w:val="none"/>
                <w:lang w:eastAsia="zh-CN"/>
              </w:rPr>
              <w:t>c.按照招标文件规定的格式、内容编制了施工组织设计及项目管理机构相关图表；</w:t>
            </w:r>
          </w:p>
          <w:p>
            <w:pPr>
              <w:pStyle w:val="18"/>
              <w:spacing w:before="120" w:beforeLines="50" w:line="240" w:lineRule="atLeast"/>
              <w:ind w:left="524"/>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d.投标文件</w:t>
            </w:r>
            <w:r>
              <w:rPr>
                <w:rFonts w:hint="eastAsia" w:ascii="仿宋" w:hAnsi="仿宋" w:eastAsia="仿宋" w:cs="仿宋"/>
                <w:color w:val="auto"/>
                <w:szCs w:val="21"/>
                <w:highlight w:val="none"/>
                <w:lang w:eastAsia="zh-CN"/>
              </w:rPr>
              <w:t>（第一个信封）</w:t>
            </w:r>
            <w:r>
              <w:rPr>
                <w:rFonts w:hint="eastAsia" w:ascii="仿宋" w:hAnsi="仿宋" w:eastAsia="仿宋" w:cs="仿宋"/>
                <w:color w:val="auto"/>
                <w:sz w:val="21"/>
                <w:highlight w:val="none"/>
                <w:lang w:eastAsia="zh-CN"/>
              </w:rPr>
              <w:t>组成齐全完整，内容均按规定填写。</w:t>
            </w:r>
          </w:p>
          <w:p>
            <w:pPr>
              <w:pStyle w:val="18"/>
              <w:spacing w:before="120" w:beforeLines="50" w:line="240" w:lineRule="atLeast"/>
              <w:ind w:left="104" w:right="95" w:firstLine="42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（2）投标文件上法定代表人或其委托代理人的签字、投标人的单位章盖章齐全，符合招标文件规定。</w:t>
            </w:r>
          </w:p>
          <w:p>
            <w:pPr>
              <w:snapToGrid w:val="0"/>
              <w:spacing w:before="120" w:beforeLines="50" w:line="240" w:lineRule="atLeast"/>
              <w:ind w:firstLine="420"/>
              <w:rPr>
                <w:rFonts w:hint="eastAsia" w:ascii="仿宋" w:hAnsi="仿宋" w:eastAsia="仿宋" w:cs="仿宋"/>
                <w:color w:val="auto"/>
                <w:highlight w:val="none"/>
              </w:rPr>
            </w:pPr>
            <w:r>
              <w:rPr>
                <w:rFonts w:hint="eastAsia" w:ascii="仿宋" w:hAnsi="仿宋" w:eastAsia="仿宋" w:cs="仿宋"/>
                <w:color w:val="auto"/>
                <w:highlight w:val="none"/>
              </w:rPr>
              <w:t>（3）投标人按照招标文件的规定提供了投标保证金：</w:t>
            </w:r>
          </w:p>
          <w:p>
            <w:pPr>
              <w:pStyle w:val="18"/>
              <w:spacing w:before="120" w:beforeLines="50" w:line="240" w:lineRule="atLeast"/>
              <w:ind w:left="104" w:right="95" w:firstLine="42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a.投标保证金金额符合招标文件规定的金额，且投标保证金有效期不少于投标有效期；</w:t>
            </w:r>
          </w:p>
          <w:p>
            <w:pPr>
              <w:pStyle w:val="18"/>
              <w:spacing w:before="120" w:beforeLines="50" w:line="240" w:lineRule="atLeast"/>
              <w:ind w:left="104" w:right="95" w:firstLine="42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b.若投标保证金采用现金或支票形式提交，投标人应在投标人须知</w:t>
            </w:r>
            <w:r>
              <w:rPr>
                <w:rFonts w:hint="eastAsia" w:ascii="仿宋" w:hAnsi="仿宋" w:eastAsia="仿宋" w:cs="仿宋"/>
                <w:color w:val="auto"/>
                <w:szCs w:val="21"/>
                <w:highlight w:val="none"/>
                <w:lang w:eastAsia="zh-CN"/>
              </w:rPr>
              <w:t>前附表</w:t>
            </w:r>
            <w:r>
              <w:rPr>
                <w:rFonts w:hint="eastAsia" w:ascii="仿宋" w:hAnsi="仿宋" w:eastAsia="仿宋" w:cs="仿宋"/>
                <w:color w:val="auto"/>
                <w:sz w:val="21"/>
                <w:highlight w:val="none"/>
                <w:lang w:eastAsia="zh-CN"/>
              </w:rPr>
              <w:t>规定的时间，将投标保证金由投标人的基本账户转入招标人指定账户；</w:t>
            </w:r>
          </w:p>
          <w:p>
            <w:pPr>
              <w:pStyle w:val="18"/>
              <w:spacing w:before="120" w:beforeLines="50" w:line="240" w:lineRule="atLeast"/>
              <w:ind w:left="104" w:right="95" w:firstLine="42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C.若投标保证金采用银行保函形式提交，银行保函的格式、开具保函的银行均满足招标文件要求，银行保函原件在递交投标文件时单独密封递交，其复印件装订在投标文件中。</w:t>
            </w:r>
          </w:p>
          <w:p>
            <w:pPr>
              <w:pStyle w:val="18"/>
              <w:spacing w:before="120" w:beforeLines="50" w:line="240" w:lineRule="atLeast"/>
              <w:ind w:left="104" w:right="95" w:firstLine="42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d. 投标保证金采用投标保险形式提交，原件在递交投标文件时单独密封递交，其复印件装订在投标文件中。</w:t>
            </w:r>
          </w:p>
          <w:p>
            <w:pPr>
              <w:pStyle w:val="18"/>
              <w:spacing w:before="120" w:beforeLines="50" w:line="240" w:lineRule="atLeast"/>
              <w:ind w:left="4" w:right="95" w:firstLine="519"/>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w:t>
            </w:r>
            <w:r>
              <w:rPr>
                <w:rFonts w:hint="eastAsia" w:ascii="仿宋" w:hAnsi="仿宋" w:eastAsia="仿宋" w:cs="仿宋"/>
                <w:color w:val="auto"/>
                <w:sz w:val="21"/>
                <w:highlight w:val="none"/>
                <w:lang w:eastAsia="zh-CN"/>
              </w:rPr>
              <w:t>4）</w:t>
            </w:r>
            <w:r>
              <w:rPr>
                <w:rFonts w:hint="eastAsia" w:ascii="仿宋" w:hAnsi="仿宋" w:eastAsia="仿宋" w:cs="仿宋"/>
                <w:color w:val="auto"/>
                <w:sz w:val="21"/>
                <w:highlight w:val="none"/>
                <w:lang w:val="zh-CN" w:eastAsia="zh-CN"/>
              </w:rPr>
              <w:t>投标人法定代表人授权委托代理人签署投标文件的，需提交</w:t>
            </w:r>
            <w:r>
              <w:rPr>
                <w:rFonts w:hint="eastAsia" w:ascii="仿宋" w:hAnsi="仿宋" w:eastAsia="仿宋" w:cs="仿宋"/>
                <w:color w:val="auto"/>
                <w:szCs w:val="21"/>
                <w:highlight w:val="none"/>
                <w:lang w:eastAsia="zh-CN"/>
              </w:rPr>
              <w:t>附有法定代表人身份证明的</w:t>
            </w:r>
            <w:r>
              <w:rPr>
                <w:rFonts w:hint="eastAsia" w:ascii="仿宋" w:hAnsi="仿宋" w:eastAsia="仿宋" w:cs="仿宋"/>
                <w:color w:val="auto"/>
                <w:sz w:val="21"/>
                <w:highlight w:val="none"/>
                <w:lang w:val="zh-CN" w:eastAsia="zh-CN"/>
              </w:rPr>
              <w:t>授权委托书，且授权人和被授权人均在授权委托书上签名，未使用印 章、签名章或其他电子制版签名代替。</w:t>
            </w:r>
          </w:p>
          <w:p>
            <w:pPr>
              <w:pStyle w:val="18"/>
              <w:tabs>
                <w:tab w:val="left" w:pos="917"/>
              </w:tabs>
              <w:spacing w:before="120" w:beforeLines="50" w:line="240" w:lineRule="atLeast"/>
              <w:ind w:left="4" w:right="95" w:firstLine="519"/>
              <w:jc w:val="both"/>
              <w:rPr>
                <w:rStyle w:val="19"/>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w:t>
            </w:r>
            <w:r>
              <w:rPr>
                <w:rFonts w:hint="eastAsia" w:ascii="仿宋" w:hAnsi="仿宋" w:eastAsia="仿宋" w:cs="仿宋"/>
                <w:color w:val="auto"/>
                <w:sz w:val="21"/>
                <w:highlight w:val="none"/>
                <w:lang w:eastAsia="zh-CN"/>
              </w:rPr>
              <w:t>5）</w:t>
            </w:r>
            <w:r>
              <w:rPr>
                <w:rStyle w:val="19"/>
                <w:rFonts w:hint="eastAsia" w:ascii="仿宋" w:hAnsi="仿宋" w:eastAsia="仿宋" w:cs="仿宋"/>
                <w:color w:val="auto"/>
                <w:sz w:val="21"/>
                <w:highlight w:val="none"/>
                <w:lang w:val="zh-CN" w:eastAsia="zh-CN"/>
              </w:rPr>
              <w:t>投标人法定代表人亲自签署投标文件的，提供了法定代表人 身份证明，且法定代表人在法定代表人身份证明上签名，未使用印章、 签名章或其他电子制版签名代替。</w:t>
            </w:r>
          </w:p>
          <w:p>
            <w:pPr>
              <w:pStyle w:val="18"/>
              <w:tabs>
                <w:tab w:val="left" w:pos="917"/>
              </w:tabs>
              <w:spacing w:before="120" w:beforeLines="50" w:line="240" w:lineRule="atLeast"/>
              <w:ind w:left="4" w:right="95" w:firstLine="519"/>
              <w:jc w:val="both"/>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w:t>
            </w:r>
            <w:r>
              <w:rPr>
                <w:rFonts w:hint="eastAsia" w:ascii="仿宋" w:hAnsi="仿宋" w:eastAsia="仿宋" w:cs="仿宋"/>
                <w:color w:val="auto"/>
                <w:sz w:val="21"/>
                <w:highlight w:val="none"/>
                <w:lang w:eastAsia="zh-CN"/>
              </w:rPr>
              <w:t>6）</w:t>
            </w:r>
            <w:r>
              <w:rPr>
                <w:rStyle w:val="19"/>
                <w:rFonts w:hint="eastAsia" w:ascii="仿宋" w:hAnsi="仿宋" w:eastAsia="仿宋" w:cs="仿宋"/>
                <w:color w:val="auto"/>
                <w:sz w:val="21"/>
                <w:highlight w:val="none"/>
                <w:lang w:val="zh-CN" w:eastAsia="zh-CN"/>
              </w:rPr>
              <w:t>投标人如有分包计划，符合招标文件第二章“投标人须知” 第1.11款规定，且按招标文件第九章“投标文件格式”的要求填写了“拟分包项目情况表”。</w:t>
            </w:r>
          </w:p>
          <w:p>
            <w:pPr>
              <w:pStyle w:val="18"/>
              <w:tabs>
                <w:tab w:val="left" w:pos="917"/>
              </w:tabs>
              <w:spacing w:before="120" w:beforeLines="50" w:line="240" w:lineRule="atLeast"/>
              <w:ind w:left="524" w:right="95"/>
              <w:jc w:val="both"/>
              <w:rPr>
                <w:rStyle w:val="19"/>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w:t>
            </w:r>
            <w:r>
              <w:rPr>
                <w:rFonts w:hint="eastAsia" w:ascii="仿宋" w:hAnsi="仿宋" w:eastAsia="仿宋" w:cs="仿宋"/>
                <w:color w:val="auto"/>
                <w:sz w:val="21"/>
                <w:highlight w:val="none"/>
                <w:lang w:eastAsia="zh-CN"/>
              </w:rPr>
              <w:t>7）</w:t>
            </w:r>
            <w:r>
              <w:rPr>
                <w:rStyle w:val="19"/>
                <w:rFonts w:hint="eastAsia" w:ascii="仿宋" w:hAnsi="仿宋" w:eastAsia="仿宋" w:cs="仿宋"/>
                <w:color w:val="auto"/>
                <w:sz w:val="21"/>
                <w:highlight w:val="none"/>
                <w:lang w:val="zh-CN" w:eastAsia="zh-CN"/>
              </w:rPr>
              <w:t>投标文件中未出现有关投标报价的内容。</w:t>
            </w:r>
          </w:p>
          <w:p>
            <w:pPr>
              <w:pStyle w:val="18"/>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（8）投标文件载明的招标项目完成期限未超过招标文件规定的时限。</w:t>
            </w:r>
          </w:p>
          <w:p>
            <w:pPr>
              <w:pStyle w:val="18"/>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（9）投标文件对招标文件的实质性要求和条件作出响应。</w:t>
            </w:r>
          </w:p>
          <w:p>
            <w:pPr>
              <w:pStyle w:val="18"/>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 xml:space="preserve"> 10）权利义务符合招标文件规定：</w:t>
            </w:r>
          </w:p>
          <w:p>
            <w:pPr>
              <w:pStyle w:val="18"/>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a.</w:t>
            </w:r>
            <w:r>
              <w:rPr>
                <w:rFonts w:hint="eastAsia" w:ascii="仿宋" w:hAnsi="仿宋" w:eastAsia="仿宋" w:cs="仿宋"/>
                <w:color w:val="auto"/>
                <w:sz w:val="21"/>
                <w:highlight w:val="none"/>
                <w:lang w:val="zh-CN" w:eastAsia="zh-CN"/>
              </w:rPr>
              <w:tab/>
            </w:r>
            <w:r>
              <w:rPr>
                <w:rFonts w:hint="eastAsia" w:ascii="仿宋" w:hAnsi="仿宋" w:eastAsia="仿宋" w:cs="仿宋"/>
                <w:color w:val="auto"/>
                <w:sz w:val="21"/>
                <w:highlight w:val="none"/>
                <w:lang w:val="zh-CN" w:eastAsia="zh-CN"/>
              </w:rPr>
              <w:t>投标人应接受招标文件规定的风险划分原则，未提出新的风险划分办法；</w:t>
            </w:r>
          </w:p>
          <w:p>
            <w:pPr>
              <w:pStyle w:val="18"/>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b.</w:t>
            </w:r>
            <w:r>
              <w:rPr>
                <w:rFonts w:hint="eastAsia" w:ascii="仿宋" w:hAnsi="仿宋" w:eastAsia="仿宋" w:cs="仿宋"/>
                <w:color w:val="auto"/>
                <w:sz w:val="21"/>
                <w:highlight w:val="none"/>
                <w:lang w:val="zh-CN" w:eastAsia="zh-CN"/>
              </w:rPr>
              <w:tab/>
            </w:r>
            <w:r>
              <w:rPr>
                <w:rFonts w:hint="eastAsia" w:ascii="仿宋" w:hAnsi="仿宋" w:eastAsia="仿宋" w:cs="仿宋"/>
                <w:color w:val="auto"/>
                <w:sz w:val="21"/>
                <w:highlight w:val="none"/>
                <w:lang w:val="zh-CN" w:eastAsia="zh-CN"/>
              </w:rPr>
              <w:t>投标人未增加发包人的责任范围，或减少投标人义务；</w:t>
            </w:r>
          </w:p>
          <w:p>
            <w:pPr>
              <w:pStyle w:val="18"/>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c.</w:t>
            </w:r>
            <w:r>
              <w:rPr>
                <w:rFonts w:hint="eastAsia" w:ascii="仿宋" w:hAnsi="仿宋" w:eastAsia="仿宋" w:cs="仿宋"/>
                <w:color w:val="auto"/>
                <w:sz w:val="21"/>
                <w:highlight w:val="none"/>
                <w:lang w:val="zh-CN" w:eastAsia="zh-CN"/>
              </w:rPr>
              <w:tab/>
            </w:r>
            <w:r>
              <w:rPr>
                <w:rFonts w:hint="eastAsia" w:ascii="仿宋" w:hAnsi="仿宋" w:eastAsia="仿宋" w:cs="仿宋"/>
                <w:color w:val="auto"/>
                <w:sz w:val="21"/>
                <w:highlight w:val="none"/>
                <w:lang w:val="zh-CN" w:eastAsia="zh-CN"/>
              </w:rPr>
              <w:t>投标人未提出不同的工程验收、计量、支付办法；</w:t>
            </w:r>
          </w:p>
          <w:p>
            <w:pPr>
              <w:pStyle w:val="18"/>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d.</w:t>
            </w:r>
            <w:r>
              <w:rPr>
                <w:rFonts w:hint="eastAsia" w:ascii="仿宋" w:hAnsi="仿宋" w:eastAsia="仿宋" w:cs="仿宋"/>
                <w:color w:val="auto"/>
                <w:sz w:val="21"/>
                <w:highlight w:val="none"/>
                <w:lang w:val="zh-CN" w:eastAsia="zh-CN"/>
              </w:rPr>
              <w:tab/>
            </w:r>
            <w:r>
              <w:rPr>
                <w:rFonts w:hint="eastAsia" w:ascii="仿宋" w:hAnsi="仿宋" w:eastAsia="仿宋" w:cs="仿宋"/>
                <w:color w:val="auto"/>
                <w:sz w:val="21"/>
                <w:highlight w:val="none"/>
                <w:lang w:val="zh-CN" w:eastAsia="zh-CN"/>
              </w:rPr>
              <w:t>投标人对合同纠纷、事故处理办法未提出异议；</w:t>
            </w:r>
          </w:p>
          <w:p>
            <w:pPr>
              <w:pStyle w:val="18"/>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e.</w:t>
            </w:r>
            <w:r>
              <w:rPr>
                <w:rFonts w:hint="eastAsia" w:ascii="仿宋" w:hAnsi="仿宋" w:eastAsia="仿宋" w:cs="仿宋"/>
                <w:color w:val="auto"/>
                <w:sz w:val="21"/>
                <w:highlight w:val="none"/>
                <w:lang w:val="zh-CN" w:eastAsia="zh-CN"/>
              </w:rPr>
              <w:tab/>
            </w:r>
            <w:r>
              <w:rPr>
                <w:rFonts w:hint="eastAsia" w:ascii="仿宋" w:hAnsi="仿宋" w:eastAsia="仿宋" w:cs="仿宋"/>
                <w:color w:val="auto"/>
                <w:sz w:val="21"/>
                <w:highlight w:val="none"/>
                <w:lang w:val="zh-CN" w:eastAsia="zh-CN"/>
              </w:rPr>
              <w:t>投标人在投标活动中无欺诈行为；</w:t>
            </w:r>
          </w:p>
          <w:p>
            <w:pPr>
              <w:pStyle w:val="18"/>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f.</w:t>
            </w:r>
            <w:r>
              <w:rPr>
                <w:rFonts w:hint="eastAsia" w:ascii="仿宋" w:hAnsi="仿宋" w:eastAsia="仿宋" w:cs="仿宋"/>
                <w:color w:val="auto"/>
                <w:sz w:val="21"/>
                <w:highlight w:val="none"/>
                <w:lang w:val="zh-CN" w:eastAsia="zh-CN"/>
              </w:rPr>
              <w:tab/>
            </w:r>
            <w:r>
              <w:rPr>
                <w:rFonts w:hint="eastAsia" w:ascii="仿宋" w:hAnsi="仿宋" w:eastAsia="仿宋" w:cs="仿宋"/>
                <w:color w:val="auto"/>
                <w:sz w:val="21"/>
                <w:highlight w:val="none"/>
                <w:lang w:val="zh-CN" w:eastAsia="zh-CN"/>
              </w:rPr>
              <w:t>投标人未对合同条款有重要保留。</w:t>
            </w:r>
          </w:p>
          <w:p>
            <w:pPr>
              <w:pStyle w:val="18"/>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 xml:space="preserve"> (11)投标文件正、副本份数符合招标文件第二章“投标人须知 第3.7.4项规定。</w:t>
            </w:r>
          </w:p>
          <w:p>
            <w:pPr>
              <w:pStyle w:val="18"/>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（12）至投标文件递交截止日，投标人的法定代表人、拟委任的项目经理（含备选）、项目总工（含备选）近三年均没有因行贿犯罪而被人民法院判决、裁定生效的行为并在投标函中予以承诺。</w:t>
            </w:r>
          </w:p>
          <w:p>
            <w:pPr>
              <w:pStyle w:val="18"/>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（13）投标文件未附有招标人不能接受的条件。</w:t>
            </w:r>
          </w:p>
          <w:p>
            <w:pPr>
              <w:pStyle w:val="18"/>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p>
          <w:p>
            <w:pPr>
              <w:pStyle w:val="18"/>
              <w:tabs>
                <w:tab w:val="left" w:pos="917"/>
              </w:tabs>
              <w:spacing w:before="120" w:beforeLines="50" w:line="240" w:lineRule="atLeast"/>
              <w:ind w:left="524" w:right="95"/>
              <w:rPr>
                <w:rFonts w:hint="eastAsia" w:ascii="仿宋" w:hAnsi="仿宋" w:eastAsia="仿宋" w:cs="仿宋"/>
                <w:b/>
                <w:bCs/>
                <w:color w:val="auto"/>
                <w:sz w:val="21"/>
                <w:highlight w:val="none"/>
                <w:lang w:val="zh-CN" w:eastAsia="zh-CN"/>
              </w:rPr>
            </w:pPr>
            <w:r>
              <w:rPr>
                <w:rFonts w:hint="eastAsia" w:ascii="仿宋" w:hAnsi="仿宋" w:eastAsia="仿宋" w:cs="仿宋"/>
                <w:b/>
                <w:bCs/>
                <w:color w:val="auto"/>
                <w:sz w:val="21"/>
                <w:highlight w:val="none"/>
                <w:lang w:val="zh-CN" w:eastAsia="zh-CN"/>
              </w:rPr>
              <w:t>第二个信封（报价文件）评审标准：</w:t>
            </w:r>
          </w:p>
          <w:p>
            <w:pPr>
              <w:pStyle w:val="18"/>
              <w:tabs>
                <w:tab w:val="left" w:pos="917"/>
              </w:tabs>
              <w:spacing w:before="120" w:beforeLines="50" w:line="240" w:lineRule="atLeast"/>
              <w:ind w:right="95" w:firstLine="315" w:firstLineChars="15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 xml:space="preserve"> (1)投标文件按照招标文件规定的格式、内容填写，字迹清晰可辨：</w:t>
            </w:r>
          </w:p>
          <w:p>
            <w:pPr>
              <w:pStyle w:val="18"/>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a.投标函按招标文件规定填报了项目名称、标段号、补遗书编号（如 有)、投标价（包括大写金额和小写金额)；</w:t>
            </w:r>
          </w:p>
          <w:p>
            <w:pPr>
              <w:pStyle w:val="18"/>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b.已标价工程量清单说明文字与招标文件规定一致，未进行实质性 修改和删减；</w:t>
            </w:r>
          </w:p>
          <w:p>
            <w:pPr>
              <w:pStyle w:val="18"/>
              <w:tabs>
                <w:tab w:val="left" w:pos="917"/>
              </w:tabs>
              <w:spacing w:before="120" w:beforeLines="50" w:line="240" w:lineRule="atLeast"/>
              <w:ind w:left="524" w:right="95"/>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c.投标文件（第二信封）组成齐全完整，内容均按规定填写。</w:t>
            </w:r>
          </w:p>
          <w:p>
            <w:pPr>
              <w:pStyle w:val="18"/>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（2）投标文件上法定代表人或其委托代理人的签字、投标人的单位章盖章齐全，符合招标文件规定。</w:t>
            </w:r>
          </w:p>
          <w:p>
            <w:pPr>
              <w:pStyle w:val="18"/>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（3）投标报价中的报价未超过招标文件设定的最高投标限价（如有)。</w:t>
            </w:r>
          </w:p>
          <w:p>
            <w:pPr>
              <w:pStyle w:val="18"/>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（4）投标报价中报价的大写金额能够确定具体数值。</w:t>
            </w:r>
          </w:p>
          <w:p>
            <w:pPr>
              <w:pStyle w:val="18"/>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（5）同一投标人未提交两个以上不同的投标报价，但招标文件要求提交备选投标的除外。</w:t>
            </w:r>
          </w:p>
          <w:p>
            <w:pPr>
              <w:pStyle w:val="18"/>
              <w:tabs>
                <w:tab w:val="left" w:pos="917"/>
              </w:tabs>
              <w:spacing w:before="120" w:beforeLines="50" w:line="240" w:lineRule="atLeast"/>
              <w:ind w:right="95" w:firstLine="420" w:firstLineChars="200"/>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（6）投标人若填写工程量固化清单，填写完毕的工程量固化清单未对工程量固化清单电子文件中的数据、格式和运算定义进行修改；工程量固化清单中的投标报价和投标函大写金额报价一致。</w:t>
            </w:r>
          </w:p>
          <w:p>
            <w:pPr>
              <w:pStyle w:val="18"/>
              <w:tabs>
                <w:tab w:val="left" w:pos="917"/>
              </w:tabs>
              <w:spacing w:before="120" w:beforeLines="50" w:line="240" w:lineRule="atLeast"/>
              <w:ind w:right="95" w:firstLine="420" w:firstLineChars="200"/>
              <w:jc w:val="both"/>
              <w:rPr>
                <w:rFonts w:hint="eastAsia" w:ascii="仿宋" w:hAnsi="仿宋" w:eastAsia="仿宋" w:cs="仿宋"/>
                <w:color w:val="auto"/>
                <w:sz w:val="21"/>
                <w:highlight w:val="none"/>
                <w:lang w:val="zh-CN" w:eastAsia="zh-CN"/>
              </w:rPr>
            </w:pPr>
            <w:r>
              <w:rPr>
                <w:rFonts w:hint="eastAsia" w:ascii="仿宋" w:hAnsi="仿宋" w:eastAsia="仿宋" w:cs="仿宋"/>
                <w:color w:val="auto"/>
                <w:sz w:val="21"/>
                <w:highlight w:val="none"/>
                <w:lang w:val="zh-CN" w:eastAsia="zh-CN"/>
              </w:rPr>
              <w:t>（7）投标文件正、副本份数符合招标文件第二章“投标人须知”第 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6" w:hRule="atLeast"/>
        </w:trPr>
        <w:tc>
          <w:tcPr>
            <w:tcW w:w="825"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2.1.2</w:t>
            </w:r>
          </w:p>
        </w:tc>
        <w:tc>
          <w:tcPr>
            <w:tcW w:w="1251"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w:t>
            </w:r>
          </w:p>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评审标准</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pStyle w:val="20"/>
              <w:shd w:val="clear" w:color="auto" w:fill="auto"/>
              <w:spacing w:before="120" w:beforeLines="50"/>
              <w:ind w:firstLine="420" w:firstLineChars="200"/>
              <w:rPr>
                <w:rStyle w:val="21"/>
                <w:rFonts w:hint="eastAsia" w:ascii="仿宋" w:hAnsi="仿宋" w:eastAsia="仿宋" w:cs="仿宋"/>
                <w:color w:val="auto"/>
                <w:kern w:val="2"/>
                <w:sz w:val="21"/>
                <w:szCs w:val="24"/>
                <w:highlight w:val="none"/>
                <w:lang w:val="zh-CN"/>
              </w:rPr>
            </w:pPr>
            <w:r>
              <w:rPr>
                <w:rStyle w:val="21"/>
                <w:rFonts w:hint="eastAsia" w:ascii="仿宋" w:hAnsi="仿宋" w:eastAsia="仿宋" w:cs="仿宋"/>
                <w:color w:val="auto"/>
                <w:kern w:val="2"/>
                <w:sz w:val="21"/>
                <w:szCs w:val="24"/>
                <w:highlight w:val="none"/>
              </w:rPr>
              <w:t>（1）</w:t>
            </w:r>
            <w:r>
              <w:rPr>
                <w:rStyle w:val="21"/>
                <w:rFonts w:hint="eastAsia" w:ascii="仿宋" w:hAnsi="仿宋" w:eastAsia="仿宋" w:cs="仿宋"/>
                <w:color w:val="auto"/>
                <w:kern w:val="2"/>
                <w:sz w:val="21"/>
                <w:szCs w:val="24"/>
                <w:highlight w:val="none"/>
                <w:lang w:val="zh-CN"/>
              </w:rPr>
              <w:t>投标人具备有效的营业执照、组织机构代码证</w:t>
            </w:r>
            <w:r>
              <w:rPr>
                <w:rFonts w:hint="eastAsia" w:ascii="仿宋" w:hAnsi="仿宋" w:eastAsia="仿宋" w:cs="仿宋"/>
                <w:color w:val="auto"/>
                <w:kern w:val="2"/>
                <w:sz w:val="21"/>
                <w:szCs w:val="24"/>
                <w:highlight w:val="none"/>
              </w:rPr>
              <w:t>（如有）</w:t>
            </w:r>
            <w:r>
              <w:rPr>
                <w:rStyle w:val="21"/>
                <w:rFonts w:hint="eastAsia" w:ascii="仿宋" w:hAnsi="仿宋" w:eastAsia="仿宋" w:cs="仿宋"/>
                <w:color w:val="auto"/>
                <w:kern w:val="2"/>
                <w:sz w:val="21"/>
                <w:szCs w:val="24"/>
                <w:highlight w:val="none"/>
                <w:lang w:val="zh-CN"/>
              </w:rPr>
              <w:t>、资质证书、 安全生产许可证和基本账户开户许可证；</w:t>
            </w:r>
          </w:p>
          <w:p>
            <w:pPr>
              <w:pStyle w:val="20"/>
              <w:shd w:val="clear" w:color="auto" w:fill="auto"/>
              <w:spacing w:before="120" w:beforeLines="50"/>
              <w:ind w:firstLine="420" w:firstLineChars="200"/>
              <w:rPr>
                <w:rStyle w:val="21"/>
                <w:rFonts w:hint="eastAsia" w:ascii="仿宋" w:hAnsi="仿宋" w:eastAsia="仿宋" w:cs="仿宋"/>
                <w:color w:val="auto"/>
                <w:kern w:val="2"/>
                <w:sz w:val="21"/>
                <w:szCs w:val="24"/>
                <w:highlight w:val="none"/>
                <w:lang w:val="zh-CN"/>
              </w:rPr>
            </w:pPr>
            <w:r>
              <w:rPr>
                <w:rStyle w:val="21"/>
                <w:rFonts w:hint="eastAsia" w:ascii="仿宋" w:hAnsi="仿宋" w:eastAsia="仿宋" w:cs="仿宋"/>
                <w:color w:val="auto"/>
                <w:kern w:val="2"/>
                <w:sz w:val="21"/>
                <w:szCs w:val="24"/>
                <w:highlight w:val="none"/>
                <w:lang w:val="zh-CN"/>
              </w:rPr>
              <w:t>（2）投标人的资质等级符合招标文件规定；</w:t>
            </w:r>
          </w:p>
          <w:p>
            <w:pPr>
              <w:pStyle w:val="20"/>
              <w:shd w:val="clear" w:color="auto" w:fill="auto"/>
              <w:spacing w:before="120" w:beforeLines="50"/>
              <w:ind w:firstLine="420" w:firstLineChars="200"/>
              <w:rPr>
                <w:rStyle w:val="21"/>
                <w:rFonts w:hint="eastAsia" w:ascii="仿宋" w:hAnsi="仿宋" w:eastAsia="仿宋" w:cs="仿宋"/>
                <w:color w:val="auto"/>
                <w:kern w:val="2"/>
                <w:sz w:val="21"/>
                <w:szCs w:val="24"/>
                <w:highlight w:val="none"/>
                <w:lang w:val="zh-CN"/>
              </w:rPr>
            </w:pPr>
            <w:r>
              <w:rPr>
                <w:rStyle w:val="21"/>
                <w:rFonts w:hint="eastAsia" w:ascii="仿宋" w:hAnsi="仿宋" w:eastAsia="仿宋" w:cs="仿宋"/>
                <w:color w:val="auto"/>
                <w:kern w:val="2"/>
                <w:sz w:val="21"/>
                <w:szCs w:val="24"/>
                <w:highlight w:val="none"/>
                <w:lang w:val="zh-CN"/>
              </w:rPr>
              <w:t>（3）投标人的财务状况符合招标文件规定；</w:t>
            </w:r>
          </w:p>
          <w:p>
            <w:pPr>
              <w:pStyle w:val="20"/>
              <w:shd w:val="clear" w:color="auto" w:fill="auto"/>
              <w:spacing w:before="120" w:beforeLines="50"/>
              <w:ind w:firstLine="420" w:firstLineChars="200"/>
              <w:rPr>
                <w:rStyle w:val="21"/>
                <w:rFonts w:hint="eastAsia" w:ascii="仿宋" w:hAnsi="仿宋" w:eastAsia="仿宋" w:cs="仿宋"/>
                <w:color w:val="auto"/>
                <w:kern w:val="2"/>
                <w:sz w:val="21"/>
                <w:szCs w:val="24"/>
                <w:highlight w:val="none"/>
                <w:lang w:val="zh-CN"/>
              </w:rPr>
            </w:pPr>
            <w:r>
              <w:rPr>
                <w:rStyle w:val="21"/>
                <w:rFonts w:hint="eastAsia" w:ascii="仿宋" w:hAnsi="仿宋" w:eastAsia="仿宋" w:cs="仿宋"/>
                <w:color w:val="auto"/>
                <w:kern w:val="2"/>
                <w:sz w:val="21"/>
                <w:szCs w:val="24"/>
                <w:highlight w:val="none"/>
                <w:lang w:val="zh-CN"/>
              </w:rPr>
              <w:t>（4）投标人的类似项目业绩符合招标文件规定；</w:t>
            </w:r>
          </w:p>
          <w:p>
            <w:pPr>
              <w:pStyle w:val="20"/>
              <w:shd w:val="clear" w:color="auto" w:fill="auto"/>
              <w:spacing w:before="120" w:beforeLines="50"/>
              <w:ind w:firstLine="420" w:firstLineChars="200"/>
              <w:rPr>
                <w:rStyle w:val="21"/>
                <w:rFonts w:hint="eastAsia" w:ascii="仿宋" w:hAnsi="仿宋" w:eastAsia="仿宋" w:cs="仿宋"/>
                <w:color w:val="auto"/>
                <w:kern w:val="2"/>
                <w:sz w:val="21"/>
                <w:szCs w:val="24"/>
                <w:highlight w:val="none"/>
                <w:lang w:val="zh-CN"/>
              </w:rPr>
            </w:pPr>
            <w:r>
              <w:rPr>
                <w:rStyle w:val="21"/>
                <w:rFonts w:hint="eastAsia" w:ascii="仿宋" w:hAnsi="仿宋" w:eastAsia="仿宋" w:cs="仿宋"/>
                <w:color w:val="auto"/>
                <w:kern w:val="2"/>
                <w:sz w:val="21"/>
                <w:szCs w:val="24"/>
                <w:highlight w:val="none"/>
                <w:lang w:val="zh-CN"/>
              </w:rPr>
              <w:t>（5）投标人的信誉符合招标文件规定；</w:t>
            </w:r>
          </w:p>
          <w:p>
            <w:pPr>
              <w:pStyle w:val="20"/>
              <w:shd w:val="clear" w:color="auto" w:fill="auto"/>
              <w:spacing w:before="120" w:beforeLines="50"/>
              <w:ind w:firstLine="420" w:firstLineChars="200"/>
              <w:rPr>
                <w:rFonts w:hint="eastAsia" w:ascii="仿宋" w:hAnsi="仿宋" w:eastAsia="仿宋" w:cs="仿宋"/>
                <w:color w:val="auto"/>
                <w:kern w:val="2"/>
                <w:sz w:val="21"/>
                <w:szCs w:val="24"/>
                <w:highlight w:val="none"/>
              </w:rPr>
            </w:pPr>
            <w:r>
              <w:rPr>
                <w:rStyle w:val="21"/>
                <w:rFonts w:hint="eastAsia" w:ascii="仿宋" w:hAnsi="仿宋" w:eastAsia="仿宋" w:cs="仿宋"/>
                <w:color w:val="auto"/>
                <w:kern w:val="2"/>
                <w:sz w:val="21"/>
                <w:szCs w:val="24"/>
                <w:highlight w:val="none"/>
                <w:lang w:val="zh-CN"/>
              </w:rPr>
              <w:t>（6）</w:t>
            </w:r>
            <w:r>
              <w:rPr>
                <w:rStyle w:val="21"/>
                <w:rFonts w:hint="eastAsia" w:ascii="仿宋" w:hAnsi="仿宋" w:eastAsia="仿宋" w:cs="仿宋"/>
                <w:color w:val="auto"/>
                <w:kern w:val="2"/>
                <w:sz w:val="21"/>
                <w:szCs w:val="24"/>
                <w:highlight w:val="none"/>
              </w:rPr>
              <w:t>投标人的项目经理和项目总工资格（均含备选，如有）、在岗情况</w:t>
            </w:r>
            <w:r>
              <w:rPr>
                <w:rStyle w:val="22"/>
                <w:rFonts w:hint="eastAsia" w:ascii="仿宋" w:hAnsi="仿宋" w:eastAsia="仿宋" w:cs="仿宋"/>
                <w:color w:val="auto"/>
                <w:kern w:val="2"/>
                <w:highlight w:val="none"/>
                <w:lang w:val="zh-CN"/>
              </w:rPr>
              <w:t>符合招标文件规定；</w:t>
            </w:r>
          </w:p>
          <w:p>
            <w:pPr>
              <w:pStyle w:val="23"/>
              <w:shd w:val="clear" w:color="auto" w:fill="auto"/>
              <w:tabs>
                <w:tab w:val="left" w:pos="1075"/>
              </w:tabs>
              <w:spacing w:before="120" w:beforeLines="50" w:line="240" w:lineRule="atLeast"/>
              <w:ind w:firstLine="440" w:firstLineChars="200"/>
              <w:jc w:val="both"/>
              <w:rPr>
                <w:rFonts w:hint="eastAsia" w:ascii="仿宋" w:hAnsi="仿宋" w:eastAsia="仿宋" w:cs="仿宋"/>
                <w:color w:val="auto"/>
                <w:kern w:val="2"/>
                <w:highlight w:val="none"/>
              </w:rPr>
            </w:pPr>
            <w:r>
              <w:rPr>
                <w:rStyle w:val="22"/>
                <w:rFonts w:hint="eastAsia" w:ascii="仿宋" w:hAnsi="仿宋" w:eastAsia="仿宋" w:cs="仿宋"/>
                <w:color w:val="auto"/>
                <w:kern w:val="2"/>
                <w:highlight w:val="none"/>
              </w:rPr>
              <w:t>（7）</w:t>
            </w:r>
            <w:r>
              <w:rPr>
                <w:rStyle w:val="22"/>
                <w:rFonts w:hint="eastAsia" w:ascii="仿宋" w:hAnsi="仿宋" w:eastAsia="仿宋" w:cs="仿宋"/>
                <w:color w:val="auto"/>
                <w:kern w:val="2"/>
                <w:highlight w:val="none"/>
                <w:lang w:val="zh-CN"/>
              </w:rPr>
              <w:t>投标人的其他要求符合招标文件规定</w:t>
            </w:r>
            <w:r>
              <w:rPr>
                <w:rStyle w:val="22"/>
                <w:rFonts w:hint="eastAsia" w:ascii="仿宋" w:hAnsi="仿宋" w:eastAsia="仿宋" w:cs="仿宋"/>
                <w:color w:val="auto"/>
                <w:kern w:val="2"/>
                <w:highlight w:val="none"/>
                <w:vertAlign w:val="subscript"/>
                <w:lang w:val="zh-CN"/>
              </w:rPr>
              <w:t>；</w:t>
            </w:r>
          </w:p>
          <w:p>
            <w:pPr>
              <w:pStyle w:val="23"/>
              <w:shd w:val="clear" w:color="auto" w:fill="auto"/>
              <w:tabs>
                <w:tab w:val="left" w:pos="943"/>
              </w:tabs>
              <w:spacing w:before="120" w:beforeLines="50" w:line="240" w:lineRule="atLeast"/>
              <w:ind w:firstLine="440" w:firstLineChars="200"/>
              <w:jc w:val="both"/>
              <w:rPr>
                <w:rFonts w:hint="eastAsia" w:ascii="仿宋" w:hAnsi="仿宋" w:eastAsia="仿宋" w:cs="仿宋"/>
                <w:color w:val="auto"/>
                <w:kern w:val="2"/>
                <w:highlight w:val="none"/>
              </w:rPr>
            </w:pPr>
            <w:r>
              <w:rPr>
                <w:rStyle w:val="22"/>
                <w:rFonts w:hint="eastAsia" w:ascii="仿宋" w:hAnsi="仿宋" w:eastAsia="仿宋" w:cs="仿宋"/>
                <w:color w:val="auto"/>
                <w:kern w:val="2"/>
                <w:highlight w:val="none"/>
              </w:rPr>
              <w:t>（8）</w:t>
            </w:r>
            <w:r>
              <w:rPr>
                <w:rStyle w:val="22"/>
                <w:rFonts w:hint="eastAsia" w:ascii="仿宋" w:hAnsi="仿宋" w:eastAsia="仿宋" w:cs="仿宋"/>
                <w:color w:val="auto"/>
                <w:kern w:val="2"/>
                <w:highlight w:val="none"/>
                <w:lang w:val="zh-CN"/>
              </w:rPr>
              <w:t>投标人不存在第二章“投标人须知”第</w:t>
            </w:r>
            <w:r>
              <w:rPr>
                <w:rStyle w:val="22"/>
                <w:rFonts w:hint="eastAsia" w:ascii="仿宋" w:hAnsi="仿宋" w:eastAsia="仿宋" w:cs="仿宋"/>
                <w:color w:val="auto"/>
                <w:kern w:val="2"/>
                <w:highlight w:val="none"/>
              </w:rPr>
              <w:t>1.4.3</w:t>
            </w:r>
            <w:r>
              <w:rPr>
                <w:rStyle w:val="22"/>
                <w:rFonts w:hint="eastAsia" w:ascii="仿宋" w:hAnsi="仿宋" w:eastAsia="仿宋" w:cs="仿宋"/>
                <w:color w:val="auto"/>
                <w:kern w:val="2"/>
                <w:highlight w:val="none"/>
                <w:lang w:val="zh-CN"/>
              </w:rPr>
              <w:t>项或第</w:t>
            </w:r>
            <w:r>
              <w:rPr>
                <w:rStyle w:val="22"/>
                <w:rFonts w:hint="eastAsia" w:ascii="仿宋" w:hAnsi="仿宋" w:eastAsia="仿宋" w:cs="仿宋"/>
                <w:color w:val="auto"/>
                <w:kern w:val="2"/>
                <w:highlight w:val="none"/>
              </w:rPr>
              <w:t>1.4.4</w:t>
            </w:r>
            <w:r>
              <w:rPr>
                <w:rStyle w:val="22"/>
                <w:rFonts w:hint="eastAsia" w:ascii="仿宋" w:hAnsi="仿宋" w:eastAsia="仿宋" w:cs="仿宋"/>
                <w:color w:val="auto"/>
                <w:kern w:val="2"/>
                <w:highlight w:val="none"/>
                <w:lang w:val="zh-CN"/>
              </w:rPr>
              <w:t>项规定的任何一种情形；</w:t>
            </w:r>
          </w:p>
          <w:p>
            <w:pPr>
              <w:spacing w:before="120" w:beforeLines="50" w:line="240" w:lineRule="atLeast"/>
              <w:ind w:firstLine="440" w:firstLineChars="200"/>
              <w:rPr>
                <w:rFonts w:hint="eastAsia" w:ascii="仿宋" w:hAnsi="仿宋" w:eastAsia="仿宋" w:cs="仿宋"/>
                <w:color w:val="auto"/>
                <w:szCs w:val="21"/>
                <w:highlight w:val="none"/>
              </w:rPr>
            </w:pPr>
            <w:r>
              <w:rPr>
                <w:rStyle w:val="22"/>
                <w:rFonts w:hint="eastAsia" w:ascii="仿宋" w:hAnsi="仿宋" w:eastAsia="仿宋" w:cs="仿宋"/>
                <w:color w:val="auto"/>
                <w:highlight w:val="none"/>
              </w:rPr>
              <w:t>（9）</w:t>
            </w:r>
            <w:r>
              <w:rPr>
                <w:rStyle w:val="22"/>
                <w:rFonts w:hint="eastAsia" w:ascii="仿宋" w:hAnsi="仿宋" w:eastAsia="仿宋" w:cs="仿宋"/>
                <w:color w:val="auto"/>
                <w:highlight w:val="none"/>
                <w:lang w:val="zh-CN"/>
              </w:rPr>
              <w:t>投标人符合第二章</w:t>
            </w:r>
            <w:r>
              <w:rPr>
                <w:rStyle w:val="22"/>
                <w:rFonts w:hint="eastAsia" w:ascii="仿宋" w:hAnsi="仿宋" w:eastAsia="仿宋" w:cs="仿宋"/>
                <w:color w:val="auto"/>
                <w:highlight w:val="none"/>
              </w:rPr>
              <w:t>“</w:t>
            </w:r>
            <w:r>
              <w:rPr>
                <w:rStyle w:val="22"/>
                <w:rFonts w:hint="eastAsia" w:ascii="仿宋" w:hAnsi="仿宋" w:eastAsia="仿宋" w:cs="仿宋"/>
                <w:color w:val="auto"/>
                <w:highlight w:val="none"/>
                <w:lang w:val="zh-CN"/>
              </w:rPr>
              <w:t>投标人须知</w:t>
            </w:r>
            <w:r>
              <w:rPr>
                <w:rStyle w:val="22"/>
                <w:rFonts w:hint="eastAsia" w:ascii="仿宋" w:hAnsi="仿宋" w:eastAsia="仿宋" w:cs="仿宋"/>
                <w:color w:val="auto"/>
                <w:highlight w:val="none"/>
              </w:rPr>
              <w:t>”</w:t>
            </w:r>
            <w:r>
              <w:rPr>
                <w:rStyle w:val="22"/>
                <w:rFonts w:hint="eastAsia" w:ascii="仿宋" w:hAnsi="仿宋" w:eastAsia="仿宋" w:cs="仿宋"/>
                <w:color w:val="auto"/>
                <w:highlight w:val="none"/>
                <w:lang w:val="zh-CN"/>
              </w:rPr>
              <w:t>第</w:t>
            </w:r>
            <w:r>
              <w:rPr>
                <w:rStyle w:val="22"/>
                <w:rFonts w:hint="eastAsia" w:ascii="仿宋" w:hAnsi="仿宋" w:eastAsia="仿宋" w:cs="仿宋"/>
                <w:color w:val="auto"/>
                <w:highlight w:val="none"/>
              </w:rPr>
              <w:t>1.4.5</w:t>
            </w:r>
            <w:r>
              <w:rPr>
                <w:rStyle w:val="22"/>
                <w:rFonts w:hint="eastAsia" w:ascii="仿宋" w:hAnsi="仿宋" w:eastAsia="仿宋" w:cs="仿宋"/>
                <w:color w:val="auto"/>
                <w:highlight w:val="none"/>
                <w:lang w:val="zh-CN"/>
              </w:rPr>
              <w:t>项规定</w:t>
            </w:r>
            <w:r>
              <w:rPr>
                <w:rStyle w:val="22"/>
                <w:rFonts w:hint="eastAsia" w:ascii="仿宋" w:hAnsi="仿宋" w:eastAsia="仿宋" w:cs="仿宋"/>
                <w:color w:val="auto"/>
                <w:highlight w:val="none"/>
                <w:vertAlign w:val="subscript"/>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8" w:hRule="atLeast"/>
        </w:trPr>
        <w:tc>
          <w:tcPr>
            <w:tcW w:w="825"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w:t>
            </w:r>
          </w:p>
        </w:tc>
        <w:tc>
          <w:tcPr>
            <w:tcW w:w="1251"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line="24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第一个信封（商务及技术文件）评分分值构成：</w:t>
            </w:r>
          </w:p>
          <w:p>
            <w:pPr>
              <w:snapToGrid w:val="0"/>
              <w:spacing w:before="120" w:beforeLines="50" w:line="240" w:lineRule="atLeast"/>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施工组织设计（A）：</w:t>
            </w:r>
            <w:r>
              <w:rPr>
                <w:rFonts w:hint="eastAsia" w:ascii="仿宋" w:hAnsi="仿宋" w:eastAsia="仿宋" w:cs="仿宋"/>
                <w:bCs/>
                <w:color w:val="auto"/>
                <w:szCs w:val="21"/>
                <w:highlight w:val="none"/>
                <w:u w:val="single"/>
              </w:rPr>
              <w:t>7分</w:t>
            </w:r>
          </w:p>
          <w:p>
            <w:pPr>
              <w:snapToGrid w:val="0"/>
              <w:spacing w:before="120" w:beforeLines="50" w:line="24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主要人员(B)：  </w:t>
            </w:r>
            <w:r>
              <w:rPr>
                <w:rFonts w:hint="eastAsia" w:ascii="仿宋" w:hAnsi="仿宋" w:eastAsia="仿宋" w:cs="仿宋"/>
                <w:color w:val="auto"/>
                <w:szCs w:val="21"/>
                <w:highlight w:val="none"/>
                <w:u w:val="single"/>
              </w:rPr>
              <w:t>1</w:t>
            </w:r>
            <w:r>
              <w:rPr>
                <w:rFonts w:hint="eastAsia" w:ascii="仿宋" w:hAnsi="仿宋" w:eastAsia="仿宋" w:cs="仿宋"/>
                <w:color w:val="auto"/>
                <w:szCs w:val="21"/>
                <w:highlight w:val="none"/>
              </w:rPr>
              <w:t>分</w:t>
            </w:r>
          </w:p>
          <w:p>
            <w:pPr>
              <w:snapToGrid w:val="0"/>
              <w:spacing w:before="120" w:beforeLines="50" w:line="24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其它因素(D)</w:t>
            </w:r>
          </w:p>
          <w:p>
            <w:pPr>
              <w:snapToGrid w:val="0"/>
              <w:spacing w:before="120" w:beforeLines="50" w:line="240" w:lineRule="atLeast"/>
              <w:ind w:firstLine="315"/>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设备配置：</w:t>
            </w:r>
            <w:r>
              <w:rPr>
                <w:rFonts w:hint="eastAsia" w:ascii="仿宋" w:hAnsi="仿宋" w:eastAsia="仿宋" w:cs="仿宋"/>
                <w:color w:val="auto"/>
                <w:szCs w:val="21"/>
                <w:highlight w:val="none"/>
                <w:u w:val="single"/>
              </w:rPr>
              <w:t>1分</w:t>
            </w:r>
          </w:p>
          <w:p>
            <w:pPr>
              <w:snapToGrid w:val="0"/>
              <w:spacing w:before="120" w:beforeLines="50" w:line="240" w:lineRule="atLeast"/>
              <w:ind w:firstLine="315"/>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财务能力：</w:t>
            </w:r>
            <w:r>
              <w:rPr>
                <w:rFonts w:hint="eastAsia" w:ascii="仿宋" w:hAnsi="仿宋" w:eastAsia="仿宋" w:cs="仿宋"/>
                <w:color w:val="auto"/>
                <w:szCs w:val="21"/>
                <w:highlight w:val="none"/>
                <w:u w:val="single"/>
              </w:rPr>
              <w:t>1分</w:t>
            </w:r>
            <w:r>
              <w:rPr>
                <w:rFonts w:hint="eastAsia" w:ascii="仿宋" w:hAnsi="仿宋" w:eastAsia="仿宋" w:cs="仿宋"/>
                <w:color w:val="auto"/>
                <w:szCs w:val="21"/>
                <w:highlight w:val="none"/>
              </w:rPr>
              <w:t xml:space="preserve"> </w:t>
            </w:r>
          </w:p>
          <w:p>
            <w:pPr>
              <w:snapToGrid w:val="0"/>
              <w:spacing w:before="120" w:beforeLines="50" w:line="240" w:lineRule="atLeast"/>
              <w:ind w:firstLine="315"/>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业    绩：</w:t>
            </w:r>
            <w:r>
              <w:rPr>
                <w:rFonts w:hint="eastAsia" w:ascii="仿宋" w:hAnsi="仿宋" w:eastAsia="仿宋" w:cs="仿宋"/>
                <w:color w:val="auto"/>
                <w:szCs w:val="21"/>
                <w:highlight w:val="none"/>
                <w:u w:val="single"/>
              </w:rPr>
              <w:t>5分</w:t>
            </w:r>
          </w:p>
          <w:p>
            <w:pPr>
              <w:snapToGrid w:val="0"/>
              <w:spacing w:before="120" w:beforeLines="50" w:line="240" w:lineRule="atLeast"/>
              <w:ind w:firstLine="315"/>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履约信誉：</w:t>
            </w:r>
            <w:r>
              <w:rPr>
                <w:rFonts w:hint="eastAsia" w:ascii="仿宋" w:hAnsi="仿宋" w:eastAsia="仿宋" w:cs="仿宋"/>
                <w:bCs/>
                <w:color w:val="auto"/>
                <w:szCs w:val="21"/>
                <w:highlight w:val="none"/>
                <w:u w:val="single"/>
              </w:rPr>
              <w:t>5分</w:t>
            </w:r>
          </w:p>
          <w:p>
            <w:pPr>
              <w:snapToGrid w:val="0"/>
              <w:spacing w:before="120" w:beforeLines="50" w:line="24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第二个信封报价（评标价）的分值(C)：</w:t>
            </w:r>
          </w:p>
          <w:p>
            <w:pPr>
              <w:pStyle w:val="23"/>
              <w:shd w:val="clear" w:color="auto" w:fill="auto"/>
              <w:spacing w:before="120" w:beforeLines="50" w:line="240" w:lineRule="atLeast"/>
              <w:jc w:val="both"/>
              <w:rPr>
                <w:rFonts w:hint="eastAsia" w:ascii="仿宋" w:hAnsi="仿宋" w:eastAsia="仿宋" w:cs="仿宋"/>
                <w:color w:val="auto"/>
                <w:kern w:val="2"/>
                <w:sz w:val="21"/>
                <w:szCs w:val="21"/>
                <w:highlight w:val="none"/>
              </w:rPr>
            </w:pPr>
            <w:r>
              <w:rPr>
                <w:rStyle w:val="24"/>
                <w:rFonts w:hint="eastAsia" w:ascii="仿宋" w:hAnsi="仿宋" w:eastAsia="仿宋" w:cs="仿宋"/>
                <w:b w:val="0"/>
                <w:color w:val="auto"/>
                <w:kern w:val="2"/>
                <w:sz w:val="21"/>
                <w:szCs w:val="21"/>
                <w:highlight w:val="none"/>
              </w:rPr>
              <w:t xml:space="preserve">   </w:t>
            </w:r>
            <w:r>
              <w:rPr>
                <w:rStyle w:val="24"/>
                <w:rFonts w:hint="eastAsia" w:ascii="仿宋" w:hAnsi="仿宋" w:eastAsia="仿宋" w:cs="仿宋"/>
                <w:b w:val="0"/>
                <w:color w:val="auto"/>
                <w:kern w:val="2"/>
                <w:sz w:val="21"/>
                <w:szCs w:val="21"/>
                <w:highlight w:val="none"/>
                <w:lang w:val="zh-CN"/>
              </w:rPr>
              <w:t>第二个信封（报价文件）评分分值构成：</w:t>
            </w:r>
          </w:p>
          <w:p>
            <w:pPr>
              <w:snapToGrid w:val="0"/>
              <w:spacing w:before="120" w:beforeLines="50" w:line="240" w:lineRule="atLeast"/>
              <w:rPr>
                <w:rStyle w:val="22"/>
                <w:rFonts w:hint="eastAsia" w:ascii="仿宋" w:hAnsi="仿宋" w:eastAsia="仿宋" w:cs="仿宋"/>
                <w:color w:val="auto"/>
                <w:highlight w:val="none"/>
              </w:rPr>
            </w:pPr>
            <w:r>
              <w:rPr>
                <w:rFonts w:hint="eastAsia" w:ascii="仿宋" w:hAnsi="仿宋" w:eastAsia="仿宋" w:cs="仿宋"/>
                <w:color w:val="auto"/>
                <w:szCs w:val="21"/>
                <w:highlight w:val="none"/>
              </w:rPr>
              <w:t xml:space="preserve">   评标价：</w:t>
            </w:r>
            <w:r>
              <w:rPr>
                <w:rFonts w:hint="eastAsia" w:ascii="仿宋" w:hAnsi="仿宋" w:eastAsia="仿宋" w:cs="仿宋"/>
                <w:bCs/>
                <w:color w:val="auto"/>
                <w:szCs w:val="21"/>
                <w:highlight w:val="none"/>
                <w:u w:val="single"/>
              </w:rPr>
              <w:t>80</w:t>
            </w:r>
            <w:r>
              <w:rPr>
                <w:rFonts w:hint="eastAsia" w:ascii="仿宋" w:hAnsi="仿宋" w:eastAsia="仿宋" w:cs="仿宋"/>
                <w:bCs/>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5" w:hRule="atLeast"/>
        </w:trPr>
        <w:tc>
          <w:tcPr>
            <w:tcW w:w="825"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w:t>
            </w:r>
          </w:p>
        </w:tc>
        <w:tc>
          <w:tcPr>
            <w:tcW w:w="1251"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w:t>
            </w:r>
          </w:p>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基准价</w:t>
            </w:r>
          </w:p>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计算方法</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240" w:lineRule="atLeast"/>
              <w:ind w:firstLine="21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评标基准价的计算：</w:t>
            </w:r>
          </w:p>
          <w:p>
            <w:pPr>
              <w:spacing w:before="120" w:beforeLines="50" w:line="240" w:lineRule="atLeast"/>
              <w:ind w:firstLine="210"/>
              <w:jc w:val="left"/>
              <w:rPr>
                <w:rFonts w:hint="eastAsia" w:ascii="仿宋" w:hAnsi="仿宋" w:eastAsia="仿宋" w:cs="仿宋"/>
                <w:color w:val="auto"/>
                <w:szCs w:val="21"/>
                <w:highlight w:val="none"/>
              </w:rPr>
            </w:pPr>
            <w:r>
              <w:rPr>
                <w:rStyle w:val="22"/>
                <w:rFonts w:hint="eastAsia" w:ascii="仿宋" w:hAnsi="仿宋" w:eastAsia="仿宋" w:cs="仿宋"/>
                <w:color w:val="auto"/>
                <w:sz w:val="21"/>
                <w:szCs w:val="21"/>
                <w:highlight w:val="none"/>
                <w:lang w:val="zh-CN"/>
              </w:rPr>
              <w:t>在开标现场，招标人将当场计算并宣布评标基准价。</w:t>
            </w:r>
          </w:p>
          <w:p>
            <w:pPr>
              <w:spacing w:before="120" w:beforeLines="50" w:line="240" w:lineRule="atLeast"/>
              <w:ind w:firstLine="210"/>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（1）评标价的确定：</w:t>
            </w:r>
          </w:p>
          <w:p>
            <w:pPr>
              <w:spacing w:before="120" w:beforeLines="50" w:line="240" w:lineRule="atLeast"/>
              <w:ind w:firstLine="21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评标价＝投标函文字报价</w:t>
            </w:r>
          </w:p>
          <w:p>
            <w:pPr>
              <w:numPr>
                <w:ilvl w:val="0"/>
                <w:numId w:val="3"/>
              </w:numPr>
              <w:autoSpaceDE w:val="0"/>
              <w:autoSpaceDN w:val="0"/>
              <w:spacing w:before="120" w:beforeLines="50" w:line="240" w:lineRule="atLeast"/>
              <w:ind w:firstLine="210"/>
              <w:rPr>
                <w:rFonts w:hint="eastAsia" w:ascii="仿宋" w:hAnsi="仿宋" w:eastAsia="仿宋" w:cs="仿宋"/>
                <w:color w:val="auto"/>
                <w:highlight w:val="none"/>
              </w:rPr>
            </w:pPr>
            <w:r>
              <w:rPr>
                <w:rFonts w:hint="eastAsia" w:ascii="仿宋" w:hAnsi="仿宋" w:eastAsia="仿宋" w:cs="仿宋"/>
                <w:color w:val="auto"/>
                <w:highlight w:val="none"/>
              </w:rPr>
              <w:t>最高评标限价的确定</w:t>
            </w:r>
          </w:p>
          <w:p>
            <w:pPr>
              <w:autoSpaceDE w:val="0"/>
              <w:autoSpaceDN w:val="0"/>
              <w:spacing w:before="120" w:beforeLines="50" w:line="240" w:lineRule="atLeast"/>
              <w:ind w:firstLine="210"/>
              <w:rPr>
                <w:rFonts w:hint="eastAsia" w:ascii="仿宋" w:hAnsi="仿宋" w:eastAsia="仿宋" w:cs="仿宋"/>
                <w:color w:val="auto"/>
                <w:highlight w:val="none"/>
              </w:rPr>
            </w:pPr>
            <w:r>
              <w:rPr>
                <w:rFonts w:hint="eastAsia" w:ascii="仿宋" w:hAnsi="仿宋" w:eastAsia="仿宋" w:cs="仿宋"/>
                <w:color w:val="auto"/>
                <w:highlight w:val="none"/>
              </w:rPr>
              <w:t xml:space="preserve">  最高投标限价下浮率在开标前在开标现场采取摇珠方式确定。摇珠操作办法如下：在下浮率摇珠范围内，以0.1%为一档次增序确定摇珠号码，不少于31个球，一次性摇出3 个球（摇出的球不放回），摇出3个球对应的下浮率的平均值即为本项目招标的下浮率。</w:t>
            </w:r>
          </w:p>
          <w:p>
            <w:pPr>
              <w:autoSpaceDE w:val="0"/>
              <w:autoSpaceDN w:val="0"/>
              <w:spacing w:before="120" w:beforeLines="50" w:line="240" w:lineRule="atLeast"/>
              <w:ind w:firstLine="211"/>
              <w:rPr>
                <w:rFonts w:hint="eastAsia" w:ascii="仿宋" w:hAnsi="仿宋" w:eastAsia="仿宋" w:cs="仿宋"/>
                <w:color w:val="auto"/>
                <w:szCs w:val="21"/>
                <w:highlight w:val="none"/>
              </w:rPr>
            </w:pPr>
            <w:r>
              <w:rPr>
                <w:rFonts w:hint="eastAsia" w:ascii="仿宋" w:hAnsi="仿宋" w:eastAsia="仿宋" w:cs="仿宋"/>
                <w:b/>
                <w:snapToGrid w:val="0"/>
                <w:color w:val="auto"/>
                <w:szCs w:val="21"/>
                <w:highlight w:val="none"/>
              </w:rPr>
              <w:t>（注：下浮率范围控制在2%～5%，三个下浮率的平均值四舍五入取整到0.001％）。</w:t>
            </w:r>
          </w:p>
          <w:p>
            <w:pPr>
              <w:spacing w:before="120" w:beforeLines="50" w:line="240" w:lineRule="atLeast"/>
              <w:ind w:firstLine="360"/>
              <w:rPr>
                <w:rFonts w:hint="eastAsia" w:ascii="仿宋" w:hAnsi="仿宋" w:eastAsia="仿宋" w:cs="仿宋"/>
                <w:color w:val="auto"/>
                <w:szCs w:val="21"/>
                <w:highlight w:val="none"/>
              </w:rPr>
            </w:pPr>
            <w:r>
              <w:rPr>
                <w:rFonts w:hint="eastAsia" w:ascii="仿宋" w:hAnsi="仿宋" w:eastAsia="仿宋" w:cs="仿宋"/>
                <w:color w:val="auto"/>
                <w:sz w:val="18"/>
                <w:szCs w:val="18"/>
                <w:highlight w:val="none"/>
              </w:rPr>
              <w:t xml:space="preserve"> </w:t>
            </w:r>
            <w:r>
              <w:rPr>
                <w:rFonts w:hint="eastAsia" w:ascii="仿宋" w:hAnsi="仿宋" w:eastAsia="仿宋" w:cs="仿宋"/>
                <w:color w:val="auto"/>
                <w:highlight w:val="none"/>
              </w:rPr>
              <w:t>最高评标限价＝最高投标限价×（1-下浮率）</w:t>
            </w:r>
          </w:p>
          <w:p>
            <w:pPr>
              <w:spacing w:before="120" w:beforeLines="50" w:line="24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(3)有效评标价范围：</w:t>
            </w:r>
          </w:p>
          <w:p>
            <w:pPr>
              <w:spacing w:before="120" w:beforeLines="50" w:line="240" w:lineRule="atLeast"/>
              <w:ind w:firstLine="42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有效评标价范围：不大于招标人最高评标限价的评标价为有效评标价。大于招标人最高评标限价的评标价，将否决其投标。</w:t>
            </w:r>
          </w:p>
          <w:p>
            <w:pPr>
              <w:spacing w:before="120" w:beforeLines="50" w:line="24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（4）评标基准价的确定：</w:t>
            </w:r>
          </w:p>
          <w:p>
            <w:pPr>
              <w:spacing w:before="120" w:beforeLines="50" w:line="240" w:lineRule="atLeas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招标人最高评标限价下浮1%为评标基准价。</w:t>
            </w:r>
          </w:p>
          <w:p>
            <w:pPr>
              <w:snapToGrid w:val="0"/>
              <w:spacing w:before="120" w:beforeLines="50" w:line="240" w:lineRule="atLeast"/>
              <w:ind w:firstLine="181"/>
              <w:rPr>
                <w:rFonts w:hint="eastAsia" w:ascii="仿宋" w:hAnsi="仿宋" w:eastAsia="仿宋" w:cs="仿宋"/>
                <w:color w:val="auto"/>
                <w:szCs w:val="21"/>
                <w:highlight w:val="none"/>
              </w:rPr>
            </w:pPr>
            <w:r>
              <w:rPr>
                <w:rFonts w:hint="eastAsia" w:ascii="仿宋" w:hAnsi="仿宋" w:eastAsia="仿宋" w:cs="仿宋"/>
                <w:b/>
                <w:color w:val="auto"/>
                <w:sz w:val="18"/>
                <w:szCs w:val="18"/>
                <w:highlight w:val="none"/>
              </w:rPr>
              <w:t>（注: 招标人最高评标限价、评标基准价四舍五入至个位整数。）</w:t>
            </w:r>
            <w:r>
              <w:rPr>
                <w:rFonts w:hint="eastAsia" w:ascii="仿宋" w:hAnsi="仿宋" w:eastAsia="仿宋" w:cs="仿宋"/>
                <w:color w:val="auto"/>
                <w:sz w:val="18"/>
                <w:szCs w:val="18"/>
                <w:highlight w:val="none"/>
              </w:rPr>
              <w:t xml:space="preserve">  </w:t>
            </w:r>
            <w:r>
              <w:rPr>
                <w:rFonts w:hint="eastAsia" w:ascii="仿宋" w:hAnsi="仿宋" w:eastAsia="仿宋" w:cs="仿宋"/>
                <w:vanish/>
                <w:color w:val="auto"/>
                <w:sz w:val="18"/>
                <w:szCs w:val="18"/>
                <w:highlight w:val="none"/>
              </w:rPr>
              <w:cr/>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825"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w:t>
            </w:r>
          </w:p>
        </w:tc>
        <w:tc>
          <w:tcPr>
            <w:tcW w:w="1251" w:type="dxa"/>
            <w:tcBorders>
              <w:top w:val="single" w:color="auto" w:sz="4" w:space="0"/>
              <w:bottom w:val="single" w:color="auto" w:sz="4" w:space="0"/>
              <w:right w:val="single" w:color="auto" w:sz="4" w:space="0"/>
            </w:tcBorders>
            <w:noWrap w:val="0"/>
            <w:vAlign w:val="center"/>
          </w:tcPr>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评标价</w:t>
            </w:r>
          </w:p>
          <w:p>
            <w:pPr>
              <w:spacing w:before="120" w:beforeLines="50" w:line="24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的偏差率计算公式</w:t>
            </w:r>
          </w:p>
        </w:tc>
        <w:tc>
          <w:tcPr>
            <w:tcW w:w="722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line="24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偏差率=100% ×（投标人评标价－评标基准价）/评标基准价</w:t>
            </w:r>
          </w:p>
          <w:p>
            <w:pPr>
              <w:spacing w:before="120" w:beforeLines="50" w:line="240" w:lineRule="atLeast"/>
              <w:rPr>
                <w:rFonts w:hint="eastAsia" w:ascii="仿宋" w:hAnsi="仿宋" w:eastAsia="仿宋" w:cs="仿宋"/>
                <w:b/>
                <w:color w:val="auto"/>
                <w:sz w:val="18"/>
                <w:szCs w:val="18"/>
                <w:highlight w:val="none"/>
              </w:rPr>
            </w:pPr>
            <w:r>
              <w:rPr>
                <w:rFonts w:hint="eastAsia" w:ascii="仿宋" w:hAnsi="仿宋" w:eastAsia="仿宋" w:cs="仿宋"/>
                <w:color w:val="auto"/>
                <w:szCs w:val="21"/>
                <w:highlight w:val="none"/>
              </w:rPr>
              <w:t>注：偏差率精确至小数点后四位</w:t>
            </w:r>
          </w:p>
        </w:tc>
      </w:tr>
    </w:tbl>
    <w:p>
      <w:pPr>
        <w:pStyle w:val="25"/>
        <w:shd w:val="clear" w:color="auto" w:fill="auto"/>
        <w:spacing w:before="120" w:beforeLines="50" w:line="360" w:lineRule="auto"/>
        <w:ind w:right="440"/>
        <w:rPr>
          <w:rStyle w:val="26"/>
          <w:rFonts w:hint="eastAsia" w:ascii="仿宋" w:hAnsi="仿宋" w:eastAsia="仿宋" w:cs="仿宋"/>
          <w:color w:val="auto"/>
          <w:highlight w:val="none"/>
        </w:rPr>
      </w:pPr>
    </w:p>
    <w:p>
      <w:pPr>
        <w:pStyle w:val="25"/>
        <w:shd w:val="clear" w:color="auto" w:fill="auto"/>
        <w:spacing w:before="120" w:beforeLines="50" w:line="360" w:lineRule="auto"/>
        <w:ind w:right="440"/>
        <w:rPr>
          <w:rStyle w:val="26"/>
          <w:rFonts w:hint="eastAsia" w:ascii="仿宋" w:hAnsi="仿宋" w:eastAsia="仿宋" w:cs="仿宋"/>
          <w:color w:val="auto"/>
          <w:highlight w:val="none"/>
        </w:rPr>
      </w:pPr>
    </w:p>
    <w:p>
      <w:pPr>
        <w:pStyle w:val="25"/>
        <w:shd w:val="clear" w:color="auto" w:fill="auto"/>
        <w:spacing w:before="120" w:beforeLines="50" w:line="360" w:lineRule="auto"/>
        <w:ind w:right="440"/>
        <w:rPr>
          <w:rStyle w:val="26"/>
          <w:rFonts w:hint="eastAsia" w:ascii="仿宋" w:hAnsi="仿宋" w:eastAsia="仿宋" w:cs="仿宋"/>
          <w:color w:val="auto"/>
          <w:highlight w:val="none"/>
        </w:rPr>
      </w:pPr>
    </w:p>
    <w:p>
      <w:pPr>
        <w:pStyle w:val="25"/>
        <w:shd w:val="clear" w:color="auto" w:fill="auto"/>
        <w:spacing w:before="120" w:beforeLines="50" w:line="360" w:lineRule="auto"/>
        <w:ind w:right="440"/>
        <w:rPr>
          <w:rStyle w:val="26"/>
          <w:rFonts w:hint="eastAsia" w:ascii="仿宋" w:hAnsi="仿宋" w:eastAsia="仿宋" w:cs="仿宋"/>
          <w:color w:val="auto"/>
          <w:highlight w:val="none"/>
        </w:rPr>
      </w:pPr>
    </w:p>
    <w:p>
      <w:pPr>
        <w:pStyle w:val="25"/>
        <w:shd w:val="clear" w:color="auto" w:fill="auto"/>
        <w:spacing w:before="120" w:beforeLines="50" w:line="360" w:lineRule="auto"/>
        <w:ind w:right="440"/>
        <w:rPr>
          <w:rStyle w:val="26"/>
          <w:rFonts w:hint="eastAsia" w:ascii="仿宋" w:hAnsi="仿宋" w:eastAsia="仿宋" w:cs="仿宋"/>
          <w:color w:val="auto"/>
          <w:highlight w:val="none"/>
        </w:rPr>
      </w:pPr>
    </w:p>
    <w:p>
      <w:pPr>
        <w:pStyle w:val="25"/>
        <w:shd w:val="clear" w:color="auto" w:fill="auto"/>
        <w:spacing w:before="120" w:beforeLines="50" w:line="360" w:lineRule="auto"/>
        <w:ind w:right="440"/>
        <w:rPr>
          <w:rStyle w:val="26"/>
          <w:rFonts w:hint="eastAsia" w:ascii="仿宋" w:hAnsi="仿宋" w:eastAsia="仿宋" w:cs="仿宋"/>
          <w:color w:val="auto"/>
          <w:highlight w:val="none"/>
        </w:rPr>
      </w:pPr>
    </w:p>
    <w:p>
      <w:pPr>
        <w:pStyle w:val="25"/>
        <w:shd w:val="clear" w:color="auto" w:fill="auto"/>
        <w:spacing w:before="120" w:beforeLines="50" w:line="360" w:lineRule="auto"/>
        <w:ind w:right="440"/>
        <w:rPr>
          <w:rStyle w:val="26"/>
          <w:rFonts w:hint="eastAsia" w:ascii="仿宋" w:hAnsi="仿宋" w:eastAsia="仿宋" w:cs="仿宋"/>
          <w:color w:val="auto"/>
          <w:highlight w:val="none"/>
        </w:rPr>
      </w:pPr>
    </w:p>
    <w:p>
      <w:pPr>
        <w:pStyle w:val="25"/>
        <w:shd w:val="clear" w:color="auto" w:fill="auto"/>
        <w:spacing w:before="120" w:beforeLines="50" w:line="360" w:lineRule="auto"/>
        <w:ind w:right="440"/>
        <w:rPr>
          <w:rStyle w:val="26"/>
          <w:rFonts w:hint="eastAsia" w:ascii="仿宋" w:hAnsi="仿宋" w:eastAsia="仿宋" w:cs="仿宋"/>
          <w:color w:val="auto"/>
          <w:highlight w:val="none"/>
        </w:rPr>
      </w:pPr>
    </w:p>
    <w:p>
      <w:pPr>
        <w:pStyle w:val="25"/>
        <w:shd w:val="clear" w:color="auto" w:fill="auto"/>
        <w:spacing w:before="120" w:beforeLines="50" w:line="360" w:lineRule="auto"/>
        <w:ind w:right="440"/>
        <w:rPr>
          <w:rStyle w:val="26"/>
          <w:rFonts w:hint="eastAsia" w:ascii="仿宋" w:hAnsi="仿宋" w:eastAsia="仿宋" w:cs="仿宋"/>
          <w:color w:val="auto"/>
          <w:highlight w:val="none"/>
        </w:rPr>
      </w:pPr>
    </w:p>
    <w:p>
      <w:pPr>
        <w:pStyle w:val="25"/>
        <w:shd w:val="clear" w:color="auto" w:fill="auto"/>
        <w:spacing w:before="120" w:beforeLines="50" w:line="360" w:lineRule="auto"/>
        <w:ind w:right="440"/>
        <w:rPr>
          <w:rStyle w:val="26"/>
          <w:rFonts w:hint="eastAsia" w:ascii="仿宋" w:hAnsi="仿宋" w:eastAsia="仿宋" w:cs="仿宋"/>
          <w:color w:val="auto"/>
          <w:highlight w:val="none"/>
        </w:rPr>
      </w:pPr>
    </w:p>
    <w:p>
      <w:pPr>
        <w:pStyle w:val="25"/>
        <w:shd w:val="clear" w:color="auto" w:fill="auto"/>
        <w:spacing w:before="120" w:beforeLines="50" w:line="360" w:lineRule="auto"/>
        <w:ind w:right="440"/>
        <w:rPr>
          <w:rStyle w:val="26"/>
          <w:rFonts w:hint="eastAsia" w:ascii="仿宋" w:hAnsi="仿宋" w:eastAsia="仿宋" w:cs="仿宋"/>
          <w:color w:val="auto"/>
          <w:highlight w:val="none"/>
        </w:rPr>
      </w:pPr>
    </w:p>
    <w:p>
      <w:pPr>
        <w:pStyle w:val="25"/>
        <w:shd w:val="clear" w:color="auto" w:fill="auto"/>
        <w:spacing w:before="120" w:beforeLines="50" w:line="360" w:lineRule="auto"/>
        <w:ind w:right="440"/>
        <w:rPr>
          <w:rStyle w:val="26"/>
          <w:rFonts w:hint="eastAsia" w:ascii="仿宋" w:hAnsi="仿宋" w:eastAsia="仿宋" w:cs="仿宋"/>
          <w:color w:val="auto"/>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
        <w:gridCol w:w="792"/>
        <w:gridCol w:w="1158"/>
        <w:gridCol w:w="620"/>
        <w:gridCol w:w="467"/>
        <w:gridCol w:w="455"/>
        <w:gridCol w:w="4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428" w:type="dxa"/>
            <w:gridSpan w:val="7"/>
            <w:noWrap w:val="0"/>
            <w:vAlign w:val="top"/>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评分因素与权重分值</w:t>
            </w:r>
          </w:p>
        </w:tc>
        <w:tc>
          <w:tcPr>
            <w:tcW w:w="4872" w:type="dxa"/>
            <w:vMerge w:val="restart"/>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36" w:type="dxa"/>
            <w:gridSpan w:val="2"/>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792"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评分</w:t>
            </w:r>
          </w:p>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因素</w:t>
            </w:r>
          </w:p>
        </w:tc>
        <w:tc>
          <w:tcPr>
            <w:tcW w:w="1158"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评分因素权重分值</w:t>
            </w:r>
          </w:p>
        </w:tc>
        <w:tc>
          <w:tcPr>
            <w:tcW w:w="1087" w:type="dxa"/>
            <w:gridSpan w:val="2"/>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各评分因素细分项</w:t>
            </w:r>
          </w:p>
        </w:tc>
        <w:tc>
          <w:tcPr>
            <w:tcW w:w="455"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w:t>
            </w:r>
          </w:p>
        </w:tc>
        <w:tc>
          <w:tcPr>
            <w:tcW w:w="4872" w:type="dxa"/>
            <w:vMerge w:val="continue"/>
            <w:noWrap w:val="0"/>
            <w:vAlign w:val="top"/>
          </w:tcPr>
          <w:p>
            <w:pPr>
              <w:spacing w:line="36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936" w:type="dxa"/>
            <w:gridSpan w:val="2"/>
            <w:vMerge w:val="restart"/>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2.2.4（1）</w:t>
            </w:r>
          </w:p>
        </w:tc>
        <w:tc>
          <w:tcPr>
            <w:tcW w:w="792" w:type="dxa"/>
            <w:vMerge w:val="restart"/>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施工组织设计</w:t>
            </w:r>
          </w:p>
        </w:tc>
        <w:tc>
          <w:tcPr>
            <w:tcW w:w="1158" w:type="dxa"/>
            <w:vMerge w:val="restart"/>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7分</w:t>
            </w:r>
          </w:p>
        </w:tc>
        <w:tc>
          <w:tcPr>
            <w:tcW w:w="1087" w:type="dxa"/>
            <w:gridSpan w:val="2"/>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工期保证</w:t>
            </w:r>
          </w:p>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体系及</w:t>
            </w:r>
          </w:p>
          <w:p>
            <w:pPr>
              <w:spacing w:line="360" w:lineRule="exact"/>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保证措施</w:t>
            </w:r>
          </w:p>
        </w:tc>
        <w:tc>
          <w:tcPr>
            <w:tcW w:w="455"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2分</w:t>
            </w:r>
          </w:p>
        </w:tc>
        <w:tc>
          <w:tcPr>
            <w:tcW w:w="4872" w:type="dxa"/>
            <w:noWrap w:val="0"/>
            <w:vAlign w:val="center"/>
          </w:tcPr>
          <w:p>
            <w:pPr>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进度控制措施得当，对本项目的工期重要性理解特别透彻，对地形地貌特征、重点工序、天气、关键设备故障、与其他承包人衔接、社会环境等问题有切实可行的应对或应急方案，计划科学合理，可操作性性高，得1.6～2分；</w:t>
            </w:r>
          </w:p>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2、工期保证体系及保证措施基本可行，内容较为充实、全面的，得1.2～1.6分； </w:t>
            </w:r>
          </w:p>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kern w:val="0"/>
                <w:szCs w:val="21"/>
                <w:highlight w:val="none"/>
              </w:rPr>
              <w:t xml:space="preserve"> 一般但不被评定为不响应的，</w:t>
            </w:r>
            <w:r>
              <w:rPr>
                <w:rFonts w:hint="eastAsia" w:ascii="仿宋" w:hAnsi="仿宋" w:eastAsia="仿宋" w:cs="仿宋"/>
                <w:color w:val="auto"/>
                <w:szCs w:val="21"/>
                <w:highlight w:val="none"/>
              </w:rPr>
              <w:t>起评分1.2分。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atLeast"/>
          <w:jc w:val="center"/>
        </w:trPr>
        <w:tc>
          <w:tcPr>
            <w:tcW w:w="936" w:type="dxa"/>
            <w:gridSpan w:val="2"/>
            <w:vMerge w:val="continue"/>
            <w:noWrap w:val="0"/>
            <w:vAlign w:val="top"/>
          </w:tcPr>
          <w:p>
            <w:pPr>
              <w:spacing w:line="360" w:lineRule="exact"/>
              <w:jc w:val="center"/>
              <w:rPr>
                <w:rFonts w:hint="eastAsia" w:ascii="仿宋" w:hAnsi="仿宋" w:eastAsia="仿宋" w:cs="仿宋"/>
                <w:color w:val="auto"/>
                <w:szCs w:val="21"/>
                <w:highlight w:val="none"/>
              </w:rPr>
            </w:pPr>
          </w:p>
        </w:tc>
        <w:tc>
          <w:tcPr>
            <w:tcW w:w="792" w:type="dxa"/>
            <w:vMerge w:val="continue"/>
            <w:noWrap w:val="0"/>
            <w:vAlign w:val="top"/>
          </w:tcPr>
          <w:p>
            <w:pPr>
              <w:spacing w:line="360" w:lineRule="exact"/>
              <w:jc w:val="center"/>
              <w:rPr>
                <w:rFonts w:hint="eastAsia" w:ascii="仿宋" w:hAnsi="仿宋" w:eastAsia="仿宋" w:cs="仿宋"/>
                <w:color w:val="auto"/>
                <w:szCs w:val="21"/>
                <w:highlight w:val="none"/>
              </w:rPr>
            </w:pPr>
          </w:p>
        </w:tc>
        <w:tc>
          <w:tcPr>
            <w:tcW w:w="1158" w:type="dxa"/>
            <w:vMerge w:val="continue"/>
            <w:noWrap w:val="0"/>
            <w:vAlign w:val="top"/>
          </w:tcPr>
          <w:p>
            <w:pPr>
              <w:spacing w:line="360" w:lineRule="exact"/>
              <w:jc w:val="center"/>
              <w:rPr>
                <w:rFonts w:hint="eastAsia" w:ascii="仿宋" w:hAnsi="仿宋" w:eastAsia="仿宋" w:cs="仿宋"/>
                <w:color w:val="auto"/>
                <w:szCs w:val="21"/>
                <w:highlight w:val="none"/>
              </w:rPr>
            </w:pPr>
          </w:p>
        </w:tc>
        <w:tc>
          <w:tcPr>
            <w:tcW w:w="1087" w:type="dxa"/>
            <w:gridSpan w:val="2"/>
            <w:noWrap w:val="0"/>
            <w:vAlign w:val="center"/>
          </w:tcPr>
          <w:p>
            <w:pPr>
              <w:spacing w:line="360" w:lineRule="exact"/>
              <w:jc w:val="center"/>
              <w:rPr>
                <w:rFonts w:hint="eastAsia" w:ascii="仿宋" w:hAnsi="仿宋" w:eastAsia="仿宋" w:cs="仿宋"/>
                <w:color w:val="auto"/>
                <w:spacing w:val="20"/>
                <w:szCs w:val="21"/>
                <w:highlight w:val="none"/>
              </w:rPr>
            </w:pPr>
            <w:r>
              <w:rPr>
                <w:rFonts w:hint="eastAsia" w:ascii="仿宋" w:hAnsi="仿宋" w:eastAsia="仿宋" w:cs="仿宋"/>
                <w:color w:val="auto"/>
                <w:szCs w:val="21"/>
                <w:highlight w:val="none"/>
              </w:rPr>
              <w:t xml:space="preserve"> 质量、安全保证体系及保证措施</w:t>
            </w:r>
          </w:p>
        </w:tc>
        <w:tc>
          <w:tcPr>
            <w:tcW w:w="455"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3分</w:t>
            </w:r>
          </w:p>
        </w:tc>
        <w:tc>
          <w:tcPr>
            <w:tcW w:w="4872" w:type="dxa"/>
            <w:noWrap w:val="0"/>
            <w:vAlign w:val="center"/>
          </w:tcPr>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对本项目质量及安全控制有透彻的认识，能采取有效的施工方法和措施，保证工程质量稳定，对施工过程中可能发生的各种质量和安全问题有深刻的认识和合理的预见，并有相应的应对措施，应对措施应科学、充分，能有效处理各种突发问题的，得2.4～3分； </w:t>
            </w:r>
          </w:p>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2、对本项目质量及安全控制有一定的认识，基本能合理的预见施工过程中可能发生的各种质量和安全问题，并有相应的应对措施，应对措施较为科学、充分，基本能有效处理各种质量和安全问题的，得 1.8～2.4分； </w:t>
            </w:r>
          </w:p>
          <w:p>
            <w:pPr>
              <w:spacing w:line="320" w:lineRule="exact"/>
              <w:ind w:firstLine="105" w:firstLineChars="5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kern w:val="0"/>
                <w:szCs w:val="21"/>
                <w:highlight w:val="none"/>
              </w:rPr>
              <w:t>一般但不被评定为不响应的，</w:t>
            </w:r>
            <w:r>
              <w:rPr>
                <w:rFonts w:hint="eastAsia" w:ascii="仿宋" w:hAnsi="仿宋" w:eastAsia="仿宋" w:cs="仿宋"/>
                <w:color w:val="auto"/>
                <w:szCs w:val="21"/>
                <w:highlight w:val="none"/>
              </w:rPr>
              <w:t>起评分1.8分。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936" w:type="dxa"/>
            <w:gridSpan w:val="2"/>
            <w:vMerge w:val="continue"/>
            <w:noWrap w:val="0"/>
            <w:vAlign w:val="top"/>
          </w:tcPr>
          <w:p>
            <w:pPr>
              <w:spacing w:line="360" w:lineRule="exact"/>
              <w:jc w:val="center"/>
              <w:rPr>
                <w:rFonts w:hint="eastAsia" w:ascii="仿宋" w:hAnsi="仿宋" w:eastAsia="仿宋" w:cs="仿宋"/>
                <w:color w:val="auto"/>
                <w:highlight w:val="none"/>
              </w:rPr>
            </w:pPr>
          </w:p>
        </w:tc>
        <w:tc>
          <w:tcPr>
            <w:tcW w:w="792" w:type="dxa"/>
            <w:vMerge w:val="continue"/>
            <w:noWrap w:val="0"/>
            <w:vAlign w:val="top"/>
          </w:tcPr>
          <w:p>
            <w:pPr>
              <w:spacing w:line="360" w:lineRule="exact"/>
              <w:jc w:val="center"/>
              <w:rPr>
                <w:rFonts w:hint="eastAsia" w:ascii="仿宋" w:hAnsi="仿宋" w:eastAsia="仿宋" w:cs="仿宋"/>
                <w:color w:val="auto"/>
                <w:highlight w:val="none"/>
              </w:rPr>
            </w:pPr>
          </w:p>
        </w:tc>
        <w:tc>
          <w:tcPr>
            <w:tcW w:w="1158" w:type="dxa"/>
            <w:vMerge w:val="continue"/>
            <w:noWrap w:val="0"/>
            <w:vAlign w:val="top"/>
          </w:tcPr>
          <w:p>
            <w:pPr>
              <w:spacing w:line="360" w:lineRule="exact"/>
              <w:jc w:val="center"/>
              <w:rPr>
                <w:rFonts w:hint="eastAsia" w:ascii="仿宋" w:hAnsi="仿宋" w:eastAsia="仿宋" w:cs="仿宋"/>
                <w:color w:val="auto"/>
                <w:highlight w:val="none"/>
              </w:rPr>
            </w:pPr>
          </w:p>
        </w:tc>
        <w:tc>
          <w:tcPr>
            <w:tcW w:w="1087" w:type="dxa"/>
            <w:gridSpan w:val="2"/>
            <w:noWrap w:val="0"/>
            <w:vAlign w:val="center"/>
          </w:tcPr>
          <w:p>
            <w:pPr>
              <w:spacing w:line="360" w:lineRule="exact"/>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Cs w:val="21"/>
                <w:highlight w:val="none"/>
              </w:rPr>
              <w:t>交通组织</w:t>
            </w:r>
          </w:p>
          <w:p>
            <w:pPr>
              <w:spacing w:line="360" w:lineRule="exact"/>
              <w:jc w:val="center"/>
              <w:rPr>
                <w:rFonts w:hint="eastAsia" w:ascii="仿宋" w:hAnsi="仿宋" w:eastAsia="仿宋" w:cs="仿宋"/>
                <w:color w:val="auto"/>
                <w:spacing w:val="20"/>
                <w:szCs w:val="21"/>
                <w:highlight w:val="none"/>
              </w:rPr>
            </w:pPr>
          </w:p>
        </w:tc>
        <w:tc>
          <w:tcPr>
            <w:tcW w:w="455" w:type="dxa"/>
            <w:noWrap w:val="0"/>
            <w:vAlign w:val="center"/>
          </w:tcPr>
          <w:p>
            <w:pPr>
              <w:tabs>
                <w:tab w:val="left" w:pos="1260"/>
              </w:tabs>
              <w:snapToGrid w:val="0"/>
              <w:spacing w:line="360" w:lineRule="exact"/>
              <w:ind w:left="11"/>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w:t>
            </w:r>
          </w:p>
        </w:tc>
        <w:tc>
          <w:tcPr>
            <w:tcW w:w="4872" w:type="dxa"/>
            <w:noWrap w:val="0"/>
            <w:vAlign w:val="center"/>
          </w:tcPr>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1、交通组织方案科学可行，交通组织机构健全，分工明确，责任明晰，管理措施得力，能有效保证施工安全和高速公路营运畅通，并有相应的应急方案，能满足本项目交通组织的要求，得0.8～1分； </w:t>
            </w:r>
          </w:p>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2、交通组织方案基本可行，有建立交通组织机构健全，能保证施工安全和高速公路营运畅通，并有相应的应急方案，基本能满足本项目交通组织的要求，得0.6～0.8分； </w:t>
            </w:r>
          </w:p>
          <w:p>
            <w:pPr>
              <w:spacing w:line="320" w:lineRule="exact"/>
              <w:ind w:firstLine="105" w:firstLineChars="5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kern w:val="0"/>
                <w:szCs w:val="21"/>
                <w:highlight w:val="none"/>
              </w:rPr>
              <w:t>一般但不被评定为不响应的，</w:t>
            </w:r>
            <w:r>
              <w:rPr>
                <w:rFonts w:hint="eastAsia" w:ascii="仿宋" w:hAnsi="仿宋" w:eastAsia="仿宋" w:cs="仿宋"/>
                <w:color w:val="auto"/>
                <w:szCs w:val="21"/>
                <w:highlight w:val="none"/>
              </w:rPr>
              <w:t>起评分0.6分。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jc w:val="center"/>
        </w:trPr>
        <w:tc>
          <w:tcPr>
            <w:tcW w:w="936" w:type="dxa"/>
            <w:gridSpan w:val="2"/>
            <w:vMerge w:val="continue"/>
            <w:noWrap w:val="0"/>
            <w:vAlign w:val="top"/>
          </w:tcPr>
          <w:p>
            <w:pPr>
              <w:spacing w:line="360" w:lineRule="exact"/>
              <w:jc w:val="center"/>
              <w:rPr>
                <w:rFonts w:hint="eastAsia" w:ascii="仿宋" w:hAnsi="仿宋" w:eastAsia="仿宋" w:cs="仿宋"/>
                <w:color w:val="auto"/>
                <w:highlight w:val="none"/>
              </w:rPr>
            </w:pPr>
          </w:p>
        </w:tc>
        <w:tc>
          <w:tcPr>
            <w:tcW w:w="792" w:type="dxa"/>
            <w:vMerge w:val="continue"/>
            <w:noWrap w:val="0"/>
            <w:vAlign w:val="top"/>
          </w:tcPr>
          <w:p>
            <w:pPr>
              <w:spacing w:line="360" w:lineRule="exact"/>
              <w:jc w:val="center"/>
              <w:rPr>
                <w:rFonts w:hint="eastAsia" w:ascii="仿宋" w:hAnsi="仿宋" w:eastAsia="仿宋" w:cs="仿宋"/>
                <w:color w:val="auto"/>
                <w:highlight w:val="none"/>
              </w:rPr>
            </w:pPr>
          </w:p>
        </w:tc>
        <w:tc>
          <w:tcPr>
            <w:tcW w:w="1158" w:type="dxa"/>
            <w:vMerge w:val="continue"/>
            <w:noWrap w:val="0"/>
            <w:vAlign w:val="top"/>
          </w:tcPr>
          <w:p>
            <w:pPr>
              <w:spacing w:line="360" w:lineRule="exact"/>
              <w:jc w:val="center"/>
              <w:rPr>
                <w:rFonts w:hint="eastAsia" w:ascii="仿宋" w:hAnsi="仿宋" w:eastAsia="仿宋" w:cs="仿宋"/>
                <w:color w:val="auto"/>
                <w:highlight w:val="none"/>
              </w:rPr>
            </w:pPr>
          </w:p>
        </w:tc>
        <w:tc>
          <w:tcPr>
            <w:tcW w:w="1087" w:type="dxa"/>
            <w:gridSpan w:val="2"/>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环境保护、文明施工保证体系及措施</w:t>
            </w:r>
          </w:p>
        </w:tc>
        <w:tc>
          <w:tcPr>
            <w:tcW w:w="455"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w:t>
            </w:r>
          </w:p>
        </w:tc>
        <w:tc>
          <w:tcPr>
            <w:tcW w:w="4872" w:type="dxa"/>
            <w:noWrap w:val="0"/>
            <w:vAlign w:val="center"/>
          </w:tcPr>
          <w:p>
            <w:pPr>
              <w:autoSpaceDE w:val="0"/>
              <w:autoSpaceDN w:val="0"/>
              <w:adjustRightInd w:val="0"/>
              <w:spacing w:line="320" w:lineRule="exact"/>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kern w:val="0"/>
                <w:szCs w:val="21"/>
                <w:highlight w:val="none"/>
              </w:rPr>
              <w:t>对本项目的环保及文明施工等工作有独到的见解，能制定科学的措施，施工做到符合环保的要求，对文明施工有相应的措施，能创造良好的施工环境的，</w:t>
            </w:r>
            <w:r>
              <w:rPr>
                <w:rFonts w:hint="eastAsia" w:ascii="仿宋" w:hAnsi="仿宋" w:eastAsia="仿宋" w:cs="仿宋"/>
                <w:color w:val="auto"/>
                <w:szCs w:val="21"/>
                <w:highlight w:val="none"/>
              </w:rPr>
              <w:t xml:space="preserve">得 0.8～1分； </w:t>
            </w:r>
          </w:p>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2、对工程环保及文明施工等工作制定有相关的措施， 基本能满足本项目环保及文明施工的要求的，得0.6～0.8分； </w:t>
            </w:r>
          </w:p>
          <w:p>
            <w:pPr>
              <w:spacing w:line="320" w:lineRule="exact"/>
              <w:ind w:firstLine="105" w:firstLineChars="5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kern w:val="0"/>
                <w:szCs w:val="21"/>
                <w:highlight w:val="none"/>
              </w:rPr>
              <w:t>一般但不被评定为不响应的，</w:t>
            </w:r>
            <w:r>
              <w:rPr>
                <w:rFonts w:hint="eastAsia" w:ascii="仿宋" w:hAnsi="仿宋" w:eastAsia="仿宋" w:cs="仿宋"/>
                <w:color w:val="auto"/>
                <w:szCs w:val="21"/>
                <w:highlight w:val="none"/>
              </w:rPr>
              <w:t>起评分0.6分。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86" w:type="dxa"/>
            <w:gridSpan w:val="4"/>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6414" w:type="dxa"/>
            <w:gridSpan w:val="4"/>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8"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2.2.4（2）</w:t>
            </w:r>
          </w:p>
        </w:tc>
        <w:tc>
          <w:tcPr>
            <w:tcW w:w="900" w:type="dxa"/>
            <w:gridSpan w:val="2"/>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主要人员</w:t>
            </w:r>
          </w:p>
        </w:tc>
        <w:tc>
          <w:tcPr>
            <w:tcW w:w="1158"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w:t>
            </w:r>
          </w:p>
        </w:tc>
        <w:tc>
          <w:tcPr>
            <w:tcW w:w="6414" w:type="dxa"/>
            <w:gridSpan w:val="4"/>
            <w:noWrap w:val="0"/>
            <w:vAlign w:val="top"/>
          </w:tcPr>
          <w:p>
            <w:pPr>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满足投标须知资格审查条件（人员最低要求）最低要求的，得1分。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2.2.4（3）</w:t>
            </w:r>
          </w:p>
        </w:tc>
        <w:tc>
          <w:tcPr>
            <w:tcW w:w="900" w:type="dxa"/>
            <w:gridSpan w:val="2"/>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评标价</w:t>
            </w:r>
          </w:p>
        </w:tc>
        <w:tc>
          <w:tcPr>
            <w:tcW w:w="1158"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80分</w:t>
            </w:r>
          </w:p>
        </w:tc>
        <w:tc>
          <w:tcPr>
            <w:tcW w:w="6414" w:type="dxa"/>
            <w:gridSpan w:val="4"/>
            <w:noWrap w:val="0"/>
            <w:vAlign w:val="top"/>
          </w:tcPr>
          <w:p>
            <w:pPr>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评标价得分计算公式示例：</w:t>
            </w:r>
          </w:p>
          <w:p>
            <w:pPr>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(1)如果投标人的评标价&gt;评标基准价，则评标价得分＝80-偏差率×100×1.5；</w:t>
            </w:r>
          </w:p>
          <w:p>
            <w:pPr>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(2)如果投标人的评标价≤评标基准价，则评标价得分＝80+偏差率×100×0.5。</w:t>
            </w:r>
          </w:p>
          <w:p>
            <w:pPr>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备注：评标价得分四舍五入至小数点后四位。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28" w:type="dxa"/>
            <w:vMerge w:val="restart"/>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2.2.4（4）</w:t>
            </w:r>
          </w:p>
        </w:tc>
        <w:tc>
          <w:tcPr>
            <w:tcW w:w="900" w:type="dxa"/>
            <w:gridSpan w:val="2"/>
            <w:vMerge w:val="restart"/>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其它因素</w:t>
            </w:r>
          </w:p>
        </w:tc>
        <w:tc>
          <w:tcPr>
            <w:tcW w:w="1158"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w:t>
            </w:r>
          </w:p>
        </w:tc>
        <w:tc>
          <w:tcPr>
            <w:tcW w:w="620"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设备配置</w:t>
            </w:r>
          </w:p>
        </w:tc>
        <w:tc>
          <w:tcPr>
            <w:tcW w:w="5794" w:type="dxa"/>
            <w:gridSpan w:val="3"/>
            <w:noWrap w:val="0"/>
            <w:vAlign w:val="top"/>
          </w:tcPr>
          <w:p>
            <w:pPr>
              <w:autoSpaceDE w:val="0"/>
              <w:autoSpaceDN w:val="0"/>
              <w:spacing w:line="360" w:lineRule="exact"/>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满足投标须知资格审查条件（主要机械设备最低要求）最低要求</w:t>
            </w:r>
            <w:r>
              <w:rPr>
                <w:rFonts w:hint="eastAsia" w:ascii="仿宋" w:hAnsi="仿宋" w:eastAsia="仿宋" w:cs="仿宋"/>
                <w:color w:val="auto"/>
                <w:szCs w:val="21"/>
                <w:highlight w:val="none"/>
              </w:rPr>
              <w:t>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28" w:type="dxa"/>
            <w:vMerge w:val="continue"/>
            <w:noWrap w:val="0"/>
            <w:vAlign w:val="center"/>
          </w:tcPr>
          <w:p>
            <w:pPr>
              <w:spacing w:line="360" w:lineRule="exact"/>
              <w:jc w:val="center"/>
              <w:rPr>
                <w:rFonts w:hint="eastAsia" w:ascii="仿宋" w:hAnsi="仿宋" w:eastAsia="仿宋" w:cs="仿宋"/>
                <w:color w:val="auto"/>
                <w:szCs w:val="21"/>
                <w:highlight w:val="none"/>
              </w:rPr>
            </w:pPr>
          </w:p>
        </w:tc>
        <w:tc>
          <w:tcPr>
            <w:tcW w:w="900" w:type="dxa"/>
            <w:gridSpan w:val="2"/>
            <w:vMerge w:val="continue"/>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p>
        </w:tc>
        <w:tc>
          <w:tcPr>
            <w:tcW w:w="1158"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w:t>
            </w:r>
          </w:p>
        </w:tc>
        <w:tc>
          <w:tcPr>
            <w:tcW w:w="620"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财务能力</w:t>
            </w:r>
          </w:p>
        </w:tc>
        <w:tc>
          <w:tcPr>
            <w:tcW w:w="5794" w:type="dxa"/>
            <w:gridSpan w:val="3"/>
            <w:noWrap w:val="0"/>
            <w:vAlign w:val="center"/>
          </w:tcPr>
          <w:p>
            <w:pPr>
              <w:spacing w:line="360" w:lineRule="exact"/>
              <w:ind w:firstLine="210" w:firstLineChars="1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满足投标须知资格审查条件（财务最低要求）最低要求的，得1分。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8" w:type="dxa"/>
            <w:vMerge w:val="continue"/>
            <w:noWrap w:val="0"/>
            <w:vAlign w:val="center"/>
          </w:tcPr>
          <w:p>
            <w:pPr>
              <w:spacing w:line="360" w:lineRule="exact"/>
              <w:jc w:val="center"/>
              <w:rPr>
                <w:rFonts w:hint="eastAsia" w:ascii="仿宋" w:hAnsi="仿宋" w:eastAsia="仿宋" w:cs="仿宋"/>
                <w:color w:val="auto"/>
                <w:szCs w:val="21"/>
                <w:highlight w:val="none"/>
              </w:rPr>
            </w:pPr>
          </w:p>
        </w:tc>
        <w:tc>
          <w:tcPr>
            <w:tcW w:w="900" w:type="dxa"/>
            <w:gridSpan w:val="2"/>
            <w:vMerge w:val="continue"/>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p>
        </w:tc>
        <w:tc>
          <w:tcPr>
            <w:tcW w:w="1158"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5分</w:t>
            </w:r>
          </w:p>
        </w:tc>
        <w:tc>
          <w:tcPr>
            <w:tcW w:w="620"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业绩</w:t>
            </w:r>
          </w:p>
        </w:tc>
        <w:tc>
          <w:tcPr>
            <w:tcW w:w="5794" w:type="dxa"/>
            <w:gridSpan w:val="3"/>
            <w:noWrap w:val="0"/>
            <w:vAlign w:val="center"/>
          </w:tcPr>
          <w:p>
            <w:pPr>
              <w:autoSpaceDE w:val="0"/>
              <w:autoSpaceDN w:val="0"/>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交通安全设施养护维修工程业绩满分5分： </w:t>
            </w:r>
          </w:p>
          <w:p>
            <w:pPr>
              <w:autoSpaceDE w:val="0"/>
              <w:autoSpaceDN w:val="0"/>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1、最低要求：2020年1月1日至投标文件递交截止日，成功独立完成合同金额在300万元及以上类似营运高速公路交通安全设施养护维修工程1项及以上；或成功独立完成1项包含有</w:t>
            </w:r>
            <w:r>
              <w:rPr>
                <w:rFonts w:hint="eastAsia" w:ascii="仿宋" w:hAnsi="仿宋" w:eastAsia="仿宋" w:cs="仿宋"/>
                <w:color w:val="auto"/>
                <w:highlight w:val="none"/>
                <w:lang w:eastAsia="zh-CN"/>
              </w:rPr>
              <w:t>交通安全设施</w:t>
            </w:r>
            <w:r>
              <w:rPr>
                <w:rFonts w:hint="eastAsia" w:ascii="仿宋" w:hAnsi="仿宋" w:eastAsia="仿宋" w:cs="仿宋"/>
                <w:color w:val="auto"/>
                <w:highlight w:val="none"/>
              </w:rPr>
              <w:t>养护维修内容的营运高速公路养护维修工程，且该工程包含的交通安全设施养护维修分项的结算金额300万元以上。</w:t>
            </w:r>
          </w:p>
          <w:p>
            <w:pPr>
              <w:autoSpaceDE w:val="0"/>
              <w:autoSpaceDN w:val="0"/>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满足招标文件的最低要求得起评分4.0分；在此基础上完成合同金额在300万元及以上类似营运高速公路交通安全设施养护维修工程项目，或成功独立完成1项包含有</w:t>
            </w:r>
            <w:r>
              <w:rPr>
                <w:rFonts w:hint="eastAsia" w:ascii="仿宋" w:hAnsi="仿宋" w:eastAsia="仿宋" w:cs="仿宋"/>
                <w:color w:val="auto"/>
                <w:highlight w:val="none"/>
                <w:lang w:eastAsia="zh-CN"/>
              </w:rPr>
              <w:t>交通安全设施</w:t>
            </w:r>
            <w:r>
              <w:rPr>
                <w:rFonts w:hint="eastAsia" w:ascii="仿宋" w:hAnsi="仿宋" w:eastAsia="仿宋" w:cs="仿宋"/>
                <w:color w:val="auto"/>
                <w:highlight w:val="none"/>
              </w:rPr>
              <w:t>养护维修内容的营运高速公路养护维修工程，且该工程包含的交通安全设施养护维修分项的结算金额300万元以上，每增加一项加0.5分，最高加分不超过1.0分。</w:t>
            </w:r>
          </w:p>
          <w:p>
            <w:pPr>
              <w:autoSpaceDE w:val="0"/>
              <w:autoSpaceDN w:val="0"/>
              <w:spacing w:line="360" w:lineRule="exact"/>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注：  1、近五年是指2020年1月1日至投标文件递交之日止，业绩计算以此期间通过交工验收的项目为准，本文提到的交工验收是指交工验收或一次性竣工验收。</w:t>
            </w:r>
          </w:p>
          <w:p>
            <w:pPr>
              <w:autoSpaceDE w:val="0"/>
              <w:autoSpaceDN w:val="0"/>
              <w:spacing w:line="360" w:lineRule="exact"/>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2、“独立”指非联合体形式完成业绩，即以联合体形式完成的业绩不予认定。</w:t>
            </w:r>
          </w:p>
          <w:p>
            <w:pPr>
              <w:widowControl/>
              <w:autoSpaceDE w:val="0"/>
              <w:autoSpaceDN w:val="0"/>
              <w:spacing w:before="0" w:beforeLines="0" w:line="360" w:lineRule="exact"/>
              <w:ind w:leftChars="0" w:right="0" w:rightChars="0"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3、业绩为“包含有交通安全设施养护维修内容的营运高速公路养护维修工程”，除需提供“中标通知书、合同协议书、</w:t>
            </w:r>
            <w:r>
              <w:rPr>
                <w:rFonts w:hint="eastAsia" w:ascii="仿宋" w:hAnsi="仿宋" w:eastAsia="仿宋" w:cs="仿宋"/>
                <w:b/>
                <w:bCs/>
                <w:color w:val="auto"/>
                <w:highlight w:val="none"/>
                <w:u w:val="none"/>
              </w:rPr>
              <w:t>结算协议书（含清单）</w:t>
            </w:r>
            <w:r>
              <w:rPr>
                <w:rFonts w:hint="eastAsia" w:ascii="仿宋" w:hAnsi="仿宋" w:eastAsia="仿宋" w:cs="仿宋"/>
                <w:b w:val="0"/>
                <w:bCs w:val="0"/>
                <w:color w:val="auto"/>
                <w:highlight w:val="none"/>
              </w:rPr>
              <w:t>、</w:t>
            </w:r>
            <w:r>
              <w:rPr>
                <w:rFonts w:hint="eastAsia" w:ascii="仿宋" w:hAnsi="仿宋" w:eastAsia="仿宋" w:cs="仿宋"/>
                <w:color w:val="auto"/>
                <w:highlight w:val="none"/>
              </w:rPr>
              <w:t>工程验收证书的复印件以及全国公路建设市场监督管理系统查询业绩的截图”外，</w:t>
            </w:r>
            <w:r>
              <w:rPr>
                <w:rFonts w:hint="eastAsia" w:ascii="仿宋" w:hAnsi="仿宋" w:eastAsia="仿宋" w:cs="仿宋"/>
                <w:b/>
                <w:bCs/>
                <w:color w:val="auto"/>
                <w:highlight w:val="none"/>
                <w:u w:val="none"/>
              </w:rPr>
              <w:t>还需提供该项目结算清单中交通安全设施养护维修分项工程结算费用的汇总统计表</w:t>
            </w:r>
            <w:r>
              <w:rPr>
                <w:rFonts w:hint="eastAsia" w:ascii="仿宋" w:hAnsi="仿宋" w:eastAsia="仿宋" w:cs="仿宋"/>
                <w:color w:val="auto"/>
                <w:highlight w:val="none"/>
              </w:rPr>
              <w:t>。</w:t>
            </w:r>
          </w:p>
          <w:p>
            <w:pPr>
              <w:autoSpaceDE w:val="0"/>
              <w:autoSpaceDN w:val="0"/>
              <w:ind w:firstLine="210" w:firstLineChars="100"/>
              <w:rPr>
                <w:rFonts w:hint="eastAsia" w:ascii="仿宋" w:hAnsi="仿宋" w:eastAsia="仿宋" w:cs="仿宋"/>
                <w:snapToGrid/>
                <w:color w:val="auto"/>
                <w:kern w:val="2"/>
                <w:szCs w:val="24"/>
                <w:highlight w:val="none"/>
              </w:rPr>
            </w:pPr>
            <w:r>
              <w:rPr>
                <w:rFonts w:hint="eastAsia" w:ascii="仿宋" w:hAnsi="仿宋" w:eastAsia="仿宋" w:cs="仿宋"/>
                <w:color w:val="auto"/>
                <w:highlight w:val="none"/>
              </w:rPr>
              <w:t>4、“交通安全设施养护工程”包含交通安全设施的养护维修工程、预防养护、专项养护、应急养护等；不包含日常养护、新建、 改扩建的交通安全设施工程。可以是护栏、标线标志、防眩网、声屏障、隔离栅等交安设施的一项或多项内容。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28" w:type="dxa"/>
            <w:vMerge w:val="continue"/>
            <w:noWrap w:val="0"/>
            <w:vAlign w:val="center"/>
          </w:tcPr>
          <w:p>
            <w:pPr>
              <w:spacing w:line="360" w:lineRule="exact"/>
              <w:jc w:val="center"/>
              <w:rPr>
                <w:rFonts w:hint="eastAsia" w:ascii="仿宋" w:hAnsi="仿宋" w:eastAsia="仿宋" w:cs="仿宋"/>
                <w:color w:val="auto"/>
                <w:szCs w:val="21"/>
                <w:highlight w:val="none"/>
              </w:rPr>
            </w:pPr>
          </w:p>
        </w:tc>
        <w:tc>
          <w:tcPr>
            <w:tcW w:w="900" w:type="dxa"/>
            <w:gridSpan w:val="2"/>
            <w:vMerge w:val="continue"/>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p>
        </w:tc>
        <w:tc>
          <w:tcPr>
            <w:tcW w:w="1158"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5分</w:t>
            </w:r>
          </w:p>
        </w:tc>
        <w:tc>
          <w:tcPr>
            <w:tcW w:w="620" w:type="dxa"/>
            <w:noWrap w:val="0"/>
            <w:vAlign w:val="center"/>
          </w:tcPr>
          <w:p>
            <w:pPr>
              <w:spacing w:line="360" w:lineRule="exact"/>
              <w:ind w:left="-105" w:leftChars="-50" w:right="-105" w:rightChars="-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履约信誉</w:t>
            </w:r>
          </w:p>
        </w:tc>
        <w:tc>
          <w:tcPr>
            <w:tcW w:w="5794" w:type="dxa"/>
            <w:gridSpan w:val="3"/>
            <w:noWrap w:val="0"/>
            <w:vAlign w:val="top"/>
          </w:tcPr>
          <w:p>
            <w:pPr>
              <w:pStyle w:val="7"/>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履约情况（5分）</w:t>
            </w:r>
          </w:p>
          <w:p>
            <w:pPr>
              <w:pStyle w:val="7"/>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若没出现下述情形得满分；</w:t>
            </w:r>
          </w:p>
          <w:p>
            <w:pPr>
              <w:autoSpaceDE w:val="0"/>
              <w:autoSpaceDN w:val="0"/>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自2022年1月1日至投标文件递交截止日（投标文件递交截止日前2 年内），因公路工程（含附属设施）质量、安全、履约或招标投标问题等原因被：</w:t>
            </w:r>
          </w:p>
          <w:p>
            <w:pPr>
              <w:autoSpaceDE w:val="0"/>
              <w:autoSpaceDN w:val="0"/>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（1）交通运输部通报批评的，扣5 分/次；</w:t>
            </w:r>
          </w:p>
          <w:p>
            <w:pPr>
              <w:autoSpaceDE w:val="0"/>
              <w:autoSpaceDN w:val="0"/>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（2）广东省交通运输厅通报批评的，扣4 分/次；</w:t>
            </w:r>
          </w:p>
          <w:p>
            <w:pPr>
              <w:autoSpaceDE w:val="0"/>
              <w:autoSpaceDN w:val="0"/>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（3）项目所在地地市级交通局（委）、本项目招标人或</w:t>
            </w:r>
          </w:p>
          <w:p>
            <w:pPr>
              <w:autoSpaceDE w:val="0"/>
              <w:autoSpaceDN w:val="0"/>
              <w:spacing w:line="360" w:lineRule="exact"/>
              <w:rPr>
                <w:rFonts w:hint="eastAsia" w:ascii="仿宋" w:hAnsi="仿宋" w:eastAsia="仿宋" w:cs="仿宋"/>
                <w:color w:val="auto"/>
                <w:sz w:val="11"/>
                <w:highlight w:val="none"/>
              </w:rPr>
            </w:pPr>
            <w:r>
              <w:rPr>
                <w:rFonts w:hint="eastAsia" w:ascii="仿宋" w:hAnsi="仿宋" w:eastAsia="仿宋" w:cs="仿宋"/>
                <w:color w:val="auto"/>
                <w:highlight w:val="none"/>
              </w:rPr>
              <w:t>招标人上级管理单位通报批评扣1 分/次。</w:t>
            </w:r>
          </w:p>
          <w:p>
            <w:pPr>
              <w:tabs>
                <w:tab w:val="left" w:pos="2056"/>
              </w:tabs>
              <w:autoSpaceDE w:val="0"/>
              <w:autoSpaceDN w:val="0"/>
              <w:spacing w:line="36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同一事项同时被多个部门通报批评只按最高的扣分计算1 次。如果扣完本项分值，可以从总分中扣。</w:t>
            </w:r>
          </w:p>
        </w:tc>
      </w:tr>
    </w:tbl>
    <w:p>
      <w:pPr>
        <w:pStyle w:val="25"/>
        <w:shd w:val="clear" w:color="auto" w:fill="auto"/>
        <w:spacing w:before="120" w:beforeLines="50" w:line="360" w:lineRule="auto"/>
        <w:ind w:right="440"/>
        <w:rPr>
          <w:rStyle w:val="26"/>
          <w:rFonts w:hint="eastAsia" w:ascii="仿宋" w:hAnsi="仿宋" w:eastAsia="仿宋" w:cs="仿宋"/>
          <w:color w:val="auto"/>
          <w:highlight w:val="none"/>
        </w:rPr>
      </w:pPr>
      <w:r>
        <w:rPr>
          <w:rStyle w:val="26"/>
          <w:rFonts w:hint="eastAsia" w:ascii="仿宋" w:hAnsi="仿宋" w:eastAsia="仿宋" w:cs="仿宋"/>
          <w:color w:val="auto"/>
          <w:highlight w:val="none"/>
        </w:rPr>
        <w:br w:type="page"/>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8" w:type="dxa"/>
            <w:gridSpan w:val="2"/>
            <w:noWrap w:val="0"/>
            <w:vAlign w:val="top"/>
          </w:tcPr>
          <w:p>
            <w:pPr>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53" w:type="dxa"/>
            <w:noWrap w:val="0"/>
            <w:vAlign w:val="center"/>
          </w:tcPr>
          <w:p>
            <w:pPr>
              <w:spacing w:line="3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8325"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1153"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8325" w:type="dxa"/>
            <w:noWrap w:val="0"/>
            <w:vAlign w:val="center"/>
          </w:tcPr>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将评标办法范本原文第 1 条“评标方法”改为“评标方法、组织及工作程序”，并且原文内容修改如下：</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1.1 评标方法</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本次评标采用双信封的综合评分法。评标委员会对满足招标文件实质性要求的投标文件，按照本章第 2.2 款规定的评分标准进行打分，并按得分由高到低顺序推荐中标候选人，但投标报价低于其成本的除外。综合评分相等时，评标委员会应按照评标办法前附表规定的优先次序推荐中标候选人或确定中标人。</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1.2 评标组织</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1.2.1 协助工作组</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招标人可在评标工作开始前成立协助工作组，选派熟悉招标工作、政治素质高的人员组成，协助评标委员会工作。协助工作组人员的具体数量由招标人视评标工作量确定。</w:t>
            </w:r>
          </w:p>
          <w:p>
            <w:pPr>
              <w:spacing w:line="360" w:lineRule="exact"/>
              <w:ind w:firstLine="220" w:firstLineChars="105"/>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 xml:space="preserve">  招标人可以协助评标委员会开展下列工作并提供相关信息：</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（1）根据招标文件，编制评标使用的相应表格；</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（2）以评标标准和方法为依据，列出投标文件相对于招标文件的所有偏差，并进行归类汇总；</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（3）根据投标人递交的投标文件对投标人的资质、业绩、主要人员资历和目前在岗情况、信用等级进行核实。</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招标人不得对投标文件作出任何评价，不得故意遗漏或者片面摘录，不得在评标委员会对所有偏差定性之前透露存有偏差的投标人名称。</w:t>
            </w:r>
          </w:p>
          <w:p>
            <w:pPr>
              <w:spacing w:line="360" w:lineRule="exact"/>
              <w:ind w:firstLine="220" w:firstLineChars="105"/>
              <w:rPr>
                <w:rFonts w:hint="eastAsia" w:ascii="仿宋" w:hAnsi="仿宋" w:eastAsia="仿宋" w:cs="仿宋"/>
                <w:snapToGrid w:val="0"/>
                <w:color w:val="auto"/>
                <w:szCs w:val="21"/>
                <w:highlight w:val="none"/>
              </w:rPr>
            </w:pP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1.2.2 评标委员会由招标人按国家、广东省等的有关规定依法组建。评标委员人数为七人及以上单数。评标委员会的主要工作内容包括：</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（1）评标委员会开始评标工作之前，首先听取招标人、协助工作组关于工程情况和辅助工作的说明，并认真研读招标文件，获取评标所需的重要信息和数据；</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（2）对协助工作组提供的评标工作用表和评标内容进行核查。</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（3）按照以下 1.3 款程序进行各项评审工作。</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1.3 评审工作程序</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（一）第一信封（商务文件和技术文件）：</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 xml:space="preserve"> l、初步评审：包括形式评审与响应性评审，</w:t>
            </w:r>
            <w:r>
              <w:rPr>
                <w:rFonts w:hint="eastAsia" w:ascii="仿宋" w:hAnsi="仿宋" w:eastAsia="仿宋" w:cs="仿宋"/>
                <w:color w:val="auto"/>
                <w:szCs w:val="21"/>
                <w:highlight w:val="none"/>
              </w:rPr>
              <w:t>资格评审</w:t>
            </w:r>
            <w:r>
              <w:rPr>
                <w:rFonts w:hint="eastAsia" w:ascii="仿宋" w:hAnsi="仿宋" w:eastAsia="仿宋" w:cs="仿宋"/>
                <w:snapToGrid w:val="0"/>
                <w:color w:val="auto"/>
                <w:szCs w:val="21"/>
                <w:highlight w:val="none"/>
              </w:rPr>
              <w:t xml:space="preserve">； </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 xml:space="preserve"> 2、详细评审（评审打分）：评标委员会首先对通过初步评审的投标文件第一个信封（商务及技术文件）进行详细评审，对投标人的施工组织设计、主要人员、其他部分等因素分别评审打分。</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（二）第二信封（报价文件）：</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1、初步评审：只有投标文件第一个信封通过初步评审的投标人才能继续参加第二信封报价文件的形式评审与响应性评审。对第一个信封不通过初步评审的投标人的第二信封直接退回，不再开启内层信封。</w:t>
            </w:r>
          </w:p>
          <w:p>
            <w:pPr>
              <w:spacing w:line="360" w:lineRule="exact"/>
              <w:ind w:firstLine="426" w:firstLineChars="20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详细评审（评审打分）：评标委员会对投标人的施工组织设计、项目管理机构、其他部分等因素分别评审打分后，在相关人员在场的情况下，进行公开开标，拆启投标人的第二个信封（报价文件），对其进行初步评审。</w:t>
            </w:r>
          </w:p>
          <w:p>
            <w:pPr>
              <w:spacing w:line="360" w:lineRule="exact"/>
              <w:ind w:firstLine="323" w:firstLineChars="154"/>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（三）投标文件相关信息的核查。</w:t>
            </w:r>
          </w:p>
          <w:p>
            <w:pPr>
              <w:spacing w:line="360" w:lineRule="exact"/>
              <w:ind w:firstLine="323" w:firstLineChars="154"/>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(四)投标文件的澄清和说明(如有)</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（五）综合评分，提出评标意见。</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（六）根据《中华人民共和国招标投标法实施条例》第三十九条、第四十条、第四十一条的有关规定，对在评标过程中发现的投标人与投标人之间、投标人与招标人之间存在的串通投标的情形进行评审和认定。</w:t>
            </w:r>
          </w:p>
          <w:p>
            <w:pPr>
              <w:spacing w:line="360" w:lineRule="exact"/>
              <w:ind w:firstLine="323" w:firstLineChars="154"/>
              <w:rPr>
                <w:rFonts w:hint="eastAsia" w:ascii="仿宋" w:hAnsi="仿宋" w:eastAsia="仿宋" w:cs="仿宋"/>
                <w:snapToGrid w:val="0"/>
                <w:color w:val="auto"/>
                <w:szCs w:val="21"/>
                <w:highlight w:val="none"/>
              </w:rPr>
            </w:pPr>
            <w:r>
              <w:rPr>
                <w:rFonts w:hint="eastAsia" w:ascii="仿宋" w:hAnsi="仿宋" w:eastAsia="仿宋" w:cs="仿宋"/>
                <w:color w:val="auto"/>
                <w:szCs w:val="21"/>
                <w:highlight w:val="none"/>
              </w:rPr>
              <w:t>（七）按评标办法规定推荐中标候选人，编写评标报告。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jc w:val="center"/>
        </w:trPr>
        <w:tc>
          <w:tcPr>
            <w:tcW w:w="1153"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3.2.3</w:t>
            </w:r>
          </w:p>
        </w:tc>
        <w:tc>
          <w:tcPr>
            <w:tcW w:w="8325" w:type="dxa"/>
            <w:noWrap w:val="0"/>
            <w:vAlign w:val="center"/>
          </w:tcPr>
          <w:p>
            <w:pPr>
              <w:spacing w:line="360" w:lineRule="exact"/>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将评标办法范本原文第3.2.3款细化如下：</w:t>
            </w:r>
          </w:p>
          <w:p>
            <w:pPr>
              <w:spacing w:line="360" w:lineRule="exact"/>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投标人的商务和技术得分=A+B+D。</w:t>
            </w:r>
          </w:p>
          <w:p>
            <w:pPr>
              <w:spacing w:line="360" w:lineRule="exact"/>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投标人的综合得分= A+B+C+D。</w:t>
            </w:r>
          </w:p>
          <w:p>
            <w:pPr>
              <w:spacing w:line="360" w:lineRule="exact"/>
              <w:ind w:firstLine="420" w:firstLineChars="200"/>
              <w:rPr>
                <w:rFonts w:hint="eastAsia" w:ascii="仿宋" w:hAnsi="仿宋" w:eastAsia="仿宋" w:cs="仿宋"/>
                <w:snapToGrid w:val="0"/>
                <w:color w:val="auto"/>
                <w:szCs w:val="21"/>
                <w:highlight w:val="none"/>
              </w:rPr>
            </w:pPr>
            <w:r>
              <w:rPr>
                <w:rFonts w:hint="eastAsia" w:ascii="仿宋" w:hAnsi="仿宋" w:eastAsia="仿宋" w:cs="仿宋"/>
                <w:snapToGrid w:val="0"/>
                <w:color w:val="auto"/>
                <w:kern w:val="0"/>
                <w:szCs w:val="21"/>
                <w:highlight w:val="none"/>
              </w:rPr>
              <w:t>除评标价、技术能力、履约信誉得分外，投标文件各评分因素细分项得分均不应低于其权重分的60%，评分低于权重分值60%的，评标委员会成员应当在评标报告中作出说明。 计算投标人技术得分时:首先在评委技术评分中，同一评委对各投标人评分总分的差值最大的评委评分进行取舍（当一位或两位评委评分差值最大时均取消其评委评分，当多于两位评分差值均最大时，不取消任一评委评分），再对各评分因素细分项中取消一个最高、一个最低分后计算算术平均值的和为投标人的最终技术得分，平均值计算四舍五入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53"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3.6</w:t>
            </w:r>
          </w:p>
        </w:tc>
        <w:tc>
          <w:tcPr>
            <w:tcW w:w="8325" w:type="dxa"/>
            <w:noWrap w:val="0"/>
            <w:vAlign w:val="center"/>
          </w:tcPr>
          <w:p>
            <w:pPr>
              <w:spacing w:line="360" w:lineRule="exact"/>
              <w:ind w:firstLine="323" w:firstLineChars="154"/>
              <w:rPr>
                <w:rFonts w:hint="eastAsia" w:ascii="仿宋" w:hAnsi="仿宋" w:eastAsia="仿宋" w:cs="仿宋"/>
                <w:color w:val="auto"/>
                <w:szCs w:val="21"/>
                <w:highlight w:val="none"/>
              </w:rPr>
            </w:pPr>
            <w:r>
              <w:rPr>
                <w:rFonts w:hint="eastAsia" w:ascii="仿宋" w:hAnsi="仿宋" w:eastAsia="仿宋" w:cs="仿宋"/>
                <w:color w:val="auto"/>
                <w:szCs w:val="21"/>
                <w:highlight w:val="none"/>
              </w:rPr>
              <w:t>增加3.6.3款：</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3.6.3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153"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3.7.1</w:t>
            </w:r>
          </w:p>
        </w:tc>
        <w:tc>
          <w:tcPr>
            <w:tcW w:w="8325" w:type="dxa"/>
            <w:noWrap w:val="0"/>
            <w:vAlign w:val="center"/>
          </w:tcPr>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将评标办法范本原文第 3.7.1 款修改为：</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投标文件中的下列偏差为细微偏差：（采用固化工程量清单，则 a－d步骤省略）：</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a、在算术性复核中发现的算术性差错：</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b、在招标人给定的工程量清单中漏报了某个工程细目的单价和合价；</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c、在招标人给定的工程量清单中多报了某个工程细目的单价和合价或所报单价增加或减少了报价范围；</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d、在招标人给定的工程量清单中修改了某些支付号的工程数量；</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e、施工组织设计（不含关键工程技术方案）不够完善。</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（2）评标委员会对投标文件中的细微偏差按如下规定处理：（采用固化工程量清单，则 a－d 步骤省略）：</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a、按本评标办法的规定对算术性错误予以修正；</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b、对于漏报的工程细目单价和合价或单价和合价减少的报价内容视为已含入其它工程细目的单价和合价之中；</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c、在保证投标总价不变的前提下，对于多报的工程细目报价或工程细目报价中增加的部分报价从投标报价中予以扣除，并对其它细目作相应的平衡性调整；</w:t>
            </w:r>
          </w:p>
          <w:p>
            <w:pPr>
              <w:tabs>
                <w:tab w:val="left" w:pos="858"/>
              </w:tabs>
              <w:snapToGrid w:val="0"/>
              <w:spacing w:line="360" w:lineRule="exact"/>
              <w:ind w:firstLine="420" w:firstLineChars="200"/>
              <w:rPr>
                <w:rFonts w:hint="eastAsia" w:ascii="仿宋" w:hAnsi="仿宋" w:eastAsia="仿宋" w:cs="仿宋"/>
                <w:snapToGrid w:val="0"/>
                <w:color w:val="auto"/>
                <w:szCs w:val="21"/>
                <w:highlight w:val="none"/>
              </w:rPr>
            </w:pPr>
            <w:r>
              <w:rPr>
                <w:rFonts w:hint="eastAsia" w:ascii="仿宋" w:hAnsi="仿宋" w:eastAsia="仿宋" w:cs="仿宋"/>
                <w:color w:val="auto"/>
                <w:szCs w:val="21"/>
                <w:highlight w:val="none"/>
              </w:rPr>
              <w:t>d、在保证投标总价不变的前提下，对与给定工程量清单数量不符的工程数量进行更正，并对其它细目作相应的平衡性调整。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153" w:type="dxa"/>
            <w:noWrap w:val="0"/>
            <w:vAlign w:val="center"/>
          </w:tcPr>
          <w:p>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3.9</w:t>
            </w:r>
          </w:p>
        </w:tc>
        <w:tc>
          <w:tcPr>
            <w:tcW w:w="8325" w:type="dxa"/>
            <w:noWrap w:val="0"/>
            <w:vAlign w:val="center"/>
          </w:tcPr>
          <w:p>
            <w:pPr>
              <w:tabs>
                <w:tab w:val="left" w:pos="858"/>
              </w:tabs>
              <w:snapToGrid w:val="0"/>
              <w:spacing w:line="36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增加3.9.3-3.9.7款：</w:t>
            </w:r>
          </w:p>
          <w:p>
            <w:pPr>
              <w:spacing w:line="36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3.9.3 按上述评审办法的综合得分从高到低进行排名,</w:t>
            </w:r>
            <w:r>
              <w:rPr>
                <w:rFonts w:hint="eastAsia" w:ascii="仿宋" w:hAnsi="仿宋" w:eastAsia="仿宋" w:cs="仿宋"/>
                <w:color w:val="auto"/>
                <w:highlight w:val="none"/>
              </w:rPr>
              <w:t xml:space="preserve"> </w:t>
            </w:r>
            <w:r>
              <w:rPr>
                <w:rFonts w:hint="eastAsia" w:ascii="仿宋" w:hAnsi="仿宋" w:eastAsia="仿宋" w:cs="仿宋"/>
                <w:color w:val="auto"/>
                <w:kern w:val="0"/>
                <w:szCs w:val="21"/>
                <w:highlight w:val="none"/>
              </w:rPr>
              <w:t>投标人在所投两个标段中只能中一个标（即兼投不兼中）。评审顺序为先评审第1标段，后评审第2标段。第1标段（业主控制价较高的标段）优先排名，如果同一投标人同时在两个标段的综合得分排名第一时，则评标委员会推荐该投标人在第1标段（业主控制价较高的标段）为第一中标候选人，该投标人自动失去第2标段第一中标候选人的资格，以此类推，推荐第2标段中标候选人。</w:t>
            </w:r>
          </w:p>
          <w:p>
            <w:pPr>
              <w:spacing w:line="36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同一标段内，如果综合得分相同，以投标报价较低的投标人排名优先。当一家以上投标人综合得分相等且评标价也相等时，若各投标人工程量清单细目单价也相同，视为串标（仅一工作细目报价的除外），应否决其投标；若各投标人工程量清单细目单价不尽相同，由评标委员会按照以下顺序确定其名次：</w:t>
            </w:r>
          </w:p>
          <w:p>
            <w:pPr>
              <w:spacing w:line="36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(1)被广东省交通运输厅评为较高信用等级的投标人优先（对于信用等级为 AA、A 的企业在递交投标文件时应按要求提交使用广东省信用评价等级申请承诺书，否则，AA 级信用等级企业按 A 级对待、A 级信用等级企业按 B 级对待）；</w:t>
            </w:r>
          </w:p>
          <w:p>
            <w:pPr>
              <w:spacing w:line="36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 由评标委员会视企业净资产、投标人技术能力、施工方案等情况经评议后，投票确定其名次；</w:t>
            </w:r>
          </w:p>
          <w:p>
            <w:pPr>
              <w:tabs>
                <w:tab w:val="left" w:pos="858"/>
              </w:tabs>
              <w:spacing w:line="36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3.9.4 按照上述第 3.9.3 款原则，按排名次序推荐出2名中标候选人。</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3.9.5通过第一信封商务文件和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3.9.6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3.9.7如果推荐的第一中标候选人放弃中标、或因不可抗力提出不能履行合同，或招标文件规定应当提交履约保证金而在规定的期限内未能提交的，招标人可以按照评标委员会提出的中标候选人名单排序依次确定其他中标候选人为中标人，也可以重新招标，但第一中标候选人的投标保证金不予退还（因不可抗力的情况除外）。</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3.9.8如果推荐的中标候选人因被投诉并查证属实存在造假行为的，按否决其投标处理，且没收其投标保证金。</w:t>
            </w:r>
          </w:p>
          <w:p>
            <w:pPr>
              <w:tabs>
                <w:tab w:val="left" w:pos="858"/>
              </w:tabs>
              <w:snapToGrid w:val="0"/>
              <w:spacing w:line="3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3.9.9如果发生无法确定推荐中标候选人的其它意外情况，评标委员会可建议招标人重新招标。</w:t>
            </w:r>
          </w:p>
        </w:tc>
      </w:tr>
    </w:tbl>
    <w:p>
      <w:pPr>
        <w:pStyle w:val="25"/>
        <w:shd w:val="clear" w:color="auto" w:fill="auto"/>
        <w:spacing w:before="120" w:beforeLines="50" w:line="360" w:lineRule="auto"/>
        <w:ind w:right="440"/>
        <w:rPr>
          <w:rStyle w:val="26"/>
          <w:rFonts w:hint="eastAsia" w:ascii="仿宋" w:hAnsi="仿宋" w:eastAsia="仿宋" w:cs="仿宋"/>
          <w:color w:val="auto"/>
          <w:highlight w:val="none"/>
        </w:rPr>
      </w:pPr>
    </w:p>
    <w:p>
      <w:pPr>
        <w:spacing w:before="120" w:beforeLines="5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评标办法正文内容参见：</w:t>
      </w:r>
    </w:p>
    <w:p>
      <w:pPr>
        <w:pStyle w:val="6"/>
        <w:spacing w:before="120" w:beforeLines="50" w:line="360" w:lineRule="auto"/>
        <w:ind w:firstLine="0" w:firstLineChars="0"/>
        <w:rPr>
          <w:rFonts w:hint="eastAsia" w:ascii="仿宋" w:hAnsi="仿宋" w:eastAsia="仿宋" w:cs="仿宋"/>
          <w:color w:val="auto"/>
          <w:highlight w:val="none"/>
        </w:rPr>
      </w:pPr>
      <w:r>
        <w:rPr>
          <w:rFonts w:hint="eastAsia" w:ascii="仿宋" w:hAnsi="仿宋" w:eastAsia="仿宋" w:cs="仿宋"/>
          <w:color w:val="auto"/>
          <w:sz w:val="28"/>
          <w:szCs w:val="28"/>
          <w:highlight w:val="none"/>
        </w:rPr>
        <w:t xml:space="preserve">  《公路工程标准施工招标文件》（2018年版）第三章“评标办法（综合评分法）”</w:t>
      </w:r>
    </w:p>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egoe Print"/>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Sun-ExtG"/>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7"/>
    <w:multiLevelType w:val="singleLevel"/>
    <w:tmpl w:val="00000027"/>
    <w:lvl w:ilvl="0" w:tentative="0">
      <w:start w:val="2"/>
      <w:numFmt w:val="decimal"/>
      <w:suff w:val="nothing"/>
      <w:lvlText w:val="（%1）"/>
      <w:lvlJc w:val="left"/>
    </w:lvl>
  </w:abstractNum>
  <w:abstractNum w:abstractNumId="1">
    <w:nsid w:val="0000002A"/>
    <w:multiLevelType w:val="multilevel"/>
    <w:tmpl w:val="0000002A"/>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747"/>
        </w:tabs>
        <w:ind w:left="747" w:hanging="567"/>
      </w:pPr>
    </w:lvl>
    <w:lvl w:ilvl="2" w:tentative="0">
      <w:start w:val="1"/>
      <w:numFmt w:val="decimal"/>
      <w:pStyle w:val="4"/>
      <w:lvlText w:val="%1.%2.%3."/>
      <w:lvlJc w:val="left"/>
      <w:pPr>
        <w:tabs>
          <w:tab w:val="left" w:pos="3229"/>
        </w:tabs>
        <w:ind w:left="322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3248F9E3"/>
    <w:multiLevelType w:val="singleLevel"/>
    <w:tmpl w:val="3248F9E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D1625"/>
    <w:rsid w:val="30DD1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5"/>
    <w:link w:val="13"/>
    <w:qFormat/>
    <w:uiPriority w:val="0"/>
    <w:pPr>
      <w:keepNext/>
      <w:keepLines/>
      <w:widowControl/>
      <w:numPr>
        <w:ilvl w:val="2"/>
        <w:numId w:val="1"/>
      </w:numPr>
      <w:tabs>
        <w:tab w:val="left" w:pos="425"/>
        <w:tab w:val="clear" w:pos="3229"/>
      </w:tabs>
      <w:spacing w:before="120" w:beforeLines="0" w:after="120" w:afterLines="0" w:line="360" w:lineRule="auto"/>
      <w:jc w:val="center"/>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Times New Roman" w:hAnsi="Times New Roman" w:eastAsia="宋体" w:cs="Times New Roman"/>
      <w:szCs w:val="24"/>
    </w:rPr>
  </w:style>
  <w:style w:type="paragraph" w:styleId="3">
    <w:name w:val="Body Text Indent"/>
    <w:basedOn w:val="1"/>
    <w:uiPriority w:val="99"/>
    <w:pPr>
      <w:spacing w:after="120" w:afterLines="0"/>
      <w:ind w:left="420" w:leftChars="200"/>
    </w:pPr>
    <w:rPr>
      <w:rFonts w:ascii="Times New Roman" w:hAnsi="Times New Roman" w:eastAsia="宋体" w:cs="Times New Roman"/>
      <w:szCs w:val="24"/>
    </w:rPr>
  </w:style>
  <w:style w:type="paragraph" w:customStyle="1" w:styleId="5">
    <w:name w:val="Normal Indent"/>
    <w:basedOn w:val="1"/>
    <w:qFormat/>
    <w:uiPriority w:val="0"/>
    <w:pPr>
      <w:ind w:firstLine="420" w:firstLineChars="200"/>
    </w:pPr>
    <w:rPr>
      <w:kern w:val="0"/>
      <w:sz w:val="20"/>
    </w:rPr>
  </w:style>
  <w:style w:type="paragraph" w:styleId="6">
    <w:name w:val="Normal Indent"/>
    <w:basedOn w:val="1"/>
    <w:qFormat/>
    <w:uiPriority w:val="0"/>
    <w:pPr>
      <w:ind w:firstLine="420" w:firstLineChars="200"/>
    </w:pPr>
    <w:rPr>
      <w:rFonts w:ascii="Times New Roman" w:hAnsi="Times New Roman" w:eastAsia="宋体" w:cs="Times New Roman"/>
      <w:szCs w:val="24"/>
    </w:rPr>
  </w:style>
  <w:style w:type="paragraph" w:styleId="7">
    <w:name w:val="Plain Text"/>
    <w:basedOn w:val="1"/>
    <w:qFormat/>
    <w:uiPriority w:val="0"/>
    <w:rPr>
      <w:rFonts w:ascii="宋体" w:hAnsi="Courier New"/>
      <w:szCs w:val="20"/>
    </w:rPr>
  </w:style>
  <w:style w:type="paragraph" w:styleId="8">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黑体"/>
      <w:b/>
      <w:kern w:val="0"/>
      <w:sz w:val="44"/>
      <w:szCs w:val="20"/>
    </w:rPr>
  </w:style>
  <w:style w:type="paragraph" w:customStyle="1" w:styleId="11">
    <w:name w:val="p0"/>
    <w:basedOn w:val="1"/>
    <w:qFormat/>
    <w:uiPriority w:val="0"/>
    <w:pPr>
      <w:widowControl/>
    </w:pPr>
    <w:rPr>
      <w:kern w:val="0"/>
      <w:szCs w:val="21"/>
    </w:rPr>
  </w:style>
  <w:style w:type="paragraph" w:customStyle="1" w:styleId="12">
    <w:name w:val="p17"/>
    <w:basedOn w:val="1"/>
    <w:qFormat/>
    <w:uiPriority w:val="0"/>
    <w:pPr>
      <w:widowControl/>
    </w:pPr>
    <w:rPr>
      <w:rFonts w:ascii="宋体" w:hAnsi="宋体" w:cs="宋体"/>
      <w:kern w:val="0"/>
      <w:szCs w:val="21"/>
    </w:rPr>
  </w:style>
  <w:style w:type="character" w:customStyle="1" w:styleId="13">
    <w:name w:val="标题 3 字符"/>
    <w:link w:val="4"/>
    <w:qFormat/>
    <w:uiPriority w:val="0"/>
    <w:rPr>
      <w:b/>
      <w:kern w:val="0"/>
      <w:sz w:val="32"/>
      <w:szCs w:val="20"/>
    </w:rPr>
  </w:style>
  <w:style w:type="paragraph" w:customStyle="1" w:styleId="14">
    <w:name w:val="正文文本 (24)"/>
    <w:basedOn w:val="1"/>
    <w:link w:val="15"/>
    <w:qFormat/>
    <w:uiPriority w:val="0"/>
    <w:pPr>
      <w:shd w:val="clear" w:color="auto" w:fill="FFFFFF"/>
      <w:spacing w:after="600" w:afterLines="0" w:line="240" w:lineRule="atLeast"/>
      <w:jc w:val="center"/>
    </w:pPr>
    <w:rPr>
      <w:rFonts w:ascii="MingLiU" w:eastAsia="MingLiU"/>
      <w:spacing w:val="30"/>
      <w:kern w:val="0"/>
      <w:sz w:val="42"/>
      <w:szCs w:val="42"/>
      <w:shd w:val="clear" w:color="auto" w:fill="FFFFFF"/>
    </w:rPr>
  </w:style>
  <w:style w:type="character" w:customStyle="1" w:styleId="15">
    <w:name w:val="正文文本 (24)_"/>
    <w:link w:val="14"/>
    <w:qFormat/>
    <w:uiPriority w:val="0"/>
    <w:rPr>
      <w:rFonts w:ascii="MingLiU" w:eastAsia="MingLiU"/>
      <w:spacing w:val="30"/>
      <w:kern w:val="0"/>
      <w:sz w:val="42"/>
      <w:szCs w:val="42"/>
      <w:shd w:val="clear" w:color="auto" w:fill="FFFFFF"/>
    </w:rPr>
  </w:style>
  <w:style w:type="paragraph" w:customStyle="1" w:styleId="16">
    <w:name w:val="表格标题 (4)"/>
    <w:basedOn w:val="1"/>
    <w:link w:val="17"/>
    <w:qFormat/>
    <w:uiPriority w:val="0"/>
    <w:pPr>
      <w:shd w:val="clear" w:color="auto" w:fill="FFFFFF"/>
      <w:spacing w:line="240" w:lineRule="atLeast"/>
      <w:jc w:val="left"/>
    </w:pPr>
    <w:rPr>
      <w:rFonts w:ascii="MingLiU" w:eastAsia="MingLiU"/>
      <w:b/>
      <w:bCs/>
      <w:kern w:val="0"/>
      <w:sz w:val="22"/>
      <w:szCs w:val="22"/>
      <w:shd w:val="clear" w:color="auto" w:fill="FFFFFF"/>
    </w:rPr>
  </w:style>
  <w:style w:type="character" w:customStyle="1" w:styleId="17">
    <w:name w:val="表格标题 (4)_"/>
    <w:link w:val="16"/>
    <w:qFormat/>
    <w:uiPriority w:val="0"/>
    <w:rPr>
      <w:rFonts w:ascii="MingLiU" w:eastAsia="MingLiU"/>
      <w:b/>
      <w:bCs/>
      <w:kern w:val="0"/>
      <w:sz w:val="22"/>
      <w:szCs w:val="22"/>
      <w:shd w:val="clear" w:color="auto" w:fill="FFFFFF"/>
    </w:rPr>
  </w:style>
  <w:style w:type="paragraph" w:customStyle="1" w:styleId="18">
    <w:name w:val="Table Paragraph"/>
    <w:basedOn w:val="1"/>
    <w:qFormat/>
    <w:uiPriority w:val="1"/>
    <w:pPr>
      <w:jc w:val="left"/>
    </w:pPr>
    <w:rPr>
      <w:rFonts w:ascii="Calibri" w:hAnsi="Calibri"/>
      <w:kern w:val="0"/>
      <w:sz w:val="22"/>
      <w:szCs w:val="22"/>
      <w:lang w:eastAsia="en-US"/>
    </w:rPr>
  </w:style>
  <w:style w:type="character" w:customStyle="1" w:styleId="19">
    <w:name w:val="正文文本 (2) + 10 pt37"/>
    <w:qFormat/>
    <w:uiPriority w:val="0"/>
    <w:rPr>
      <w:rFonts w:ascii="MingLiU" w:eastAsia="MingLiU" w:cs="MingLiU"/>
      <w:spacing w:val="0"/>
      <w:sz w:val="20"/>
      <w:szCs w:val="20"/>
      <w:u w:val="none"/>
    </w:rPr>
  </w:style>
  <w:style w:type="paragraph" w:customStyle="1" w:styleId="20">
    <w:name w:val="正文文本 (5)1"/>
    <w:basedOn w:val="1"/>
    <w:link w:val="21"/>
    <w:qFormat/>
    <w:uiPriority w:val="0"/>
    <w:pPr>
      <w:shd w:val="clear" w:color="auto" w:fill="FFFFFF"/>
      <w:spacing w:before="5100" w:beforeLines="0" w:line="240" w:lineRule="atLeast"/>
      <w:jc w:val="left"/>
    </w:pPr>
    <w:rPr>
      <w:rFonts w:ascii="MingLiU" w:eastAsia="MingLiU"/>
      <w:kern w:val="0"/>
      <w:sz w:val="20"/>
      <w:szCs w:val="20"/>
      <w:shd w:val="clear" w:color="auto" w:fill="FFFFFF"/>
    </w:rPr>
  </w:style>
  <w:style w:type="character" w:customStyle="1" w:styleId="21">
    <w:name w:val="正文文本 (5)_"/>
    <w:link w:val="20"/>
    <w:qFormat/>
    <w:uiPriority w:val="0"/>
    <w:rPr>
      <w:rFonts w:ascii="MingLiU" w:eastAsia="MingLiU"/>
      <w:kern w:val="0"/>
      <w:sz w:val="20"/>
      <w:szCs w:val="20"/>
      <w:shd w:val="clear" w:color="auto" w:fill="FFFFFF"/>
    </w:rPr>
  </w:style>
  <w:style w:type="character" w:customStyle="1" w:styleId="22">
    <w:name w:val="正文文本 (2) + 间距 0 pt5"/>
    <w:qFormat/>
    <w:uiPriority w:val="0"/>
    <w:rPr>
      <w:rFonts w:ascii="MingLiU" w:eastAsia="MingLiU" w:cs="MingLiU"/>
      <w:spacing w:val="0"/>
      <w:sz w:val="22"/>
      <w:szCs w:val="22"/>
      <w:u w:val="none"/>
    </w:rPr>
  </w:style>
  <w:style w:type="paragraph" w:customStyle="1" w:styleId="23">
    <w:name w:val="正文文本 (2)1"/>
    <w:basedOn w:val="1"/>
    <w:qFormat/>
    <w:uiPriority w:val="0"/>
    <w:pPr>
      <w:shd w:val="clear" w:color="auto" w:fill="FFFFFF"/>
      <w:spacing w:before="300" w:beforeLines="0" w:line="439" w:lineRule="exact"/>
      <w:jc w:val="distribute"/>
    </w:pPr>
    <w:rPr>
      <w:rFonts w:ascii="MingLiU" w:eastAsia="MingLiU"/>
      <w:spacing w:val="20"/>
      <w:kern w:val="0"/>
      <w:sz w:val="22"/>
      <w:szCs w:val="22"/>
      <w:shd w:val="clear" w:color="auto" w:fill="FFFFFF"/>
    </w:rPr>
  </w:style>
  <w:style w:type="character" w:customStyle="1" w:styleId="24">
    <w:name w:val="正文文本 (2) + 10 pt24"/>
    <w:qFormat/>
    <w:uiPriority w:val="0"/>
    <w:rPr>
      <w:rFonts w:ascii="MingLiU" w:eastAsia="MingLiU" w:cs="MingLiU"/>
      <w:b/>
      <w:bCs/>
      <w:spacing w:val="0"/>
      <w:sz w:val="20"/>
      <w:szCs w:val="20"/>
      <w:u w:val="none"/>
    </w:rPr>
  </w:style>
  <w:style w:type="paragraph" w:customStyle="1" w:styleId="25">
    <w:name w:val="表格标题 (5)"/>
    <w:basedOn w:val="1"/>
    <w:link w:val="26"/>
    <w:qFormat/>
    <w:uiPriority w:val="0"/>
    <w:pPr>
      <w:shd w:val="clear" w:color="auto" w:fill="FFFFFF"/>
      <w:spacing w:line="240" w:lineRule="atLeast"/>
      <w:jc w:val="left"/>
    </w:pPr>
    <w:rPr>
      <w:rFonts w:ascii="MingLiU" w:eastAsia="MingLiU"/>
      <w:kern w:val="0"/>
      <w:sz w:val="22"/>
      <w:szCs w:val="22"/>
      <w:shd w:val="clear" w:color="auto" w:fill="FFFFFF"/>
    </w:rPr>
  </w:style>
  <w:style w:type="character" w:customStyle="1" w:styleId="26">
    <w:name w:val="表格标题 (5)_"/>
    <w:link w:val="25"/>
    <w:qFormat/>
    <w:uiPriority w:val="0"/>
    <w:rPr>
      <w:rFonts w:ascii="MingLiU" w:eastAsia="MingLiU"/>
      <w:kern w:val="0"/>
      <w:sz w:val="22"/>
      <w:szCs w:val="22"/>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2025-08-08T08:45:00Z</dcterms:created>
  <dc:creator>刘Laura</dc:creator>
  <cp:lastModifiedBy>刘Laura</cp:lastModifiedBy>
  <dcterms:modified xsi:type="dcterms:W3CDTF">2025-08-08T08:46:02Z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E0BE1898FA144189B71C41753C3B2508</vt:lpwstr>
  </property>
</Properties>
</file>