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highlight w:val="none"/>
        </w:rPr>
      </w:pPr>
    </w:p>
    <w:p>
      <w:pPr>
        <w:rPr>
          <w:color w:val="auto"/>
          <w:highlight w:val="none"/>
        </w:rPr>
      </w:pPr>
    </w:p>
    <w:p>
      <w:pPr>
        <w:pStyle w:val="2"/>
        <w:rPr>
          <w:rFonts w:hint="eastAsia"/>
          <w:color w:val="auto"/>
          <w:highlight w:val="none"/>
        </w:rPr>
      </w:pPr>
    </w:p>
    <w:p>
      <w:pPr>
        <w:spacing w:line="360" w:lineRule="auto"/>
        <w:ind w:left="-567" w:leftChars="-270" w:right="-624" w:rightChars="-297"/>
        <w:jc w:val="center"/>
        <w:rPr>
          <w:rFonts w:hint="eastAsia" w:ascii="宋体" w:hAnsi="宋体" w:cs="宋体"/>
          <w:b/>
          <w:color w:val="auto"/>
          <w:kern w:val="2"/>
          <w:sz w:val="52"/>
          <w:szCs w:val="48"/>
          <w:highlight w:val="none"/>
        </w:rPr>
      </w:pPr>
    </w:p>
    <w:p>
      <w:pPr>
        <w:pStyle w:val="2"/>
        <w:spacing w:line="360" w:lineRule="auto"/>
        <w:ind w:firstLine="0" w:firstLineChars="0"/>
        <w:jc w:val="center"/>
        <w:rPr>
          <w:rFonts w:hint="eastAsia" w:eastAsia="宋体"/>
          <w:color w:val="auto"/>
          <w:highlight w:val="none"/>
          <w:lang w:val="en-US" w:eastAsia="zh-CN"/>
        </w:rPr>
      </w:pPr>
      <w:r>
        <w:rPr>
          <w:rFonts w:hint="eastAsia" w:cs="宋体"/>
          <w:b/>
          <w:color w:val="auto"/>
          <w:kern w:val="2"/>
          <w:sz w:val="48"/>
          <w:szCs w:val="40"/>
          <w:highlight w:val="none"/>
          <w:lang w:eastAsia="zh-CN"/>
        </w:rPr>
        <w:t>广州市白云区潭村城中村改造项目二期安置地块及安置区配套道路项目勘察设计施工总承包（EPC）（房建）</w:t>
      </w:r>
    </w:p>
    <w:p>
      <w:pPr>
        <w:pStyle w:val="2"/>
        <w:spacing w:line="360" w:lineRule="auto"/>
        <w:rPr>
          <w:rFonts w:hint="eastAsia"/>
          <w:color w:val="auto"/>
          <w:highlight w:val="none"/>
        </w:rPr>
      </w:pPr>
    </w:p>
    <w:p>
      <w:pPr>
        <w:pStyle w:val="2"/>
        <w:spacing w:line="360" w:lineRule="auto"/>
        <w:rPr>
          <w:rFonts w:hint="eastAsia"/>
          <w:color w:val="auto"/>
          <w:highlight w:val="none"/>
        </w:rPr>
      </w:pPr>
    </w:p>
    <w:p>
      <w:pPr>
        <w:spacing w:line="360" w:lineRule="auto"/>
        <w:jc w:val="center"/>
        <w:rPr>
          <w:rFonts w:hint="eastAsia" w:ascii="宋体" w:hAnsi="宋体" w:cs="宋体"/>
          <w:color w:val="auto"/>
          <w:kern w:val="1"/>
          <w:sz w:val="72"/>
          <w:szCs w:val="72"/>
          <w:highlight w:val="none"/>
        </w:rPr>
      </w:pPr>
    </w:p>
    <w:p>
      <w:pPr>
        <w:spacing w:line="360" w:lineRule="auto"/>
        <w:jc w:val="center"/>
        <w:rPr>
          <w:rFonts w:hint="eastAsia"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pPr>
        <w:spacing w:line="360" w:lineRule="auto"/>
        <w:jc w:val="center"/>
        <w:rPr>
          <w:rFonts w:hint="eastAsia" w:ascii="宋体" w:hAnsi="宋体" w:cs="宋体"/>
          <w:color w:val="auto"/>
          <w:kern w:val="1"/>
          <w:sz w:val="48"/>
          <w:szCs w:val="21"/>
          <w:highlight w:val="none"/>
        </w:rPr>
      </w:pPr>
    </w:p>
    <w:p>
      <w:pPr>
        <w:spacing w:line="360" w:lineRule="auto"/>
        <w:jc w:val="center"/>
        <w:rPr>
          <w:rFonts w:hint="eastAsia" w:ascii="宋体" w:hAnsi="宋体" w:cs="宋体"/>
          <w:color w:val="auto"/>
          <w:kern w:val="1"/>
          <w:sz w:val="32"/>
          <w:szCs w:val="32"/>
          <w:highlight w:val="none"/>
        </w:rPr>
      </w:pPr>
    </w:p>
    <w:p>
      <w:pPr>
        <w:pStyle w:val="2"/>
        <w:spacing w:line="360" w:lineRule="auto"/>
        <w:rPr>
          <w:rFonts w:hint="eastAsia"/>
          <w:color w:val="auto"/>
          <w:highlight w:val="none"/>
        </w:rPr>
      </w:pPr>
    </w:p>
    <w:p>
      <w:pPr>
        <w:pStyle w:val="2"/>
        <w:rPr>
          <w:rFonts w:hint="eastAsia"/>
          <w:color w:val="auto"/>
          <w:highlight w:val="none"/>
          <w:lang w:val="en-US"/>
        </w:rPr>
      </w:pPr>
    </w:p>
    <w:p>
      <w:pP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广州白云潭村置地有限公司</w:t>
      </w:r>
    </w:p>
    <w:p>
      <w:pPr>
        <w:pStyle w:val="29"/>
        <w:spacing w:line="360" w:lineRule="auto"/>
        <w:ind w:firstLine="643" w:firstLineChars="200"/>
        <w:rPr>
          <w:rFonts w:hint="eastAsia"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pPr>
        <w:pStyle w:val="29"/>
        <w:spacing w:line="360" w:lineRule="auto"/>
        <w:ind w:firstLine="643" w:firstLineChars="200"/>
        <w:rPr>
          <w:rFonts w:hint="eastAsia"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2025年0</w:t>
      </w:r>
      <w:r>
        <w:rPr>
          <w:rFonts w:hint="eastAsia" w:ascii="宋体" w:hAnsi="宋体" w:cs="宋体"/>
          <w:b/>
          <w:color w:val="auto"/>
          <w:kern w:val="1"/>
          <w:sz w:val="32"/>
          <w:szCs w:val="32"/>
          <w:highlight w:val="none"/>
          <w:lang w:val="en-US" w:eastAsia="zh-CN"/>
        </w:rPr>
        <w:t>8</w:t>
      </w:r>
      <w:r>
        <w:rPr>
          <w:rFonts w:hint="eastAsia" w:ascii="宋体" w:hAnsi="宋体" w:cs="宋体"/>
          <w:b/>
          <w:color w:val="auto"/>
          <w:kern w:val="1"/>
          <w:sz w:val="32"/>
          <w:szCs w:val="32"/>
          <w:highlight w:val="none"/>
        </w:rPr>
        <w:t>月</w:t>
      </w:r>
      <w:bookmarkStart w:id="1" w:name="_Toc152042286"/>
      <w:bookmarkEnd w:id="1"/>
      <w:bookmarkStart w:id="2" w:name="_Toc247527532"/>
      <w:bookmarkEnd w:id="2"/>
      <w:bookmarkStart w:id="3" w:name="_Toc367729707"/>
      <w:bookmarkEnd w:id="3"/>
      <w:bookmarkStart w:id="4" w:name="_Toc144974478"/>
      <w:bookmarkEnd w:id="4"/>
      <w:bookmarkStart w:id="5" w:name="_Toc300834926"/>
      <w:bookmarkEnd w:id="5"/>
    </w:p>
    <w:p>
      <w:pPr>
        <w:pStyle w:val="29"/>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pPr>
        <w:pStyle w:val="29"/>
        <w:spacing w:line="360" w:lineRule="auto"/>
        <w:ind w:firstLine="3092" w:firstLineChars="1100"/>
        <w:rPr>
          <w:rFonts w:hint="eastAsia" w:ascii="宋体" w:hAnsi="宋体" w:cs="宋体"/>
          <w:b/>
          <w:color w:val="auto"/>
          <w:sz w:val="28"/>
          <w:highlight w:val="none"/>
        </w:rPr>
      </w:pPr>
      <w:r>
        <w:rPr>
          <w:rFonts w:hint="eastAsia" w:ascii="宋体" w:hAnsi="宋体" w:cs="宋体"/>
          <w:b/>
          <w:color w:val="auto"/>
          <w:sz w:val="28"/>
          <w:highlight w:val="none"/>
        </w:rPr>
        <w:t>目     录</w:t>
      </w:r>
    </w:p>
    <w:p>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247513932"/>
      <w:bookmarkEnd w:id="6"/>
      <w:bookmarkStart w:id="7" w:name="_Toc152042287"/>
      <w:bookmarkEnd w:id="7"/>
      <w:bookmarkStart w:id="8" w:name="_Toc152045511"/>
      <w:bookmarkEnd w:id="8"/>
      <w:bookmarkStart w:id="9" w:name="_Toc144974479"/>
      <w:bookmarkEnd w:id="9"/>
      <w:bookmarkStart w:id="10" w:name="_Toc247527533"/>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48</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49</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51</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52</w:t>
      </w:r>
      <w:r>
        <w:rPr>
          <w:color w:val="auto"/>
          <w:sz w:val="22"/>
          <w:szCs w:val="22"/>
          <w:highlight w:val="none"/>
        </w:rPr>
        <w:fldChar w:fldCharType="end"/>
      </w:r>
    </w:p>
    <w:p>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_Toc5889 </w:instrText>
      </w:r>
      <w:r>
        <w:rPr>
          <w:color w:val="auto"/>
          <w:sz w:val="22"/>
          <w:szCs w:val="22"/>
          <w:highlight w:val="none"/>
        </w:rPr>
        <w:fldChar w:fldCharType="separate"/>
      </w:r>
      <w:r>
        <w:rPr>
          <w:color w:val="auto"/>
          <w:sz w:val="22"/>
          <w:szCs w:val="22"/>
          <w:highlight w:val="none"/>
        </w:rPr>
        <w:t>86</w:t>
      </w:r>
      <w:r>
        <w:rPr>
          <w:color w:val="auto"/>
          <w:sz w:val="22"/>
          <w:szCs w:val="22"/>
          <w:highlight w:val="none"/>
        </w:rPr>
        <w:fldChar w:fldCharType="end"/>
      </w:r>
    </w:p>
    <w:p>
      <w:pPr>
        <w:pStyle w:val="24"/>
        <w:tabs>
          <w:tab w:val="right" w:leader="dot" w:pos="9297"/>
        </w:tabs>
        <w:spacing w:line="360" w:lineRule="auto"/>
        <w:rPr>
          <w:rFonts w:hint="eastAsia" w:ascii="宋体" w:hAnsi="宋体" w:cs="宋体"/>
          <w:color w:val="auto"/>
          <w:highlight w:val="none"/>
        </w:rPr>
      </w:pPr>
      <w:r>
        <w:rPr>
          <w:rFonts w:hint="eastAsia" w:ascii="宋体" w:hAnsi="宋体" w:cs="宋体"/>
          <w:color w:val="auto"/>
          <w:sz w:val="22"/>
          <w:szCs w:val="22"/>
          <w:highlight w:val="none"/>
        </w:rPr>
        <w:fldChar w:fldCharType="end"/>
      </w:r>
      <w:bookmarkStart w:id="11" w:name="_Toc443505819"/>
      <w:bookmarkEnd w:id="11"/>
      <w:bookmarkStart w:id="12" w:name="_Toc144974494"/>
      <w:bookmarkEnd w:id="12"/>
      <w:bookmarkStart w:id="13" w:name="_Toc152045526"/>
      <w:bookmarkEnd w:id="13"/>
      <w:bookmarkStart w:id="14" w:name="_Toc144974495"/>
      <w:bookmarkEnd w:id="14"/>
      <w:bookmarkStart w:id="15" w:name="_Toc152042303"/>
      <w:bookmarkEnd w:id="15"/>
      <w:bookmarkStart w:id="16" w:name="_Toc247527550"/>
      <w:bookmarkEnd w:id="16"/>
      <w:bookmarkStart w:id="17" w:name="_Toc152042302"/>
      <w:bookmarkEnd w:id="17"/>
      <w:bookmarkStart w:id="18" w:name="_Toc152045527"/>
      <w:bookmarkEnd w:id="18"/>
      <w:bookmarkStart w:id="19" w:name="_Toc247513949"/>
      <w:bookmarkEnd w:id="19"/>
      <w:bookmarkStart w:id="20" w:name="_Toc247527551"/>
      <w:bookmarkEnd w:id="20"/>
      <w:bookmarkStart w:id="21" w:name="_Toc247513950"/>
      <w:bookmarkEnd w:id="21"/>
    </w:p>
    <w:p>
      <w:pPr>
        <w:pStyle w:val="3"/>
        <w:numPr>
          <w:ilvl w:val="0"/>
          <w:numId w:val="1"/>
        </w:numP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pPr>
        <w:pStyle w:val="2"/>
        <w:spacing w:line="360" w:lineRule="auto"/>
        <w:rPr>
          <w:rFonts w:hint="eastAsia"/>
          <w:color w:val="auto"/>
          <w:highlight w:val="none"/>
        </w:rPr>
      </w:pPr>
      <w:r>
        <w:rPr>
          <w:color w:val="auto"/>
          <w:highlight w:val="none"/>
        </w:rPr>
        <w:br w:type="page"/>
      </w:r>
    </w:p>
    <w:p>
      <w:pPr>
        <w:pStyle w:val="3"/>
        <w:spacing w:after="100" w:line="360" w:lineRule="auto"/>
        <w:jc w:val="center"/>
        <w:rPr>
          <w:rFonts w:hint="eastAsia"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pPr>
        <w:pStyle w:val="4"/>
        <w:spacing w:before="100" w:after="100" w:line="360" w:lineRule="auto"/>
        <w:jc w:val="center"/>
        <w:rPr>
          <w:rFonts w:hint="eastAsia" w:ascii="宋体" w:hAnsi="宋体" w:eastAsia="宋体" w:cs="宋体"/>
          <w:color w:val="auto"/>
          <w:highlight w:val="none"/>
          <w:lang w:val="zh-CN"/>
        </w:rPr>
      </w:pPr>
      <w:bookmarkStart w:id="27" w:name="_Toc357089510"/>
      <w:bookmarkEnd w:id="27"/>
      <w:bookmarkStart w:id="28" w:name="_Toc443505821"/>
      <w:bookmarkEnd w:id="28"/>
      <w:bookmarkStart w:id="29" w:name="_Toc152042304"/>
      <w:bookmarkEnd w:id="29"/>
      <w:bookmarkStart w:id="30" w:name="_Toc247513951"/>
      <w:bookmarkEnd w:id="30"/>
      <w:bookmarkStart w:id="31" w:name="_Toc300834948"/>
      <w:bookmarkEnd w:id="31"/>
      <w:bookmarkStart w:id="32" w:name="_Toc152045528"/>
      <w:bookmarkEnd w:id="32"/>
      <w:bookmarkStart w:id="33" w:name="_Toc144974496"/>
      <w:bookmarkEnd w:id="33"/>
      <w:bookmarkStart w:id="34" w:name="_Toc6703"/>
      <w:bookmarkEnd w:id="34"/>
      <w:bookmarkStart w:id="35" w:name="_Toc362816479"/>
      <w:bookmarkEnd w:id="35"/>
      <w:bookmarkStart w:id="36" w:name="_Toc247527552"/>
      <w:bookmarkEnd w:id="36"/>
      <w:bookmarkStart w:id="37" w:name="_Toc30749"/>
      <w:bookmarkEnd w:id="37"/>
      <w:bookmarkStart w:id="38" w:name="_Toc18684"/>
      <w:bookmarkStart w:id="39" w:name="_Toc5620295"/>
      <w:r>
        <w:rPr>
          <w:rFonts w:hint="eastAsia" w:ascii="宋体" w:hAnsi="宋体" w:eastAsia="宋体" w:cs="宋体"/>
          <w:color w:val="auto"/>
          <w:highlight w:val="none"/>
          <w:lang w:val="zh-CN"/>
        </w:rPr>
        <w:t>投标人须知前附表</w:t>
      </w:r>
      <w:bookmarkEnd w:id="38"/>
      <w:bookmarkEnd w:id="39"/>
    </w:p>
    <w:tbl>
      <w:tblPr>
        <w:tblStyle w:val="34"/>
        <w:tblW w:w="9592" w:type="dxa"/>
        <w:jc w:val="center"/>
        <w:shd w:val="clear" w:color="auto" w:fill="auto"/>
        <w:tblLayout w:type="fixed"/>
        <w:tblCellMar>
          <w:top w:w="0" w:type="dxa"/>
          <w:left w:w="108" w:type="dxa"/>
          <w:bottom w:w="0" w:type="dxa"/>
          <w:right w:w="108" w:type="dxa"/>
        </w:tblCellMar>
      </w:tblPr>
      <w:tblGrid>
        <w:gridCol w:w="884"/>
        <w:gridCol w:w="2513"/>
        <w:gridCol w:w="6195"/>
      </w:tblGrid>
      <w:tr>
        <w:tblPrEx>
          <w:shd w:val="clear" w:color="auto" w:fill="auto"/>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广州白云潭村置地有限公司</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 w:val="24"/>
                <w:highlight w:val="none"/>
                <w:u w:val="single"/>
                <w:lang w:eastAsia="zh-CN"/>
              </w:rPr>
              <w:t>广州市白云区齐富路88号11层</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何</w:t>
            </w:r>
            <w:r>
              <w:rPr>
                <w:rFonts w:hint="eastAsia" w:ascii="宋体" w:hAnsi="宋体" w:cs="宋体"/>
                <w:color w:val="auto"/>
                <w:szCs w:val="21"/>
                <w:highlight w:val="none"/>
                <w:u w:val="single"/>
              </w:rPr>
              <w:t>工</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cs="宋体"/>
                <w:color w:val="auto"/>
                <w:szCs w:val="21"/>
                <w:highlight w:val="none"/>
              </w:rPr>
              <w:t>电话：</w:t>
            </w:r>
            <w:r>
              <w:rPr>
                <w:rFonts w:hint="eastAsia" w:cs="宋体"/>
                <w:color w:val="auto"/>
                <w:szCs w:val="21"/>
                <w:highlight w:val="none"/>
                <w:u w:val="single"/>
                <w:lang w:val="en-US"/>
              </w:rPr>
              <w:t>19927525591</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张</w:t>
            </w:r>
            <w:r>
              <w:rPr>
                <w:rFonts w:hint="eastAsia" w:ascii="宋体" w:hAnsi="宋体" w:cs="宋体"/>
                <w:color w:val="auto"/>
                <w:szCs w:val="21"/>
                <w:highlight w:val="none"/>
                <w:u w:val="single"/>
                <w:lang w:eastAsia="zh-CN"/>
              </w:rPr>
              <w:t>工</w:t>
            </w:r>
            <w:r>
              <w:rPr>
                <w:rFonts w:hint="eastAsia" w:ascii="宋体" w:hAnsi="宋体" w:cs="宋体"/>
                <w:color w:val="auto"/>
                <w:szCs w:val="21"/>
                <w:highlight w:val="none"/>
                <w:u w:val="single"/>
              </w:rPr>
              <w:t>、肖工</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r>
              <w:rPr>
                <w:rFonts w:hint="default" w:ascii="宋体" w:hAnsi="宋体" w:cs="宋体"/>
                <w:color w:val="auto"/>
                <w:szCs w:val="21"/>
                <w:highlight w:val="none"/>
                <w:u w:val="single"/>
              </w:rPr>
              <w:t>020-35622940</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广州市白云区潭村城中村改造项目二期安置地块及安置区配套道路项目勘察设计施工总承包（EPC）（房建）</w:t>
            </w:r>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suppressLineNumbers w:val="0"/>
              <w:spacing w:before="0" w:beforeAutospacing="0" w:after="0" w:afterAutospacing="0" w:line="360" w:lineRule="auto"/>
              <w:ind w:left="0" w:right="0"/>
              <w:rPr>
                <w:rFonts w:hint="eastAsia"/>
                <w:color w:val="auto"/>
                <w:kern w:val="1"/>
                <w:sz w:val="21"/>
                <w:szCs w:val="21"/>
                <w:highlight w:val="none"/>
              </w:rPr>
            </w:pPr>
            <w:r>
              <w:rPr>
                <w:rFonts w:hint="eastAsia"/>
                <w:color w:val="auto"/>
                <w:kern w:val="1"/>
                <w:sz w:val="21"/>
                <w:szCs w:val="21"/>
                <w:highlight w:val="none"/>
              </w:rPr>
              <w:t>□不接受</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pPr>
              <w:keepNext w:val="0"/>
              <w:keepLines w:val="0"/>
              <w:suppressLineNumbers w:val="0"/>
              <w:tabs>
                <w:tab w:val="center" w:pos="2950"/>
              </w:tabs>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suppressLineNumbers w:val="0"/>
              <w:spacing w:before="0" w:beforeAutospacing="0" w:after="0" w:afterAutospacing="0" w:line="360" w:lineRule="auto"/>
              <w:ind w:left="0" w:right="0"/>
              <w:rPr>
                <w:rFonts w:hint="eastAsia"/>
                <w:color w:val="auto"/>
                <w:kern w:val="1"/>
                <w:sz w:val="21"/>
                <w:szCs w:val="21"/>
                <w:highlight w:val="none"/>
              </w:rPr>
            </w:pPr>
            <w:r>
              <w:rPr>
                <w:rFonts w:hint="eastAsia"/>
                <w:color w:val="auto"/>
                <w:kern w:val="1"/>
                <w:sz w:val="21"/>
                <w:szCs w:val="21"/>
                <w:highlight w:val="none"/>
              </w:rPr>
              <w:t>■不召开</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2"/>
              <w:keepNext w:val="0"/>
              <w:keepLines w:val="0"/>
              <w:suppressLineNumbers w:val="0"/>
              <w:spacing w:before="0" w:beforeAutospacing="0" w:after="0" w:afterAutospacing="0" w:line="360" w:lineRule="auto"/>
              <w:ind w:left="0" w:right="0"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pPr>
              <w:keepNext w:val="0"/>
              <w:keepLines w:val="0"/>
              <w:suppressLineNumbers w:val="0"/>
              <w:spacing w:before="0" w:beforeAutospacing="0" w:after="0" w:afterAutospacing="0" w:line="360" w:lineRule="auto"/>
              <w:ind w:left="0"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pPr>
              <w:keepNext w:val="0"/>
              <w:keepLines w:val="0"/>
              <w:suppressLineNumbers w:val="0"/>
              <w:spacing w:before="0" w:beforeAutospacing="0" w:after="0" w:afterAutospacing="0" w:line="360" w:lineRule="auto"/>
              <w:ind w:left="0"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suppressLineNumbers w:val="0"/>
              <w:spacing w:before="0" w:beforeAutospacing="0" w:after="0" w:afterAutospacing="0" w:line="360" w:lineRule="auto"/>
              <w:ind w:left="0" w:right="0"/>
              <w:rPr>
                <w:rFonts w:hint="eastAsia"/>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default"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suppressLineNumbers w:val="0"/>
              <w:spacing w:before="0" w:beforeAutospacing="0" w:after="0" w:afterAutospacing="0" w:line="360" w:lineRule="auto"/>
              <w:ind w:left="0" w:right="0"/>
              <w:rPr>
                <w:rFonts w:hint="eastAsia"/>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pPr>
              <w:pStyle w:val="12"/>
              <w:keepNext w:val="0"/>
              <w:keepLines w:val="0"/>
              <w:suppressLineNumbers w:val="0"/>
              <w:spacing w:before="0" w:beforeAutospacing="0" w:after="0" w:afterAutospacing="0" w:line="360" w:lineRule="auto"/>
              <w:ind w:left="0" w:right="0"/>
              <w:rPr>
                <w:rFonts w:hint="eastAsia"/>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hint="default"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pPr>
              <w:pStyle w:val="2"/>
              <w:keepNext w:val="0"/>
              <w:keepLines w:val="0"/>
              <w:suppressLineNumbers w:val="0"/>
              <w:spacing w:before="0" w:beforeAutospacing="0" w:after="0" w:afterAutospacing="0"/>
              <w:ind w:left="0" w:right="0"/>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hint="default"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工程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tc>
      </w:tr>
      <w:tr>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hint="default"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s>
              <w:adjustRightInd w:val="0"/>
              <w:snapToGrid w:val="0"/>
              <w:spacing w:before="0" w:beforeAutospacing="0" w:after="0" w:afterAutospacing="0" w:line="360" w:lineRule="auto"/>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1、本次招标最高投标限价为147287.48万元，其中：勘察费最高投标限价为1124.99万元；设计费最高投标限价为2196.24万元；工程费最高投标限价为人民币143966.25万元。</w:t>
            </w:r>
          </w:p>
          <w:p>
            <w:pPr>
              <w:keepNext w:val="0"/>
              <w:keepLines w:val="0"/>
              <w:widowControl/>
              <w:suppressLineNumbers w:val="0"/>
              <w:tabs>
                <w:tab w:val="left" w:pos="105"/>
              </w:tabs>
              <w:adjustRightInd w:val="0"/>
              <w:snapToGrid w:val="0"/>
              <w:spacing w:before="0" w:beforeAutospacing="0" w:after="0" w:afterAutospacing="0" w:line="360" w:lineRule="auto"/>
              <w:ind w:left="0" w:right="0"/>
              <w:rPr>
                <w:rFonts w:hint="default"/>
                <w:color w:val="auto"/>
                <w:highlight w:val="none"/>
                <w:u w:val="single"/>
              </w:rPr>
            </w:pPr>
            <w:r>
              <w:rPr>
                <w:rFonts w:hint="eastAsia"/>
                <w:color w:val="auto"/>
                <w:szCs w:val="21"/>
                <w:highlight w:val="none"/>
              </w:rPr>
              <w:t>其中：</w:t>
            </w:r>
            <w:r>
              <w:rPr>
                <w:rFonts w:hint="eastAsia"/>
                <w:color w:val="auto"/>
                <w:highlight w:val="none"/>
                <w:u w:val="single"/>
              </w:rPr>
              <w:t>岩土工程勘察综合包干单价投标报价应不高于120元/m；超前钻综合包干单价投标报价应不高于105元/m；工程物探费综合包干单价投标报价应不高于1.5元/㎡；地形测绘及工程测量（含规划报建放线费)为100万元，为非竞争性费用固定报价；抽水试验综合包干单价投标报价应不高于10000元/个；剪切波速综合包干单价投标报价应不高于2500元/孔；土壤氡浓度测试综合包干单价投标报价应不高于120元/点；噪声测试综合包干单价投标报价应不高于3000元/项；管波探测综合包干单价投标报价应不高于2300元/孔。</w:t>
            </w:r>
          </w:p>
          <w:p>
            <w:pPr>
              <w:keepNext w:val="0"/>
              <w:keepLines w:val="0"/>
              <w:widowControl/>
              <w:suppressLineNumbers w:val="0"/>
              <w:tabs>
                <w:tab w:val="left" w:pos="105"/>
              </w:tabs>
              <w:adjustRightInd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勘察费报价及勘察各单价报价、设计费报价、工程费报价）超过上述相应最高投标限价的为无效标。</w:t>
            </w:r>
          </w:p>
        </w:tc>
      </w:tr>
      <w:tr>
        <w:tblPrEx>
          <w:shd w:val="clear" w:color="auto" w:fill="auto"/>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hint="default"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pPr>
              <w:keepNext w:val="0"/>
              <w:keepLines w:val="0"/>
              <w:suppressLineNumbers w:val="0"/>
              <w:spacing w:before="0" w:beforeAutospacing="0" w:after="0" w:afterAutospacing="0" w:line="360" w:lineRule="auto"/>
              <w:ind w:left="0" w:right="0"/>
              <w:rPr>
                <w:rFonts w:hint="eastAsia" w:ascii="宋体" w:hAnsi="宋体" w:cs="宋体"/>
                <w:b/>
                <w:bCs/>
                <w:color w:val="auto"/>
                <w:szCs w:val="21"/>
                <w:highlight w:val="none"/>
              </w:rPr>
            </w:pPr>
            <w:r>
              <w:rPr>
                <w:rFonts w:hint="eastAsia" w:ascii="宋体" w:hAnsi="宋体" w:cs="宋体"/>
                <w:color w:val="auto"/>
                <w:szCs w:val="21"/>
                <w:highlight w:val="none"/>
              </w:rPr>
              <w:t>（1）勘察费：投标报价不得高于勘察费最高投标限价及相应的含税综合包干单价投标限价，由投标人根据招标文件要求以及企业自身情况填报投标报价和投标下浮率；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pPr>
              <w:keepNext w:val="0"/>
              <w:keepLines w:val="0"/>
              <w:suppressLineNumbers w:val="0"/>
              <w:spacing w:before="0" w:beforeAutospacing="0" w:after="0" w:afterAutospacing="0" w:line="360" w:lineRule="auto"/>
              <w:ind w:left="0" w:right="0"/>
              <w:rPr>
                <w:rFonts w:hint="eastAsia" w:ascii="宋体" w:hAnsi="宋体" w:cs="宋体"/>
                <w:b/>
                <w:bCs/>
                <w:color w:val="auto"/>
                <w:szCs w:val="21"/>
                <w:highlight w:val="none"/>
              </w:rPr>
            </w:pPr>
            <w:r>
              <w:rPr>
                <w:rFonts w:hint="eastAsia" w:ascii="宋体" w:hAnsi="宋体" w:cs="宋体"/>
                <w:color w:val="auto"/>
                <w:szCs w:val="21"/>
                <w:highlight w:val="none"/>
              </w:rPr>
              <w:t>（2）设计费：投标报价不得高于设计费最高投标限价，由投标人根据招标文件要求以及企业自身情况填报投标报价和投标下浮率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pPr>
              <w:keepNext w:val="0"/>
              <w:keepLines w:val="0"/>
              <w:suppressLineNumbers w:val="0"/>
              <w:spacing w:before="0" w:beforeAutospacing="0" w:after="0" w:afterAutospacing="0" w:line="360" w:lineRule="auto"/>
              <w:ind w:left="0" w:right="0"/>
              <w:rPr>
                <w:rFonts w:hint="default" w:cs="宋体"/>
                <w:color w:val="auto"/>
                <w:szCs w:val="21"/>
                <w:highlight w:val="none"/>
              </w:rPr>
            </w:pPr>
            <w:r>
              <w:rPr>
                <w:rFonts w:hint="eastAsia" w:ascii="宋体" w:hAnsi="宋体" w:cs="宋体"/>
                <w:color w:val="auto"/>
                <w:szCs w:val="21"/>
                <w:highlight w:val="none"/>
              </w:rPr>
              <w:t>（3）工程费：投标报价不得高于工程费最高投标限价，由投标人根据招标文件要求以及企业自身情况填报投标报价和投标下浮率；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tblPrEx>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default"/>
                <w:color w:val="auto"/>
                <w:highlight w:val="none"/>
                <w:lang w:bidi="ar"/>
              </w:rPr>
            </w:pPr>
            <w:r>
              <w:rPr>
                <w:rFonts w:hint="eastAsia"/>
                <w:color w:val="auto"/>
                <w:highlight w:val="none"/>
                <w:lang w:bidi="ar"/>
              </w:rPr>
              <w:t>本项目不要求递交投标保证金。</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suppressLineNumbers w:val="0"/>
              <w:spacing w:before="0" w:beforeAutospacing="0" w:after="0" w:afterAutospacing="0" w:line="360" w:lineRule="auto"/>
              <w:ind w:left="0" w:right="0"/>
              <w:rPr>
                <w:rFonts w:hint="eastAsia"/>
                <w:color w:val="auto"/>
                <w:kern w:val="1"/>
                <w:sz w:val="21"/>
                <w:szCs w:val="21"/>
                <w:highlight w:val="none"/>
              </w:rPr>
            </w:pPr>
            <w:r>
              <w:rPr>
                <w:rFonts w:hint="eastAsia"/>
                <w:color w:val="auto"/>
                <w:kern w:val="1"/>
                <w:sz w:val="21"/>
                <w:szCs w:val="21"/>
                <w:highlight w:val="none"/>
              </w:rPr>
              <w:t>■不允许</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hint="default"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hint="default"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cs="宋体"/>
                <w:color w:val="auto"/>
                <w:kern w:val="1"/>
                <w:szCs w:val="21"/>
                <w:highlight w:val="none"/>
              </w:rPr>
              <w:t>2、未按要求加密的投标文件，招标人将予以拒收。</w:t>
            </w:r>
          </w:p>
        </w:tc>
      </w:tr>
      <w:tr>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hint="default"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hint="default" w:ascii="宋体" w:hAnsi="宋体" w:cs="宋体"/>
                <w:color w:val="auto"/>
                <w:szCs w:val="21"/>
                <w:highlight w:val="none"/>
              </w:rPr>
              <w:t>u盘，封套上应注明如下信息：</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招标人名称：</w:t>
            </w:r>
            <w:r>
              <w:rPr>
                <w:rFonts w:hint="default" w:ascii="宋体" w:hAnsi="宋体" w:cs="宋体"/>
                <w:color w:val="auto"/>
                <w:szCs w:val="21"/>
                <w:highlight w:val="none"/>
                <w:u w:val="single"/>
              </w:rPr>
              <w:t xml:space="preserve">               </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hint="default" w:ascii="宋体" w:hAnsi="宋体" w:cs="宋体"/>
                <w:color w:val="auto"/>
                <w:szCs w:val="21"/>
                <w:highlight w:val="none"/>
                <w:u w:val="single"/>
              </w:rPr>
              <w:t xml:space="preserve">               </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招标项目编号：</w:t>
            </w:r>
            <w:r>
              <w:rPr>
                <w:rFonts w:hint="default" w:ascii="宋体" w:hAnsi="宋体" w:cs="宋体"/>
                <w:color w:val="auto"/>
                <w:szCs w:val="21"/>
                <w:highlight w:val="none"/>
                <w:u w:val="single"/>
              </w:rPr>
              <w:t xml:space="preserve">        </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default" w:ascii="宋体" w:hAnsi="宋体" w:cs="宋体"/>
                <w:color w:val="auto"/>
                <w:szCs w:val="21"/>
                <w:highlight w:val="none"/>
                <w:u w:val="single"/>
              </w:rPr>
              <w:t xml:space="preserve">         </w:t>
            </w:r>
            <w:r>
              <w:rPr>
                <w:rFonts w:hint="default" w:ascii="宋体" w:hAnsi="宋体" w:cs="宋体"/>
                <w:color w:val="auto"/>
                <w:szCs w:val="21"/>
                <w:highlight w:val="none"/>
              </w:rPr>
              <w:t xml:space="preserve">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在</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hint="default"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tblPrEx>
          <w:shd w:val="clear" w:color="auto" w:fill="auto"/>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招标人在本章第</w:t>
            </w:r>
            <w:r>
              <w:rPr>
                <w:rFonts w:hint="default"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hint="default" w:ascii="宋体" w:hAnsi="宋体" w:cs="宋体"/>
                <w:color w:val="auto"/>
                <w:szCs w:val="21"/>
                <w:highlight w:val="none"/>
              </w:rPr>
              <w:t>,在</w:t>
            </w:r>
            <w:bookmarkStart w:id="40" w:name="OLE_LINK1"/>
            <w:r>
              <w:rPr>
                <w:rFonts w:hint="eastAsia" w:ascii="宋体" w:hAnsi="宋体" w:cs="宋体"/>
                <w:color w:val="auto"/>
                <w:szCs w:val="21"/>
                <w:highlight w:val="none"/>
              </w:rPr>
              <w:t>广州交易集团有限公司（广州公共资源交易中心）</w:t>
            </w:r>
            <w:bookmarkEnd w:id="40"/>
            <w:r>
              <w:rPr>
                <w:rFonts w:hint="default"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递交备用电子投标文件时间：</w:t>
            </w:r>
            <w:r>
              <w:rPr>
                <w:rFonts w:hint="default" w:ascii="宋体" w:hAnsi="宋体" w:cs="宋体"/>
                <w:color w:val="auto"/>
                <w:szCs w:val="21"/>
                <w:highlight w:val="none"/>
                <w:u w:val="single"/>
              </w:rPr>
              <w:t>202</w:t>
            </w:r>
            <w:r>
              <w:rPr>
                <w:rFonts w:hint="eastAsia" w:ascii="宋体" w:hAnsi="宋体" w:cs="宋体"/>
                <w:color w:val="auto"/>
                <w:szCs w:val="21"/>
                <w:highlight w:val="none"/>
                <w:u w:val="single"/>
              </w:rPr>
              <w:t>5年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hint="default" w:ascii="宋体" w:hAnsi="宋体" w:cs="宋体"/>
                <w:color w:val="auto"/>
                <w:szCs w:val="21"/>
                <w:highlight w:val="none"/>
                <w:u w:val="single"/>
              </w:rPr>
              <w:t>202</w:t>
            </w:r>
            <w:r>
              <w:rPr>
                <w:rFonts w:hint="eastAsia" w:ascii="宋体" w:hAnsi="宋体" w:cs="宋体"/>
                <w:color w:val="auto"/>
                <w:szCs w:val="21"/>
                <w:highlight w:val="none"/>
                <w:u w:val="single"/>
              </w:rPr>
              <w:t>5年</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hint="default" w:ascii="宋体" w:hAnsi="宋体" w:cs="宋体"/>
                <w:color w:val="auto"/>
                <w:szCs w:val="21"/>
                <w:highlight w:val="none"/>
              </w:rPr>
              <w:t>(日程安排、答疑纪要)中输入本项目编号或项目名称进行查询。</w:t>
            </w:r>
          </w:p>
        </w:tc>
      </w:tr>
      <w:tr>
        <w:tblPrEx>
          <w:shd w:val="clear" w:color="auto" w:fill="auto"/>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评标由招标人在开标前依法组建的评标委员会负责，分勘察设计评审组、综合评审组，资格评审由综合评审组负责评审。</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□是</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hint="default"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pPr>
              <w:keepNext w:val="0"/>
              <w:keepLines w:val="0"/>
              <w:widowControl/>
              <w:suppressLineNumbers w:val="0"/>
              <w:spacing w:before="0" w:beforeAutospacing="0" w:after="0" w:afterAutospacing="0" w:line="360" w:lineRule="auto"/>
              <w:ind w:left="0" w:right="0"/>
              <w:rPr>
                <w:rFonts w:hint="default"/>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履约担保的金额：中标金额的10%，具体以合同约定为准。</w:t>
            </w:r>
          </w:p>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担保期限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按合同约定为准。</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p>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承包方式：包勘察、设计、包工、包料、包设备、包工期、包质量、包造价控制、包安全、包文明施工、包项目协调管理、包验收移交、包竣工资料收集整理、包保修。</w:t>
            </w:r>
          </w:p>
          <w:p>
            <w:pPr>
              <w:keepNext w:val="0"/>
              <w:keepLines w:val="0"/>
              <w:widowControl/>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pPr>
              <w:keepNext w:val="0"/>
              <w:keepLines w:val="0"/>
              <w:widowControl/>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1、中标人需按照粤建管</w:t>
            </w:r>
            <w:r>
              <w:rPr>
                <w:rFonts w:hint="default"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hint="default"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hint="default" w:ascii="宋体" w:hAnsi="宋体" w:cs="宋体"/>
                <w:color w:val="auto"/>
                <w:szCs w:val="21"/>
                <w:highlight w:val="none"/>
              </w:rPr>
              <w:t>JGJ59-2011</w:t>
            </w:r>
            <w:r>
              <w:rPr>
                <w:rFonts w:hint="eastAsia" w:ascii="宋体" w:hAnsi="宋体" w:cs="宋体"/>
                <w:color w:val="auto"/>
                <w:szCs w:val="21"/>
                <w:highlight w:val="none"/>
              </w:rPr>
              <w:t>）、穗建质函</w:t>
            </w:r>
            <w:r>
              <w:rPr>
                <w:rFonts w:hint="default"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hint="default" w:ascii="宋体" w:hAnsi="宋体" w:cs="宋体"/>
                <w:color w:val="auto"/>
                <w:szCs w:val="21"/>
                <w:highlight w:val="none"/>
              </w:rPr>
              <w:t>,</w:t>
            </w:r>
            <w:r>
              <w:rPr>
                <w:rFonts w:hint="eastAsia" w:ascii="宋体" w:hAnsi="宋体" w:cs="宋体"/>
                <w:color w:val="auto"/>
                <w:szCs w:val="21"/>
                <w:highlight w:val="none"/>
              </w:rPr>
              <w:t>也可以重新招标。</w:t>
            </w:r>
          </w:p>
          <w:p>
            <w:pPr>
              <w:keepNext w:val="0"/>
              <w:keepLines w:val="0"/>
              <w:suppressLineNumbers w:val="0"/>
              <w:spacing w:before="0" w:beforeAutospacing="0" w:after="0" w:afterAutospacing="0" w:line="360" w:lineRule="auto"/>
              <w:ind w:left="0" w:right="0"/>
              <w:rPr>
                <w:rFonts w:hint="eastAsia"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9.7</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1.根据《广东省政府采购促进中小企业发展实施细则(试行)》要求，对符合《政府采购促进中小企业发展管理办法》的投标人，给予相应的价格评审优惠。</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2.本招标项目评标计算价格分时，对小微企业投标的，在采用原报价进行评分的基础上增加其价格得分的 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highlight w:val="none"/>
                <w:u w:val="single"/>
              </w:rPr>
              <w:t>建筑业</w:t>
            </w:r>
            <w:r>
              <w:rPr>
                <w:rFonts w:hint="eastAsia" w:ascii="宋体" w:hAnsi="宋体"/>
                <w:color w:val="auto"/>
                <w:szCs w:val="21"/>
                <w:highlight w:val="none"/>
              </w:rPr>
              <w:t>，营业收入</w:t>
            </w:r>
            <w:r>
              <w:rPr>
                <w:rFonts w:hint="default" w:ascii="宋体" w:hAnsi="宋体"/>
                <w:color w:val="auto"/>
                <w:szCs w:val="21"/>
                <w:highlight w:val="none"/>
              </w:rPr>
              <w:t xml:space="preserve"> 80000 </w:t>
            </w:r>
            <w:r>
              <w:rPr>
                <w:rFonts w:hint="eastAsia" w:ascii="宋体" w:hAnsi="宋体"/>
                <w:color w:val="auto"/>
                <w:szCs w:val="21"/>
                <w:highlight w:val="none"/>
              </w:rPr>
              <w:t>万元以下或资产总额</w:t>
            </w:r>
            <w:r>
              <w:rPr>
                <w:rFonts w:hint="default" w:ascii="宋体" w:hAnsi="宋体"/>
                <w:color w:val="auto"/>
                <w:szCs w:val="21"/>
                <w:highlight w:val="none"/>
              </w:rPr>
              <w:t xml:space="preserve"> 80000 </w:t>
            </w:r>
            <w:r>
              <w:rPr>
                <w:rFonts w:hint="eastAsia" w:ascii="宋体" w:hAnsi="宋体"/>
                <w:color w:val="auto"/>
                <w:szCs w:val="21"/>
                <w:highlight w:val="none"/>
              </w:rPr>
              <w:t>万元以下的为中小微型企业。其中，营业收入</w:t>
            </w:r>
            <w:r>
              <w:rPr>
                <w:rFonts w:hint="default" w:ascii="宋体" w:hAnsi="宋体"/>
                <w:color w:val="auto"/>
                <w:szCs w:val="21"/>
                <w:highlight w:val="none"/>
              </w:rPr>
              <w:t xml:space="preserve"> 6000 </w:t>
            </w:r>
            <w:r>
              <w:rPr>
                <w:rFonts w:hint="eastAsia" w:ascii="宋体" w:hAnsi="宋体"/>
                <w:color w:val="auto"/>
                <w:szCs w:val="21"/>
                <w:highlight w:val="none"/>
              </w:rPr>
              <w:t>万元及以上，且资产总额</w:t>
            </w:r>
            <w:r>
              <w:rPr>
                <w:rFonts w:hint="default" w:ascii="宋体" w:hAnsi="宋体"/>
                <w:color w:val="auto"/>
                <w:szCs w:val="21"/>
                <w:highlight w:val="none"/>
              </w:rPr>
              <w:t xml:space="preserve">5000 </w:t>
            </w:r>
            <w:r>
              <w:rPr>
                <w:rFonts w:hint="eastAsia" w:ascii="宋体" w:hAnsi="宋体"/>
                <w:color w:val="auto"/>
                <w:szCs w:val="21"/>
                <w:highlight w:val="none"/>
              </w:rPr>
              <w:t>万元及以上的为中型企业</w:t>
            </w:r>
            <w:r>
              <w:rPr>
                <w:rFonts w:hint="default" w:ascii="宋体" w:hAnsi="宋体"/>
                <w:color w:val="auto"/>
                <w:szCs w:val="21"/>
                <w:highlight w:val="none"/>
              </w:rPr>
              <w:t xml:space="preserve">;营业收入300万元及以上，且资产总额 300 </w:t>
            </w:r>
            <w:r>
              <w:rPr>
                <w:rFonts w:hint="eastAsia" w:ascii="宋体" w:hAnsi="宋体"/>
                <w:color w:val="auto"/>
                <w:szCs w:val="21"/>
                <w:highlight w:val="none"/>
              </w:rPr>
              <w:t>万元及以上的为小型企业</w:t>
            </w:r>
            <w:r>
              <w:rPr>
                <w:rFonts w:hint="default" w:ascii="宋体" w:hAnsi="宋体"/>
                <w:color w:val="auto"/>
                <w:szCs w:val="21"/>
                <w:highlight w:val="none"/>
              </w:rPr>
              <w:t xml:space="preserve">:营业收入 300 </w:t>
            </w:r>
            <w:r>
              <w:rPr>
                <w:rFonts w:hint="eastAsia" w:ascii="宋体" w:hAnsi="宋体"/>
                <w:color w:val="auto"/>
                <w:szCs w:val="21"/>
                <w:highlight w:val="none"/>
              </w:rPr>
              <w:t>万元以下或资产总额</w:t>
            </w:r>
            <w:r>
              <w:rPr>
                <w:rFonts w:hint="default" w:ascii="宋体" w:hAnsi="宋体"/>
                <w:color w:val="auto"/>
                <w:szCs w:val="21"/>
                <w:highlight w:val="none"/>
              </w:rPr>
              <w:t xml:space="preserve"> 300 </w:t>
            </w:r>
            <w:r>
              <w:rPr>
                <w:rFonts w:hint="eastAsia" w:ascii="宋体" w:hAnsi="宋体"/>
                <w:color w:val="auto"/>
                <w:szCs w:val="21"/>
                <w:highlight w:val="none"/>
              </w:rPr>
              <w:t>万元以下的为微型企业。本项目勘察和设计部分属于</w:t>
            </w:r>
            <w:r>
              <w:rPr>
                <w:rFonts w:hint="eastAsia" w:ascii="宋体" w:hAnsi="宋体"/>
                <w:b/>
                <w:bCs/>
                <w:color w:val="auto"/>
                <w:szCs w:val="21"/>
                <w:highlight w:val="none"/>
                <w:u w:val="single"/>
              </w:rPr>
              <w:t>其他未列明行业</w:t>
            </w:r>
            <w:r>
              <w:rPr>
                <w:rFonts w:hint="eastAsia" w:ascii="宋体" w:hAnsi="宋体"/>
                <w:color w:val="auto"/>
                <w:szCs w:val="21"/>
                <w:highlight w:val="none"/>
              </w:rPr>
              <w:t>，从业人员</w:t>
            </w:r>
            <w:r>
              <w:rPr>
                <w:rFonts w:hint="default" w:ascii="宋体" w:hAnsi="宋体"/>
                <w:color w:val="auto"/>
                <w:szCs w:val="21"/>
                <w:highlight w:val="none"/>
              </w:rPr>
              <w:t>300人以下的为中小微型企业。其中，从业人员100人及以上的为中型企业;从业人员10人及以上的为小型企业;从业人员10人以下的为微型企业。</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(2)组成联合体或者接受分包合同的小微企业与联合体内其他企业、分包企业之间存在直接控股、管理关系的，不享受价格评分优惠。</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(3)公示期间如有异议、投诉的，被异议、投诉单位需提供注册登记所在地的县级以上人民政府中小企业主管部门认定函。</w:t>
            </w:r>
          </w:p>
          <w:p>
            <w:pPr>
              <w:keepNext w:val="0"/>
              <w:keepLines w:val="0"/>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（4）规定享受扶持政策获得承包合同的，小微企业不得将合同分包给大中型企业，中型企业不得将合同分包给大型企业。</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ascii="宋体" w:hAnsi="宋体"/>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tblPrEx>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hint="default" w:ascii="宋体" w:hAnsi="宋体" w:cs="宋体"/>
                <w:color w:val="auto"/>
                <w:szCs w:val="21"/>
                <w:highlight w:val="none"/>
              </w:rPr>
              <w:t>.</w:t>
            </w:r>
            <w:r>
              <w:rPr>
                <w:rFonts w:hint="eastAsia" w:ascii="宋体" w:hAnsi="宋体" w:cs="宋体"/>
                <w:color w:val="auto"/>
                <w:szCs w:val="21"/>
                <w:highlight w:val="none"/>
              </w:rPr>
              <w:t>8</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default"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Pr>
                <w:rFonts w:hint="eastAsia" w:cs="宋体"/>
                <w:color w:val="auto"/>
                <w:kern w:val="1"/>
                <w:sz w:val="21"/>
                <w:szCs w:val="21"/>
                <w:highlight w:val="none"/>
                <w:lang w:val="en-US"/>
              </w:rPr>
              <w:t>对投标文件</w:t>
            </w:r>
            <w:r>
              <w:rPr>
                <w:rFonts w:hint="default" w:cs="宋体"/>
                <w:color w:val="auto"/>
                <w:kern w:val="1"/>
                <w:sz w:val="21"/>
                <w:szCs w:val="21"/>
                <w:highlight w:val="none"/>
                <w:lang w:val="en-US"/>
              </w:rPr>
              <w:t>加盖电子印章。招标文件所附格式要求盖章处及招标文件要求投标文件盖章处需采用单位数字证书，</w:t>
            </w:r>
            <w:r>
              <w:rPr>
                <w:rFonts w:hint="eastAsia" w:ascii="Calibri" w:hAnsi="Calibri" w:eastAsia="宋体" w:cs="宋体"/>
                <w:color w:val="auto"/>
                <w:kern w:val="1"/>
                <w:sz w:val="21"/>
                <w:szCs w:val="21"/>
                <w:highlight w:val="none"/>
                <w:lang w:val="en-US" w:eastAsia="zh-CN" w:bidi="ar"/>
              </w:rPr>
              <w:t>对投标文件</w:t>
            </w:r>
            <w:r>
              <w:rPr>
                <w:rFonts w:hint="default" w:cs="宋体"/>
                <w:color w:val="auto"/>
                <w:kern w:val="1"/>
                <w:sz w:val="21"/>
                <w:szCs w:val="21"/>
                <w:highlight w:val="none"/>
                <w:lang w:val="en-US"/>
              </w:rPr>
              <w:t>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default" w:cs="宋体"/>
                <w:color w:val="auto"/>
                <w:kern w:val="1"/>
                <w:sz w:val="21"/>
                <w:szCs w:val="21"/>
                <w:highlight w:val="none"/>
                <w:lang w:val="en-US"/>
              </w:rPr>
              <w:t>2、现场提交备用资料</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hint="default" w:cs="宋体"/>
                <w:color w:val="auto"/>
                <w:kern w:val="1"/>
                <w:sz w:val="21"/>
                <w:szCs w:val="21"/>
                <w:highlight w:val="none"/>
                <w:lang w:val="en-US"/>
              </w:rPr>
              <w:t>U盘为储存介质在投标须知前附表第5.1项规定的时间、地点提交备用。</w:t>
            </w:r>
            <w:r>
              <w:rPr>
                <w:rFonts w:hint="default"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hint="default" w:cs="宋体"/>
                <w:color w:val="auto"/>
                <w:kern w:val="1"/>
                <w:sz w:val="21"/>
                <w:szCs w:val="21"/>
                <w:highlight w:val="none"/>
                <w:lang w:val="en-US"/>
              </w:rPr>
              <w:t>密封袋上应写明的内容见投标人须知前附表要求4.1.2。</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default" w:cs="宋体"/>
                <w:color w:val="auto"/>
                <w:kern w:val="1"/>
                <w:sz w:val="21"/>
                <w:szCs w:val="21"/>
                <w:highlight w:val="none"/>
                <w:lang w:val="en-US"/>
              </w:rPr>
              <w:t>3、补救方案</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1）投标文件解密失败的补救方案：</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hint="default" w:cs="宋体"/>
                <w:color w:val="auto"/>
                <w:kern w:val="1"/>
                <w:sz w:val="21"/>
                <w:szCs w:val="21"/>
                <w:highlight w:val="none"/>
                <w:lang w:val="en-US"/>
              </w:rPr>
              <w:t>2）评标时突发情况的补救方案</w:t>
            </w:r>
          </w:p>
          <w:p>
            <w:pPr>
              <w:pStyle w:val="2"/>
              <w:keepNext w:val="0"/>
              <w:keepLines w:val="0"/>
              <w:suppressLineNumbers w:val="0"/>
              <w:spacing w:before="0" w:beforeAutospacing="0" w:after="0" w:afterAutospacing="0" w:line="360" w:lineRule="auto"/>
              <w:ind w:left="0" w:right="0"/>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szCs w:val="21"/>
                <w:highlight w:val="none"/>
              </w:rPr>
            </w:pPr>
            <w:r>
              <w:rPr>
                <w:rFonts w:hint="eastAsia" w:cs="宋体"/>
                <w:color w:val="auto"/>
                <w:kern w:val="1"/>
                <w:szCs w:val="21"/>
                <w:highlight w:val="none"/>
              </w:rPr>
              <w:t>（</w:t>
            </w:r>
            <w:r>
              <w:rPr>
                <w:rFonts w:hint="default" w:cs="宋体"/>
                <w:color w:val="auto"/>
                <w:kern w:val="1"/>
                <w:szCs w:val="21"/>
                <w:highlight w:val="non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“第十条”承诺，结合自身实际，在《白云区“百千万工程”建筑业企业帮扶建设项目库》中自愿认领、帮扶公益性项目。</w:t>
            </w:r>
          </w:p>
          <w:p>
            <w:pPr>
              <w:keepNext w:val="0"/>
              <w:keepLines w:val="0"/>
              <w:suppressLineNumbers w:val="0"/>
              <w:spacing w:before="0" w:beforeAutospacing="0" w:after="0" w:afterAutospacing="0" w:line="360" w:lineRule="auto"/>
              <w:ind w:left="0" w:right="0"/>
              <w:rPr>
                <w:rFonts w:hint="default"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hint="default"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61"/>
              <w:keepNext w:val="0"/>
              <w:keepLines w:val="0"/>
              <w:suppressLineNumbers w:val="0"/>
              <w:tabs>
                <w:tab w:val="left" w:pos="0"/>
              </w:tabs>
              <w:spacing w:before="0" w:beforeAutospacing="0" w:after="0" w:afterAutospacing="0" w:line="360" w:lineRule="auto"/>
              <w:ind w:left="0" w:right="0"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default"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宋体"/>
                <w:color w:val="auto"/>
                <w:szCs w:val="21"/>
                <w:highlight w:val="none"/>
                <w:lang w:val="zh-TW"/>
              </w:rPr>
              <w:t>，投入比例≥30%</w:t>
            </w:r>
            <w:r>
              <w:rPr>
                <w:rFonts w:hint="eastAsia" w:ascii="宋体" w:hAnsi="宋体" w:cs="宋体"/>
                <w:color w:val="auto"/>
                <w:szCs w:val="21"/>
                <w:highlight w:val="none"/>
                <w:lang w:val="zh-TW" w:eastAsia="zh-CN"/>
              </w:rPr>
              <w:t>（</w:t>
            </w:r>
            <w:r>
              <w:rPr>
                <w:rFonts w:hint="eastAsia" w:ascii="宋体" w:hAnsi="宋体" w:cs="宋体"/>
                <w:color w:val="auto"/>
                <w:szCs w:val="21"/>
                <w:highlight w:val="none"/>
                <w:lang w:val="zh-TW"/>
              </w:rPr>
              <w:t>如有政策更新，按最新文件执行</w:t>
            </w:r>
            <w:r>
              <w:rPr>
                <w:rFonts w:hint="eastAsia" w:ascii="宋体" w:hAnsi="宋体" w:cs="宋体"/>
                <w:color w:val="auto"/>
                <w:szCs w:val="21"/>
                <w:highlight w:val="none"/>
                <w:lang w:val="zh-TW" w:eastAsia="zh-CN"/>
              </w:rPr>
              <w:t>）</w:t>
            </w:r>
            <w:r>
              <w:rPr>
                <w:rFonts w:hint="eastAsia" w:ascii="宋体" w:hAnsi="宋体" w:cs="Courier New"/>
                <w:color w:val="auto"/>
                <w:szCs w:val="21"/>
                <w:highlight w:val="none"/>
              </w:rPr>
              <w:t>。</w:t>
            </w:r>
          </w:p>
        </w:tc>
      </w:tr>
    </w:tbl>
    <w:p>
      <w:pPr>
        <w:pStyle w:val="4"/>
        <w:spacing w:line="360" w:lineRule="auto"/>
        <w:rPr>
          <w:rFonts w:hint="eastAsia" w:ascii="宋体" w:hAnsi="宋体" w:eastAsia="宋体" w:cs="宋体"/>
          <w:color w:val="auto"/>
          <w:highlight w:val="none"/>
          <w:lang w:val="zh-CN"/>
        </w:rPr>
      </w:pPr>
      <w:bookmarkStart w:id="41" w:name="_Toc443505822"/>
      <w:bookmarkEnd w:id="41"/>
      <w:bookmarkStart w:id="42" w:name="_Toc357089511"/>
      <w:bookmarkEnd w:id="42"/>
      <w:bookmarkStart w:id="43" w:name="_Toc247513952"/>
      <w:bookmarkEnd w:id="43"/>
      <w:bookmarkStart w:id="44" w:name="_Toc152042305"/>
      <w:bookmarkEnd w:id="44"/>
      <w:bookmarkStart w:id="45" w:name="_Toc362816480"/>
      <w:bookmarkEnd w:id="45"/>
      <w:bookmarkStart w:id="46" w:name="_Toc300834949"/>
      <w:bookmarkEnd w:id="46"/>
      <w:bookmarkStart w:id="47" w:name="_Toc144974497"/>
      <w:bookmarkEnd w:id="47"/>
      <w:bookmarkStart w:id="48" w:name="_Toc152045529"/>
      <w:bookmarkEnd w:id="48"/>
      <w:bookmarkStart w:id="49" w:name="_Toc247527553"/>
      <w:bookmarkEnd w:id="49"/>
      <w:r>
        <w:rPr>
          <w:rFonts w:hint="eastAsia" w:ascii="宋体" w:hAnsi="宋体" w:eastAsia="宋体" w:cs="宋体"/>
          <w:color w:val="auto"/>
          <w:highlight w:val="none"/>
          <w:lang w:val="zh-CN"/>
        </w:rPr>
        <w:br w:type="page"/>
      </w:r>
      <w:bookmarkStart w:id="50" w:name="_Toc224"/>
      <w:bookmarkEnd w:id="50"/>
      <w:bookmarkStart w:id="51" w:name="_Toc13193"/>
      <w:bookmarkEnd w:id="51"/>
      <w:bookmarkStart w:id="52" w:name="_Toc15796"/>
      <w:bookmarkStart w:id="53" w:name="_Toc5620296"/>
      <w:r>
        <w:rPr>
          <w:rFonts w:hint="eastAsia" w:ascii="宋体" w:hAnsi="宋体" w:eastAsia="宋体" w:cs="宋体"/>
          <w:color w:val="auto"/>
          <w:highlight w:val="none"/>
          <w:lang w:val="zh-CN"/>
        </w:rPr>
        <w:t>1. 总则</w:t>
      </w:r>
      <w:bookmarkEnd w:id="52"/>
      <w:bookmarkEnd w:id="53"/>
    </w:p>
    <w:p>
      <w:pPr>
        <w:pStyle w:val="5"/>
        <w:spacing w:line="360" w:lineRule="auto"/>
        <w:ind w:firstLine="118"/>
        <w:rPr>
          <w:rFonts w:hint="eastAsia" w:ascii="宋体" w:hAnsi="宋体" w:eastAsia="宋体"/>
          <w:b/>
          <w:color w:val="auto"/>
          <w:sz w:val="24"/>
          <w:szCs w:val="24"/>
          <w:highlight w:val="none"/>
        </w:rPr>
      </w:pPr>
      <w:bookmarkStart w:id="54" w:name="_Toc300834950"/>
      <w:bookmarkEnd w:id="54"/>
      <w:bookmarkStart w:id="55" w:name="_Toc247513953"/>
      <w:bookmarkEnd w:id="55"/>
      <w:bookmarkStart w:id="56" w:name="_Toc152042306"/>
      <w:bookmarkEnd w:id="56"/>
      <w:bookmarkStart w:id="57" w:name="_Toc247527554"/>
      <w:bookmarkEnd w:id="57"/>
      <w:bookmarkStart w:id="58" w:name="_Toc356469178"/>
      <w:bookmarkEnd w:id="58"/>
      <w:bookmarkStart w:id="59" w:name="_Toc362816481"/>
      <w:bookmarkEnd w:id="59"/>
      <w:bookmarkStart w:id="60" w:name="_Toc144974498"/>
      <w:bookmarkEnd w:id="60"/>
      <w:bookmarkStart w:id="61" w:name="_Toc357089512"/>
      <w:bookmarkEnd w:id="61"/>
      <w:bookmarkStart w:id="62" w:name="_Toc152045530"/>
      <w:bookmarkEnd w:id="62"/>
      <w:bookmarkStart w:id="63" w:name="_Toc5620297"/>
      <w:bookmarkStart w:id="64" w:name="_Toc14593"/>
      <w:r>
        <w:rPr>
          <w:rFonts w:hint="eastAsia" w:ascii="宋体" w:hAnsi="宋体" w:eastAsia="宋体"/>
          <w:b/>
          <w:color w:val="auto"/>
          <w:sz w:val="24"/>
          <w:szCs w:val="24"/>
          <w:highlight w:val="none"/>
        </w:rPr>
        <w:t>1.1 项目概况</w:t>
      </w:r>
      <w:bookmarkEnd w:id="63"/>
      <w:bookmarkEnd w:id="64"/>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pPr>
        <w:pStyle w:val="5"/>
        <w:spacing w:line="360" w:lineRule="auto"/>
        <w:ind w:firstLine="118"/>
        <w:rPr>
          <w:rFonts w:hint="eastAsia" w:ascii="宋体" w:hAnsi="宋体" w:eastAsia="宋体"/>
          <w:b/>
          <w:color w:val="auto"/>
          <w:sz w:val="24"/>
          <w:szCs w:val="24"/>
          <w:highlight w:val="none"/>
        </w:rPr>
      </w:pPr>
      <w:bookmarkStart w:id="65" w:name="_Toc356469179"/>
      <w:bookmarkEnd w:id="65"/>
      <w:bookmarkStart w:id="66" w:name="_Toc247513954"/>
      <w:bookmarkEnd w:id="66"/>
      <w:bookmarkStart w:id="67" w:name="_Toc152042307"/>
      <w:bookmarkEnd w:id="67"/>
      <w:bookmarkStart w:id="68" w:name="_Toc362816482"/>
      <w:bookmarkEnd w:id="68"/>
      <w:bookmarkStart w:id="69" w:name="_Toc300834951"/>
      <w:bookmarkEnd w:id="69"/>
      <w:bookmarkStart w:id="70" w:name="_Toc144974499"/>
      <w:bookmarkEnd w:id="70"/>
      <w:bookmarkStart w:id="71" w:name="_Toc152045531"/>
      <w:bookmarkEnd w:id="71"/>
      <w:bookmarkStart w:id="72" w:name="_Toc357089513"/>
      <w:bookmarkEnd w:id="72"/>
      <w:bookmarkStart w:id="73" w:name="_Toc247527555"/>
      <w:bookmarkEnd w:id="73"/>
      <w:bookmarkStart w:id="74" w:name="_Toc5620298"/>
      <w:bookmarkStart w:id="75" w:name="_Toc28844"/>
      <w:r>
        <w:rPr>
          <w:rFonts w:hint="eastAsia" w:ascii="宋体" w:hAnsi="宋体" w:eastAsia="宋体"/>
          <w:b/>
          <w:color w:val="auto"/>
          <w:sz w:val="24"/>
          <w:szCs w:val="24"/>
          <w:highlight w:val="none"/>
        </w:rPr>
        <w:t>1.2 项目的资金来源和落实情况</w:t>
      </w:r>
      <w:bookmarkEnd w:id="74"/>
      <w:bookmarkEnd w:id="75"/>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pPr>
        <w:pStyle w:val="5"/>
        <w:spacing w:line="360" w:lineRule="auto"/>
        <w:ind w:firstLine="118"/>
        <w:rPr>
          <w:rFonts w:hint="eastAsia" w:ascii="宋体" w:hAnsi="宋体" w:eastAsia="宋体"/>
          <w:b/>
          <w:color w:val="auto"/>
          <w:sz w:val="24"/>
          <w:szCs w:val="24"/>
          <w:highlight w:val="none"/>
        </w:rPr>
      </w:pPr>
      <w:bookmarkStart w:id="76" w:name="_Toc247513955"/>
      <w:bookmarkEnd w:id="76"/>
      <w:bookmarkStart w:id="77" w:name="_Toc357089514"/>
      <w:bookmarkEnd w:id="77"/>
      <w:bookmarkStart w:id="78" w:name="_Toc362816483"/>
      <w:bookmarkEnd w:id="78"/>
      <w:bookmarkStart w:id="79" w:name="_Toc356469180"/>
      <w:bookmarkEnd w:id="79"/>
      <w:bookmarkStart w:id="80" w:name="_Toc152045532"/>
      <w:bookmarkEnd w:id="80"/>
      <w:bookmarkStart w:id="81" w:name="_Toc144974500"/>
      <w:bookmarkEnd w:id="81"/>
      <w:bookmarkStart w:id="82" w:name="_Toc152042308"/>
      <w:bookmarkEnd w:id="82"/>
      <w:bookmarkStart w:id="83" w:name="_Toc300834952"/>
      <w:bookmarkEnd w:id="83"/>
      <w:bookmarkStart w:id="84" w:name="_Toc247527556"/>
      <w:bookmarkEnd w:id="84"/>
      <w:bookmarkStart w:id="85" w:name="_Toc27428"/>
      <w:bookmarkStart w:id="86" w:name="_Toc5620299"/>
      <w:r>
        <w:rPr>
          <w:rFonts w:hint="eastAsia" w:ascii="宋体" w:hAnsi="宋体" w:eastAsia="宋体"/>
          <w:b/>
          <w:color w:val="auto"/>
          <w:sz w:val="24"/>
          <w:szCs w:val="24"/>
          <w:highlight w:val="none"/>
        </w:rPr>
        <w:t>1.3 招标范围、计划工期和质量标准</w:t>
      </w:r>
      <w:bookmarkEnd w:id="85"/>
      <w:bookmarkEnd w:id="86"/>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pPr>
        <w:pStyle w:val="5"/>
        <w:spacing w:line="360" w:lineRule="auto"/>
        <w:ind w:firstLine="118"/>
        <w:rPr>
          <w:rFonts w:hint="eastAsia" w:ascii="宋体" w:hAnsi="宋体" w:eastAsia="宋体"/>
          <w:b/>
          <w:color w:val="auto"/>
          <w:sz w:val="24"/>
          <w:szCs w:val="24"/>
          <w:highlight w:val="none"/>
        </w:rPr>
      </w:pPr>
      <w:bookmarkStart w:id="87" w:name="_Toc144974502"/>
      <w:bookmarkEnd w:id="87"/>
      <w:bookmarkStart w:id="88" w:name="_Toc152042310"/>
      <w:bookmarkEnd w:id="88"/>
      <w:bookmarkStart w:id="89" w:name="_Toc300834954"/>
      <w:bookmarkEnd w:id="89"/>
      <w:bookmarkStart w:id="90" w:name="_Toc152045534"/>
      <w:bookmarkEnd w:id="90"/>
      <w:bookmarkStart w:id="91" w:name="_Toc247527558"/>
      <w:bookmarkEnd w:id="91"/>
      <w:bookmarkStart w:id="92" w:name="_Toc247513957"/>
      <w:bookmarkEnd w:id="92"/>
      <w:bookmarkStart w:id="93" w:name="_Toc31933"/>
      <w:bookmarkStart w:id="94" w:name="_Toc5620300"/>
      <w:r>
        <w:rPr>
          <w:rFonts w:hint="eastAsia" w:ascii="宋体" w:hAnsi="宋体" w:eastAsia="宋体"/>
          <w:b/>
          <w:color w:val="auto"/>
          <w:sz w:val="24"/>
          <w:szCs w:val="24"/>
          <w:highlight w:val="none"/>
        </w:rPr>
        <w:t>1.4投标人资格要求</w:t>
      </w:r>
      <w:bookmarkEnd w:id="93"/>
      <w:bookmarkEnd w:id="94"/>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（1）联合体各方应按招标文件提供的格式签订联合体协议书，明确联合体牵头方和各方权利义务；</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pPr>
        <w:pStyle w:val="5"/>
        <w:spacing w:line="360" w:lineRule="auto"/>
        <w:ind w:firstLine="118"/>
        <w:rPr>
          <w:rFonts w:hint="eastAsia" w:ascii="宋体" w:hAnsi="宋体" w:eastAsia="宋体"/>
          <w:b/>
          <w:color w:val="auto"/>
          <w:sz w:val="24"/>
          <w:szCs w:val="24"/>
          <w:highlight w:val="none"/>
        </w:rPr>
      </w:pPr>
      <w:bookmarkStart w:id="95" w:name="_Toc357089516"/>
      <w:bookmarkEnd w:id="95"/>
      <w:bookmarkStart w:id="96" w:name="_Toc356469182"/>
      <w:bookmarkEnd w:id="96"/>
      <w:bookmarkStart w:id="97" w:name="_Toc300834955"/>
      <w:bookmarkEnd w:id="97"/>
      <w:bookmarkStart w:id="98" w:name="_Toc247513958"/>
      <w:bookmarkEnd w:id="98"/>
      <w:bookmarkStart w:id="99" w:name="_Toc152045535"/>
      <w:bookmarkEnd w:id="99"/>
      <w:bookmarkStart w:id="100" w:name="_Toc362816485"/>
      <w:bookmarkEnd w:id="100"/>
      <w:bookmarkStart w:id="101" w:name="_Toc152042311"/>
      <w:bookmarkEnd w:id="101"/>
      <w:bookmarkStart w:id="102" w:name="_Toc144974503"/>
      <w:bookmarkEnd w:id="102"/>
      <w:bookmarkStart w:id="103" w:name="_Toc247527559"/>
      <w:bookmarkEnd w:id="103"/>
      <w:bookmarkStart w:id="104" w:name="_Toc21668"/>
      <w:bookmarkStart w:id="105" w:name="_Toc5620301"/>
      <w:r>
        <w:rPr>
          <w:rFonts w:hint="eastAsia" w:ascii="宋体" w:hAnsi="宋体" w:eastAsia="宋体"/>
          <w:b/>
          <w:color w:val="auto"/>
          <w:sz w:val="24"/>
          <w:szCs w:val="24"/>
          <w:highlight w:val="none"/>
        </w:rPr>
        <w:t>1.5 费用承担和设计成果补偿</w:t>
      </w:r>
      <w:bookmarkEnd w:id="104"/>
      <w:bookmarkEnd w:id="105"/>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pPr>
        <w:pStyle w:val="5"/>
        <w:spacing w:line="360" w:lineRule="auto"/>
        <w:ind w:firstLine="118"/>
        <w:rPr>
          <w:rFonts w:hint="eastAsia" w:ascii="宋体" w:hAnsi="宋体" w:eastAsia="宋体"/>
          <w:b/>
          <w:color w:val="auto"/>
          <w:sz w:val="24"/>
          <w:szCs w:val="24"/>
          <w:highlight w:val="none"/>
        </w:rPr>
      </w:pPr>
      <w:bookmarkStart w:id="106" w:name="_Toc144974504"/>
      <w:bookmarkEnd w:id="106"/>
      <w:bookmarkStart w:id="107" w:name="_Toc357089517"/>
      <w:bookmarkEnd w:id="107"/>
      <w:bookmarkStart w:id="108" w:name="_Toc247513959"/>
      <w:bookmarkEnd w:id="108"/>
      <w:bookmarkStart w:id="109" w:name="_Toc362816486"/>
      <w:bookmarkEnd w:id="109"/>
      <w:bookmarkStart w:id="110" w:name="_Toc356469183"/>
      <w:bookmarkEnd w:id="110"/>
      <w:bookmarkStart w:id="111" w:name="_Toc300834956"/>
      <w:bookmarkEnd w:id="111"/>
      <w:bookmarkStart w:id="112" w:name="_Toc152042312"/>
      <w:bookmarkEnd w:id="112"/>
      <w:bookmarkStart w:id="113" w:name="_Toc152045536"/>
      <w:bookmarkEnd w:id="113"/>
      <w:bookmarkStart w:id="114" w:name="_Toc247527560"/>
      <w:bookmarkEnd w:id="114"/>
      <w:bookmarkStart w:id="115" w:name="_Toc14287"/>
      <w:bookmarkStart w:id="116" w:name="_Toc5620302"/>
      <w:r>
        <w:rPr>
          <w:rFonts w:hint="eastAsia" w:ascii="宋体" w:hAnsi="宋体" w:eastAsia="宋体"/>
          <w:b/>
          <w:color w:val="auto"/>
          <w:sz w:val="24"/>
          <w:szCs w:val="24"/>
          <w:highlight w:val="none"/>
        </w:rPr>
        <w:t>1.6 保密</w:t>
      </w:r>
      <w:bookmarkEnd w:id="115"/>
      <w:bookmarkEnd w:id="116"/>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pPr>
        <w:pStyle w:val="5"/>
        <w:spacing w:line="360" w:lineRule="auto"/>
        <w:ind w:firstLine="118"/>
        <w:rPr>
          <w:rFonts w:hint="eastAsia" w:ascii="宋体" w:hAnsi="宋体" w:eastAsia="宋体"/>
          <w:b/>
          <w:color w:val="auto"/>
          <w:sz w:val="24"/>
          <w:szCs w:val="24"/>
          <w:highlight w:val="none"/>
        </w:rPr>
      </w:pPr>
      <w:bookmarkStart w:id="117" w:name="_Toc152045537"/>
      <w:bookmarkEnd w:id="117"/>
      <w:bookmarkStart w:id="118" w:name="_Toc362816487"/>
      <w:bookmarkEnd w:id="118"/>
      <w:bookmarkStart w:id="119" w:name="_Toc356469184"/>
      <w:bookmarkEnd w:id="119"/>
      <w:bookmarkStart w:id="120" w:name="_Toc247513960"/>
      <w:bookmarkEnd w:id="120"/>
      <w:bookmarkStart w:id="121" w:name="_Toc300834957"/>
      <w:bookmarkEnd w:id="121"/>
      <w:bookmarkStart w:id="122" w:name="_Toc152042313"/>
      <w:bookmarkEnd w:id="122"/>
      <w:bookmarkStart w:id="123" w:name="_Toc247527561"/>
      <w:bookmarkEnd w:id="123"/>
      <w:bookmarkStart w:id="124" w:name="_Toc144974505"/>
      <w:bookmarkEnd w:id="124"/>
      <w:bookmarkStart w:id="125" w:name="_Toc357089518"/>
      <w:bookmarkEnd w:id="125"/>
      <w:bookmarkStart w:id="126" w:name="_Toc5620303"/>
      <w:bookmarkStart w:id="127" w:name="_Toc23256"/>
      <w:r>
        <w:rPr>
          <w:rFonts w:hint="eastAsia" w:ascii="宋体" w:hAnsi="宋体" w:eastAsia="宋体"/>
          <w:b/>
          <w:color w:val="auto"/>
          <w:sz w:val="24"/>
          <w:szCs w:val="24"/>
          <w:highlight w:val="none"/>
        </w:rPr>
        <w:t>1.7 语言文字</w:t>
      </w:r>
      <w:bookmarkEnd w:id="126"/>
      <w:bookmarkEnd w:id="127"/>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pPr>
        <w:pStyle w:val="5"/>
        <w:spacing w:line="360" w:lineRule="auto"/>
        <w:ind w:firstLine="118"/>
        <w:rPr>
          <w:rFonts w:hint="eastAsia" w:ascii="宋体" w:hAnsi="宋体" w:eastAsia="宋体"/>
          <w:b/>
          <w:color w:val="auto"/>
          <w:sz w:val="24"/>
          <w:szCs w:val="24"/>
          <w:highlight w:val="none"/>
        </w:rPr>
      </w:pPr>
      <w:bookmarkStart w:id="128" w:name="_Toc152045538"/>
      <w:bookmarkEnd w:id="128"/>
      <w:bookmarkStart w:id="129" w:name="_Toc300834958"/>
      <w:bookmarkEnd w:id="129"/>
      <w:bookmarkStart w:id="130" w:name="_Toc362816488"/>
      <w:bookmarkEnd w:id="130"/>
      <w:bookmarkStart w:id="131" w:name="_Toc247527562"/>
      <w:bookmarkEnd w:id="131"/>
      <w:bookmarkStart w:id="132" w:name="_Toc152042314"/>
      <w:bookmarkEnd w:id="132"/>
      <w:bookmarkStart w:id="133" w:name="_Toc144974506"/>
      <w:bookmarkEnd w:id="133"/>
      <w:bookmarkStart w:id="134" w:name="_Toc247513961"/>
      <w:bookmarkEnd w:id="134"/>
      <w:bookmarkStart w:id="135" w:name="_Toc356469185"/>
      <w:bookmarkEnd w:id="135"/>
      <w:bookmarkStart w:id="136" w:name="_Toc357089519"/>
      <w:bookmarkEnd w:id="136"/>
      <w:bookmarkStart w:id="137" w:name="_Toc9356"/>
      <w:bookmarkStart w:id="138" w:name="_Toc5620304"/>
      <w:r>
        <w:rPr>
          <w:rFonts w:hint="eastAsia" w:ascii="宋体" w:hAnsi="宋体" w:eastAsia="宋体"/>
          <w:b/>
          <w:color w:val="auto"/>
          <w:sz w:val="24"/>
          <w:szCs w:val="24"/>
          <w:highlight w:val="none"/>
        </w:rPr>
        <w:t>1.8 计量单位</w:t>
      </w:r>
      <w:bookmarkEnd w:id="137"/>
      <w:bookmarkEnd w:id="138"/>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pPr>
        <w:pStyle w:val="5"/>
        <w:spacing w:line="360" w:lineRule="auto"/>
        <w:ind w:firstLine="118"/>
        <w:rPr>
          <w:rFonts w:hint="eastAsia" w:ascii="宋体" w:hAnsi="宋体" w:eastAsia="宋体"/>
          <w:b/>
          <w:color w:val="auto"/>
          <w:sz w:val="24"/>
          <w:szCs w:val="24"/>
          <w:highlight w:val="none"/>
        </w:rPr>
      </w:pPr>
      <w:bookmarkStart w:id="139" w:name="_Toc300834959"/>
      <w:bookmarkEnd w:id="139"/>
      <w:bookmarkStart w:id="140" w:name="_Toc362816489"/>
      <w:bookmarkEnd w:id="140"/>
      <w:bookmarkStart w:id="141" w:name="_Toc356469186"/>
      <w:bookmarkEnd w:id="141"/>
      <w:bookmarkStart w:id="142" w:name="_Toc152042315"/>
      <w:bookmarkEnd w:id="142"/>
      <w:bookmarkStart w:id="143" w:name="_Toc357089520"/>
      <w:bookmarkEnd w:id="143"/>
      <w:bookmarkStart w:id="144" w:name="_Toc144974507"/>
      <w:bookmarkEnd w:id="144"/>
      <w:bookmarkStart w:id="145" w:name="_Toc152045539"/>
      <w:bookmarkEnd w:id="145"/>
      <w:bookmarkStart w:id="146" w:name="_Toc247527563"/>
      <w:bookmarkEnd w:id="146"/>
      <w:bookmarkStart w:id="147" w:name="_Toc247513962"/>
      <w:bookmarkEnd w:id="147"/>
      <w:bookmarkStart w:id="148" w:name="_Toc5620305"/>
      <w:bookmarkStart w:id="149" w:name="_Toc9654"/>
      <w:r>
        <w:rPr>
          <w:rFonts w:hint="eastAsia" w:ascii="宋体" w:hAnsi="宋体" w:eastAsia="宋体"/>
          <w:b/>
          <w:color w:val="auto"/>
          <w:sz w:val="24"/>
          <w:szCs w:val="24"/>
          <w:highlight w:val="none"/>
        </w:rPr>
        <w:t>1.9 踏勘现场</w:t>
      </w:r>
      <w:bookmarkEnd w:id="148"/>
      <w:bookmarkEnd w:id="149"/>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pPr>
        <w:pStyle w:val="5"/>
        <w:spacing w:line="360" w:lineRule="auto"/>
        <w:ind w:firstLine="118"/>
        <w:rPr>
          <w:rFonts w:hint="eastAsia" w:ascii="宋体" w:hAnsi="宋体" w:eastAsia="宋体"/>
          <w:b/>
          <w:color w:val="auto"/>
          <w:sz w:val="24"/>
          <w:szCs w:val="24"/>
          <w:highlight w:val="none"/>
        </w:rPr>
      </w:pPr>
      <w:bookmarkStart w:id="150" w:name="_Toc152045540"/>
      <w:bookmarkEnd w:id="150"/>
      <w:bookmarkStart w:id="151" w:name="_Toc300834960"/>
      <w:bookmarkEnd w:id="151"/>
      <w:bookmarkStart w:id="152" w:name="_Toc356469187"/>
      <w:bookmarkEnd w:id="152"/>
      <w:bookmarkStart w:id="153" w:name="_Toc247527564"/>
      <w:bookmarkEnd w:id="153"/>
      <w:bookmarkStart w:id="154" w:name="_Toc357089521"/>
      <w:bookmarkEnd w:id="154"/>
      <w:bookmarkStart w:id="155" w:name="_Toc152042316"/>
      <w:bookmarkEnd w:id="155"/>
      <w:bookmarkStart w:id="156" w:name="_Toc144974508"/>
      <w:bookmarkEnd w:id="156"/>
      <w:bookmarkStart w:id="157" w:name="_Toc362816490"/>
      <w:bookmarkEnd w:id="157"/>
      <w:bookmarkStart w:id="158" w:name="_Toc247513963"/>
      <w:bookmarkEnd w:id="158"/>
      <w:bookmarkStart w:id="159" w:name="_Toc25429"/>
      <w:bookmarkStart w:id="160" w:name="_Toc5620306"/>
      <w:r>
        <w:rPr>
          <w:rFonts w:hint="eastAsia" w:ascii="宋体" w:hAnsi="宋体" w:eastAsia="宋体"/>
          <w:b/>
          <w:color w:val="auto"/>
          <w:sz w:val="24"/>
          <w:szCs w:val="24"/>
          <w:highlight w:val="none"/>
        </w:rPr>
        <w:t>1.10 投标预备会</w:t>
      </w:r>
      <w:bookmarkEnd w:id="159"/>
      <w:bookmarkEnd w:id="160"/>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pPr>
        <w:pStyle w:val="5"/>
        <w:spacing w:line="360" w:lineRule="auto"/>
        <w:ind w:firstLine="118"/>
        <w:rPr>
          <w:rFonts w:hint="eastAsia" w:ascii="宋体" w:hAnsi="宋体" w:eastAsia="宋体"/>
          <w:b/>
          <w:color w:val="auto"/>
          <w:sz w:val="24"/>
          <w:szCs w:val="24"/>
          <w:highlight w:val="none"/>
        </w:rPr>
      </w:pPr>
      <w:bookmarkStart w:id="161" w:name="_Toc300834961"/>
      <w:bookmarkEnd w:id="161"/>
      <w:bookmarkStart w:id="162" w:name="_Toc357089522"/>
      <w:bookmarkEnd w:id="162"/>
      <w:bookmarkStart w:id="163" w:name="_Toc152042317"/>
      <w:bookmarkEnd w:id="163"/>
      <w:bookmarkStart w:id="164" w:name="_Toc144974509"/>
      <w:bookmarkEnd w:id="164"/>
      <w:bookmarkStart w:id="165" w:name="_Toc247513964"/>
      <w:bookmarkEnd w:id="165"/>
      <w:bookmarkStart w:id="166" w:name="_Toc247527565"/>
      <w:bookmarkEnd w:id="166"/>
      <w:bookmarkStart w:id="167" w:name="_Toc152045541"/>
      <w:bookmarkEnd w:id="167"/>
      <w:bookmarkStart w:id="168" w:name="_Toc356469188"/>
      <w:bookmarkEnd w:id="168"/>
      <w:bookmarkStart w:id="169" w:name="_Toc362816491"/>
      <w:bookmarkEnd w:id="169"/>
      <w:bookmarkStart w:id="170" w:name="_Toc5620307"/>
      <w:bookmarkStart w:id="171" w:name="_Toc4945"/>
      <w:r>
        <w:rPr>
          <w:rFonts w:hint="eastAsia" w:ascii="宋体" w:hAnsi="宋体" w:eastAsia="宋体"/>
          <w:b/>
          <w:color w:val="auto"/>
          <w:sz w:val="24"/>
          <w:szCs w:val="24"/>
          <w:highlight w:val="none"/>
        </w:rPr>
        <w:t>1.11 分包</w:t>
      </w:r>
      <w:bookmarkEnd w:id="170"/>
      <w:bookmarkEnd w:id="171"/>
    </w:p>
    <w:p>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pPr>
        <w:pStyle w:val="5"/>
        <w:spacing w:line="360" w:lineRule="auto"/>
        <w:ind w:firstLine="118"/>
        <w:rPr>
          <w:rFonts w:hint="eastAsia" w:ascii="宋体" w:hAnsi="宋体" w:eastAsia="宋体"/>
          <w:b/>
          <w:color w:val="auto"/>
          <w:sz w:val="24"/>
          <w:szCs w:val="24"/>
          <w:highlight w:val="none"/>
        </w:rPr>
      </w:pPr>
      <w:bookmarkStart w:id="172" w:name="_Toc356469189"/>
      <w:bookmarkEnd w:id="172"/>
      <w:bookmarkStart w:id="173" w:name="_Toc247527566"/>
      <w:bookmarkEnd w:id="173"/>
      <w:bookmarkStart w:id="174" w:name="_Toc357089523"/>
      <w:bookmarkEnd w:id="174"/>
      <w:bookmarkStart w:id="175" w:name="_Toc362816492"/>
      <w:bookmarkEnd w:id="175"/>
      <w:bookmarkStart w:id="176" w:name="_Toc300834962"/>
      <w:bookmarkEnd w:id="176"/>
      <w:bookmarkStart w:id="177" w:name="_Toc247513965"/>
      <w:bookmarkEnd w:id="177"/>
      <w:bookmarkStart w:id="178" w:name="_Toc1093"/>
      <w:bookmarkStart w:id="179" w:name="_Toc5620308"/>
      <w:r>
        <w:rPr>
          <w:rFonts w:hint="eastAsia" w:ascii="宋体" w:hAnsi="宋体" w:eastAsia="宋体"/>
          <w:b/>
          <w:color w:val="auto"/>
          <w:sz w:val="24"/>
          <w:szCs w:val="24"/>
          <w:highlight w:val="none"/>
        </w:rPr>
        <w:t>1.12 偏离</w:t>
      </w:r>
      <w:bookmarkEnd w:id="178"/>
      <w:bookmarkEnd w:id="179"/>
    </w:p>
    <w:p>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pPr>
        <w:pStyle w:val="4"/>
        <w:spacing w:line="360" w:lineRule="auto"/>
        <w:rPr>
          <w:rFonts w:hint="eastAsia" w:ascii="宋体" w:hAnsi="宋体" w:eastAsia="宋体" w:cs="宋体"/>
          <w:color w:val="auto"/>
          <w:highlight w:val="none"/>
          <w:lang w:val="zh-CN"/>
        </w:rPr>
      </w:pPr>
      <w:bookmarkStart w:id="180" w:name="_Toc247513966"/>
      <w:bookmarkEnd w:id="180"/>
      <w:bookmarkStart w:id="181" w:name="_Toc25799"/>
      <w:bookmarkEnd w:id="181"/>
      <w:bookmarkStart w:id="182" w:name="_Toc357089524"/>
      <w:bookmarkEnd w:id="182"/>
      <w:bookmarkStart w:id="183" w:name="_Toc23951"/>
      <w:bookmarkEnd w:id="183"/>
      <w:bookmarkStart w:id="184" w:name="_Toc144974510"/>
      <w:bookmarkEnd w:id="184"/>
      <w:bookmarkStart w:id="185" w:name="_Toc152045542"/>
      <w:bookmarkEnd w:id="185"/>
      <w:bookmarkStart w:id="186" w:name="_Toc300834963"/>
      <w:bookmarkEnd w:id="186"/>
      <w:bookmarkStart w:id="187" w:name="_Toc152042318"/>
      <w:bookmarkEnd w:id="187"/>
      <w:bookmarkStart w:id="188" w:name="_Toc247527567"/>
      <w:bookmarkEnd w:id="188"/>
      <w:bookmarkStart w:id="189" w:name="_Toc362816493"/>
      <w:bookmarkEnd w:id="189"/>
      <w:bookmarkStart w:id="190" w:name="_Toc443505823"/>
      <w:bookmarkEnd w:id="190"/>
      <w:bookmarkStart w:id="191" w:name="_Toc5620309"/>
      <w:bookmarkStart w:id="192" w:name="_Toc15458"/>
      <w:r>
        <w:rPr>
          <w:rFonts w:hint="eastAsia" w:ascii="宋体" w:hAnsi="宋体" w:eastAsia="宋体" w:cs="宋体"/>
          <w:color w:val="auto"/>
          <w:highlight w:val="none"/>
          <w:lang w:val="zh-CN"/>
        </w:rPr>
        <w:t>2. 招标文件</w:t>
      </w:r>
      <w:bookmarkEnd w:id="191"/>
      <w:bookmarkEnd w:id="192"/>
    </w:p>
    <w:p>
      <w:pPr>
        <w:pStyle w:val="5"/>
        <w:spacing w:line="360" w:lineRule="auto"/>
        <w:ind w:firstLine="118"/>
        <w:rPr>
          <w:rFonts w:hint="eastAsia" w:ascii="宋体" w:hAnsi="宋体" w:eastAsia="宋体"/>
          <w:b/>
          <w:color w:val="auto"/>
          <w:sz w:val="24"/>
          <w:szCs w:val="24"/>
          <w:highlight w:val="none"/>
        </w:rPr>
      </w:pPr>
      <w:bookmarkStart w:id="193" w:name="_Toc300834964"/>
      <w:bookmarkEnd w:id="193"/>
      <w:bookmarkStart w:id="194" w:name="_Toc152045543"/>
      <w:bookmarkEnd w:id="194"/>
      <w:bookmarkStart w:id="195" w:name="_Toc247527568"/>
      <w:bookmarkEnd w:id="195"/>
      <w:bookmarkStart w:id="196" w:name="_Toc356469191"/>
      <w:bookmarkEnd w:id="196"/>
      <w:bookmarkStart w:id="197" w:name="_Toc357089525"/>
      <w:bookmarkEnd w:id="197"/>
      <w:bookmarkStart w:id="198" w:name="_Toc362816494"/>
      <w:bookmarkEnd w:id="198"/>
      <w:bookmarkStart w:id="199" w:name="_Toc247513967"/>
      <w:bookmarkEnd w:id="199"/>
      <w:bookmarkStart w:id="200" w:name="_Toc152042319"/>
      <w:bookmarkEnd w:id="200"/>
      <w:bookmarkStart w:id="201" w:name="_Toc144974511"/>
      <w:bookmarkEnd w:id="201"/>
      <w:bookmarkStart w:id="202" w:name="_Toc5620310"/>
      <w:bookmarkStart w:id="203" w:name="_Toc2576"/>
      <w:r>
        <w:rPr>
          <w:rFonts w:hint="eastAsia" w:ascii="宋体" w:hAnsi="宋体" w:eastAsia="宋体"/>
          <w:b/>
          <w:color w:val="auto"/>
          <w:sz w:val="24"/>
          <w:szCs w:val="24"/>
          <w:highlight w:val="none"/>
        </w:rPr>
        <w:t>2.1 招标文件的组成</w:t>
      </w:r>
      <w:bookmarkEnd w:id="202"/>
      <w:bookmarkEnd w:id="203"/>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pPr>
        <w:pStyle w:val="5"/>
        <w:spacing w:line="360" w:lineRule="auto"/>
        <w:ind w:firstLine="118"/>
        <w:rPr>
          <w:rFonts w:hint="eastAsia" w:ascii="宋体" w:hAnsi="宋体" w:eastAsia="宋体"/>
          <w:b/>
          <w:color w:val="auto"/>
          <w:sz w:val="24"/>
          <w:szCs w:val="24"/>
          <w:highlight w:val="none"/>
        </w:rPr>
      </w:pPr>
      <w:bookmarkStart w:id="204" w:name="_Toc152045544"/>
      <w:bookmarkEnd w:id="204"/>
      <w:bookmarkStart w:id="205" w:name="_Toc144974512"/>
      <w:bookmarkEnd w:id="205"/>
      <w:bookmarkStart w:id="206" w:name="_Toc152042320"/>
      <w:bookmarkEnd w:id="206"/>
      <w:bookmarkStart w:id="207" w:name="_Toc247513968"/>
      <w:bookmarkEnd w:id="207"/>
      <w:bookmarkStart w:id="208" w:name="_Toc356469192"/>
      <w:bookmarkEnd w:id="208"/>
      <w:bookmarkStart w:id="209" w:name="_Toc300834965"/>
      <w:bookmarkEnd w:id="209"/>
      <w:bookmarkStart w:id="210" w:name="_Toc362816495"/>
      <w:bookmarkEnd w:id="210"/>
      <w:bookmarkStart w:id="211" w:name="_Toc357089526"/>
      <w:bookmarkEnd w:id="211"/>
      <w:bookmarkStart w:id="212" w:name="_Toc247527569"/>
      <w:bookmarkEnd w:id="212"/>
      <w:bookmarkStart w:id="213" w:name="_Toc5620311"/>
      <w:bookmarkStart w:id="214" w:name="_Toc14885"/>
      <w:r>
        <w:rPr>
          <w:rFonts w:hint="eastAsia" w:ascii="宋体" w:hAnsi="宋体" w:eastAsia="宋体"/>
          <w:b/>
          <w:color w:val="auto"/>
          <w:sz w:val="24"/>
          <w:szCs w:val="24"/>
          <w:highlight w:val="none"/>
        </w:rPr>
        <w:t>2.2 招标文件的澄清</w:t>
      </w:r>
      <w:bookmarkEnd w:id="213"/>
      <w:bookmarkEnd w:id="214"/>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pPr>
        <w:pStyle w:val="5"/>
        <w:spacing w:line="360" w:lineRule="auto"/>
        <w:ind w:firstLine="118"/>
        <w:rPr>
          <w:rFonts w:hint="eastAsia" w:ascii="宋体" w:hAnsi="宋体" w:eastAsia="宋体"/>
          <w:b/>
          <w:color w:val="auto"/>
          <w:sz w:val="24"/>
          <w:szCs w:val="24"/>
          <w:highlight w:val="none"/>
        </w:rPr>
      </w:pPr>
      <w:bookmarkStart w:id="215" w:name="_Toc356469193"/>
      <w:bookmarkEnd w:id="215"/>
      <w:bookmarkStart w:id="216" w:name="_Toc152045545"/>
      <w:bookmarkEnd w:id="216"/>
      <w:bookmarkStart w:id="217" w:name="_Toc247513969"/>
      <w:bookmarkEnd w:id="217"/>
      <w:bookmarkStart w:id="218" w:name="_Toc362816496"/>
      <w:bookmarkEnd w:id="218"/>
      <w:bookmarkStart w:id="219" w:name="_Toc144974513"/>
      <w:bookmarkEnd w:id="219"/>
      <w:bookmarkStart w:id="220" w:name="_Toc357089527"/>
      <w:bookmarkEnd w:id="220"/>
      <w:bookmarkStart w:id="221" w:name="_Toc152042321"/>
      <w:bookmarkEnd w:id="221"/>
      <w:bookmarkStart w:id="222" w:name="_Toc247527570"/>
      <w:bookmarkEnd w:id="222"/>
      <w:bookmarkStart w:id="223" w:name="_Toc300834966"/>
      <w:bookmarkEnd w:id="223"/>
      <w:bookmarkStart w:id="224" w:name="_Toc11509"/>
      <w:bookmarkStart w:id="225" w:name="_Toc5620312"/>
      <w:r>
        <w:rPr>
          <w:rFonts w:hint="eastAsia" w:ascii="宋体" w:hAnsi="宋体" w:eastAsia="宋体"/>
          <w:b/>
          <w:color w:val="auto"/>
          <w:sz w:val="24"/>
          <w:szCs w:val="24"/>
          <w:highlight w:val="none"/>
        </w:rPr>
        <w:t>2.3 招标文件的修改</w:t>
      </w:r>
      <w:bookmarkEnd w:id="224"/>
      <w:bookmarkEnd w:id="225"/>
    </w:p>
    <w:p>
      <w:pPr>
        <w:pStyle w:val="32"/>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pPr>
        <w:pStyle w:val="32"/>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4"/>
        <w:spacing w:line="360" w:lineRule="auto"/>
        <w:rPr>
          <w:rFonts w:hint="eastAsia" w:ascii="宋体" w:hAnsi="宋体" w:eastAsia="宋体" w:cs="宋体"/>
          <w:color w:val="auto"/>
          <w:highlight w:val="none"/>
          <w:lang w:val="zh-CN"/>
        </w:rPr>
      </w:pPr>
      <w:bookmarkStart w:id="226" w:name="_Toc443505825"/>
      <w:bookmarkEnd w:id="226"/>
      <w:bookmarkStart w:id="227" w:name="_Toc6320"/>
      <w:bookmarkEnd w:id="227"/>
      <w:bookmarkStart w:id="228" w:name="_Toc152045546"/>
      <w:bookmarkEnd w:id="228"/>
      <w:bookmarkStart w:id="229" w:name="_Toc357089528"/>
      <w:bookmarkEnd w:id="229"/>
      <w:bookmarkStart w:id="230" w:name="_Toc375931087"/>
      <w:bookmarkEnd w:id="230"/>
      <w:bookmarkStart w:id="231" w:name="_Toc152042322"/>
      <w:bookmarkEnd w:id="231"/>
      <w:bookmarkStart w:id="232" w:name="_Toc247513970"/>
      <w:bookmarkEnd w:id="232"/>
      <w:bookmarkStart w:id="233" w:name="_Toc410240234"/>
      <w:bookmarkEnd w:id="233"/>
      <w:bookmarkStart w:id="234" w:name="_Toc362816497"/>
      <w:bookmarkEnd w:id="234"/>
      <w:bookmarkStart w:id="235" w:name="_Toc27122"/>
      <w:bookmarkEnd w:id="235"/>
      <w:bookmarkStart w:id="236" w:name="_Toc300834967"/>
      <w:bookmarkEnd w:id="236"/>
      <w:bookmarkStart w:id="237" w:name="_Toc247527571"/>
      <w:bookmarkEnd w:id="237"/>
      <w:bookmarkStart w:id="238" w:name="_Toc144974514"/>
      <w:bookmarkEnd w:id="238"/>
      <w:bookmarkStart w:id="239" w:name="_Toc5620313"/>
      <w:bookmarkStart w:id="240" w:name="_Toc8206"/>
      <w:r>
        <w:rPr>
          <w:rFonts w:hint="eastAsia" w:ascii="宋体" w:hAnsi="宋体" w:eastAsia="宋体" w:cs="宋体"/>
          <w:color w:val="auto"/>
          <w:highlight w:val="none"/>
          <w:lang w:val="zh-CN"/>
        </w:rPr>
        <w:t>3. 投标文件</w:t>
      </w:r>
      <w:bookmarkEnd w:id="239"/>
      <w:bookmarkEnd w:id="240"/>
    </w:p>
    <w:p>
      <w:pPr>
        <w:pStyle w:val="5"/>
        <w:spacing w:line="360" w:lineRule="auto"/>
        <w:rPr>
          <w:rFonts w:hint="eastAsia" w:ascii="宋体" w:hAnsi="宋体" w:eastAsia="宋体"/>
          <w:b/>
          <w:bCs/>
          <w:color w:val="auto"/>
          <w:sz w:val="24"/>
          <w:szCs w:val="24"/>
          <w:highlight w:val="none"/>
        </w:rPr>
      </w:pPr>
      <w:bookmarkStart w:id="241" w:name="_Toc247513971"/>
      <w:bookmarkEnd w:id="241"/>
      <w:bookmarkStart w:id="242" w:name="_Toc144974515"/>
      <w:bookmarkEnd w:id="242"/>
      <w:bookmarkStart w:id="243" w:name="_Toc247527572"/>
      <w:bookmarkEnd w:id="243"/>
      <w:bookmarkStart w:id="244" w:name="_Toc300834968"/>
      <w:bookmarkEnd w:id="244"/>
      <w:bookmarkStart w:id="245" w:name="_Toc152045547"/>
      <w:bookmarkEnd w:id="245"/>
      <w:bookmarkStart w:id="246" w:name="_Toc356469195"/>
      <w:bookmarkEnd w:id="246"/>
      <w:bookmarkStart w:id="247" w:name="_Toc362816498"/>
      <w:bookmarkEnd w:id="247"/>
      <w:bookmarkStart w:id="248" w:name="_Toc152042323"/>
      <w:bookmarkEnd w:id="248"/>
      <w:bookmarkStart w:id="249" w:name="_Toc357089529"/>
      <w:bookmarkEnd w:id="249"/>
      <w:bookmarkStart w:id="250" w:name="_Toc5620314"/>
      <w:bookmarkStart w:id="251" w:name="_Toc9754"/>
      <w:r>
        <w:rPr>
          <w:rFonts w:hint="eastAsia" w:ascii="宋体" w:hAnsi="宋体" w:eastAsia="宋体"/>
          <w:b/>
          <w:bCs/>
          <w:color w:val="auto"/>
          <w:sz w:val="24"/>
          <w:szCs w:val="24"/>
          <w:highlight w:val="none"/>
        </w:rPr>
        <w:t>3.1 投标文件的组成</w:t>
      </w:r>
      <w:bookmarkEnd w:id="250"/>
      <w:bookmarkEnd w:id="251"/>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pP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2" w:name="_Toc249845976"/>
      <w:bookmarkStart w:id="253" w:name="_Toc439245992"/>
      <w:bookmarkStart w:id="254" w:name="_Toc266093552"/>
      <w:bookmarkStart w:id="255" w:name="_Toc253143223"/>
      <w:bookmarkStart w:id="256" w:name="_Toc245024004"/>
      <w:bookmarkStart w:id="257" w:name="_Toc266881404"/>
      <w:bookmarkStart w:id="258" w:name="_Toc249846231"/>
      <w:r>
        <w:rPr>
          <w:rFonts w:hint="eastAsia" w:ascii="宋体" w:hAnsi="宋体" w:cs="宋体"/>
          <w:color w:val="auto"/>
          <w:szCs w:val="21"/>
          <w:highlight w:val="none"/>
        </w:rPr>
        <w:t>：《资格审查资料及其他取自广州市住建行业信用管理平台登记的信息一览表</w:t>
      </w:r>
      <w:bookmarkEnd w:id="252"/>
      <w:bookmarkEnd w:id="253"/>
      <w:bookmarkEnd w:id="254"/>
      <w:bookmarkEnd w:id="255"/>
      <w:bookmarkEnd w:id="256"/>
      <w:bookmarkEnd w:id="257"/>
      <w:bookmarkEnd w:id="258"/>
      <w:r>
        <w:rPr>
          <w:rFonts w:hint="eastAsia" w:ascii="宋体" w:hAnsi="宋体" w:cs="宋体"/>
          <w:color w:val="auto"/>
          <w:szCs w:val="21"/>
          <w:highlight w:val="none"/>
        </w:rPr>
        <w:t>》进行编制的所有资料。</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pPr>
        <w:spacing w:before="120" w:line="360" w:lineRule="auto"/>
        <w:ind w:firstLine="420"/>
        <w:rPr>
          <w:rFonts w:hint="eastAsia" w:ascii="宋体" w:hAnsi="宋体" w:cs="宋体"/>
          <w:b/>
          <w:bCs/>
          <w:color w:val="auto"/>
          <w:kern w:val="1"/>
          <w:szCs w:val="21"/>
          <w:highlight w:val="none"/>
        </w:rPr>
      </w:pPr>
      <w:bookmarkStart w:id="259"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（2）目录（须编制页码）</w:t>
      </w:r>
    </w:p>
    <w:p>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（3）设计方案。</w:t>
      </w:r>
    </w:p>
    <w:p>
      <w:pP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60" w:name="_Hlk55920752"/>
      <w:bookmarkStart w:id="261"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60"/>
      <w:r>
        <w:rPr>
          <w:rFonts w:hint="eastAsia" w:ascii="宋体" w:hAnsi="宋体" w:cs="宋体"/>
          <w:b/>
          <w:color w:val="auto"/>
          <w:kern w:val="1"/>
          <w:szCs w:val="21"/>
          <w:highlight w:val="none"/>
        </w:rPr>
        <w:t>技术投标文件</w:t>
      </w:r>
      <w:bookmarkEnd w:id="261"/>
    </w:p>
    <w:p>
      <w:pP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（1）封面：</w:t>
      </w:r>
      <w:bookmarkStart w:id="262"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2"/>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）《勘察设计投标书》；(按招标文件的要求填写)</w:t>
      </w:r>
      <w:r>
        <w:rPr>
          <w:rFonts w:ascii="宋体" w:hAnsi="宋体" w:cs="宋体"/>
          <w:color w:val="auto"/>
          <w:kern w:val="1"/>
          <w:szCs w:val="21"/>
          <w:highlight w:val="none"/>
        </w:rPr>
        <w:t xml:space="preserve"> </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pPr>
        <w:spacing w:line="360" w:lineRule="auto"/>
        <w:ind w:firstLine="420"/>
        <w:rPr>
          <w:rFonts w:hint="eastAsia" w:ascii="宋体" w:hAnsi="宋体" w:cs="宋体"/>
          <w:color w:val="auto"/>
          <w:kern w:val="1"/>
          <w:szCs w:val="21"/>
          <w:highlight w:val="none"/>
        </w:rPr>
      </w:pPr>
      <w:bookmarkStart w:id="263"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3"/>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4" w:name="_Hlk55921535"/>
      <w:r>
        <w:rPr>
          <w:rFonts w:hint="eastAsia" w:cs="宋体"/>
          <w:color w:val="auto"/>
          <w:kern w:val="1"/>
          <w:szCs w:val="21"/>
          <w:highlight w:val="none"/>
        </w:rPr>
        <w:t>设计工程业绩</w:t>
      </w:r>
      <w:bookmarkEnd w:id="264"/>
      <w:r>
        <w:rPr>
          <w:rFonts w:hint="eastAsia" w:cs="宋体"/>
          <w:color w:val="auto"/>
          <w:kern w:val="1"/>
          <w:szCs w:val="21"/>
          <w:highlight w:val="none"/>
        </w:rPr>
        <w:t>表》、《投标人设计工程业绩获奖情况表》；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5" w:name="_Hlk55921436"/>
      <w:r>
        <w:rPr>
          <w:rFonts w:hint="eastAsia" w:ascii="宋体" w:hAnsi="宋体" w:cs="宋体"/>
          <w:color w:val="auto"/>
          <w:kern w:val="1"/>
          <w:szCs w:val="21"/>
          <w:highlight w:val="none"/>
        </w:rPr>
        <w:t>施工工程业绩表</w:t>
      </w:r>
      <w:bookmarkEnd w:id="265"/>
      <w:r>
        <w:rPr>
          <w:rFonts w:hint="eastAsia" w:ascii="宋体" w:hAnsi="宋体" w:cs="宋体"/>
          <w:color w:val="auto"/>
          <w:kern w:val="1"/>
          <w:szCs w:val="21"/>
          <w:highlight w:val="none"/>
        </w:rPr>
        <w:t>》、《投标人施工工程业绩获奖情况表》；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）施工组织设计方案；（投标人在编制施工组织设计方案时应按照招标人提出的施工现场建筑垃圾源头减量的具体要求以及建筑垃圾综合利用产品的使用要求提供相应措施。）</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pPr>
        <w:spacing w:line="360" w:lineRule="auto"/>
        <w:ind w:firstLine="420"/>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（15）投标保证金；</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pP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6" w:name="_Hlk55921623"/>
      <w:r>
        <w:rPr>
          <w:rFonts w:hint="eastAsia" w:ascii="宋体" w:hAnsi="宋体" w:cs="宋体"/>
          <w:b/>
          <w:color w:val="auto"/>
          <w:kern w:val="1"/>
          <w:szCs w:val="21"/>
          <w:highlight w:val="none"/>
        </w:rPr>
        <w:t>工程总承包实施方案</w:t>
      </w:r>
      <w:bookmarkEnd w:id="266"/>
      <w:r>
        <w:rPr>
          <w:rFonts w:hint="eastAsia" w:ascii="宋体" w:hAnsi="宋体" w:cs="宋体"/>
          <w:b/>
          <w:color w:val="auto"/>
          <w:kern w:val="1"/>
          <w:szCs w:val="21"/>
          <w:highlight w:val="none"/>
        </w:rPr>
        <w:t>经济投标文件</w:t>
      </w:r>
    </w:p>
    <w:p>
      <w:pPr>
        <w:tabs>
          <w:tab w:val="left" w:pos="1125"/>
        </w:tabs>
        <w:spacing w:line="360" w:lineRule="auto"/>
        <w:ind w:firstLine="420"/>
        <w:rPr>
          <w:rFonts w:hint="eastAsia" w:ascii="宋体" w:hAnsi="宋体" w:cs="宋体"/>
          <w:color w:val="auto"/>
          <w:kern w:val="1"/>
          <w:szCs w:val="21"/>
          <w:highlight w:val="none"/>
        </w:rPr>
      </w:pPr>
      <w:bookmarkStart w:id="267" w:name="_Hlk56585096"/>
      <w:r>
        <w:rPr>
          <w:rFonts w:hint="eastAsia" w:ascii="宋体" w:hAnsi="宋体" w:cs="宋体"/>
          <w:color w:val="auto"/>
          <w:kern w:val="1"/>
          <w:szCs w:val="21"/>
          <w:highlight w:val="none"/>
        </w:rPr>
        <w:t>主要包括下列内容：</w:t>
      </w:r>
      <w:bookmarkEnd w:id="267"/>
    </w:p>
    <w:p>
      <w:pPr>
        <w:numPr>
          <w:ilvl w:val="0"/>
          <w:numId w:val="2"/>
        </w:numPr>
        <w:spacing w:line="360" w:lineRule="auto"/>
        <w:ind w:left="0"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勘察费用明细表（按招标文件的要求填写）；</w:t>
      </w:r>
    </w:p>
    <w:p>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pPr>
        <w:pStyle w:val="5"/>
        <w:spacing w:line="360" w:lineRule="auto"/>
        <w:rPr>
          <w:rFonts w:hint="eastAsia" w:ascii="宋体" w:hAnsi="宋体" w:eastAsia="宋体"/>
          <w:b/>
          <w:bCs/>
          <w:color w:val="auto"/>
          <w:sz w:val="24"/>
          <w:szCs w:val="24"/>
          <w:highlight w:val="none"/>
        </w:rPr>
      </w:pPr>
      <w:bookmarkStart w:id="268" w:name="_Toc28699"/>
      <w:r>
        <w:rPr>
          <w:rFonts w:hint="eastAsia" w:ascii="宋体" w:hAnsi="宋体" w:eastAsia="宋体"/>
          <w:b/>
          <w:bCs/>
          <w:color w:val="auto"/>
          <w:sz w:val="24"/>
          <w:szCs w:val="24"/>
          <w:highlight w:val="none"/>
        </w:rPr>
        <w:t>3.2 投标报价</w:t>
      </w:r>
      <w:bookmarkEnd w:id="259"/>
      <w:bookmarkEnd w:id="268"/>
    </w:p>
    <w:p>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w:t>
      </w:r>
      <w:r>
        <w:rPr>
          <w:rFonts w:hint="eastAsia" w:ascii="宋体" w:hAnsi="宋体" w:cs="宋体"/>
          <w:color w:val="auto"/>
          <w:szCs w:val="21"/>
          <w:highlight w:val="none"/>
          <w:u w:val="single"/>
        </w:rPr>
        <w:t>及勘察各单价报价</w:t>
      </w:r>
      <w:r>
        <w:rPr>
          <w:rFonts w:hint="eastAsia" w:ascii="宋体" w:hAnsi="宋体" w:cs="宋体"/>
          <w:color w:val="auto"/>
          <w:kern w:val="1"/>
          <w:szCs w:val="21"/>
          <w:highlight w:val="none"/>
          <w:u w:val="single"/>
        </w:rPr>
        <w:t>、设计费、工程费所报金额不得超出招标人规定的相应的最高投标限价（含各含税综合包干单价限价）。</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pPr>
        <w:pStyle w:val="5"/>
        <w:spacing w:before="240" w:beforeLines="100" w:after="240" w:afterLines="100" w:line="360" w:lineRule="auto"/>
        <w:ind w:firstLine="351"/>
        <w:rPr>
          <w:rFonts w:hint="eastAsia" w:ascii="宋体" w:hAnsi="宋体" w:eastAsia="宋体"/>
          <w:b/>
          <w:color w:val="auto"/>
          <w:sz w:val="24"/>
          <w:szCs w:val="24"/>
          <w:highlight w:val="none"/>
        </w:rPr>
      </w:pPr>
      <w:bookmarkStart w:id="269" w:name="_Toc20247"/>
      <w:bookmarkStart w:id="270" w:name="_Toc5620316"/>
      <w:r>
        <w:rPr>
          <w:rFonts w:hint="eastAsia" w:ascii="宋体" w:hAnsi="宋体" w:eastAsia="宋体"/>
          <w:b/>
          <w:color w:val="auto"/>
          <w:sz w:val="24"/>
          <w:szCs w:val="24"/>
          <w:highlight w:val="none"/>
        </w:rPr>
        <w:t>3.3 投标有效期</w:t>
      </w:r>
      <w:bookmarkEnd w:id="269"/>
      <w:bookmarkEnd w:id="270"/>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w:t>
      </w:r>
      <w:r>
        <w:rPr>
          <w:rFonts w:hint="eastAsia" w:ascii="宋体" w:hAnsi="宋体" w:cs="宋体"/>
          <w:strike/>
          <w:color w:val="auto"/>
          <w:kern w:val="1"/>
          <w:szCs w:val="21"/>
          <w:highlight w:val="none"/>
        </w:rPr>
        <w:t>投标保证金的</w:t>
      </w:r>
      <w:r>
        <w:rPr>
          <w:rFonts w:hint="eastAsia" w:ascii="宋体" w:hAnsi="宋体" w:cs="宋体"/>
          <w:color w:val="auto"/>
          <w:kern w:val="1"/>
          <w:szCs w:val="21"/>
          <w:highlight w:val="none"/>
        </w:rPr>
        <w:t>有效期，但不得要求或被允许修改或撤销其投标文件；投标人拒绝延长的，其投标失效</w:t>
      </w:r>
      <w:r>
        <w:rPr>
          <w:rFonts w:hint="eastAsia" w:ascii="宋体" w:hAnsi="宋体" w:cs="宋体"/>
          <w:strike/>
          <w:color w:val="auto"/>
          <w:kern w:val="1"/>
          <w:szCs w:val="21"/>
          <w:highlight w:val="none"/>
        </w:rPr>
        <w:t>，但投标人有权收回其投标保证金</w:t>
      </w:r>
      <w:r>
        <w:rPr>
          <w:rFonts w:hint="eastAsia" w:ascii="宋体" w:hAnsi="宋体" w:cs="宋体"/>
          <w:color w:val="auto"/>
          <w:kern w:val="1"/>
          <w:szCs w:val="21"/>
          <w:highlight w:val="none"/>
        </w:rPr>
        <w:t>。</w:t>
      </w:r>
    </w:p>
    <w:p>
      <w:pPr>
        <w:pStyle w:val="5"/>
        <w:spacing w:before="240" w:beforeLines="100" w:after="240" w:afterLines="100" w:line="360" w:lineRule="auto"/>
        <w:ind w:firstLine="363"/>
        <w:rPr>
          <w:rFonts w:hint="eastAsia" w:ascii="宋体" w:hAnsi="宋体" w:eastAsia="宋体"/>
          <w:b/>
          <w:strike/>
          <w:color w:val="auto"/>
          <w:sz w:val="24"/>
          <w:szCs w:val="24"/>
          <w:highlight w:val="none"/>
        </w:rPr>
      </w:pPr>
      <w:bookmarkStart w:id="271" w:name="_Toc18133"/>
      <w:bookmarkStart w:id="272" w:name="_Toc5620317"/>
      <w:r>
        <w:rPr>
          <w:rFonts w:hint="eastAsia" w:ascii="宋体" w:hAnsi="宋体" w:eastAsia="宋体"/>
          <w:b/>
          <w:strike/>
          <w:color w:val="auto"/>
          <w:sz w:val="24"/>
          <w:szCs w:val="24"/>
          <w:highlight w:val="none"/>
        </w:rPr>
        <w:t>3.4 投标保证金</w:t>
      </w:r>
      <w:bookmarkEnd w:id="271"/>
      <w:bookmarkEnd w:id="272"/>
    </w:p>
    <w:p>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3.4.1</w:t>
      </w:r>
      <w:r>
        <w:rPr>
          <w:rFonts w:hint="eastAsia" w:ascii="宋体" w:hAnsi="宋体"/>
          <w:strike/>
          <w:color w:val="auto"/>
          <w:highlight w:val="none"/>
          <w:u w:val="single"/>
        </w:rPr>
        <w:t>投标人在开标开始时间前（含开标开始时间），应按投标人须知前附表规定的金额、担保形式递交投标保证金</w:t>
      </w:r>
      <w:r>
        <w:rPr>
          <w:rFonts w:hint="eastAsia" w:ascii="宋体" w:hAnsi="宋体"/>
          <w:strike/>
          <w:color w:val="auto"/>
          <w:highlight w:val="none"/>
        </w:rPr>
        <w:t>，并作为其投标文件的组成部分。</w:t>
      </w:r>
    </w:p>
    <w:p>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3.4.2 投标人不按本章第3.4.1项要求提交投标保证金的，评标委员会将否决其投标。</w:t>
      </w:r>
    </w:p>
    <w:p>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3.4.3</w:t>
      </w:r>
      <w:r>
        <w:rPr>
          <w:rFonts w:hint="eastAsia"/>
          <w:strike/>
          <w:color w:val="auto"/>
          <w:highlight w:val="none"/>
          <w:u w:val="single"/>
        </w:rPr>
        <w:t>未中标的投标保证金将尽快退还，最迟不超过招标人与中标人签订合同后的5个工作日。中标人的投标保证金，在签署合同并按要求提供了履约担保后予以退还。</w:t>
      </w:r>
    </w:p>
    <w:p>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3.4.4投标人有下列情形的，将自愿接受：通报批评，记录不良行为，列入黑名单，并暂停企业参加建设单位项目招投标活动一年，不予退还投标保证金。</w:t>
      </w:r>
    </w:p>
    <w:p>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（1）投标人在规定的投标有效期内撤销或修改其投标文件；</w:t>
      </w:r>
    </w:p>
    <w:p>
      <w:pPr>
        <w:tabs>
          <w:tab w:val="left" w:pos="7711"/>
        </w:tabs>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（2）投标人提供了虚假的证明材料；</w:t>
      </w:r>
    </w:p>
    <w:p>
      <w:pPr>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（3）中标候选人放弃中标；</w:t>
      </w:r>
    </w:p>
    <w:p>
      <w:pPr>
        <w:spacing w:line="360" w:lineRule="auto"/>
        <w:ind w:firstLine="315"/>
        <w:rPr>
          <w:rFonts w:hint="eastAsia" w:ascii="宋体" w:hAnsi="宋体" w:cs="宋体"/>
          <w:strike/>
          <w:color w:val="auto"/>
          <w:kern w:val="1"/>
          <w:szCs w:val="21"/>
          <w:highlight w:val="none"/>
        </w:rPr>
      </w:pPr>
      <w:r>
        <w:rPr>
          <w:rFonts w:hint="eastAsia" w:ascii="宋体" w:hAnsi="宋体"/>
          <w:strike/>
          <w:color w:val="auto"/>
          <w:highlight w:val="none"/>
          <w:u w:val="single"/>
        </w:rPr>
        <w:t>（4）中标人在收到中标通知书后，无正当理由拒签合同或未按招标文件规定提交履约担保。</w:t>
      </w:r>
    </w:p>
    <w:p>
      <w:pPr>
        <w:pStyle w:val="5"/>
        <w:spacing w:before="240" w:beforeLines="100" w:after="240" w:afterLines="100" w:line="360" w:lineRule="auto"/>
        <w:ind w:firstLine="0"/>
        <w:rPr>
          <w:rFonts w:hint="eastAsia" w:ascii="宋体" w:hAnsi="宋体" w:eastAsia="宋体"/>
          <w:b/>
          <w:color w:val="auto"/>
          <w:sz w:val="24"/>
          <w:szCs w:val="24"/>
          <w:highlight w:val="none"/>
        </w:rPr>
      </w:pPr>
      <w:bookmarkStart w:id="273" w:name="_Toc32372"/>
      <w:bookmarkStart w:id="274" w:name="_Toc5620318"/>
      <w:r>
        <w:rPr>
          <w:rFonts w:hint="eastAsia" w:ascii="宋体" w:hAnsi="宋体" w:eastAsia="宋体"/>
          <w:b/>
          <w:color w:val="auto"/>
          <w:sz w:val="24"/>
          <w:szCs w:val="24"/>
          <w:highlight w:val="none"/>
        </w:rPr>
        <w:t>3.5 资格审查</w:t>
      </w:r>
      <w:bookmarkEnd w:id="273"/>
      <w:bookmarkEnd w:id="274"/>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pP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pPr>
        <w:pStyle w:val="2"/>
        <w:spacing w:line="360" w:lineRule="auto"/>
        <w:rPr>
          <w:rFonts w:hint="eastAsia"/>
          <w:color w:val="auto"/>
          <w:highlight w:val="none"/>
          <w:lang w:val="en-US"/>
        </w:rPr>
      </w:pPr>
    </w:p>
    <w:p>
      <w:pPr>
        <w:pStyle w:val="5"/>
        <w:spacing w:before="240" w:beforeLines="100" w:after="240" w:afterLines="100" w:line="360" w:lineRule="auto"/>
        <w:ind w:firstLine="0"/>
        <w:rPr>
          <w:rFonts w:hint="eastAsia" w:ascii="宋体" w:hAnsi="宋体" w:eastAsia="宋体"/>
          <w:b/>
          <w:color w:val="auto"/>
          <w:sz w:val="24"/>
          <w:szCs w:val="24"/>
          <w:highlight w:val="none"/>
        </w:rPr>
      </w:pPr>
      <w:bookmarkStart w:id="275" w:name="_Toc5620319"/>
      <w:bookmarkStart w:id="276" w:name="_Toc9278"/>
      <w:r>
        <w:rPr>
          <w:rFonts w:hint="eastAsia" w:ascii="宋体" w:hAnsi="宋体" w:eastAsia="宋体"/>
          <w:b/>
          <w:color w:val="auto"/>
          <w:sz w:val="24"/>
          <w:szCs w:val="24"/>
          <w:highlight w:val="none"/>
        </w:rPr>
        <w:t>3.6 备选投标方案</w:t>
      </w:r>
      <w:bookmarkEnd w:id="275"/>
      <w:bookmarkEnd w:id="276"/>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pPr>
        <w:pStyle w:val="5"/>
        <w:spacing w:before="240" w:beforeLines="100" w:after="240" w:afterLines="100" w:line="360" w:lineRule="auto"/>
        <w:ind w:firstLine="0"/>
        <w:rPr>
          <w:rFonts w:hint="eastAsia" w:ascii="宋体" w:hAnsi="宋体" w:eastAsia="宋体"/>
          <w:b/>
          <w:color w:val="auto"/>
          <w:sz w:val="24"/>
          <w:szCs w:val="24"/>
          <w:highlight w:val="none"/>
        </w:rPr>
      </w:pPr>
      <w:bookmarkStart w:id="277" w:name="_Toc4446"/>
      <w:bookmarkStart w:id="278" w:name="_Toc5620320"/>
      <w:r>
        <w:rPr>
          <w:rFonts w:hint="eastAsia" w:ascii="宋体" w:hAnsi="宋体" w:eastAsia="宋体"/>
          <w:b/>
          <w:color w:val="auto"/>
          <w:sz w:val="24"/>
          <w:szCs w:val="24"/>
          <w:highlight w:val="none"/>
        </w:rPr>
        <w:t>3.7 投标文件的编制</w:t>
      </w:r>
      <w:bookmarkEnd w:id="277"/>
      <w:bookmarkEnd w:id="278"/>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rPr>
        <w:t>设计方案</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对投标文件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pPr>
        <w:pStyle w:val="4"/>
        <w:spacing w:before="240" w:beforeLines="100" w:after="240" w:afterLines="100" w:line="360" w:lineRule="auto"/>
        <w:rPr>
          <w:rFonts w:hint="eastAsia" w:ascii="宋体" w:hAnsi="宋体" w:eastAsia="宋体" w:cs="宋体"/>
          <w:color w:val="auto"/>
          <w:highlight w:val="none"/>
          <w:lang w:val="zh-CN"/>
        </w:rPr>
      </w:pPr>
      <w:bookmarkStart w:id="279" w:name="_Toc443505826"/>
      <w:bookmarkEnd w:id="279"/>
      <w:bookmarkStart w:id="280" w:name="_Toc8024"/>
      <w:bookmarkEnd w:id="280"/>
      <w:bookmarkStart w:id="281" w:name="_Toc3979"/>
      <w:bookmarkEnd w:id="281"/>
      <w:bookmarkStart w:id="282" w:name="_Toc5620321"/>
      <w:bookmarkStart w:id="283" w:name="_Toc8504"/>
      <w:r>
        <w:rPr>
          <w:rFonts w:hint="eastAsia" w:ascii="宋体" w:hAnsi="宋体" w:eastAsia="宋体" w:cs="宋体"/>
          <w:color w:val="auto"/>
          <w:highlight w:val="none"/>
          <w:lang w:val="zh-CN"/>
        </w:rPr>
        <w:t>4. 投标</w:t>
      </w:r>
      <w:bookmarkEnd w:id="282"/>
      <w:bookmarkEnd w:id="283"/>
    </w:p>
    <w:p>
      <w:pPr>
        <w:pStyle w:val="5"/>
        <w:spacing w:line="360" w:lineRule="auto"/>
        <w:ind w:firstLine="118"/>
        <w:rPr>
          <w:rFonts w:hint="eastAsia" w:ascii="宋体" w:hAnsi="宋体" w:eastAsia="宋体"/>
          <w:b/>
          <w:bCs/>
          <w:color w:val="auto"/>
          <w:sz w:val="24"/>
          <w:szCs w:val="24"/>
          <w:highlight w:val="none"/>
        </w:rPr>
      </w:pPr>
      <w:bookmarkStart w:id="284" w:name="_Toc362816506"/>
      <w:bookmarkEnd w:id="284"/>
      <w:bookmarkStart w:id="285" w:name="_Toc357089537"/>
      <w:bookmarkEnd w:id="285"/>
      <w:bookmarkStart w:id="286" w:name="_Toc21485"/>
      <w:bookmarkStart w:id="287" w:name="_Toc5620322"/>
      <w:r>
        <w:rPr>
          <w:rFonts w:hint="eastAsia" w:ascii="宋体" w:hAnsi="宋体" w:eastAsia="宋体"/>
          <w:b/>
          <w:bCs/>
          <w:color w:val="auto"/>
          <w:sz w:val="24"/>
          <w:szCs w:val="24"/>
          <w:highlight w:val="none"/>
        </w:rPr>
        <w:t>4.1 投标文件的密封和标记</w:t>
      </w:r>
      <w:bookmarkEnd w:id="286"/>
      <w:bookmarkEnd w:id="287"/>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pPr>
        <w:pStyle w:val="5"/>
        <w:spacing w:line="360" w:lineRule="auto"/>
        <w:ind w:firstLine="118"/>
        <w:rPr>
          <w:rFonts w:hint="eastAsia" w:ascii="宋体" w:hAnsi="宋体" w:eastAsia="宋体"/>
          <w:b/>
          <w:bCs/>
          <w:color w:val="auto"/>
          <w:sz w:val="24"/>
          <w:szCs w:val="24"/>
          <w:highlight w:val="none"/>
        </w:rPr>
      </w:pPr>
      <w:bookmarkStart w:id="288" w:name="_Toc7472"/>
      <w:bookmarkStart w:id="289"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8"/>
      <w:bookmarkEnd w:id="289"/>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pPr>
        <w:pStyle w:val="5"/>
        <w:spacing w:line="360" w:lineRule="auto"/>
        <w:ind w:firstLine="118"/>
        <w:rPr>
          <w:rFonts w:hint="eastAsia" w:ascii="宋体" w:hAnsi="宋体" w:eastAsia="宋体"/>
          <w:b/>
          <w:bCs/>
          <w:color w:val="auto"/>
          <w:sz w:val="24"/>
          <w:szCs w:val="24"/>
          <w:highlight w:val="none"/>
        </w:rPr>
      </w:pPr>
      <w:bookmarkStart w:id="290" w:name="_Toc362816508"/>
      <w:bookmarkEnd w:id="290"/>
      <w:bookmarkStart w:id="291" w:name="_Toc357089539"/>
      <w:bookmarkEnd w:id="291"/>
      <w:bookmarkStart w:id="292" w:name="_Toc17582"/>
      <w:bookmarkStart w:id="293" w:name="_Toc5620324"/>
      <w:r>
        <w:rPr>
          <w:rFonts w:hint="eastAsia" w:ascii="宋体" w:hAnsi="宋体" w:eastAsia="宋体"/>
          <w:b/>
          <w:bCs/>
          <w:color w:val="auto"/>
          <w:sz w:val="24"/>
          <w:szCs w:val="24"/>
          <w:highlight w:val="none"/>
        </w:rPr>
        <w:t>4.3 投标文件的修改与撤回</w:t>
      </w:r>
      <w:bookmarkEnd w:id="292"/>
      <w:bookmarkEnd w:id="293"/>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pPr>
        <w:spacing w:line="360" w:lineRule="auto"/>
        <w:ind w:firstLine="420"/>
        <w:rPr>
          <w:rFonts w:hint="eastAsia" w:ascii="宋体" w:hAnsi="宋体" w:cs="宋体"/>
          <w:strike/>
          <w:color w:val="auto"/>
          <w:kern w:val="1"/>
          <w:highlight w:val="none"/>
          <w:u w:val="single"/>
        </w:rPr>
      </w:pPr>
      <w:r>
        <w:rPr>
          <w:rFonts w:hint="eastAsia" w:ascii="宋体" w:hAnsi="宋体" w:cs="宋体"/>
          <w:strike/>
          <w:color w:val="auto"/>
          <w:kern w:val="1"/>
          <w:highlight w:val="none"/>
          <w:u w:val="single"/>
        </w:rPr>
        <w:t xml:space="preserve">4.3.3 </w:t>
      </w:r>
      <w:r>
        <w:rPr>
          <w:rFonts w:hint="eastAsia" w:ascii="宋体" w:hAnsi="宋体"/>
          <w:strike/>
          <w:color w:val="auto"/>
          <w:szCs w:val="21"/>
          <w:highlight w:val="none"/>
          <w:u w:val="single"/>
        </w:rPr>
        <w:t>投标人撤回投标文件的，招标人自收到投标人撤回通知之日起 5 日内退还已收取的投标保证金。</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pPr>
        <w:pStyle w:val="4"/>
        <w:spacing w:before="240" w:beforeLines="100" w:after="240" w:afterLines="100" w:line="360" w:lineRule="auto"/>
        <w:rPr>
          <w:rFonts w:hint="eastAsia" w:ascii="宋体" w:hAnsi="宋体" w:eastAsia="宋体" w:cs="宋体"/>
          <w:color w:val="auto"/>
          <w:highlight w:val="none"/>
          <w:lang w:val="zh-CN"/>
        </w:rPr>
      </w:pPr>
      <w:bookmarkStart w:id="294" w:name="_Toc16809"/>
      <w:bookmarkEnd w:id="294"/>
      <w:bookmarkStart w:id="295" w:name="_Toc443505828"/>
      <w:bookmarkEnd w:id="295"/>
      <w:bookmarkStart w:id="296" w:name="_Toc7909"/>
      <w:bookmarkEnd w:id="296"/>
      <w:bookmarkStart w:id="297" w:name="_Toc3600"/>
      <w:r>
        <w:rPr>
          <w:rFonts w:hint="eastAsia" w:ascii="宋体" w:hAnsi="宋体" w:eastAsia="宋体" w:cs="宋体"/>
          <w:color w:val="auto"/>
          <w:highlight w:val="none"/>
          <w:lang w:val="zh-CN"/>
        </w:rPr>
        <w:t>5. 开标</w:t>
      </w:r>
      <w:bookmarkEnd w:id="297"/>
    </w:p>
    <w:p>
      <w:pPr>
        <w:pStyle w:val="5"/>
        <w:spacing w:line="360" w:lineRule="auto"/>
        <w:ind w:firstLine="118"/>
        <w:rPr>
          <w:rFonts w:hint="eastAsia" w:ascii="宋体" w:hAnsi="宋体" w:eastAsia="宋体"/>
          <w:b/>
          <w:bCs/>
          <w:color w:val="auto"/>
          <w:sz w:val="24"/>
          <w:szCs w:val="24"/>
          <w:highlight w:val="none"/>
        </w:rPr>
      </w:pPr>
      <w:bookmarkStart w:id="298" w:name="_Toc21830"/>
      <w:r>
        <w:rPr>
          <w:rFonts w:hint="eastAsia" w:ascii="宋体" w:hAnsi="宋体" w:eastAsia="宋体"/>
          <w:b/>
          <w:bCs/>
          <w:color w:val="auto"/>
          <w:sz w:val="24"/>
          <w:szCs w:val="24"/>
          <w:highlight w:val="none"/>
        </w:rPr>
        <w:t>5.1 开标时间和地点</w:t>
      </w:r>
      <w:bookmarkEnd w:id="298"/>
    </w:p>
    <w:p>
      <w:pP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pPr>
        <w:pStyle w:val="5"/>
        <w:spacing w:line="360" w:lineRule="auto"/>
        <w:ind w:firstLine="118"/>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pPr>
        <w:spacing w:line="360" w:lineRule="auto"/>
        <w:ind w:firstLine="420"/>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highlight w:val="none"/>
          <w:u w:val="single"/>
        </w:rPr>
        <w:t>；h、投标保证金</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pPr>
        <w:pStyle w:val="5"/>
        <w:spacing w:line="360" w:lineRule="auto"/>
        <w:ind w:firstLine="118"/>
        <w:rPr>
          <w:rFonts w:hint="eastAsia" w:ascii="宋体" w:hAnsi="宋体" w:eastAsia="宋体"/>
          <w:b/>
          <w:bCs/>
          <w:color w:val="auto"/>
          <w:sz w:val="24"/>
          <w:szCs w:val="24"/>
          <w:highlight w:val="none"/>
        </w:rPr>
      </w:pPr>
      <w:bookmarkStart w:id="299"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9"/>
    </w:p>
    <w:p>
      <w:pP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4"/>
        <w:spacing w:before="240" w:beforeLines="100" w:after="240" w:afterLines="100" w:line="360" w:lineRule="auto"/>
        <w:rPr>
          <w:rFonts w:hint="eastAsia" w:ascii="宋体" w:hAnsi="宋体" w:eastAsia="宋体" w:cs="宋体"/>
          <w:color w:val="auto"/>
          <w:highlight w:val="none"/>
          <w:lang w:val="zh-CN"/>
        </w:rPr>
      </w:pPr>
      <w:bookmarkStart w:id="300" w:name="_Toc23707"/>
      <w:bookmarkEnd w:id="300"/>
      <w:bookmarkStart w:id="301" w:name="_Toc20998"/>
      <w:bookmarkEnd w:id="301"/>
      <w:bookmarkStart w:id="302" w:name="_Toc6507"/>
      <w:bookmarkStart w:id="303" w:name="_Toc5620328"/>
      <w:r>
        <w:rPr>
          <w:rFonts w:hint="eastAsia" w:ascii="宋体" w:hAnsi="宋体" w:eastAsia="宋体" w:cs="宋体"/>
          <w:color w:val="auto"/>
          <w:highlight w:val="none"/>
          <w:lang w:val="zh-CN"/>
        </w:rPr>
        <w:t>6. 评标</w:t>
      </w:r>
      <w:bookmarkEnd w:id="302"/>
      <w:bookmarkEnd w:id="303"/>
    </w:p>
    <w:p>
      <w:pPr>
        <w:pStyle w:val="5"/>
        <w:spacing w:before="0" w:after="0" w:line="360" w:lineRule="auto"/>
        <w:ind w:firstLine="0"/>
        <w:rPr>
          <w:rFonts w:hint="eastAsia" w:ascii="宋体" w:hAnsi="宋体" w:eastAsia="宋体"/>
          <w:color w:val="auto"/>
          <w:sz w:val="21"/>
          <w:szCs w:val="21"/>
          <w:highlight w:val="none"/>
        </w:rPr>
      </w:pPr>
      <w:bookmarkStart w:id="304" w:name="_Toc5620329"/>
      <w:bookmarkStart w:id="305" w:name="_Toc19143"/>
      <w:r>
        <w:rPr>
          <w:rFonts w:hint="eastAsia" w:ascii="宋体" w:hAnsi="宋体" w:eastAsia="宋体"/>
          <w:color w:val="auto"/>
          <w:sz w:val="21"/>
          <w:szCs w:val="21"/>
          <w:highlight w:val="none"/>
        </w:rPr>
        <w:t>6.1 评标委员会</w:t>
      </w:r>
      <w:bookmarkEnd w:id="304"/>
      <w:bookmarkEnd w:id="305"/>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评标由招标人依法组建的评标委员会负责，分勘察设计评审组、综合评审组，资格评审由综合评审组负责评审。</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pPr>
        <w:pStyle w:val="5"/>
        <w:spacing w:before="0" w:after="0" w:line="360" w:lineRule="auto"/>
        <w:ind w:firstLine="0"/>
        <w:rPr>
          <w:rFonts w:hint="eastAsia" w:ascii="宋体" w:hAnsi="宋体" w:eastAsia="宋体"/>
          <w:color w:val="auto"/>
          <w:sz w:val="21"/>
          <w:szCs w:val="21"/>
          <w:highlight w:val="none"/>
        </w:rPr>
      </w:pPr>
      <w:bookmarkStart w:id="306" w:name="_Toc443505829"/>
      <w:bookmarkEnd w:id="306"/>
      <w:bookmarkStart w:id="307" w:name="_Toc7827"/>
      <w:bookmarkStart w:id="308" w:name="_Toc5620330"/>
      <w:r>
        <w:rPr>
          <w:rFonts w:hint="eastAsia" w:ascii="宋体" w:hAnsi="宋体" w:eastAsia="宋体"/>
          <w:color w:val="auto"/>
          <w:sz w:val="21"/>
          <w:szCs w:val="21"/>
          <w:highlight w:val="none"/>
        </w:rPr>
        <w:t>6.2 评标原则</w:t>
      </w:r>
      <w:bookmarkEnd w:id="307"/>
      <w:bookmarkEnd w:id="308"/>
      <w:r>
        <w:rPr>
          <w:rFonts w:hint="eastAsia" w:ascii="宋体" w:hAnsi="宋体" w:eastAsia="宋体"/>
          <w:color w:val="auto"/>
          <w:sz w:val="21"/>
          <w:szCs w:val="21"/>
          <w:highlight w:val="none"/>
        </w:rPr>
        <w:tab/>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pPr>
        <w:pStyle w:val="5"/>
        <w:spacing w:before="0" w:after="0" w:line="360" w:lineRule="auto"/>
        <w:ind w:firstLine="0"/>
        <w:rPr>
          <w:rFonts w:hint="eastAsia" w:ascii="宋体" w:hAnsi="宋体" w:eastAsia="宋体"/>
          <w:color w:val="auto"/>
          <w:sz w:val="21"/>
          <w:szCs w:val="21"/>
          <w:highlight w:val="none"/>
        </w:rPr>
      </w:pPr>
      <w:bookmarkStart w:id="309" w:name="_Toc5620331"/>
      <w:bookmarkStart w:id="310" w:name="_Toc16832"/>
      <w:r>
        <w:rPr>
          <w:rFonts w:hint="eastAsia" w:ascii="宋体" w:hAnsi="宋体" w:eastAsia="宋体"/>
          <w:color w:val="auto"/>
          <w:sz w:val="21"/>
          <w:szCs w:val="21"/>
          <w:highlight w:val="none"/>
        </w:rPr>
        <w:t>6.3 评标</w:t>
      </w:r>
      <w:bookmarkEnd w:id="309"/>
      <w:bookmarkEnd w:id="310"/>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pPr>
        <w:pStyle w:val="5"/>
        <w:spacing w:before="0" w:after="0" w:line="360" w:lineRule="auto"/>
        <w:ind w:firstLine="0"/>
        <w:rPr>
          <w:rFonts w:hint="eastAsia" w:ascii="宋体" w:hAnsi="宋体" w:eastAsia="宋体"/>
          <w:color w:val="auto"/>
          <w:sz w:val="21"/>
          <w:szCs w:val="21"/>
          <w:highlight w:val="none"/>
          <w:u w:val="single"/>
        </w:rPr>
      </w:pPr>
      <w:bookmarkStart w:id="311" w:name="_Toc14839"/>
      <w:bookmarkStart w:id="312" w:name="_Toc5620332"/>
      <w:r>
        <w:rPr>
          <w:rFonts w:hint="eastAsia" w:ascii="宋体" w:hAnsi="宋体" w:eastAsia="宋体"/>
          <w:color w:val="auto"/>
          <w:sz w:val="21"/>
          <w:szCs w:val="21"/>
          <w:highlight w:val="none"/>
          <w:u w:val="single"/>
        </w:rPr>
        <w:t>6.4评标过程的保密</w:t>
      </w:r>
      <w:bookmarkEnd w:id="311"/>
      <w:bookmarkEnd w:id="312"/>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pPr>
        <w:pStyle w:val="4"/>
        <w:spacing w:before="240" w:beforeLines="100" w:after="240" w:afterLines="100" w:line="360" w:lineRule="auto"/>
        <w:rPr>
          <w:rFonts w:hint="eastAsia" w:ascii="宋体" w:hAnsi="宋体" w:eastAsia="宋体" w:cs="宋体"/>
          <w:color w:val="auto"/>
          <w:highlight w:val="none"/>
          <w:lang w:val="zh-CN"/>
        </w:rPr>
      </w:pPr>
      <w:bookmarkStart w:id="313" w:name="_Toc7746"/>
      <w:bookmarkEnd w:id="313"/>
      <w:bookmarkStart w:id="314" w:name="_Toc27077"/>
      <w:bookmarkEnd w:id="314"/>
      <w:bookmarkStart w:id="315" w:name="_Toc13256"/>
      <w:bookmarkStart w:id="316" w:name="_Toc5620333"/>
      <w:r>
        <w:rPr>
          <w:rFonts w:hint="eastAsia" w:ascii="宋体" w:hAnsi="宋体" w:eastAsia="宋体" w:cs="宋体"/>
          <w:color w:val="auto"/>
          <w:highlight w:val="none"/>
          <w:lang w:val="zh-CN"/>
        </w:rPr>
        <w:t>7. 合同授予</w:t>
      </w:r>
      <w:bookmarkEnd w:id="315"/>
      <w:bookmarkEnd w:id="316"/>
    </w:p>
    <w:p>
      <w:pPr>
        <w:pStyle w:val="5"/>
        <w:spacing w:before="0" w:after="0" w:line="360" w:lineRule="auto"/>
        <w:ind w:firstLine="0"/>
        <w:rPr>
          <w:rFonts w:hint="eastAsia" w:ascii="宋体" w:hAnsi="宋体" w:eastAsia="宋体"/>
          <w:color w:val="auto"/>
          <w:sz w:val="21"/>
          <w:szCs w:val="21"/>
          <w:highlight w:val="none"/>
        </w:rPr>
      </w:pPr>
      <w:bookmarkStart w:id="317" w:name="_Toc5620334"/>
      <w:bookmarkStart w:id="318" w:name="_Toc18404"/>
      <w:r>
        <w:rPr>
          <w:rFonts w:hint="eastAsia" w:ascii="宋体" w:hAnsi="宋体" w:eastAsia="宋体"/>
          <w:color w:val="auto"/>
          <w:sz w:val="21"/>
          <w:szCs w:val="21"/>
          <w:highlight w:val="none"/>
        </w:rPr>
        <w:t>7.1 定标方式</w:t>
      </w:r>
      <w:bookmarkEnd w:id="317"/>
      <w:bookmarkEnd w:id="318"/>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pPr>
        <w:pStyle w:val="5"/>
        <w:spacing w:before="0" w:after="0" w:line="360" w:lineRule="auto"/>
        <w:ind w:firstLine="0"/>
        <w:rPr>
          <w:rFonts w:hint="eastAsia" w:ascii="宋体" w:hAnsi="宋体" w:eastAsia="宋体"/>
          <w:color w:val="auto"/>
          <w:sz w:val="21"/>
          <w:szCs w:val="21"/>
          <w:highlight w:val="none"/>
        </w:rPr>
      </w:pPr>
      <w:bookmarkStart w:id="319" w:name="_Toc19474"/>
      <w:bookmarkStart w:id="320" w:name="_Toc5620335"/>
      <w:r>
        <w:rPr>
          <w:rFonts w:hint="eastAsia" w:ascii="宋体" w:hAnsi="宋体" w:eastAsia="宋体"/>
          <w:color w:val="auto"/>
          <w:sz w:val="21"/>
          <w:szCs w:val="21"/>
          <w:highlight w:val="none"/>
        </w:rPr>
        <w:t>7.2 中标候选人公示</w:t>
      </w:r>
      <w:bookmarkEnd w:id="319"/>
      <w:bookmarkEnd w:id="320"/>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pPr>
        <w:pStyle w:val="5"/>
        <w:spacing w:before="0" w:after="0" w:line="360" w:lineRule="auto"/>
        <w:ind w:firstLine="0"/>
        <w:rPr>
          <w:rFonts w:hint="eastAsia" w:ascii="宋体" w:hAnsi="宋体" w:eastAsia="宋体"/>
          <w:color w:val="auto"/>
          <w:sz w:val="21"/>
          <w:szCs w:val="21"/>
          <w:highlight w:val="none"/>
        </w:rPr>
      </w:pPr>
      <w:bookmarkStart w:id="321" w:name="_Toc28278"/>
      <w:bookmarkStart w:id="322" w:name="_Toc5620336"/>
      <w:r>
        <w:rPr>
          <w:rFonts w:hint="eastAsia" w:ascii="宋体" w:hAnsi="宋体" w:eastAsia="宋体"/>
          <w:color w:val="auto"/>
          <w:sz w:val="21"/>
          <w:szCs w:val="21"/>
          <w:highlight w:val="none"/>
        </w:rPr>
        <w:t>7.3 中标通知</w:t>
      </w:r>
      <w:bookmarkEnd w:id="321"/>
      <w:bookmarkEnd w:id="322"/>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pPr>
        <w:pStyle w:val="5"/>
        <w:spacing w:before="0" w:after="0" w:line="360" w:lineRule="auto"/>
        <w:ind w:firstLine="0"/>
        <w:rPr>
          <w:rFonts w:hint="eastAsia" w:ascii="宋体" w:hAnsi="宋体" w:eastAsia="宋体"/>
          <w:color w:val="auto"/>
          <w:sz w:val="21"/>
          <w:szCs w:val="21"/>
          <w:highlight w:val="none"/>
        </w:rPr>
      </w:pPr>
      <w:bookmarkStart w:id="323" w:name="_Toc26932"/>
      <w:bookmarkStart w:id="324" w:name="_Toc5620337"/>
      <w:r>
        <w:rPr>
          <w:rFonts w:hint="eastAsia" w:ascii="宋体" w:hAnsi="宋体" w:eastAsia="宋体"/>
          <w:color w:val="auto"/>
          <w:sz w:val="21"/>
          <w:szCs w:val="21"/>
          <w:highlight w:val="none"/>
        </w:rPr>
        <w:t>7.4 履约担保</w:t>
      </w:r>
      <w:bookmarkEnd w:id="323"/>
      <w:bookmarkEnd w:id="324"/>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pPr>
        <w:pStyle w:val="5"/>
        <w:spacing w:before="0" w:after="0" w:line="360" w:lineRule="auto"/>
        <w:ind w:firstLine="0"/>
        <w:rPr>
          <w:rFonts w:hint="eastAsia" w:ascii="宋体" w:hAnsi="宋体" w:eastAsia="宋体"/>
          <w:color w:val="auto"/>
          <w:sz w:val="21"/>
          <w:szCs w:val="21"/>
          <w:highlight w:val="none"/>
        </w:rPr>
      </w:pPr>
      <w:bookmarkStart w:id="325" w:name="_Toc18213"/>
      <w:bookmarkStart w:id="326" w:name="_Toc5620338"/>
      <w:r>
        <w:rPr>
          <w:rFonts w:hint="eastAsia" w:ascii="宋体" w:hAnsi="宋体" w:eastAsia="宋体"/>
          <w:color w:val="auto"/>
          <w:sz w:val="21"/>
          <w:szCs w:val="21"/>
          <w:highlight w:val="none"/>
        </w:rPr>
        <w:t>7.5 签订合同</w:t>
      </w:r>
      <w:bookmarkEnd w:id="325"/>
      <w:bookmarkEnd w:id="326"/>
    </w:p>
    <w:p>
      <w:pP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7" w:name="_Toc15670"/>
      <w:bookmarkEnd w:id="327"/>
      <w:bookmarkStart w:id="328" w:name="_Toc443505830"/>
      <w:bookmarkEnd w:id="328"/>
      <w:bookmarkStart w:id="329" w:name="_Toc11555"/>
      <w:bookmarkEnd w:id="329"/>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color w:val="auto"/>
          <w:highlight w:val="none"/>
        </w:rPr>
        <w:t>招标人向中标人退还投标保证金；</w:t>
      </w:r>
      <w:r>
        <w:rPr>
          <w:rFonts w:hint="eastAsia" w:ascii="宋体" w:hAnsi="宋体" w:cs="宋体"/>
          <w:color w:val="auto"/>
          <w:kern w:val="1"/>
          <w:highlight w:val="none"/>
        </w:rPr>
        <w:t>给中标人造成损失的，还应当赔偿损失。</w:t>
      </w:r>
    </w:p>
    <w:p>
      <w:pPr>
        <w:pStyle w:val="4"/>
        <w:spacing w:before="240" w:beforeLines="100" w:after="240" w:afterLines="100" w:line="360" w:lineRule="auto"/>
        <w:rPr>
          <w:rFonts w:hint="eastAsia" w:ascii="宋体" w:hAnsi="宋体" w:eastAsia="宋体" w:cs="宋体"/>
          <w:color w:val="auto"/>
          <w:highlight w:val="none"/>
          <w:lang w:val="zh-CN"/>
        </w:rPr>
      </w:pPr>
      <w:bookmarkStart w:id="330" w:name="_Toc30835"/>
      <w:bookmarkEnd w:id="330"/>
      <w:bookmarkStart w:id="331" w:name="_Toc21320"/>
      <w:bookmarkEnd w:id="331"/>
      <w:bookmarkStart w:id="332" w:name="_Toc443505831"/>
      <w:bookmarkEnd w:id="332"/>
      <w:bookmarkStart w:id="333" w:name="_Toc9984"/>
      <w:bookmarkStart w:id="334" w:name="_Toc5620339"/>
      <w:r>
        <w:rPr>
          <w:rFonts w:hint="eastAsia" w:ascii="宋体" w:hAnsi="宋体" w:eastAsia="宋体" w:cs="宋体"/>
          <w:color w:val="auto"/>
          <w:highlight w:val="none"/>
          <w:lang w:val="zh-CN"/>
        </w:rPr>
        <w:t>8. 纪律和监督</w:t>
      </w:r>
      <w:bookmarkEnd w:id="333"/>
      <w:bookmarkEnd w:id="334"/>
    </w:p>
    <w:p>
      <w:pPr>
        <w:spacing w:line="360" w:lineRule="auto"/>
        <w:rPr>
          <w:rFonts w:hint="eastAsia" w:ascii="宋体" w:hAnsi="宋体" w:cs="宋体"/>
          <w:color w:val="auto"/>
          <w:kern w:val="1"/>
          <w:szCs w:val="21"/>
          <w:highlight w:val="none"/>
          <w:lang w:val="zh-CN"/>
        </w:rPr>
      </w:pPr>
      <w:bookmarkStart w:id="335" w:name="_Toc7252"/>
      <w:bookmarkEnd w:id="335"/>
      <w:bookmarkStart w:id="336" w:name="_Toc30367"/>
      <w:bookmarkEnd w:id="336"/>
      <w:bookmarkStart w:id="337" w:name="_Toc443505832"/>
      <w:bookmarkEnd w:id="337"/>
      <w:bookmarkStart w:id="338" w:name="_Toc5620340"/>
      <w:r>
        <w:rPr>
          <w:rFonts w:hint="eastAsia" w:ascii="宋体" w:hAnsi="宋体" w:cs="宋体"/>
          <w:color w:val="auto"/>
          <w:kern w:val="1"/>
          <w:szCs w:val="21"/>
          <w:highlight w:val="none"/>
          <w:lang w:val="zh-CN"/>
        </w:rPr>
        <w:t>8.1 对招标人的纪律要求</w:t>
      </w:r>
      <w:bookmarkEnd w:id="338"/>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pPr>
        <w:pStyle w:val="4"/>
        <w:spacing w:line="360" w:lineRule="auto"/>
        <w:rPr>
          <w:rFonts w:hint="eastAsia" w:ascii="宋体" w:hAnsi="宋体" w:eastAsia="宋体" w:cs="宋体"/>
          <w:color w:val="auto"/>
          <w:highlight w:val="none"/>
          <w:lang w:val="zh-CN"/>
        </w:rPr>
      </w:pPr>
      <w:bookmarkStart w:id="339" w:name="_Toc17396"/>
      <w:bookmarkEnd w:id="339"/>
      <w:bookmarkStart w:id="340" w:name="_Toc443505833"/>
      <w:bookmarkEnd w:id="340"/>
      <w:bookmarkStart w:id="341" w:name="_Toc10775"/>
      <w:bookmarkEnd w:id="341"/>
      <w:bookmarkStart w:id="342" w:name="_Toc5620341"/>
      <w:bookmarkStart w:id="343" w:name="_Toc11223"/>
      <w:r>
        <w:rPr>
          <w:rFonts w:hint="eastAsia" w:ascii="宋体" w:hAnsi="宋体" w:eastAsia="宋体" w:cs="宋体"/>
          <w:color w:val="auto"/>
          <w:highlight w:val="none"/>
          <w:lang w:val="zh-CN"/>
        </w:rPr>
        <w:t>9. 需要补充的其他内容</w:t>
      </w:r>
      <w:bookmarkEnd w:id="342"/>
      <w:bookmarkEnd w:id="343"/>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pPr>
        <w:pStyle w:val="4"/>
        <w:spacing w:line="360" w:lineRule="auto"/>
        <w:rPr>
          <w:rFonts w:hint="eastAsia" w:ascii="宋体" w:hAnsi="宋体" w:eastAsia="宋体" w:cs="宋体"/>
          <w:color w:val="auto"/>
          <w:highlight w:val="none"/>
          <w:lang w:val="zh-CN"/>
        </w:rPr>
      </w:pPr>
      <w:bookmarkStart w:id="344" w:name="_Toc3028"/>
      <w:bookmarkEnd w:id="344"/>
      <w:bookmarkStart w:id="345" w:name="_Toc443505834"/>
      <w:bookmarkEnd w:id="345"/>
      <w:bookmarkStart w:id="346" w:name="_Toc26121"/>
      <w:bookmarkEnd w:id="346"/>
      <w:bookmarkStart w:id="347" w:name="_Toc5620342"/>
      <w:bookmarkStart w:id="348" w:name="_Toc10563"/>
      <w:r>
        <w:rPr>
          <w:rFonts w:hint="eastAsia" w:ascii="宋体" w:hAnsi="宋体" w:eastAsia="宋体" w:cs="宋体"/>
          <w:color w:val="auto"/>
          <w:highlight w:val="none"/>
          <w:lang w:val="zh-CN"/>
        </w:rPr>
        <w:t>10. 电子招标投标</w:t>
      </w:r>
      <w:bookmarkEnd w:id="347"/>
      <w:bookmarkEnd w:id="348"/>
    </w:p>
    <w:p>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pPr>
        <w:pStyle w:val="4"/>
        <w:spacing w:line="360" w:lineRule="auto"/>
        <w:rPr>
          <w:rFonts w:hint="eastAsia" w:ascii="宋体" w:hAnsi="宋体" w:eastAsia="宋体" w:cs="宋体"/>
          <w:color w:val="auto"/>
          <w:highlight w:val="none"/>
          <w:u w:val="single"/>
          <w:lang w:val="zh-CN"/>
        </w:rPr>
      </w:pPr>
      <w:bookmarkStart w:id="349" w:name="_Toc25267"/>
      <w:bookmarkEnd w:id="349"/>
      <w:bookmarkStart w:id="350" w:name="_Toc20042"/>
      <w:bookmarkEnd w:id="350"/>
      <w:bookmarkStart w:id="351" w:name="_Toc32213"/>
      <w:bookmarkStart w:id="352" w:name="_Toc5620343"/>
      <w:r>
        <w:rPr>
          <w:rFonts w:hint="eastAsia" w:ascii="宋体" w:hAnsi="宋体" w:eastAsia="宋体" w:cs="宋体"/>
          <w:color w:val="auto"/>
          <w:highlight w:val="none"/>
          <w:u w:val="single"/>
          <w:lang w:val="zh-CN"/>
        </w:rPr>
        <w:t>11.其他</w:t>
      </w:r>
      <w:bookmarkEnd w:id="351"/>
      <w:bookmarkEnd w:id="352"/>
    </w:p>
    <w:p>
      <w:pPr>
        <w:spacing w:line="360" w:lineRule="auto"/>
        <w:ind w:firstLine="420" w:firstLineChars="200"/>
        <w:rPr>
          <w:rFonts w:hint="eastAsia" w:ascii="宋体" w:hAnsi="宋体" w:cs="宋体"/>
          <w:color w:val="auto"/>
          <w:kern w:val="1"/>
          <w:highlight w:val="none"/>
          <w:u w:val="single"/>
        </w:rPr>
      </w:pPr>
      <w:bookmarkStart w:id="353"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3"/>
    </w:p>
    <w:p>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pPr>
        <w:rPr>
          <w:rFonts w:hint="eastAsia" w:ascii="宋体" w:hAnsi="宋体" w:cs="宋体"/>
          <w:color w:val="auto"/>
          <w:kern w:val="1"/>
          <w:highlight w:val="none"/>
        </w:rPr>
      </w:pPr>
      <w:r>
        <w:rPr>
          <w:rFonts w:ascii="宋体" w:hAnsi="宋体" w:cs="宋体"/>
          <w:color w:val="auto"/>
          <w:kern w:val="1"/>
          <w:highlight w:val="none"/>
        </w:rPr>
        <w:br w:type="page"/>
      </w:r>
    </w:p>
    <w:p>
      <w:pPr>
        <w:pStyle w:val="2"/>
        <w:rPr>
          <w:rFonts w:hint="eastAsia"/>
          <w:color w:val="auto"/>
          <w:highlight w:val="none"/>
          <w:lang w:val="en-US"/>
        </w:rPr>
      </w:pPr>
      <w:r>
        <w:rPr>
          <w:rFonts w:hint="eastAsia"/>
          <w:color w:val="auto"/>
          <w:highlight w:val="none"/>
          <w:lang w:val="en-US"/>
        </w:rPr>
        <w:t>附件一：</w:t>
      </w:r>
    </w:p>
    <w:p>
      <w:pPr>
        <w:rPr>
          <w:color w:val="auto"/>
          <w:highlight w:val="none"/>
        </w:rPr>
      </w:pPr>
    </w:p>
    <w:p>
      <w:pPr>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ascii="仿宋_GB2312" w:eastAsia="仿宋_GB2312"/>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r>
        <w:rPr>
          <w:rFonts w:hint="eastAsia" w:ascii="仿宋_GB2312" w:eastAsia="仿宋_GB2312"/>
          <w:color w:val="auto"/>
          <w:szCs w:val="21"/>
          <w:highlight w:val="none"/>
          <w:u w:val="single"/>
        </w:rPr>
        <w:t xml:space="preserve"> </w:t>
      </w:r>
    </w:p>
    <w:p>
      <w:pPr>
        <w:pStyle w:val="2"/>
        <w:rPr>
          <w:rFonts w:hint="eastAsia"/>
          <w:color w:val="auto"/>
          <w:highlight w:val="none"/>
          <w:lang w:val="en-US"/>
        </w:rPr>
        <w:sectPr>
          <w:footerReference r:id="rId6" w:type="default"/>
          <w:pgSz w:w="11906" w:h="16838"/>
          <w:pgMar w:top="1440" w:right="1269" w:bottom="1440" w:left="1597" w:header="851" w:footer="992" w:gutter="0"/>
          <w:pgNumType w:start="1"/>
          <w:cols w:space="720" w:num="1"/>
        </w:sectPr>
      </w:pPr>
    </w:p>
    <w:p>
      <w:pPr>
        <w:keepNext/>
        <w:keepLines/>
        <w:spacing w:before="120" w:after="120" w:line="360" w:lineRule="auto"/>
        <w:ind w:firstLine="136"/>
        <w:rPr>
          <w:rFonts w:hint="eastAsia" w:ascii="宋体" w:hAnsi="宋体"/>
          <w:color w:val="auto"/>
          <w:highlight w:val="none"/>
        </w:rPr>
      </w:pPr>
      <w:bookmarkStart w:id="354" w:name="_Toc5620345"/>
      <w:r>
        <w:rPr>
          <w:rFonts w:hint="eastAsia" w:ascii="宋体" w:hAnsi="宋体"/>
          <w:color w:val="auto"/>
          <w:highlight w:val="none"/>
        </w:rPr>
        <w:t>附件二：开标记录表</w:t>
      </w:r>
      <w:bookmarkEnd w:id="354"/>
    </w:p>
    <w:p>
      <w:pP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pP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4"/>
        <w:tblW w:w="13521"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757"/>
        <w:gridCol w:w="758"/>
        <w:gridCol w:w="750"/>
        <w:gridCol w:w="478"/>
        <w:gridCol w:w="463"/>
        <w:gridCol w:w="512"/>
        <w:gridCol w:w="819"/>
        <w:gridCol w:w="654"/>
      </w:tblGrid>
      <w:tr>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22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757"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478"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819" w:type="dxa"/>
            <w:vMerge w:val="continue"/>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 w:val="18"/>
                <w:szCs w:val="18"/>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bl>
    <w:p>
      <w:pP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pP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pPr>
        <w:pStyle w:val="3"/>
        <w:spacing w:line="360" w:lineRule="auto"/>
        <w:jc w:val="center"/>
        <w:rPr>
          <w:rFonts w:hint="eastAsia" w:ascii="宋体" w:hAnsi="宋体" w:cs="宋体"/>
          <w:color w:val="auto"/>
          <w:kern w:val="1"/>
          <w:highlight w:val="none"/>
        </w:rPr>
      </w:pPr>
      <w:bookmarkStart w:id="355" w:name="_Toc31642"/>
      <w:bookmarkEnd w:id="355"/>
      <w:bookmarkStart w:id="356" w:name="_Toc5620346"/>
      <w:bookmarkStart w:id="357" w:name="_Toc16394"/>
      <w:r>
        <w:rPr>
          <w:rFonts w:hint="eastAsia" w:ascii="宋体" w:hAnsi="宋体" w:cs="宋体"/>
          <w:color w:val="auto"/>
          <w:kern w:val="1"/>
          <w:highlight w:val="none"/>
        </w:rPr>
        <w:t xml:space="preserve">第三章 </w:t>
      </w:r>
      <w:bookmarkStart w:id="358" w:name="_Hlk116911189"/>
      <w:r>
        <w:rPr>
          <w:rFonts w:hint="eastAsia" w:ascii="宋体" w:hAnsi="宋体" w:cs="宋体"/>
          <w:color w:val="auto"/>
          <w:kern w:val="1"/>
          <w:highlight w:val="none"/>
        </w:rPr>
        <w:t>评标办法</w:t>
      </w:r>
      <w:bookmarkEnd w:id="358"/>
      <w:r>
        <w:rPr>
          <w:rFonts w:hint="eastAsia" w:ascii="宋体" w:hAnsi="宋体" w:cs="宋体"/>
          <w:color w:val="auto"/>
          <w:kern w:val="1"/>
          <w:highlight w:val="none"/>
        </w:rPr>
        <w:t>（综合评估法）</w:t>
      </w:r>
      <w:bookmarkEnd w:id="356"/>
      <w:bookmarkEnd w:id="357"/>
    </w:p>
    <w:p>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投标人名称、项目负责人、专职安全员</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投标人名称与营业执照、资质证书一致，投标人名称、项目负责人、专职安全员与投标登记时一致</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法定代表人证明书、法定代表人授权委托书</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投标文件具有有效的法定代表人证明书，由委托代理人签署或盖章的投标文件中有法定代表人授权委托书</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《勘察设计投标书》、《技术投标书》、《投标函》</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投标文件格式</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rFonts w:hint="default"/>
                <w:color w:val="auto"/>
                <w:highlight w:val="none"/>
              </w:rPr>
              <w:t>4</w:t>
            </w:r>
            <w:r>
              <w:rPr>
                <w:rFonts w:hint="eastAsia"/>
                <w:color w:val="auto"/>
                <w:highlight w:val="none"/>
              </w:rPr>
              <w:t>、格式1</w:t>
            </w:r>
            <w:r>
              <w:rPr>
                <w:rFonts w:hint="default"/>
                <w:color w:val="auto"/>
                <w:highlight w:val="none"/>
              </w:rPr>
              <w:t>2</w:t>
            </w:r>
            <w:r>
              <w:rPr>
                <w:rFonts w:hint="eastAsia"/>
                <w:color w:val="auto"/>
                <w:highlight w:val="none"/>
              </w:rPr>
              <w:t>）要求填写，按规定盖章签署，没有主要内容不全，或关键字迹模糊、无法辨认的情形；</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工程总承包实施方案经济投标文件按规定的格式（第七章“工程总承包实施方案经济投标文件格式” 格式1、格式2、格式3、格式</w:t>
            </w:r>
            <w:r>
              <w:rPr>
                <w:rFonts w:hint="default"/>
                <w:color w:val="auto"/>
                <w:highlight w:val="none"/>
              </w:rPr>
              <w:t>4</w:t>
            </w:r>
            <w:r>
              <w:rPr>
                <w:rFonts w:hint="eastAsia"/>
                <w:color w:val="auto"/>
                <w:highlight w:val="none"/>
              </w:rPr>
              <w:t>）要求填写，按规定盖章签署，没有主要内容不全，或关键字迹模糊、无法辨认的情形；</w:t>
            </w:r>
          </w:p>
        </w:tc>
      </w:tr>
      <w:tr>
        <w:tblPrEx>
          <w:tblCellMar>
            <w:top w:w="0" w:type="dxa"/>
            <w:left w:w="108" w:type="dxa"/>
            <w:bottom w:w="0" w:type="dxa"/>
            <w:right w:w="108" w:type="dxa"/>
          </w:tblCellMar>
        </w:tblPrEx>
        <w:trPr>
          <w:trHeight w:val="519"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报价唯一</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只能有一个有效投标总报价</w:t>
            </w:r>
          </w:p>
        </w:tc>
      </w:tr>
      <w:tr>
        <w:tblPrEx>
          <w:tblCellMar>
            <w:top w:w="0" w:type="dxa"/>
            <w:left w:w="108" w:type="dxa"/>
            <w:bottom w:w="0" w:type="dxa"/>
            <w:right w:w="108" w:type="dxa"/>
          </w:tblCellMar>
        </w:tblPrEx>
        <w:trPr>
          <w:trHeight w:val="9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参与编制投标文件人员名单</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投标文件电脑机器特征码</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auto" w:sz="4"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auto" w:sz="4"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串通投标情形</w:t>
            </w:r>
          </w:p>
        </w:tc>
        <w:tc>
          <w:tcPr>
            <w:tcW w:w="5242" w:type="dxa"/>
            <w:tcBorders>
              <w:top w:val="single" w:color="auto" w:sz="4"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不存在串通投标情形（串通投标情形以《中华人民共和国招标投标法实施条例》的规定为准）；</w:t>
            </w:r>
          </w:p>
        </w:tc>
      </w:tr>
      <w:tr>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hint="default"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详见附表1</w:t>
            </w:r>
          </w:p>
        </w:tc>
      </w:tr>
      <w:tr>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hint="default" w:ascii="宋体" w:hAnsi="宋体" w:cs="宋体"/>
                <w:color w:val="auto"/>
                <w:kern w:val="1"/>
                <w:szCs w:val="21"/>
                <w:highlight w:val="none"/>
              </w:rPr>
              <w:t>3</w:t>
            </w:r>
            <w:r>
              <w:rPr>
                <w:rFonts w:hint="eastAsia" w:ascii="宋体" w:hAnsi="宋体" w:cs="宋体"/>
                <w:color w:val="auto"/>
                <w:kern w:val="1"/>
                <w:szCs w:val="21"/>
                <w:highlight w:val="none"/>
              </w:rPr>
              <w:t>（</w:t>
            </w:r>
            <w:r>
              <w:rPr>
                <w:rFonts w:hint="default" w:ascii="宋体" w:hAnsi="宋体" w:cs="宋体"/>
                <w:color w:val="auto"/>
                <w:kern w:val="1"/>
                <w:szCs w:val="21"/>
                <w:highlight w:val="none"/>
              </w:rPr>
              <w:t>1</w:t>
            </w:r>
            <w:r>
              <w:rPr>
                <w:rFonts w:hint="eastAsia" w:ascii="宋体" w:hAnsi="宋体" w:cs="宋体"/>
                <w:color w:val="auto"/>
                <w:kern w:val="1"/>
                <w:szCs w:val="21"/>
                <w:highlight w:val="none"/>
              </w:rPr>
              <w:t>）</w:t>
            </w:r>
          </w:p>
        </w:tc>
        <w:tc>
          <w:tcPr>
            <w:tcW w:w="1785" w:type="dxa"/>
            <w:gridSpan w:val="2"/>
            <w:vMerge w:val="restart"/>
            <w:tcBorders>
              <w:top w:val="single" w:color="auto" w:sz="4" w:space="0"/>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line="276" w:lineRule="auto"/>
              <w:ind w:left="0" w:right="0"/>
              <w:rPr>
                <w:rFonts w:hint="default"/>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line="276" w:lineRule="auto"/>
              <w:ind w:left="0" w:right="0"/>
              <w:rPr>
                <w:rFonts w:hint="default"/>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hint="default" w:ascii="宋体" w:hAnsi="宋体" w:cs="宋体"/>
                <w:color w:val="auto"/>
                <w:kern w:val="1"/>
                <w:szCs w:val="21"/>
                <w:highlight w:val="none"/>
              </w:rPr>
              <w:t>3</w:t>
            </w:r>
            <w:r>
              <w:rPr>
                <w:rFonts w:hint="eastAsia" w:ascii="宋体" w:hAnsi="宋体" w:cs="宋体"/>
                <w:color w:val="auto"/>
                <w:kern w:val="1"/>
                <w:szCs w:val="21"/>
                <w:highlight w:val="none"/>
              </w:rPr>
              <w:t>（</w:t>
            </w:r>
            <w:r>
              <w:rPr>
                <w:rFonts w:hint="default" w:ascii="宋体" w:hAnsi="宋体" w:cs="宋体"/>
                <w:color w:val="auto"/>
                <w:kern w:val="1"/>
                <w:szCs w:val="21"/>
                <w:highlight w:val="none"/>
              </w:rPr>
              <w:t>2</w:t>
            </w:r>
            <w:r>
              <w:rPr>
                <w:rFonts w:hint="eastAsia" w:ascii="宋体" w:hAnsi="宋体" w:cs="宋体"/>
                <w:color w:val="auto"/>
                <w:kern w:val="1"/>
                <w:szCs w:val="21"/>
                <w:highlight w:val="none"/>
              </w:rPr>
              <w:t>）</w:t>
            </w:r>
          </w:p>
        </w:tc>
        <w:tc>
          <w:tcPr>
            <w:tcW w:w="1785" w:type="dxa"/>
            <w:gridSpan w:val="2"/>
            <w:vMerge w:val="restart"/>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符合第二章“投标人须知”第3.2项规定</w:t>
            </w:r>
          </w:p>
        </w:tc>
      </w:tr>
      <w:tr>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符合第二章“投标人须知”第1.3.1项规定</w:t>
            </w:r>
          </w:p>
        </w:tc>
      </w:tr>
      <w:tr>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符合第二章“投标人须知”第1.3.2项规定</w:t>
            </w:r>
          </w:p>
        </w:tc>
      </w:tr>
      <w:tr>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符合第二章“投标人须知”第1.3.3项规定</w:t>
            </w:r>
          </w:p>
        </w:tc>
      </w:tr>
      <w:tr>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符合第二章“投标人须知前附表”第</w:t>
            </w:r>
            <w:r>
              <w:rPr>
                <w:rFonts w:hint="default"/>
                <w:color w:val="auto"/>
                <w:highlight w:val="none"/>
              </w:rPr>
              <w:t>9.2</w:t>
            </w:r>
            <w:r>
              <w:rPr>
                <w:rFonts w:hint="eastAsia"/>
                <w:color w:val="auto"/>
                <w:highlight w:val="none"/>
              </w:rPr>
              <w:t>项规定</w:t>
            </w:r>
          </w:p>
        </w:tc>
      </w:tr>
      <w:tr>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符合第二章“投标人须知”第3.3.1项规定</w:t>
            </w:r>
          </w:p>
        </w:tc>
      </w:tr>
      <w:tr>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pPr>
              <w:keepNext w:val="0"/>
              <w:keepLines w:val="0"/>
              <w:suppressLineNumbers w:val="0"/>
              <w:spacing w:before="0" w:beforeAutospacing="0" w:after="0" w:afterAutospacing="0" w:line="340" w:lineRule="exact"/>
              <w:ind w:left="0" w:right="0"/>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szCs w:val="21"/>
                <w:highlight w:val="none"/>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投标人总得分满分为100分，总分权重分配：设计方案得分（权重30</w:t>
            </w:r>
            <w:r>
              <w:rPr>
                <w:rFonts w:hint="default"/>
                <w:color w:val="auto"/>
                <w:highlight w:val="none"/>
              </w:rPr>
              <w:t>%</w:t>
            </w:r>
            <w:r>
              <w:rPr>
                <w:rFonts w:hint="eastAsia"/>
                <w:color w:val="auto"/>
                <w:highlight w:val="none"/>
              </w:rPr>
              <w:t>）</w:t>
            </w:r>
            <w:r>
              <w:rPr>
                <w:rFonts w:hint="default"/>
                <w:color w:val="auto"/>
                <w:highlight w:val="none"/>
              </w:rPr>
              <w:t>+</w:t>
            </w:r>
            <w:r>
              <w:rPr>
                <w:rFonts w:hint="eastAsia"/>
                <w:color w:val="auto"/>
                <w:highlight w:val="none"/>
              </w:rPr>
              <w:t>（工程总承包实施方案经济部分得分（权重35</w:t>
            </w:r>
            <w:r>
              <w:rPr>
                <w:rFonts w:hint="default"/>
                <w:color w:val="auto"/>
                <w:highlight w:val="none"/>
              </w:rPr>
              <w:t>%</w:t>
            </w:r>
            <w:r>
              <w:rPr>
                <w:rFonts w:hint="eastAsia"/>
                <w:color w:val="auto"/>
                <w:highlight w:val="none"/>
              </w:rPr>
              <w:t>）</w:t>
            </w:r>
            <w:r>
              <w:rPr>
                <w:rFonts w:hint="default"/>
                <w:color w:val="auto"/>
                <w:highlight w:val="none"/>
              </w:rPr>
              <w:t>+</w:t>
            </w:r>
            <w:r>
              <w:rPr>
                <w:rFonts w:hint="eastAsia"/>
                <w:color w:val="auto"/>
                <w:highlight w:val="none"/>
              </w:rPr>
              <w:t>工程总承包实施方案技术部分得分（权重35</w:t>
            </w:r>
            <w:r>
              <w:rPr>
                <w:rFonts w:hint="default"/>
                <w:color w:val="auto"/>
                <w:highlight w:val="none"/>
              </w:rPr>
              <w:t>%</w:t>
            </w:r>
            <w:r>
              <w:rPr>
                <w:rFonts w:hint="eastAsia"/>
                <w:color w:val="auto"/>
                <w:highlight w:val="none"/>
              </w:rPr>
              <w:t>））。</w:t>
            </w:r>
          </w:p>
        </w:tc>
      </w:tr>
      <w:tr>
        <w:tblPrEx>
          <w:tblCellMar>
            <w:top w:w="0" w:type="dxa"/>
            <w:left w:w="108" w:type="dxa"/>
            <w:bottom w:w="0" w:type="dxa"/>
            <w:right w:w="108" w:type="dxa"/>
          </w:tblCellMar>
        </w:tblPrEx>
        <w:trPr>
          <w:trHeight w:val="4436"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hint="default"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，工程费最高投标限价]区间的投标人超过</w:t>
            </w:r>
            <w:r>
              <w:rPr>
                <w:rFonts w:hint="eastAsia" w:ascii="宋体" w:hAnsi="宋体"/>
                <w:color w:val="auto"/>
                <w:highlight w:val="none"/>
              </w:rPr>
              <w:t>5</w:t>
            </w:r>
            <w:r>
              <w:rPr>
                <w:rFonts w:hint="eastAsia"/>
                <w:color w:val="auto"/>
                <w:highlight w:val="none"/>
              </w:rPr>
              <w:t>家时，在经算术复核的位于[工程费最高投标限价×</w:t>
            </w:r>
            <w:r>
              <w:rPr>
                <w:rFonts w:hint="eastAsia" w:ascii="宋体" w:hAnsi="宋体"/>
                <w:color w:val="auto"/>
                <w:highlight w:val="none"/>
              </w:rPr>
              <w:t>90%</w:t>
            </w:r>
            <w:r>
              <w:rPr>
                <w:rFonts w:hint="eastAsia"/>
                <w:color w:val="auto"/>
                <w:highlight w:val="none"/>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auto"/>
                <w:highlight w:val="none"/>
              </w:rPr>
              <w:t>90%</w:t>
            </w:r>
            <w:r>
              <w:rPr>
                <w:rFonts w:hint="eastAsia"/>
                <w:color w:val="auto"/>
                <w:highlight w:val="none"/>
              </w:rPr>
              <w:t>，工程费最高投标限价]区间，则本项目招标失败，由招标人依法重新招标。</w:t>
            </w:r>
          </w:p>
        </w:tc>
      </w:tr>
      <w:tr>
        <w:tblPrEx>
          <w:tblCellMar>
            <w:top w:w="0" w:type="dxa"/>
            <w:left w:w="108" w:type="dxa"/>
            <w:bottom w:w="0" w:type="dxa"/>
            <w:right w:w="108" w:type="dxa"/>
          </w:tblCellMar>
        </w:tblPrEx>
        <w:trPr>
          <w:trHeight w:val="1385"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hint="default"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×（工程费投标报价－评标基准价）/评标基准价</w:t>
            </w:r>
          </w:p>
        </w:tc>
      </w:tr>
      <w:tr>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hint="default" w:ascii="宋体" w:hAnsi="宋体" w:cs="宋体"/>
                <w:color w:val="auto"/>
                <w:kern w:val="1"/>
                <w:szCs w:val="21"/>
                <w:highlight w:val="none"/>
              </w:rPr>
              <w:t>4</w:t>
            </w:r>
            <w:r>
              <w:rPr>
                <w:rFonts w:hint="eastAsia" w:ascii="宋体" w:hAnsi="宋体" w:cs="宋体"/>
                <w:color w:val="auto"/>
                <w:kern w:val="1"/>
                <w:szCs w:val="21"/>
                <w:highlight w:val="none"/>
              </w:rPr>
              <w:t>（</w:t>
            </w:r>
            <w:r>
              <w:rPr>
                <w:rFonts w:hint="default"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tcBorders>
              <w:top w:val="single" w:color="000000" w:sz="6" w:space="0"/>
              <w:left w:val="single" w:color="000000" w:sz="4" w:space="0"/>
              <w:bottom w:val="single" w:color="auto"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hint="default"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hint="default" w:ascii="宋体" w:hAnsi="宋体" w:cs="宋体"/>
                <w:color w:val="auto"/>
                <w:kern w:val="1"/>
                <w:szCs w:val="21"/>
                <w:highlight w:val="none"/>
              </w:rPr>
              <w:t>4</w:t>
            </w:r>
            <w:r>
              <w:rPr>
                <w:rFonts w:hint="eastAsia" w:ascii="宋体" w:hAnsi="宋体" w:cs="宋体"/>
                <w:color w:val="auto"/>
                <w:kern w:val="1"/>
                <w:szCs w:val="21"/>
                <w:highlight w:val="none"/>
              </w:rPr>
              <w:t>（</w:t>
            </w:r>
            <w:r>
              <w:rPr>
                <w:rFonts w:hint="default"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hint="default"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hint="default" w:ascii="宋体" w:hAnsi="宋体" w:cs="宋体"/>
                <w:color w:val="auto"/>
                <w:kern w:val="1"/>
                <w:szCs w:val="21"/>
                <w:highlight w:val="none"/>
              </w:rPr>
              <w:t>4</w:t>
            </w:r>
            <w:r>
              <w:rPr>
                <w:rFonts w:hint="eastAsia" w:ascii="宋体" w:hAnsi="宋体" w:cs="宋体"/>
                <w:color w:val="auto"/>
                <w:kern w:val="1"/>
                <w:szCs w:val="21"/>
                <w:highlight w:val="none"/>
              </w:rPr>
              <w:t>（</w:t>
            </w:r>
            <w:r>
              <w:rPr>
                <w:rFonts w:hint="default" w:ascii="宋体" w:hAnsi="宋体" w:cs="宋体"/>
                <w:color w:val="auto"/>
                <w:kern w:val="1"/>
                <w:szCs w:val="21"/>
                <w:highlight w:val="none"/>
              </w:rPr>
              <w:t>3</w:t>
            </w:r>
            <w:r>
              <w:rPr>
                <w:rFonts w:hint="eastAsia" w:ascii="宋体" w:hAnsi="宋体" w:cs="宋体"/>
                <w:color w:val="auto"/>
                <w:kern w:val="1"/>
                <w:szCs w:val="21"/>
                <w:highlight w:val="none"/>
              </w:rPr>
              <w:t>）</w:t>
            </w:r>
          </w:p>
        </w:tc>
        <w:tc>
          <w:tcPr>
            <w:tcW w:w="1447" w:type="dxa"/>
            <w:vMerge w:val="continue"/>
            <w:tcBorders>
              <w:left w:val="single" w:color="000000" w:sz="4"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评标委员会按“当评标价等于评标基准价时得100分，评标价每高于评标基准价1%，扣1.5分，每低于评标基准价1%，扣1.0分，最多扣100分”的标准，计算出工程总承包实施方案经济部分得分，精确到小数点后两位。</w:t>
            </w:r>
          </w:p>
          <w:p>
            <w:pPr>
              <w:keepNext w:val="0"/>
              <w:keepLines w:val="0"/>
              <w:suppressLineNumbers w:val="0"/>
              <w:spacing w:before="0" w:beforeAutospacing="0" w:after="0" w:afterAutospacing="0" w:line="276"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注：根据第二章“投标人须知前附表”第9.7项规定实施投标报价评审优惠政策，对符合《政府采购促进中小企业发展管理办法》的小微企业投标人，给予相应的价格评审优惠。</w:t>
            </w:r>
          </w:p>
        </w:tc>
      </w:tr>
      <w:tr>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276" w:lineRule="auto"/>
              <w:ind w:left="0" w:right="0"/>
              <w:rPr>
                <w:rFonts w:hint="eastAsia" w:ascii="宋体" w:hAnsi="宋体" w:cs="宋体"/>
                <w:color w:val="auto"/>
                <w:kern w:val="1"/>
                <w:szCs w:val="21"/>
                <w:highlight w:val="none"/>
              </w:rPr>
            </w:pPr>
            <w:r>
              <w:rPr>
                <w:rFonts w:hint="eastAsia" w:ascii="宋体" w:hAnsi="宋体" w:cs="宋体"/>
                <w:b/>
                <w:color w:val="auto"/>
                <w:kern w:val="1"/>
                <w:szCs w:val="21"/>
                <w:highlight w:val="none"/>
              </w:rPr>
              <w:t>需要补充的其他内容</w:t>
            </w:r>
          </w:p>
        </w:tc>
      </w:tr>
      <w:tr>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pPr>
              <w:keepNext w:val="0"/>
              <w:keepLines w:val="0"/>
              <w:numPr>
                <w:ilvl w:val="0"/>
                <w:numId w:val="3"/>
              </w:numPr>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如组成联合体投标的，勘察设计部分评分以承接勘察设计任务的单位为准；施工部分评分以承接施工任务的单位为准。</w:t>
            </w:r>
          </w:p>
          <w:p>
            <w:pPr>
              <w:keepNext w:val="0"/>
              <w:keepLines w:val="0"/>
              <w:numPr>
                <w:ilvl w:val="0"/>
                <w:numId w:val="3"/>
              </w:numPr>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r>
              <w:rPr>
                <w:rFonts w:hint="eastAsia" w:ascii="宋体" w:hAnsi="宋体" w:cs="宋体"/>
                <w:color w:val="auto"/>
                <w:szCs w:val="21"/>
                <w:highlight w:val="none"/>
              </w:rPr>
              <w:t>投标人在编制工程总承包实施方案施工组织设计部分时应按照招标文件要求，并针对本项目的关键技术、工艺、重点、难点以及拟在本项目采用的新工艺、新技术、新材料编制，应突出重点，标准、规范中已有的内容无需赘述，不宜超过200页。超过部分不予评审。</w:t>
            </w:r>
          </w:p>
        </w:tc>
      </w:tr>
    </w:tbl>
    <w:p>
      <w:pPr>
        <w:spacing w:line="360" w:lineRule="auto"/>
        <w:jc w:val="left"/>
        <w:rPr>
          <w:rFonts w:hint="eastAsia"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pPr>
        <w:pStyle w:val="4"/>
        <w:spacing w:before="100" w:after="100" w:line="360" w:lineRule="auto"/>
        <w:rPr>
          <w:rFonts w:hint="eastAsia" w:ascii="宋体" w:hAnsi="宋体" w:eastAsia="宋体" w:cs="宋体"/>
          <w:color w:val="auto"/>
          <w:sz w:val="24"/>
          <w:szCs w:val="24"/>
          <w:highlight w:val="none"/>
          <w:lang w:val="zh-CN"/>
        </w:rPr>
      </w:pPr>
      <w:bookmarkStart w:id="359" w:name="_Toc3262"/>
      <w:bookmarkEnd w:id="359"/>
      <w:bookmarkStart w:id="360" w:name="_Toc27323"/>
      <w:bookmarkEnd w:id="360"/>
      <w:bookmarkStart w:id="361" w:name="_Toc5620347"/>
      <w:bookmarkStart w:id="362" w:name="_Toc1626"/>
      <w:r>
        <w:rPr>
          <w:rFonts w:hint="eastAsia" w:ascii="宋体" w:hAnsi="宋体" w:eastAsia="宋体" w:cs="宋体"/>
          <w:color w:val="auto"/>
          <w:sz w:val="24"/>
          <w:szCs w:val="24"/>
          <w:highlight w:val="none"/>
          <w:lang w:val="zh-CN"/>
        </w:rPr>
        <w:t>1. 评标方法</w:t>
      </w:r>
      <w:bookmarkEnd w:id="361"/>
      <w:bookmarkEnd w:id="362"/>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pPr>
        <w:pStyle w:val="4"/>
        <w:spacing w:before="100" w:after="100" w:line="360" w:lineRule="auto"/>
        <w:rPr>
          <w:rFonts w:hint="eastAsia" w:ascii="宋体" w:hAnsi="宋体" w:eastAsia="宋体" w:cs="宋体"/>
          <w:color w:val="auto"/>
          <w:sz w:val="21"/>
          <w:szCs w:val="21"/>
          <w:highlight w:val="none"/>
          <w:lang w:val="zh-CN"/>
        </w:rPr>
      </w:pPr>
      <w:bookmarkStart w:id="363" w:name="_Toc26760"/>
      <w:bookmarkEnd w:id="363"/>
      <w:bookmarkStart w:id="364" w:name="_Toc3493"/>
      <w:bookmarkEnd w:id="364"/>
      <w:bookmarkStart w:id="365" w:name="_Toc26257"/>
      <w:bookmarkStart w:id="366" w:name="_Toc5620348"/>
      <w:r>
        <w:rPr>
          <w:rFonts w:hint="eastAsia" w:ascii="宋体" w:hAnsi="宋体" w:eastAsia="宋体" w:cs="宋体"/>
          <w:color w:val="auto"/>
          <w:sz w:val="21"/>
          <w:szCs w:val="21"/>
          <w:highlight w:val="none"/>
          <w:lang w:val="zh-CN"/>
        </w:rPr>
        <w:t>2. 评审标准</w:t>
      </w:r>
      <w:bookmarkEnd w:id="365"/>
      <w:bookmarkEnd w:id="366"/>
    </w:p>
    <w:p>
      <w:pPr>
        <w:pStyle w:val="5"/>
        <w:spacing w:before="100" w:after="100" w:line="360" w:lineRule="auto"/>
        <w:rPr>
          <w:rFonts w:hint="eastAsia" w:ascii="宋体" w:hAnsi="宋体" w:eastAsia="宋体"/>
          <w:b/>
          <w:bCs/>
          <w:color w:val="auto"/>
          <w:sz w:val="21"/>
          <w:szCs w:val="21"/>
          <w:highlight w:val="none"/>
          <w:lang w:val="zh-CN"/>
        </w:rPr>
      </w:pPr>
      <w:bookmarkStart w:id="367" w:name="_Toc14978"/>
      <w:bookmarkEnd w:id="367"/>
      <w:bookmarkStart w:id="368" w:name="_Toc22589"/>
      <w:bookmarkEnd w:id="368"/>
      <w:bookmarkStart w:id="369" w:name="_Toc5620349"/>
      <w:bookmarkStart w:id="370" w:name="_Toc24233"/>
      <w:r>
        <w:rPr>
          <w:rFonts w:hint="eastAsia" w:ascii="宋体" w:hAnsi="宋体" w:eastAsia="宋体"/>
          <w:b/>
          <w:bCs/>
          <w:color w:val="auto"/>
          <w:sz w:val="21"/>
          <w:szCs w:val="21"/>
          <w:highlight w:val="none"/>
          <w:lang w:val="zh-CN"/>
        </w:rPr>
        <w:t>2.1 初步评审标准</w:t>
      </w:r>
      <w:bookmarkEnd w:id="369"/>
      <w:bookmarkEnd w:id="370"/>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pPr>
        <w:spacing w:line="360" w:lineRule="auto"/>
        <w:ind w:firstLine="420"/>
        <w:rPr>
          <w:rFonts w:hint="eastAsia"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pPr>
        <w:pStyle w:val="5"/>
        <w:spacing w:before="100" w:after="100" w:line="360" w:lineRule="auto"/>
        <w:rPr>
          <w:rFonts w:hint="eastAsia" w:ascii="宋体" w:hAnsi="宋体" w:eastAsia="宋体"/>
          <w:b/>
          <w:bCs/>
          <w:color w:val="auto"/>
          <w:sz w:val="21"/>
          <w:szCs w:val="21"/>
          <w:highlight w:val="none"/>
          <w:lang w:val="zh-CN"/>
        </w:rPr>
      </w:pPr>
      <w:bookmarkStart w:id="371" w:name="_Toc5620350"/>
      <w:bookmarkStart w:id="372" w:name="_Toc21917"/>
      <w:r>
        <w:rPr>
          <w:rFonts w:hint="eastAsia" w:ascii="宋体" w:hAnsi="宋体" w:eastAsia="宋体"/>
          <w:b/>
          <w:bCs/>
          <w:color w:val="auto"/>
          <w:sz w:val="21"/>
          <w:szCs w:val="21"/>
          <w:highlight w:val="none"/>
          <w:lang w:val="zh-CN"/>
        </w:rPr>
        <w:t>2.2 分值构成与评分标准</w:t>
      </w:r>
      <w:bookmarkEnd w:id="371"/>
      <w:bookmarkEnd w:id="372"/>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color w:val="auto"/>
          <w:highlight w:val="none"/>
        </w:rPr>
        <w:t>工程</w:t>
      </w:r>
      <w:r>
        <w:rPr>
          <w:rFonts w:hint="eastAsia" w:ascii="宋体" w:hAnsi="宋体" w:cs="宋体"/>
          <w:color w:val="auto"/>
          <w:kern w:val="1"/>
          <w:szCs w:val="21"/>
          <w:highlight w:val="none"/>
        </w:rPr>
        <w:t>费投标报价的偏差率计算</w:t>
      </w:r>
    </w:p>
    <w:p>
      <w:pPr>
        <w:spacing w:line="360" w:lineRule="auto"/>
        <w:ind w:firstLine="420"/>
        <w:rPr>
          <w:rFonts w:hint="eastAsia" w:ascii="宋体" w:hAnsi="宋体" w:cs="宋体"/>
          <w:color w:val="auto"/>
          <w:kern w:val="1"/>
          <w:szCs w:val="21"/>
          <w:highlight w:val="none"/>
        </w:rPr>
      </w:pP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pPr>
        <w:pStyle w:val="4"/>
        <w:spacing w:before="100" w:after="100" w:line="360" w:lineRule="auto"/>
        <w:rPr>
          <w:rFonts w:hint="eastAsia" w:ascii="宋体" w:hAnsi="宋体" w:eastAsia="宋体" w:cs="宋体"/>
          <w:color w:val="auto"/>
          <w:sz w:val="21"/>
          <w:szCs w:val="21"/>
          <w:highlight w:val="none"/>
          <w:lang w:val="zh-CN"/>
        </w:rPr>
      </w:pPr>
      <w:bookmarkStart w:id="373" w:name="_Toc11733"/>
      <w:bookmarkEnd w:id="373"/>
      <w:bookmarkStart w:id="374" w:name="_Toc25997"/>
      <w:bookmarkEnd w:id="374"/>
      <w:bookmarkStart w:id="375" w:name="_Toc5818"/>
      <w:bookmarkStart w:id="376" w:name="_Toc5620351"/>
      <w:r>
        <w:rPr>
          <w:rFonts w:hint="eastAsia" w:ascii="宋体" w:hAnsi="宋体" w:eastAsia="宋体" w:cs="宋体"/>
          <w:color w:val="auto"/>
          <w:sz w:val="21"/>
          <w:szCs w:val="21"/>
          <w:highlight w:val="none"/>
          <w:lang w:val="zh-CN"/>
        </w:rPr>
        <w:t>3. 评标程序</w:t>
      </w:r>
      <w:bookmarkEnd w:id="375"/>
      <w:bookmarkEnd w:id="376"/>
    </w:p>
    <w:p>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本项目采取电子评标。设计方案文件响应性评审、设计方案评审由勘察设计评审组负责，形式评审、资格评审、工程总承包实施方案响应性评审、工程总承包实施方案评审及评审汇总由综合评审组负责。</w:t>
      </w:r>
    </w:p>
    <w:p>
      <w:pPr>
        <w:pStyle w:val="5"/>
        <w:spacing w:before="100" w:after="100" w:line="360" w:lineRule="auto"/>
        <w:ind w:firstLine="103"/>
        <w:rPr>
          <w:rFonts w:hint="eastAsia" w:ascii="宋体" w:hAnsi="宋体"/>
          <w:color w:val="auto"/>
          <w:kern w:val="1"/>
          <w:szCs w:val="21"/>
          <w:highlight w:val="none"/>
        </w:rPr>
      </w:pPr>
      <w:bookmarkStart w:id="377" w:name="_Toc22121"/>
      <w:bookmarkStart w:id="378" w:name="_Toc5620356"/>
      <w:r>
        <w:rPr>
          <w:rFonts w:hint="eastAsia" w:ascii="宋体" w:hAnsi="宋体" w:eastAsia="宋体"/>
          <w:b/>
          <w:color w:val="auto"/>
          <w:sz w:val="21"/>
          <w:szCs w:val="21"/>
          <w:highlight w:val="none"/>
          <w:u w:val="single"/>
        </w:rPr>
        <w:t>3.1</w:t>
      </w:r>
      <w:bookmarkEnd w:id="377"/>
      <w:r>
        <w:rPr>
          <w:rFonts w:hint="eastAsia" w:ascii="宋体" w:hAnsi="宋体" w:eastAsia="宋体"/>
          <w:b/>
          <w:color w:val="auto"/>
          <w:sz w:val="21"/>
          <w:szCs w:val="21"/>
          <w:highlight w:val="none"/>
          <w:u w:val="single"/>
        </w:rPr>
        <w:t>设计方案评审（由勘察设计评审组负责）</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勘察设计评审组评委按设计方案文件响应性评审标准（详见前附表）对所有成功解密的设计方案投标文件进行评审，只有通过响应性评审的设计方案投标文件方可进入下一阶段的评审。如果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3.1.2 勘察设计评审组评委按设计方案评分标准（详见前附表）对通过设计方案文件响应性评审的设计方案投标文件进行评分。</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3.1.3算术平均各勘察设计评审组评委评分，得出每个投标人设计方案部分得分，分数出现小数点，保留小数点后二位，第三位小数四舍五入。</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勘察设计评审组评委揭晓投标人身份。</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勘察设计评审组评委向招标人提交书面设计方案评标报告后即告解散。</w:t>
      </w:r>
    </w:p>
    <w:p>
      <w:pPr>
        <w:pStyle w:val="5"/>
        <w:spacing w:before="100" w:after="100" w:line="360" w:lineRule="auto"/>
        <w:ind w:firstLine="103"/>
        <w:rPr>
          <w:rFonts w:hint="eastAsia" w:ascii="宋体" w:hAnsi="宋体" w:eastAsia="宋体"/>
          <w:color w:val="auto"/>
          <w:sz w:val="21"/>
          <w:szCs w:val="21"/>
          <w:highlight w:val="none"/>
          <w:u w:val="single"/>
        </w:rPr>
      </w:pPr>
      <w:bookmarkStart w:id="379"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9"/>
      <w:r>
        <w:rPr>
          <w:rFonts w:hint="eastAsia" w:ascii="宋体" w:hAnsi="宋体" w:eastAsia="宋体"/>
          <w:b/>
          <w:bCs/>
          <w:color w:val="auto"/>
          <w:sz w:val="21"/>
          <w:szCs w:val="21"/>
          <w:highlight w:val="none"/>
          <w:u w:val="single"/>
        </w:rPr>
        <w:t>形式评审及资格评审（由综合评审组负责）</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0"/>
        <w:rPr>
          <w:rFonts w:hint="eastAsia"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pPr>
        <w:spacing w:line="360" w:lineRule="auto"/>
        <w:rPr>
          <w:rFonts w:hint="eastAsia" w:ascii="宋体" w:hAnsi="宋体" w:cs="宋体"/>
          <w:color w:val="auto"/>
          <w:kern w:val="1"/>
          <w:szCs w:val="21"/>
          <w:highlight w:val="none"/>
        </w:rPr>
      </w:pPr>
    </w:p>
    <w:p>
      <w:pPr>
        <w:pStyle w:val="5"/>
        <w:spacing w:before="100" w:after="100" w:line="360" w:lineRule="auto"/>
        <w:ind w:firstLine="103"/>
        <w:rPr>
          <w:rFonts w:hint="eastAsia" w:ascii="宋体" w:hAnsi="宋体" w:eastAsia="宋体"/>
          <w:color w:val="auto"/>
          <w:sz w:val="21"/>
          <w:szCs w:val="21"/>
          <w:highlight w:val="none"/>
          <w:u w:val="single"/>
        </w:rPr>
      </w:pPr>
      <w:bookmarkStart w:id="380"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8"/>
      <w:bookmarkEnd w:id="380"/>
      <w:r>
        <w:rPr>
          <w:rFonts w:hint="eastAsia" w:ascii="宋体" w:hAnsi="宋体" w:eastAsia="宋体"/>
          <w:b/>
          <w:bCs/>
          <w:color w:val="auto"/>
          <w:sz w:val="21"/>
          <w:szCs w:val="21"/>
          <w:highlight w:val="none"/>
          <w:u w:val="single"/>
        </w:rPr>
        <w:t>工程总承包实施方案技术部分评审（由综合评审组负责）</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pPr>
        <w:pStyle w:val="5"/>
        <w:spacing w:before="100" w:after="100" w:line="360" w:lineRule="auto"/>
        <w:ind w:firstLine="103"/>
        <w:rPr>
          <w:rFonts w:hint="eastAsia" w:ascii="宋体" w:hAnsi="宋体" w:eastAsia="宋体"/>
          <w:b/>
          <w:color w:val="auto"/>
          <w:sz w:val="21"/>
          <w:szCs w:val="21"/>
          <w:highlight w:val="none"/>
          <w:u w:val="single"/>
        </w:rPr>
      </w:pPr>
      <w:bookmarkStart w:id="381" w:name="_Toc5620357"/>
      <w:bookmarkStart w:id="382"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工程费投标报价的算术校核。综合评审组评委对通过初步评审的投标文件的工程费投标报价进行算术校核，具体标准如下：</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pPr>
        <w:pStyle w:val="11"/>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pPr>
        <w:pStyle w:val="5"/>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pPr>
        <w:pStyle w:val="5"/>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5"/>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1"/>
    <w:bookmarkEnd w:id="382"/>
    <w:p>
      <w:pPr>
        <w:pStyle w:val="11"/>
        <w:spacing w:line="360" w:lineRule="auto"/>
        <w:ind w:firstLine="426"/>
        <w:rPr>
          <w:rFonts w:hint="eastAsia" w:ascii="宋体" w:hAnsi="宋体" w:cs="宋体"/>
          <w:color w:val="auto"/>
          <w:kern w:val="1"/>
          <w:sz w:val="21"/>
          <w:szCs w:val="21"/>
          <w:highlight w:val="none"/>
          <w:u w:val="single"/>
        </w:rPr>
      </w:pPr>
      <w:bookmarkStart w:id="383"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pPr>
        <w:pStyle w:val="11"/>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pPr>
        <w:pStyle w:val="11"/>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pPr>
        <w:pStyle w:val="4"/>
        <w:numPr>
          <w:ilvl w:val="0"/>
          <w:numId w:val="4"/>
        </w:numPr>
        <w:spacing w:before="100" w:after="10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3"/>
    </w:p>
    <w:p>
      <w:pPr>
        <w:pStyle w:val="4"/>
        <w:spacing w:before="100" w:after="100" w:line="360" w:lineRule="auto"/>
        <w:rPr>
          <w:rFonts w:hint="eastAsia" w:ascii="宋体" w:hAnsi="宋体" w:eastAsia="宋体" w:cs="宋体"/>
          <w:color w:val="auto"/>
          <w:sz w:val="21"/>
          <w:szCs w:val="21"/>
          <w:highlight w:val="none"/>
          <w:lang w:val="zh-CN"/>
        </w:rPr>
      </w:pPr>
      <w:bookmarkStart w:id="384" w:name="_Toc29974"/>
      <w:bookmarkEnd w:id="384"/>
      <w:bookmarkStart w:id="385" w:name="_Toc14390"/>
      <w:bookmarkEnd w:id="385"/>
      <w:bookmarkStart w:id="386" w:name="_Toc5620358"/>
      <w:bookmarkStart w:id="387" w:name="_Toc30449"/>
      <w:r>
        <w:rPr>
          <w:rFonts w:hint="eastAsia" w:ascii="宋体" w:hAnsi="宋体" w:eastAsia="宋体" w:cs="宋体"/>
          <w:color w:val="auto"/>
          <w:sz w:val="21"/>
          <w:szCs w:val="21"/>
          <w:highlight w:val="none"/>
          <w:lang w:val="zh-CN"/>
        </w:rPr>
        <w:t>5. 评标表格</w:t>
      </w:r>
      <w:bookmarkEnd w:id="386"/>
      <w:bookmarkEnd w:id="387"/>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p>
    <w:p>
      <w:pPr>
        <w:spacing w:line="360" w:lineRule="auto"/>
        <w:ind w:firstLine="420"/>
        <w:rPr>
          <w:rFonts w:hint="eastAsia" w:ascii="宋体" w:hAnsi="宋体" w:cs="宋体"/>
          <w:color w:val="auto"/>
          <w:kern w:val="1"/>
          <w:highlight w:val="none"/>
        </w:rPr>
      </w:pPr>
    </w:p>
    <w:p>
      <w:pPr>
        <w:spacing w:line="360" w:lineRule="auto"/>
        <w:ind w:firstLine="420"/>
        <w:rPr>
          <w:rFonts w:hint="eastAsia"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pPr>
        <w:spacing w:line="360" w:lineRule="auto"/>
        <w:ind w:firstLine="422"/>
        <w:jc w:val="center"/>
        <w:rPr>
          <w:rFonts w:hint="eastAsia" w:ascii="宋体" w:hAnsi="宋体" w:cs="宋体"/>
          <w:b/>
          <w:color w:val="auto"/>
          <w:kern w:val="1"/>
          <w:highlight w:val="none"/>
        </w:rPr>
      </w:pPr>
      <w:r>
        <w:rPr>
          <w:rFonts w:hint="eastAsia" w:ascii="宋体" w:hAnsi="宋体" w:cs="宋体"/>
          <w:b/>
          <w:color w:val="auto"/>
          <w:kern w:val="1"/>
          <w:highlight w:val="none"/>
          <w:lang w:val="zh-CN"/>
        </w:rPr>
        <w:t>否决性条款汇总</w:t>
      </w:r>
    </w:p>
    <w:p>
      <w:pPr>
        <w:spacing w:line="360" w:lineRule="auto"/>
        <w:ind w:firstLine="420"/>
        <w:rPr>
          <w:rFonts w:hint="eastAsia" w:ascii="宋体" w:hAnsi="宋体" w:cs="宋体"/>
          <w:color w:val="auto"/>
          <w:kern w:val="1"/>
          <w:highlight w:val="none"/>
        </w:rPr>
      </w:pP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pPr>
        <w:spacing w:line="360" w:lineRule="auto"/>
        <w:ind w:firstLine="420"/>
        <w:rPr>
          <w:rFonts w:hint="eastAsia"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pPr>
        <w:spacing w:line="400" w:lineRule="exact"/>
        <w:jc w:val="center"/>
        <w:rPr>
          <w:rFonts w:hint="eastAsia"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pPr>
              <w:keepNext w:val="0"/>
              <w:keepLines w:val="0"/>
              <w:suppressLineNumbers w:val="0"/>
              <w:spacing w:before="0" w:beforeAutospacing="0" w:after="0" w:afterAutospacing="0"/>
              <w:ind w:left="0" w:right="0"/>
              <w:jc w:val="center"/>
              <w:rPr>
                <w:rFonts w:hint="eastAsia"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pPr>
              <w:keepNext w:val="0"/>
              <w:keepLines w:val="0"/>
              <w:suppressLineNumbers w:val="0"/>
              <w:spacing w:before="0" w:beforeAutospacing="0" w:after="0" w:afterAutospacing="0"/>
              <w:ind w:left="0" w:right="0"/>
              <w:jc w:val="center"/>
              <w:rPr>
                <w:rFonts w:hint="eastAsia"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pPr>
              <w:keepNext w:val="0"/>
              <w:keepLines w:val="0"/>
              <w:suppressLineNumbers w:val="0"/>
              <w:spacing w:before="0" w:beforeAutospacing="0" w:after="0" w:afterAutospacing="0"/>
              <w:ind w:left="0" w:right="0"/>
              <w:rPr>
                <w:rFonts w:hint="eastAsia" w:ascii="宋体" w:hAnsi="宋体"/>
                <w:b/>
                <w:color w:val="auto"/>
                <w:sz w:val="18"/>
                <w:szCs w:val="18"/>
                <w:highlight w:val="none"/>
              </w:rPr>
            </w:pPr>
          </w:p>
        </w:tc>
        <w:tc>
          <w:tcPr>
            <w:tcW w:w="615" w:type="dxa"/>
          </w:tcPr>
          <w:p>
            <w:pPr>
              <w:keepNext w:val="0"/>
              <w:keepLines w:val="0"/>
              <w:suppressLineNumbers w:val="0"/>
              <w:spacing w:before="0" w:beforeAutospacing="0" w:after="0" w:afterAutospacing="0"/>
              <w:ind w:left="0" w:right="0"/>
              <w:rPr>
                <w:rFonts w:hint="eastAsia" w:ascii="宋体" w:hAnsi="宋体"/>
                <w:b/>
                <w:color w:val="auto"/>
                <w:sz w:val="18"/>
                <w:szCs w:val="18"/>
                <w:highlight w:val="none"/>
              </w:rPr>
            </w:pPr>
          </w:p>
        </w:tc>
        <w:tc>
          <w:tcPr>
            <w:tcW w:w="825" w:type="dxa"/>
          </w:tcPr>
          <w:p>
            <w:pPr>
              <w:keepNext w:val="0"/>
              <w:keepLines w:val="0"/>
              <w:suppressLineNumbers w:val="0"/>
              <w:spacing w:before="0" w:beforeAutospacing="0" w:after="0" w:afterAutospacing="0"/>
              <w:ind w:left="0" w:right="0"/>
              <w:rPr>
                <w:rFonts w:hint="eastAsia" w:ascii="宋体" w:hAnsi="宋体"/>
                <w:b/>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default" w:ascii="宋体" w:hAnsi="宋体"/>
                <w:color w:val="auto"/>
                <w:sz w:val="18"/>
                <w:szCs w:val="18"/>
                <w:highlight w:val="none"/>
              </w:rPr>
              <w:t>4</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default" w:ascii="宋体" w:hAnsi="宋体"/>
                <w:color w:val="auto"/>
                <w:sz w:val="18"/>
                <w:szCs w:val="18"/>
                <w:highlight w:val="none"/>
              </w:rPr>
              <w:t>7</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default" w:ascii="宋体" w:hAnsi="宋体"/>
                <w:color w:val="auto"/>
                <w:sz w:val="18"/>
                <w:szCs w:val="18"/>
                <w:highlight w:val="none"/>
              </w:rPr>
              <w:t>10</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投标人提供的《投标人声明》符合招标公告要求。</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default"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投标人（若为联合体，指联合体各成员）未被列入拖欠农民工工资失信联合惩戒对象名单和失信被执行人。（投标人无需提供资料，按投标截止时间交易系统比对的结果进行评审）</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18"/>
                <w:szCs w:val="18"/>
                <w:highlight w:val="none"/>
              </w:rPr>
            </w:pPr>
            <w:r>
              <w:rPr>
                <w:rFonts w:hint="default"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pPr>
              <w:keepNext w:val="0"/>
              <w:keepLines w:val="0"/>
              <w:suppressLineNumbers w:val="0"/>
              <w:spacing w:before="0" w:beforeAutospacing="0" w:after="0" w:afterAutospacing="0"/>
              <w:ind w:left="0" w:right="0"/>
              <w:rPr>
                <w:rFonts w:hint="default"/>
                <w:color w:val="auto"/>
                <w:sz w:val="18"/>
                <w:szCs w:val="18"/>
                <w:highlight w:val="none"/>
              </w:rPr>
            </w:pPr>
            <w:r>
              <w:rPr>
                <w:rFonts w:hint="eastAsia"/>
                <w:color w:val="auto"/>
                <w:sz w:val="18"/>
                <w:szCs w:val="18"/>
                <w:highlight w:val="none"/>
              </w:rPr>
              <w:t>结论</w:t>
            </w:r>
          </w:p>
        </w:tc>
        <w:tc>
          <w:tcPr>
            <w:tcW w:w="58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61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c>
          <w:tcPr>
            <w:tcW w:w="825" w:type="dxa"/>
          </w:tcPr>
          <w:p>
            <w:pPr>
              <w:keepNext w:val="0"/>
              <w:keepLines w:val="0"/>
              <w:suppressLineNumbers w:val="0"/>
              <w:spacing w:before="0" w:beforeAutospacing="0" w:after="0" w:afterAutospacing="0" w:line="400" w:lineRule="exact"/>
              <w:ind w:left="0" w:right="0"/>
              <w:rPr>
                <w:rFonts w:hint="eastAsia" w:ascii="宋体" w:hAnsi="宋体"/>
                <w:color w:val="auto"/>
                <w:sz w:val="18"/>
                <w:szCs w:val="18"/>
                <w:highlight w:val="none"/>
              </w:rPr>
            </w:pPr>
          </w:p>
        </w:tc>
      </w:tr>
    </w:tbl>
    <w:p>
      <w:pPr>
        <w:spacing w:line="24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pPr>
        <w:spacing w:line="240" w:lineRule="exact"/>
        <w:rPr>
          <w:rFonts w:hint="eastAsia" w:ascii="宋体" w:hAnsi="宋体"/>
          <w:color w:val="auto"/>
          <w:sz w:val="18"/>
          <w:szCs w:val="18"/>
          <w:highlight w:val="none"/>
        </w:rPr>
        <w:sectPr>
          <w:pgSz w:w="16840" w:h="11907" w:orient="landscape"/>
          <w:pgMar w:top="1304" w:right="1361" w:bottom="1304" w:left="1304" w:header="851" w:footer="720" w:gutter="0"/>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pPr>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2</w:t>
      </w:r>
    </w:p>
    <w:p>
      <w:pPr>
        <w:spacing w:line="360" w:lineRule="auto"/>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设计方案评分表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853"/>
        <w:gridCol w:w="1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76" w:type="dxa"/>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评分内容</w:t>
            </w:r>
          </w:p>
        </w:tc>
        <w:tc>
          <w:tcPr>
            <w:tcW w:w="853" w:type="dxa"/>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11069" w:type="dxa"/>
            <w:vAlign w:val="center"/>
          </w:tcPr>
          <w:p>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主要评判因素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投标文件</w:t>
            </w:r>
          </w:p>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符合性</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val="en-US" w:eastAsia="zh-CN"/>
              </w:rPr>
              <w:t>10</w:t>
            </w:r>
            <w:r>
              <w:rPr>
                <w:rFonts w:hint="eastAsia" w:ascii="宋体" w:hAnsi="宋体" w:eastAsia="宋体" w:cs="宋体"/>
                <w:color w:val="auto"/>
                <w:sz w:val="21"/>
                <w:szCs w:val="20"/>
                <w:highlight w:val="none"/>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整个设计内容符合招标文件要求，内容全面，设计总说明书文字表达清楚、思路清晰、重点和难点突出、图纸质量高，得</w:t>
            </w:r>
            <w:r>
              <w:rPr>
                <w:rFonts w:hint="eastAsia" w:ascii="宋体" w:hAnsi="宋体" w:eastAsia="宋体" w:cs="宋体"/>
                <w:color w:val="auto"/>
                <w:sz w:val="21"/>
                <w:szCs w:val="20"/>
                <w:highlight w:val="none"/>
                <w:lang w:val="en-US" w:eastAsia="zh-CN"/>
              </w:rPr>
              <w:t>10</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整个设计内容基本符合招标文件要求，内容较为全面，设计总说明书文字表达清楚、思路清晰，重点和难点突出、图纸质量高，得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1</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建筑功能</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val="en-US" w:eastAsia="zh-CN"/>
              </w:rPr>
              <w:t>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建筑功能设计符合招标项目性质要求的设计规范，</w:t>
            </w:r>
            <w:r>
              <w:rPr>
                <w:rFonts w:hint="eastAsia" w:ascii="宋体" w:hAnsi="宋体" w:eastAsia="宋体" w:cs="宋体"/>
                <w:color w:val="auto"/>
                <w:sz w:val="21"/>
                <w:szCs w:val="20"/>
                <w:highlight w:val="none"/>
                <w:lang w:val="en-US" w:eastAsia="zh-CN"/>
              </w:rPr>
              <w:t>公建配套配备齐全、</w:t>
            </w:r>
            <w:r>
              <w:rPr>
                <w:rFonts w:hint="eastAsia" w:ascii="宋体" w:hAnsi="宋体" w:eastAsia="宋体" w:cs="宋体"/>
                <w:color w:val="auto"/>
                <w:sz w:val="21"/>
                <w:szCs w:val="20"/>
                <w:highlight w:val="none"/>
                <w:lang w:eastAsia="zh-CN"/>
              </w:rPr>
              <w:t>满足便利性</w:t>
            </w:r>
            <w:r>
              <w:rPr>
                <w:rFonts w:hint="eastAsia" w:ascii="宋体" w:hAnsi="宋体" w:eastAsia="宋体" w:cs="宋体"/>
                <w:color w:val="auto"/>
                <w:sz w:val="21"/>
                <w:szCs w:val="20"/>
                <w:highlight w:val="none"/>
                <w:lang w:val="en-US" w:eastAsia="zh-CN"/>
              </w:rPr>
              <w:t>要求，</w:t>
            </w:r>
            <w:r>
              <w:rPr>
                <w:rFonts w:hint="eastAsia" w:ascii="宋体" w:hAnsi="宋体" w:eastAsia="宋体" w:cs="宋体"/>
                <w:color w:val="auto"/>
                <w:sz w:val="21"/>
                <w:szCs w:val="20"/>
                <w:highlight w:val="none"/>
                <w:lang w:eastAsia="zh-CN"/>
              </w:rPr>
              <w:t xml:space="preserve">设计内容完整无遗漏，建筑总面积和单项面积符合招标文件和功能要求，得 </w:t>
            </w:r>
            <w:r>
              <w:rPr>
                <w:rFonts w:hint="eastAsia" w:ascii="宋体" w:hAnsi="宋体" w:cs="宋体"/>
                <w:color w:val="auto"/>
                <w:sz w:val="21"/>
                <w:szCs w:val="20"/>
                <w:highlight w:val="none"/>
                <w:lang w:val="en-US" w:eastAsia="zh-CN"/>
              </w:rPr>
              <w:t>15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建筑功能设计基本符合招标项目性质要求的设计规范，</w:t>
            </w:r>
            <w:r>
              <w:rPr>
                <w:rFonts w:hint="eastAsia" w:ascii="宋体" w:hAnsi="宋体" w:eastAsia="宋体" w:cs="宋体"/>
                <w:color w:val="auto"/>
                <w:sz w:val="21"/>
                <w:szCs w:val="20"/>
                <w:highlight w:val="none"/>
                <w:lang w:val="en-US" w:eastAsia="zh-CN"/>
              </w:rPr>
              <w:t>公建配套配备基本齐全、基本</w:t>
            </w:r>
            <w:r>
              <w:rPr>
                <w:rFonts w:hint="eastAsia" w:ascii="宋体" w:hAnsi="宋体" w:eastAsia="宋体" w:cs="宋体"/>
                <w:color w:val="auto"/>
                <w:sz w:val="21"/>
                <w:szCs w:val="20"/>
                <w:highlight w:val="none"/>
                <w:lang w:eastAsia="zh-CN"/>
              </w:rPr>
              <w:t>满足便利性</w:t>
            </w:r>
            <w:r>
              <w:rPr>
                <w:rFonts w:hint="eastAsia" w:ascii="宋体" w:hAnsi="宋体" w:eastAsia="宋体" w:cs="宋体"/>
                <w:color w:val="auto"/>
                <w:sz w:val="21"/>
                <w:szCs w:val="20"/>
                <w:highlight w:val="none"/>
                <w:lang w:val="en-US" w:eastAsia="zh-CN"/>
              </w:rPr>
              <w:t>要求，</w:t>
            </w:r>
            <w:r>
              <w:rPr>
                <w:rFonts w:hint="eastAsia" w:ascii="宋体" w:hAnsi="宋体" w:eastAsia="宋体" w:cs="宋体"/>
                <w:color w:val="auto"/>
                <w:sz w:val="21"/>
                <w:szCs w:val="20"/>
                <w:highlight w:val="none"/>
                <w:lang w:eastAsia="zh-CN"/>
              </w:rPr>
              <w:t>设计内容基本完整遗漏，建筑总面积和单项面积基本符合招标文件和功能要求，得</w:t>
            </w:r>
            <w:r>
              <w:rPr>
                <w:rFonts w:hint="eastAsia" w:ascii="宋体" w:hAnsi="宋体" w:cs="宋体"/>
                <w:color w:val="auto"/>
                <w:sz w:val="21"/>
                <w:szCs w:val="20"/>
                <w:highlight w:val="none"/>
                <w:lang w:val="en-US" w:eastAsia="zh-CN"/>
              </w:rPr>
              <w:t>10</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规划布局</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val="en-US" w:eastAsia="zh-CN"/>
              </w:rPr>
              <w:t>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设计方案符合规划设计要求、</w:t>
            </w:r>
            <w:r>
              <w:rPr>
                <w:rFonts w:hint="eastAsia" w:ascii="宋体" w:hAnsi="宋体" w:eastAsia="宋体" w:cs="宋体"/>
                <w:color w:val="auto"/>
                <w:sz w:val="21"/>
                <w:szCs w:val="20"/>
                <w:highlight w:val="none"/>
                <w:lang w:val="en-US" w:eastAsia="zh-CN"/>
              </w:rPr>
              <w:t>户型朝向景观均好性好，</w:t>
            </w:r>
            <w:r>
              <w:rPr>
                <w:rFonts w:hint="eastAsia" w:ascii="宋体" w:hAnsi="宋体" w:eastAsia="宋体" w:cs="宋体"/>
                <w:color w:val="auto"/>
                <w:sz w:val="21"/>
                <w:szCs w:val="20"/>
                <w:highlight w:val="none"/>
                <w:lang w:eastAsia="zh-CN"/>
              </w:rPr>
              <w:t>总体户型配比满足国家及</w:t>
            </w:r>
            <w:r>
              <w:rPr>
                <w:rFonts w:hint="eastAsia" w:ascii="宋体" w:hAnsi="宋体" w:eastAsia="宋体" w:cs="宋体"/>
                <w:color w:val="auto"/>
                <w:sz w:val="21"/>
                <w:szCs w:val="20"/>
                <w:highlight w:val="none"/>
                <w:lang w:val="en-US" w:eastAsia="zh-CN"/>
              </w:rPr>
              <w:t>项目所在地</w:t>
            </w:r>
            <w:r>
              <w:rPr>
                <w:rFonts w:hint="eastAsia" w:ascii="宋体" w:hAnsi="宋体" w:eastAsia="宋体" w:cs="宋体"/>
                <w:color w:val="auto"/>
                <w:sz w:val="21"/>
                <w:szCs w:val="20"/>
                <w:highlight w:val="none"/>
                <w:lang w:eastAsia="zh-CN"/>
              </w:rPr>
              <w:t>相关要求，平面布置疏密适宜，</w:t>
            </w:r>
            <w:r>
              <w:rPr>
                <w:rFonts w:hint="eastAsia" w:ascii="宋体" w:hAnsi="宋体" w:eastAsia="宋体" w:cs="宋体"/>
                <w:color w:val="auto"/>
                <w:sz w:val="21"/>
                <w:szCs w:val="20"/>
                <w:highlight w:val="none"/>
                <w:lang w:val="en-US" w:eastAsia="zh-CN"/>
              </w:rPr>
              <w:t>建筑环境与空间造型和谐统一</w:t>
            </w:r>
            <w:r>
              <w:rPr>
                <w:rFonts w:hint="eastAsia" w:ascii="宋体" w:hAnsi="宋体" w:eastAsia="宋体" w:cs="宋体"/>
                <w:color w:val="auto"/>
                <w:sz w:val="21"/>
                <w:szCs w:val="20"/>
                <w:highlight w:val="none"/>
                <w:lang w:eastAsia="zh-CN"/>
              </w:rPr>
              <w:t>，对本项目制定超用地指标并满足招标人对设计规模的最大化需求的规划措施，得1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设计方案基本符合规划设计要求、</w:t>
            </w:r>
            <w:r>
              <w:rPr>
                <w:rFonts w:hint="eastAsia" w:ascii="宋体" w:hAnsi="宋体" w:eastAsia="宋体" w:cs="宋体"/>
                <w:color w:val="auto"/>
                <w:sz w:val="21"/>
                <w:szCs w:val="20"/>
                <w:highlight w:val="none"/>
                <w:lang w:val="en-US" w:eastAsia="zh-CN"/>
              </w:rPr>
              <w:t>户型朝向景观均好性较好，</w:t>
            </w:r>
            <w:r>
              <w:rPr>
                <w:rFonts w:hint="eastAsia" w:ascii="宋体" w:hAnsi="宋体" w:eastAsia="宋体" w:cs="宋体"/>
                <w:color w:val="auto"/>
                <w:sz w:val="21"/>
                <w:szCs w:val="20"/>
                <w:highlight w:val="none"/>
                <w:lang w:eastAsia="zh-CN"/>
              </w:rPr>
              <w:t>总体户型配比基本满足国家及</w:t>
            </w:r>
            <w:r>
              <w:rPr>
                <w:rFonts w:hint="eastAsia" w:ascii="宋体" w:hAnsi="宋体" w:eastAsia="宋体" w:cs="宋体"/>
                <w:color w:val="auto"/>
                <w:sz w:val="21"/>
                <w:szCs w:val="20"/>
                <w:highlight w:val="none"/>
                <w:lang w:val="en-US" w:eastAsia="zh-CN"/>
              </w:rPr>
              <w:t>项目所在地</w:t>
            </w:r>
            <w:r>
              <w:rPr>
                <w:rFonts w:hint="eastAsia" w:ascii="宋体" w:hAnsi="宋体" w:eastAsia="宋体" w:cs="宋体"/>
                <w:color w:val="auto"/>
                <w:sz w:val="21"/>
                <w:szCs w:val="20"/>
                <w:highlight w:val="none"/>
                <w:lang w:eastAsia="zh-CN"/>
              </w:rPr>
              <w:t>相关要求。平面布置疏密适宜，</w:t>
            </w:r>
            <w:r>
              <w:rPr>
                <w:rFonts w:hint="eastAsia" w:ascii="宋体" w:hAnsi="宋体" w:eastAsia="宋体" w:cs="宋体"/>
                <w:color w:val="auto"/>
                <w:sz w:val="21"/>
                <w:szCs w:val="20"/>
                <w:highlight w:val="none"/>
                <w:lang w:val="en-US" w:eastAsia="zh-CN"/>
              </w:rPr>
              <w:t>建筑环境与空间造型基本和谐统一</w:t>
            </w:r>
            <w:r>
              <w:rPr>
                <w:rFonts w:hint="eastAsia" w:ascii="宋体" w:hAnsi="宋体" w:eastAsia="宋体" w:cs="宋体"/>
                <w:color w:val="auto"/>
                <w:sz w:val="21"/>
                <w:szCs w:val="20"/>
                <w:highlight w:val="none"/>
                <w:lang w:eastAsia="zh-CN"/>
              </w:rPr>
              <w:t>，但无对本项目制定超用地指标并满足招标人对设计规模的最大化需求的规划措施，得</w:t>
            </w:r>
            <w:r>
              <w:rPr>
                <w:rFonts w:hint="eastAsia" w:ascii="宋体" w:hAnsi="宋体" w:cs="宋体"/>
                <w:color w:val="auto"/>
                <w:sz w:val="21"/>
                <w:szCs w:val="20"/>
                <w:highlight w:val="none"/>
                <w:lang w:val="en-US" w:eastAsia="zh-CN"/>
              </w:rPr>
              <w:t>10</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rPr>
              <w:t>使用功能</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建筑设计满足经济适用的要求，海绵城市绿色建筑设计等符合国家与地方的相关标准、规范，</w:t>
            </w:r>
            <w:r>
              <w:rPr>
                <w:rFonts w:hint="eastAsia" w:ascii="宋体" w:hAnsi="宋体" w:eastAsia="宋体" w:cs="宋体"/>
                <w:color w:val="auto"/>
                <w:sz w:val="21"/>
                <w:szCs w:val="20"/>
                <w:highlight w:val="none"/>
                <w:lang w:eastAsia="zh-CN"/>
              </w:rPr>
              <w:t>地库布置经济合理，户型布局合理，空间层高舒适，避免不利因素干扰，居住舒适性高，朝向和开窗合理，公共区域设计品质高。得</w:t>
            </w:r>
            <w:r>
              <w:rPr>
                <w:rFonts w:hint="eastAsia" w:ascii="宋体" w:hAnsi="宋体" w:cs="宋体"/>
                <w:color w:val="auto"/>
                <w:sz w:val="21"/>
                <w:szCs w:val="20"/>
                <w:highlight w:val="none"/>
                <w:lang w:val="en-US" w:eastAsia="zh-CN"/>
              </w:rPr>
              <w:t>15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建筑设计基本满足经济适用的要求</w:t>
            </w:r>
            <w:r>
              <w:rPr>
                <w:rFonts w:hint="eastAsia" w:ascii="宋体" w:hAnsi="宋体" w:cs="宋体"/>
                <w:color w:val="auto"/>
                <w:sz w:val="21"/>
                <w:szCs w:val="20"/>
                <w:highlight w:val="none"/>
                <w:lang w:val="en-US" w:eastAsia="zh-CN"/>
              </w:rPr>
              <w:t>（</w:t>
            </w:r>
            <w:r>
              <w:rPr>
                <w:rFonts w:hint="eastAsia" w:ascii="宋体" w:hAnsi="宋体" w:eastAsia="宋体" w:cs="宋体"/>
                <w:color w:val="auto"/>
                <w:sz w:val="21"/>
                <w:szCs w:val="20"/>
                <w:highlight w:val="none"/>
                <w:lang w:val="en-US" w:eastAsia="zh-CN"/>
              </w:rPr>
              <w:t>含绿建海绵）、海绵城市绿色建筑设计等基本符合国家与地方的相关标准、规范，</w:t>
            </w:r>
            <w:r>
              <w:rPr>
                <w:rFonts w:hint="eastAsia" w:ascii="宋体" w:hAnsi="宋体" w:eastAsia="宋体" w:cs="宋体"/>
                <w:color w:val="auto"/>
                <w:sz w:val="21"/>
                <w:szCs w:val="20"/>
                <w:highlight w:val="none"/>
                <w:lang w:eastAsia="zh-CN"/>
              </w:rPr>
              <w:t>地库布置基本合理，无严重不合理层高、朝向等，得</w:t>
            </w:r>
            <w:r>
              <w:rPr>
                <w:rFonts w:hint="eastAsia" w:ascii="宋体" w:hAnsi="宋体" w:cs="宋体"/>
                <w:color w:val="auto"/>
                <w:sz w:val="21"/>
                <w:szCs w:val="20"/>
                <w:highlight w:val="none"/>
                <w:lang w:val="en-US" w:eastAsia="zh-CN"/>
              </w:rPr>
              <w:t>10</w:t>
            </w:r>
            <w:r>
              <w:rPr>
                <w:rFonts w:hint="eastAsia" w:ascii="宋体" w:hAnsi="宋体" w:eastAsia="宋体" w:cs="宋体"/>
                <w:color w:val="auto"/>
                <w:sz w:val="21"/>
                <w:szCs w:val="20"/>
                <w:highlight w:val="none"/>
                <w:lang w:val="en-US" w:eastAsia="zh-CN"/>
              </w:rPr>
              <w:t>分</w:t>
            </w:r>
          </w:p>
          <w:p>
            <w:pPr>
              <w:keepNext w:val="0"/>
              <w:keepLines w:val="0"/>
              <w:suppressLineNumbers w:val="0"/>
              <w:spacing w:before="0" w:beforeAutospacing="0" w:after="0" w:afterAutospacing="0" w:line="240" w:lineRule="auto"/>
              <w:ind w:left="0" w:right="0"/>
              <w:rPr>
                <w:rFonts w:hint="default"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设计理念</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val="en-US" w:eastAsia="zh-CN"/>
              </w:rPr>
              <w:t>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符合</w:t>
            </w:r>
            <w:r>
              <w:rPr>
                <w:rFonts w:hint="eastAsia" w:ascii="宋体" w:hAnsi="宋体" w:eastAsia="宋体" w:cs="宋体"/>
                <w:color w:val="auto"/>
                <w:sz w:val="21"/>
                <w:szCs w:val="20"/>
                <w:highlight w:val="none"/>
                <w:lang w:val="en-US" w:eastAsia="zh-CN"/>
              </w:rPr>
              <w:t>当地文化特征和新型城镇化相关要求</w:t>
            </w:r>
            <w:r>
              <w:rPr>
                <w:rFonts w:hint="eastAsia" w:ascii="宋体" w:hAnsi="宋体" w:eastAsia="宋体" w:cs="宋体"/>
                <w:color w:val="auto"/>
                <w:sz w:val="21"/>
                <w:szCs w:val="20"/>
                <w:highlight w:val="none"/>
                <w:lang w:eastAsia="zh-CN"/>
              </w:rPr>
              <w:t>，对设计进行前期分析，提出设计的概念针对性强，得1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基本符合</w:t>
            </w:r>
            <w:r>
              <w:rPr>
                <w:rFonts w:hint="eastAsia" w:ascii="宋体" w:hAnsi="宋体" w:eastAsia="宋体" w:cs="宋体"/>
                <w:color w:val="auto"/>
                <w:sz w:val="21"/>
                <w:szCs w:val="20"/>
                <w:highlight w:val="none"/>
                <w:lang w:val="en-US" w:eastAsia="zh-CN"/>
              </w:rPr>
              <w:t>当地文化特征和新型城镇化相关要求</w:t>
            </w:r>
            <w:r>
              <w:rPr>
                <w:rFonts w:hint="eastAsia" w:ascii="宋体" w:hAnsi="宋体" w:eastAsia="宋体" w:cs="宋体"/>
                <w:color w:val="auto"/>
                <w:sz w:val="21"/>
                <w:szCs w:val="20"/>
                <w:highlight w:val="none"/>
                <w:lang w:eastAsia="zh-CN"/>
              </w:rPr>
              <w:t>，对设计进行前期分析，提出设计的概念针对性一般，得</w:t>
            </w:r>
            <w:r>
              <w:rPr>
                <w:rFonts w:hint="eastAsia" w:ascii="宋体" w:hAnsi="宋体" w:cs="宋体"/>
                <w:color w:val="auto"/>
                <w:sz w:val="21"/>
                <w:szCs w:val="20"/>
                <w:highlight w:val="none"/>
                <w:lang w:val="en-US" w:eastAsia="zh-CN"/>
              </w:rPr>
              <w:t>10</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结构合理性</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10</w:t>
            </w:r>
            <w:r>
              <w:rPr>
                <w:rFonts w:hint="eastAsia" w:ascii="宋体" w:hAnsi="宋体" w:eastAsia="宋体" w:cs="宋体"/>
                <w:color w:val="auto"/>
                <w:sz w:val="21"/>
                <w:szCs w:val="20"/>
                <w:highlight w:val="none"/>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设计方案中的结构设计安全性和合理性满足招标文件和规范要求，且针对性强，得10分。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设计方案中的结构设计安全性和合理性基本满足招标文件和规范要求，得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1</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7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服务措施</w:t>
            </w:r>
          </w:p>
        </w:tc>
        <w:tc>
          <w:tcPr>
            <w:tcW w:w="8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10分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设计方案中有为业主提供的质量保证、进度保证、服务措施，且满足招标文件提出的要求，得 10分。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设计方案中有为业主提供的质量保证、进度保证、服务措施，但不完全满足招标文件提出的要求，得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1</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8</w:t>
            </w:r>
          </w:p>
        </w:tc>
        <w:tc>
          <w:tcPr>
            <w:tcW w:w="1476"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Cs/>
                <w:color w:val="auto"/>
                <w:szCs w:val="21"/>
                <w:highlight w:val="none"/>
              </w:rPr>
            </w:pPr>
            <w:r>
              <w:rPr>
                <w:rFonts w:hint="eastAsia" w:ascii="宋体" w:hAnsi="宋体" w:eastAsia="宋体" w:cs="宋体"/>
                <w:color w:val="auto"/>
                <w:highlight w:val="none"/>
                <w:lang w:eastAsia="zh-CN" w:bidi="ar"/>
              </w:rPr>
              <w:t>投资控制</w:t>
            </w:r>
          </w:p>
        </w:tc>
        <w:tc>
          <w:tcPr>
            <w:tcW w:w="853"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highlight w:val="none"/>
                <w:lang w:val="en-US" w:eastAsia="zh-CN" w:bidi="ar"/>
              </w:rPr>
              <w:t>10</w:t>
            </w:r>
            <w:r>
              <w:rPr>
                <w:rFonts w:hint="eastAsia" w:ascii="宋体" w:hAnsi="宋体" w:eastAsia="宋体" w:cs="宋体"/>
                <w:color w:val="auto"/>
                <w:highlight w:val="none"/>
                <w:lang w:eastAsia="zh-CN" w:bidi="ar"/>
              </w:rPr>
              <w:t>分</w:t>
            </w:r>
          </w:p>
        </w:tc>
        <w:tc>
          <w:tcPr>
            <w:tcW w:w="11069"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优</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遵循功能适用、标准合理、经济合理的原则开展设计工作，工程总投资合理，节约工程总投资的措施及理由合理、可信、可行。投资估算方案编制依据正确，达到相应的深度要求，编制质量高，得</w:t>
            </w:r>
            <w:r>
              <w:rPr>
                <w:rFonts w:hint="eastAsia" w:ascii="宋体" w:hAnsi="宋体" w:cs="宋体"/>
                <w:color w:val="auto"/>
                <w:sz w:val="21"/>
                <w:szCs w:val="20"/>
                <w:highlight w:val="none"/>
                <w:lang w:val="en-US" w:eastAsia="zh-CN"/>
              </w:rPr>
              <w:t>10</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良</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工程总投资合理</w:t>
            </w:r>
            <w:r>
              <w:rPr>
                <w:rFonts w:hint="eastAsia" w:ascii="宋体" w:hAnsi="宋体" w:cs="宋体"/>
                <w:color w:val="auto"/>
                <w:sz w:val="21"/>
                <w:szCs w:val="20"/>
                <w:highlight w:val="none"/>
                <w:lang w:eastAsia="zh-CN"/>
              </w:rPr>
              <w:t>，合</w:t>
            </w:r>
            <w:r>
              <w:rPr>
                <w:rFonts w:hint="eastAsia" w:ascii="宋体" w:hAnsi="宋体" w:eastAsia="宋体" w:cs="宋体"/>
                <w:color w:val="auto"/>
                <w:sz w:val="21"/>
                <w:szCs w:val="20"/>
                <w:highlight w:val="none"/>
                <w:lang w:eastAsia="zh-CN"/>
              </w:rPr>
              <w:t>理投资估算编制依据正确，但未提供节约工程总投资的措施及理由的，得</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一般</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不符合前两者，得</w:t>
            </w:r>
            <w:r>
              <w:rPr>
                <w:rFonts w:hint="eastAsia" w:ascii="宋体" w:hAnsi="宋体" w:cs="宋体"/>
                <w:color w:val="auto"/>
                <w:sz w:val="21"/>
                <w:szCs w:val="20"/>
                <w:highlight w:val="none"/>
                <w:lang w:val="en-US" w:eastAsia="zh-CN"/>
              </w:rPr>
              <w:t>1</w:t>
            </w:r>
            <w:r>
              <w:rPr>
                <w:rFonts w:hint="eastAsia" w:ascii="宋体" w:hAnsi="宋体" w:eastAsia="宋体" w:cs="宋体"/>
                <w:color w:val="auto"/>
                <w:sz w:val="21"/>
                <w:szCs w:val="20"/>
                <w:highlight w:val="none"/>
                <w:lang w:eastAsia="zh-CN"/>
              </w:rPr>
              <w:t>分。</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sz w:val="21"/>
                <w:szCs w:val="20"/>
                <w:highlight w:val="none"/>
                <w:lang w:eastAsia="zh-CN"/>
              </w:rPr>
              <w:t>注</w:t>
            </w:r>
            <w:r>
              <w:rPr>
                <w:rFonts w:hint="eastAsia" w:ascii="宋体" w:hAnsi="宋体" w:cs="宋体"/>
                <w:color w:val="auto"/>
                <w:sz w:val="21"/>
                <w:szCs w:val="20"/>
                <w:highlight w:val="none"/>
                <w:lang w:eastAsia="zh-CN"/>
              </w:rPr>
              <w:t>：</w:t>
            </w:r>
            <w:r>
              <w:rPr>
                <w:rFonts w:hint="eastAsia" w:ascii="宋体" w:hAnsi="宋体" w:eastAsia="宋体" w:cs="宋体"/>
                <w:color w:val="auto"/>
                <w:sz w:val="21"/>
                <w:szCs w:val="20"/>
                <w:highlight w:val="none"/>
                <w:lang w:eastAsia="zh-CN"/>
              </w:rPr>
              <w:t>无此部分内容得0分。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41" w:type="dxa"/>
            <w:gridSpan w:val="2"/>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合计得分</w:t>
            </w:r>
          </w:p>
        </w:tc>
        <w:tc>
          <w:tcPr>
            <w:tcW w:w="853" w:type="dxa"/>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11069" w:type="dxa"/>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spacing w:line="360" w:lineRule="auto"/>
        <w:rPr>
          <w:color w:val="auto"/>
          <w:sz w:val="24"/>
          <w:szCs w:val="24"/>
          <w:highlight w:val="none"/>
        </w:rPr>
      </w:pPr>
      <w:r>
        <w:rPr>
          <w:rFonts w:hint="eastAsia" w:ascii="宋体" w:hAnsi="宋体" w:cs="宋体"/>
          <w:color w:val="auto"/>
          <w:sz w:val="24"/>
          <w:szCs w:val="28"/>
          <w:highlight w:val="none"/>
        </w:rPr>
        <w:t>注：</w:t>
      </w:r>
      <w:r>
        <w:rPr>
          <w:rFonts w:hint="eastAsia" w:ascii="宋体" w:hAnsi="宋体"/>
          <w:color w:val="auto"/>
          <w:sz w:val="24"/>
          <w:szCs w:val="24"/>
          <w:highlight w:val="none"/>
        </w:rPr>
        <w:t>本</w:t>
      </w:r>
      <w:r>
        <w:rPr>
          <w:rFonts w:hint="eastAsia"/>
          <w:color w:val="auto"/>
          <w:sz w:val="24"/>
          <w:szCs w:val="24"/>
          <w:highlight w:val="none"/>
        </w:rPr>
        <w:t>表按百分制评分，所有评委每个分项的分数汇总后的算术平均值作为该评审方案的设计方案得分。分数出现小数点，保留小数点后二位小数，第三位小数四舍五入。</w:t>
      </w: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3</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kern w:val="2"/>
          <w:sz w:val="28"/>
          <w:szCs w:val="28"/>
          <w:highlight w:val="none"/>
        </w:rPr>
        <w:t>工程总承包实施方案技术部分评分表</w:t>
      </w:r>
    </w:p>
    <w:tbl>
      <w:tblPr>
        <w:tblStyle w:val="34"/>
        <w:tblW w:w="516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079"/>
        <w:gridCol w:w="1113"/>
        <w:gridCol w:w="670"/>
        <w:gridCol w:w="12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4" w:hRule="atLeast"/>
          <w:tblHeader/>
          <w:jc w:val="center"/>
        </w:trPr>
        <w:tc>
          <w:tcPr>
            <w:tcW w:w="363" w:type="pct"/>
            <w:tcBorders>
              <w:top w:val="single" w:color="auto" w:sz="4" w:space="0"/>
              <w:left w:val="single" w:color="auto" w:sz="8" w:space="0"/>
              <w:bottom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评分项目</w:t>
            </w:r>
          </w:p>
        </w:tc>
        <w:tc>
          <w:tcPr>
            <w:tcW w:w="374" w:type="pct"/>
            <w:tcBorders>
              <w:top w:val="single" w:color="auto" w:sz="4" w:space="0"/>
              <w:left w:val="single" w:color="auto" w:sz="8" w:space="0"/>
              <w:bottom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评分内容</w:t>
            </w:r>
          </w:p>
        </w:tc>
        <w:tc>
          <w:tcPr>
            <w:tcW w:w="225" w:type="pct"/>
            <w:tcBorders>
              <w:top w:val="single" w:color="auto" w:sz="4" w:space="0"/>
              <w:left w:val="single" w:color="auto" w:sz="8" w:space="0"/>
              <w:bottom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分值</w:t>
            </w:r>
          </w:p>
        </w:tc>
        <w:tc>
          <w:tcPr>
            <w:tcW w:w="4036" w:type="pct"/>
            <w:tcBorders>
              <w:top w:val="single" w:color="auto" w:sz="4" w:space="0"/>
              <w:left w:val="single" w:color="auto" w:sz="8" w:space="0"/>
              <w:bottom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8" w:hRule="atLeast"/>
          <w:jc w:val="center"/>
        </w:trPr>
        <w:tc>
          <w:tcPr>
            <w:tcW w:w="363" w:type="pct"/>
            <w:vMerge w:val="restart"/>
            <w:tcBorders>
              <w:top w:val="single" w:color="auto" w:sz="8"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bidi="ar"/>
              </w:rPr>
              <w:t>企业资信</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cs="微软雅黑"/>
                <w:color w:val="auto"/>
                <w:szCs w:val="21"/>
                <w:highlight w:val="none"/>
              </w:rPr>
            </w:pPr>
            <w:r>
              <w:rPr>
                <w:rFonts w:hint="eastAsia" w:ascii="宋体" w:hAnsi="宋体" w:cs="宋体"/>
                <w:color w:val="auto"/>
                <w:szCs w:val="21"/>
                <w:highlight w:val="none"/>
                <w:lang w:bidi="ar"/>
              </w:rPr>
              <w:t>（36分）</w:t>
            </w:r>
          </w:p>
        </w:tc>
        <w:tc>
          <w:tcPr>
            <w:tcW w:w="374" w:type="pct"/>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cs="微软雅黑"/>
                <w:color w:val="auto"/>
                <w:szCs w:val="21"/>
                <w:highlight w:val="none"/>
              </w:rPr>
            </w:pPr>
            <w:r>
              <w:rPr>
                <w:rFonts w:hint="default" w:ascii="宋体" w:hAnsi="宋体"/>
                <w:color w:val="auto"/>
                <w:kern w:val="2"/>
                <w:highlight w:val="none"/>
              </w:rPr>
              <w:t>类似项目业绩</w:t>
            </w:r>
          </w:p>
        </w:tc>
        <w:tc>
          <w:tcPr>
            <w:tcW w:w="225" w:type="pct"/>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olor w:val="auto"/>
                <w:kern w:val="2"/>
                <w:highlight w:val="none"/>
                <w:lang w:val="en-US" w:eastAsia="zh-CN"/>
              </w:rPr>
            </w:pPr>
            <w:r>
              <w:rPr>
                <w:rFonts w:hint="eastAsia" w:ascii="宋体" w:hAnsi="宋体"/>
                <w:color w:val="auto"/>
                <w:kern w:val="2"/>
                <w:highlight w:val="none"/>
                <w:lang w:val="en-US" w:eastAsia="zh-CN"/>
              </w:rPr>
              <w:t>10</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left"/>
              <w:rPr>
                <w:rFonts w:hint="eastAsia" w:ascii="宋体" w:hAnsi="宋体"/>
                <w:color w:val="auto"/>
                <w:kern w:val="2"/>
                <w:highlight w:val="none"/>
              </w:rPr>
            </w:pPr>
            <w:r>
              <w:rPr>
                <w:rFonts w:hint="eastAsia" w:ascii="宋体" w:hAnsi="宋体"/>
                <w:color w:val="auto"/>
                <w:kern w:val="2"/>
                <w:highlight w:val="none"/>
                <w:lang w:val="en-US" w:eastAsia="zh-CN"/>
              </w:rPr>
              <w:t>1.施工业绩：</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年1月1日至投标截止时间止，投标人（若为联合体，指联合体牵头方）</w:t>
            </w:r>
            <w:r>
              <w:rPr>
                <w:rFonts w:hint="eastAsia" w:ascii="宋体" w:hAnsi="宋体" w:cs="宋体"/>
                <w:color w:val="auto"/>
                <w:szCs w:val="21"/>
                <w:highlight w:val="none"/>
                <w:lang w:eastAsia="zh-CN"/>
              </w:rPr>
              <w:t>完成过质量合格的类似工程施工业绩</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keepNext w:val="0"/>
              <w:keepLines w:val="0"/>
              <w:widowControl/>
              <w:suppressLineNumbers w:val="0"/>
              <w:snapToGrid w:val="0"/>
              <w:spacing w:before="0" w:beforeAutospacing="0" w:after="0" w:afterAutospacing="0" w:line="276" w:lineRule="auto"/>
              <w:ind w:left="0" w:right="0"/>
              <w:jc w:val="left"/>
              <w:rPr>
                <w:rFonts w:hint="eastAsia"/>
                <w:color w:val="auto"/>
                <w:highlight w:val="none"/>
              </w:rPr>
            </w:pP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设计业绩</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rPr>
              <w:t>自2021年1月1日至投标截止时间止，投标人（若为联合体，指联合体设计方）承接过的类似工程设计业绩，每项得1分，本项最高得2分。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2" w:hRule="atLeast"/>
          <w:jc w:val="center"/>
        </w:trPr>
        <w:tc>
          <w:tcPr>
            <w:tcW w:w="363" w:type="pct"/>
            <w:vMerge w:val="continue"/>
            <w:tcBorders>
              <w:top w:val="single" w:color="auto" w:sz="8" w:space="0"/>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olor w:val="auto"/>
                <w:kern w:val="2"/>
                <w:highlight w:val="none"/>
              </w:rPr>
              <w:t>工程获奖</w:t>
            </w:r>
          </w:p>
        </w:tc>
        <w:tc>
          <w:tcPr>
            <w:tcW w:w="225"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kern w:val="2"/>
                <w:szCs w:val="21"/>
                <w:highlight w:val="none"/>
                <w:lang w:val="en-US" w:eastAsia="zh-CN"/>
              </w:rPr>
              <w:t>12</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Calibri"/>
                <w:color w:val="auto"/>
                <w:kern w:val="2"/>
                <w:sz w:val="21"/>
                <w:szCs w:val="22"/>
                <w:highlight w:val="none"/>
                <w:lang w:val="en-US" w:eastAsia="zh-CN"/>
              </w:rPr>
            </w:pPr>
            <w:r>
              <w:rPr>
                <w:rFonts w:hint="eastAsia" w:ascii="宋体" w:hAnsi="宋体" w:eastAsia="宋体" w:cs="Calibri"/>
                <w:color w:val="auto"/>
                <w:kern w:val="2"/>
                <w:sz w:val="21"/>
                <w:szCs w:val="22"/>
                <w:highlight w:val="none"/>
                <w:lang w:val="en-US" w:eastAsia="zh-CN"/>
              </w:rPr>
              <w:t>1.施工获奖</w:t>
            </w:r>
            <w:r>
              <w:rPr>
                <w:rFonts w:hint="eastAsia" w:ascii="宋体" w:hAnsi="宋体" w:cs="Calibri"/>
                <w:color w:val="auto"/>
                <w:kern w:val="2"/>
                <w:sz w:val="21"/>
                <w:szCs w:val="22"/>
                <w:highlight w:val="none"/>
                <w:lang w:val="en-US" w:eastAsia="zh-CN"/>
              </w:rPr>
              <w:t>：</w:t>
            </w:r>
          </w:p>
          <w:p>
            <w:pPr>
              <w:keepNext w:val="0"/>
              <w:keepLines w:val="0"/>
              <w:suppressLineNumbers w:val="0"/>
              <w:spacing w:before="0" w:beforeAutospacing="0" w:after="0" w:afterAutospacing="0" w:line="276" w:lineRule="auto"/>
              <w:ind w:left="0" w:right="0"/>
              <w:rPr>
                <w:rFonts w:hint="eastAsia"/>
                <w:color w:val="auto"/>
                <w:highlight w:val="none"/>
                <w:lang w:val="en-US" w:eastAsia="zh-CN"/>
              </w:rPr>
            </w:pPr>
            <w:r>
              <w:rPr>
                <w:rFonts w:hint="eastAsia"/>
                <w:color w:val="auto"/>
                <w:highlight w:val="none"/>
              </w:rPr>
              <w:t>自20</w:t>
            </w:r>
            <w:r>
              <w:rPr>
                <w:rFonts w:hint="eastAsia"/>
                <w:color w:val="auto"/>
                <w:highlight w:val="none"/>
                <w:lang w:val="en-US" w:eastAsia="zh-CN"/>
              </w:rPr>
              <w:t>21</w:t>
            </w:r>
            <w:r>
              <w:rPr>
                <w:rFonts w:hint="eastAsia"/>
                <w:color w:val="auto"/>
                <w:highlight w:val="none"/>
              </w:rPr>
              <w:t>年1月1日至投标截止时间止，投标人（若为联合体，指联合体牵头方）完成的建筑工程</w:t>
            </w:r>
            <w:r>
              <w:rPr>
                <w:rFonts w:hint="eastAsia"/>
                <w:color w:val="auto"/>
                <w:highlight w:val="none"/>
                <w:lang w:val="en-US" w:eastAsia="zh-CN"/>
              </w:rPr>
              <w:t>施工</w:t>
            </w:r>
            <w:r>
              <w:rPr>
                <w:rFonts w:hint="eastAsia"/>
                <w:color w:val="auto"/>
                <w:highlight w:val="none"/>
              </w:rPr>
              <w:t>项目</w:t>
            </w:r>
            <w:r>
              <w:rPr>
                <w:rFonts w:hint="eastAsia"/>
                <w:color w:val="auto"/>
                <w:highlight w:val="none"/>
                <w:lang w:val="en-US" w:eastAsia="zh-CN"/>
              </w:rPr>
              <w:t>获奖情况：</w:t>
            </w:r>
          </w:p>
          <w:p>
            <w:pPr>
              <w:keepNext w:val="0"/>
              <w:keepLines w:val="0"/>
              <w:suppressLineNumbers w:val="0"/>
              <w:spacing w:before="0" w:beforeAutospacing="0" w:after="0" w:afterAutospacing="0" w:line="276" w:lineRule="auto"/>
              <w:ind w:left="0" w:right="0"/>
              <w:rPr>
                <w:rFonts w:hint="eastAsia"/>
                <w:color w:val="auto"/>
                <w:highlight w:val="none"/>
              </w:rPr>
            </w:pPr>
            <w:r>
              <w:rPr>
                <w:rFonts w:hint="eastAsia"/>
                <w:color w:val="auto"/>
                <w:highlight w:val="none"/>
                <w:lang w:eastAsia="zh-CN"/>
              </w:rPr>
              <w:t>（</w:t>
            </w:r>
            <w:r>
              <w:rPr>
                <w:rFonts w:hint="eastAsia"/>
                <w:color w:val="auto"/>
                <w:highlight w:val="none"/>
              </w:rPr>
              <w:t>1）国家级奖项的，每项得</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最高得3分</w:t>
            </w:r>
            <w:r>
              <w:rPr>
                <w:rFonts w:hint="eastAsia"/>
                <w:color w:val="auto"/>
                <w:highlight w:val="none"/>
              </w:rPr>
              <w:t>；</w:t>
            </w:r>
          </w:p>
          <w:p>
            <w:pPr>
              <w:keepNext w:val="0"/>
              <w:keepLines w:val="0"/>
              <w:suppressLineNumbers w:val="0"/>
              <w:spacing w:before="0" w:beforeAutospacing="0" w:after="0" w:afterAutospacing="0" w:line="276" w:lineRule="auto"/>
              <w:ind w:left="0" w:right="0"/>
              <w:rPr>
                <w:rFonts w:hint="eastAsia"/>
                <w:color w:val="auto"/>
                <w:highlight w:val="none"/>
              </w:rPr>
            </w:pPr>
            <w:r>
              <w:rPr>
                <w:rFonts w:hint="eastAsia"/>
                <w:color w:val="auto"/>
                <w:highlight w:val="none"/>
                <w:lang w:val="en-US" w:eastAsia="zh-CN"/>
              </w:rPr>
              <w:t>（2）</w:t>
            </w:r>
            <w:r>
              <w:rPr>
                <w:rFonts w:hint="eastAsia"/>
                <w:color w:val="auto"/>
                <w:highlight w:val="none"/>
              </w:rPr>
              <w:t>省级奖项的，每项得0.</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最高得2分</w:t>
            </w:r>
            <w:r>
              <w:rPr>
                <w:rFonts w:hint="eastAsia"/>
                <w:color w:val="auto"/>
                <w:highlight w:val="none"/>
              </w:rPr>
              <w:t>；</w:t>
            </w:r>
          </w:p>
          <w:p>
            <w:pPr>
              <w:keepNext w:val="0"/>
              <w:keepLines w:val="0"/>
              <w:suppressLineNumbers w:val="0"/>
              <w:spacing w:before="0" w:beforeAutospacing="0" w:after="0" w:afterAutospacing="0" w:line="276" w:lineRule="auto"/>
              <w:ind w:left="0" w:right="0"/>
              <w:rPr>
                <w:rFonts w:hint="eastAsia"/>
                <w:color w:val="auto"/>
                <w:highlight w:val="none"/>
                <w:lang w:eastAsia="zh-CN"/>
              </w:rPr>
            </w:pPr>
            <w:r>
              <w:rPr>
                <w:rFonts w:hint="eastAsia"/>
                <w:color w:val="auto"/>
                <w:highlight w:val="none"/>
                <w:lang w:val="en-US" w:eastAsia="zh-CN"/>
              </w:rPr>
              <w:t>（3）</w:t>
            </w:r>
            <w:r>
              <w:rPr>
                <w:rFonts w:hint="eastAsia"/>
                <w:color w:val="auto"/>
                <w:highlight w:val="none"/>
              </w:rPr>
              <w:t>市级奖项的，每项得0.</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最高得1分</w:t>
            </w:r>
            <w:r>
              <w:rPr>
                <w:rFonts w:hint="eastAsia"/>
                <w:color w:val="auto"/>
                <w:highlight w:val="none"/>
                <w:lang w:eastAsia="zh-CN"/>
              </w:rPr>
              <w:t>。</w:t>
            </w:r>
          </w:p>
          <w:p>
            <w:pPr>
              <w:keepNext w:val="0"/>
              <w:keepLines w:val="0"/>
              <w:widowControl/>
              <w:suppressLineNumbers w:val="0"/>
              <w:snapToGrid w:val="0"/>
              <w:spacing w:before="0" w:beforeAutospacing="0" w:after="0" w:afterAutospacing="0" w:line="276" w:lineRule="auto"/>
              <w:ind w:left="0" w:right="0"/>
              <w:jc w:val="left"/>
              <w:rPr>
                <w:rFonts w:hint="eastAsia" w:ascii="宋体" w:hAnsi="宋体" w:eastAsia="宋体" w:cs="Calibri"/>
                <w:color w:val="auto"/>
                <w:kern w:val="2"/>
                <w:sz w:val="21"/>
                <w:szCs w:val="22"/>
                <w:highlight w:val="none"/>
                <w:lang w:val="en-US"/>
              </w:rPr>
            </w:pPr>
            <w:r>
              <w:rPr>
                <w:rFonts w:hint="eastAsia" w:ascii="宋体" w:hAnsi="宋体" w:eastAsia="宋体" w:cs="宋体"/>
                <w:color w:val="auto"/>
                <w:sz w:val="21"/>
                <w:szCs w:val="21"/>
                <w:highlight w:val="none"/>
                <w:lang w:val="en-US" w:eastAsia="zh-CN" w:bidi="ar-SA"/>
              </w:rPr>
              <w:t>本项最高得3分</w:t>
            </w:r>
            <w:r>
              <w:rPr>
                <w:rFonts w:hint="eastAsia" w:ascii="宋体" w:hAnsi="宋体" w:eastAsia="宋体" w:cs="Calibri"/>
                <w:color w:val="auto"/>
                <w:kern w:val="2"/>
                <w:sz w:val="21"/>
                <w:szCs w:val="22"/>
                <w:highlight w:val="none"/>
                <w:lang w:val="en-US"/>
              </w:rPr>
              <w:t>。</w:t>
            </w:r>
          </w:p>
          <w:p>
            <w:pPr>
              <w:keepNext w:val="0"/>
              <w:keepLines w:val="0"/>
              <w:widowControl/>
              <w:suppressLineNumbers w:val="0"/>
              <w:snapToGrid w:val="0"/>
              <w:spacing w:before="0" w:beforeAutospacing="0" w:after="0" w:afterAutospacing="0" w:line="276" w:lineRule="auto"/>
              <w:ind w:left="0" w:right="0"/>
              <w:jc w:val="left"/>
              <w:rPr>
                <w:rFonts w:hint="default" w:ascii="宋体" w:hAnsi="宋体" w:eastAsia="宋体" w:cs="Calibri"/>
                <w:color w:val="auto"/>
                <w:kern w:val="2"/>
                <w:szCs w:val="22"/>
                <w:highlight w:val="none"/>
                <w:lang w:val="en-US" w:eastAsia="zh-CN"/>
              </w:rPr>
            </w:pPr>
            <w:r>
              <w:rPr>
                <w:rFonts w:hint="eastAsia" w:ascii="宋体" w:hAnsi="宋体" w:eastAsia="宋体" w:cs="Calibri"/>
                <w:color w:val="auto"/>
                <w:kern w:val="2"/>
                <w:szCs w:val="22"/>
                <w:highlight w:val="none"/>
                <w:lang w:val="en-US" w:eastAsia="zh-CN"/>
              </w:rPr>
              <w:t>2.设计获奖</w:t>
            </w:r>
            <w:r>
              <w:rPr>
                <w:rFonts w:hint="eastAsia" w:ascii="宋体" w:hAnsi="宋体" w:cs="Calibri"/>
                <w:color w:val="auto"/>
                <w:kern w:val="2"/>
                <w:szCs w:val="22"/>
                <w:highlight w:val="none"/>
                <w:lang w:val="en-US" w:eastAsia="zh-CN"/>
              </w:rPr>
              <w:t>：</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自2</w:t>
            </w:r>
            <w:r>
              <w:rPr>
                <w:rFonts w:hint="eastAsia" w:ascii="宋体" w:hAnsi="宋体" w:cs="宋体"/>
                <w:color w:val="auto"/>
                <w:szCs w:val="21"/>
                <w:highlight w:val="none"/>
                <w:lang w:val="en-US" w:eastAsia="zh-CN"/>
              </w:rPr>
              <w:t>021</w:t>
            </w:r>
            <w:r>
              <w:rPr>
                <w:rFonts w:hint="eastAsia" w:ascii="宋体" w:hAnsi="宋体" w:cs="宋体"/>
                <w:color w:val="auto"/>
                <w:szCs w:val="21"/>
                <w:highlight w:val="none"/>
              </w:rPr>
              <w:t>年1月1日至投标截止时间止，投标人（若为联合体，指联合体设计方）承接的建筑工程设计项目获奖情况：</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1）国家级奖项的，每项得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最高得9分</w:t>
            </w:r>
            <w:r>
              <w:rPr>
                <w:rFonts w:hint="eastAsia" w:ascii="宋体" w:hAnsi="宋体" w:cs="宋体"/>
                <w:color w:val="auto"/>
                <w:szCs w:val="21"/>
                <w:highlight w:val="none"/>
              </w:rPr>
              <w:t>；</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省级奖项的，每项得0.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最高得4分</w:t>
            </w:r>
            <w:r>
              <w:rPr>
                <w:rFonts w:hint="eastAsia" w:ascii="宋体" w:hAnsi="宋体" w:cs="宋体"/>
                <w:color w:val="auto"/>
                <w:szCs w:val="21"/>
                <w:highlight w:val="none"/>
              </w:rPr>
              <w:t>；</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市级奖项的，每项得0.</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最高得1分</w:t>
            </w:r>
            <w:r>
              <w:rPr>
                <w:rFonts w:hint="eastAsia" w:ascii="宋体" w:hAnsi="宋体" w:cs="宋体"/>
                <w:color w:val="auto"/>
                <w:szCs w:val="21"/>
                <w:highlight w:val="none"/>
                <w:lang w:eastAsia="zh-CN"/>
              </w:rPr>
              <w:t>；</w:t>
            </w:r>
          </w:p>
          <w:p>
            <w:pPr>
              <w:keepNext w:val="0"/>
              <w:keepLines w:val="0"/>
              <w:widowControl/>
              <w:suppressLineNumbers w:val="0"/>
              <w:snapToGrid w:val="0"/>
              <w:spacing w:before="0" w:beforeAutospacing="0" w:after="0" w:afterAutospacing="0" w:line="276" w:lineRule="auto"/>
              <w:ind w:left="0" w:right="0"/>
              <w:jc w:val="left"/>
              <w:rPr>
                <w:rFonts w:hint="eastAsia"/>
                <w:color w:val="auto"/>
                <w:highlight w:val="none"/>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r>
              <w:rPr>
                <w:rFonts w:hint="eastAsia" w:ascii="宋体" w:hAnsi="宋体" w:eastAsia="宋体" w:cs="Calibri"/>
                <w:color w:val="auto"/>
                <w:kern w:val="2"/>
                <w:sz w:val="21"/>
                <w:szCs w:val="22"/>
                <w:highlight w:val="none"/>
                <w:lang w:val="en-US"/>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jc w:val="center"/>
        </w:trPr>
        <w:tc>
          <w:tcPr>
            <w:tcW w:w="363" w:type="pct"/>
            <w:vMerge w:val="continue"/>
            <w:tcBorders>
              <w:top w:val="single" w:color="auto" w:sz="8" w:space="0"/>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vMerge w:val="restart"/>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微软雅黑"/>
                <w:color w:val="auto"/>
                <w:szCs w:val="21"/>
                <w:highlight w:val="none"/>
                <w:lang w:val="en-US" w:eastAsia="zh-CN"/>
              </w:rPr>
            </w:pPr>
            <w:r>
              <w:rPr>
                <w:rFonts w:hint="eastAsia" w:ascii="宋体" w:hAnsi="宋体" w:cs="宋体"/>
                <w:color w:val="auto"/>
                <w:kern w:val="2"/>
                <w:szCs w:val="21"/>
                <w:highlight w:val="none"/>
                <w:lang w:val="en-US" w:eastAsia="zh-CN"/>
              </w:rPr>
              <w:t>科技创新成果</w:t>
            </w:r>
          </w:p>
        </w:tc>
        <w:tc>
          <w:tcPr>
            <w:tcW w:w="225" w:type="pct"/>
            <w:vMerge w:val="restart"/>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color w:val="auto"/>
                <w:highlight w:val="none"/>
                <w:lang w:val="en-US" w:eastAsia="zh-CN"/>
              </w:rPr>
            </w:pPr>
            <w:r>
              <w:rPr>
                <w:rFonts w:hint="eastAsia"/>
                <w:color w:val="auto"/>
                <w:highlight w:val="none"/>
                <w:lang w:val="en-US" w:eastAsia="zh-CN"/>
              </w:rPr>
              <w:t>1.施工科技创新成果指标</w:t>
            </w:r>
          </w:p>
          <w:p>
            <w:pPr>
              <w:keepNext w:val="0"/>
              <w:keepLines w:val="0"/>
              <w:suppressLineNumbers w:val="0"/>
              <w:spacing w:before="0" w:beforeAutospacing="0" w:after="0" w:afterAutospacing="0" w:line="300" w:lineRule="auto"/>
              <w:ind w:left="0" w:right="0"/>
              <w:jc w:val="left"/>
              <w:rPr>
                <w:rFonts w:hint="default"/>
                <w:color w:val="auto"/>
                <w:highlight w:val="none"/>
              </w:rPr>
            </w:pPr>
            <w:r>
              <w:rPr>
                <w:rFonts w:hint="eastAsia" w:ascii="宋体" w:hAnsi="宋体" w:cs="宋体"/>
                <w:color w:val="auto"/>
                <w:szCs w:val="21"/>
                <w:highlight w:val="none"/>
                <w:lang w:val="en-US" w:eastAsia="zh-CN"/>
              </w:rPr>
              <w:t>自2021年1月1日至投标截止时间止，投标人（若为联合体，指联合体牵头方），</w:t>
            </w:r>
            <w:r>
              <w:rPr>
                <w:rFonts w:hint="eastAsia" w:ascii="宋体" w:hAnsi="宋体" w:cs="宋体"/>
                <w:color w:val="auto"/>
                <w:szCs w:val="21"/>
                <w:highlight w:val="none"/>
              </w:rPr>
              <w:t>获得</w:t>
            </w:r>
            <w:r>
              <w:rPr>
                <w:rFonts w:hint="eastAsia" w:ascii="宋体" w:hAnsi="宋体"/>
                <w:color w:val="auto"/>
                <w:highlight w:val="none"/>
              </w:rPr>
              <w:t>建筑工程类</w:t>
            </w:r>
            <w:r>
              <w:rPr>
                <w:rFonts w:hint="eastAsia" w:ascii="宋体" w:hAnsi="宋体"/>
                <w:color w:val="auto"/>
                <w:highlight w:val="none"/>
                <w:lang w:val="en-US" w:eastAsia="zh-CN"/>
              </w:rPr>
              <w:t>“科学技术进步奖”</w:t>
            </w:r>
            <w:r>
              <w:rPr>
                <w:rFonts w:hint="eastAsia" w:ascii="宋体" w:hAnsi="宋体" w:cs="宋体"/>
                <w:b w:val="0"/>
                <w:bCs w:val="0"/>
                <w:color w:val="auto"/>
                <w:szCs w:val="21"/>
                <w:highlight w:val="none"/>
                <w:lang w:val="en-US" w:eastAsia="zh-CN"/>
              </w:rPr>
              <w:t>省级或以上</w:t>
            </w:r>
            <w:r>
              <w:rPr>
                <w:rFonts w:hint="eastAsia" w:ascii="宋体" w:hAnsi="宋体" w:cs="宋体"/>
                <w:color w:val="auto"/>
                <w:szCs w:val="21"/>
                <w:highlight w:val="none"/>
                <w:lang w:val="en-US" w:eastAsia="zh-CN"/>
              </w:rPr>
              <w:t>每项得0.25分，最高得4分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jc w:val="center"/>
        </w:trPr>
        <w:tc>
          <w:tcPr>
            <w:tcW w:w="363" w:type="pct"/>
            <w:vMerge w:val="continue"/>
            <w:tcBorders>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default"/>
                <w:color w:val="auto"/>
                <w:highlight w:val="none"/>
              </w:rPr>
            </w:pPr>
          </w:p>
        </w:tc>
        <w:tc>
          <w:tcPr>
            <w:tcW w:w="374" w:type="pct"/>
            <w:vMerge w:val="continue"/>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default"/>
                <w:color w:val="auto"/>
                <w:highlight w:val="none"/>
              </w:rPr>
            </w:pPr>
          </w:p>
        </w:tc>
        <w:tc>
          <w:tcPr>
            <w:tcW w:w="225"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default"/>
                <w:color w:val="auto"/>
                <w:highlight w:val="none"/>
              </w:rPr>
            </w:pP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设计科技创新成果指标</w:t>
            </w:r>
          </w:p>
          <w:p>
            <w:pPr>
              <w:keepNext w:val="0"/>
              <w:keepLines w:val="0"/>
              <w:suppressLineNumbers w:val="0"/>
              <w:spacing w:before="0" w:beforeAutospacing="0" w:after="0" w:afterAutospacing="0" w:line="30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自2021年1月1日至投标截止时间止，投标人（若为联合体，指联合体设计方），获得建筑工程类“科学技术进步奖”省级或以上每项得0.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33" w:hRule="atLeast"/>
          <w:jc w:val="center"/>
        </w:trPr>
        <w:tc>
          <w:tcPr>
            <w:tcW w:w="363" w:type="pct"/>
            <w:vMerge w:val="continue"/>
            <w:tcBorders>
              <w:top w:val="single" w:color="auto" w:sz="8" w:space="0"/>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vMerge w:val="restart"/>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default" w:ascii="宋体" w:hAnsi="宋体"/>
                <w:color w:val="auto"/>
                <w:kern w:val="2"/>
                <w:szCs w:val="21"/>
                <w:highlight w:val="none"/>
              </w:rPr>
              <w:t>第三方评价</w:t>
            </w:r>
          </w:p>
        </w:tc>
        <w:tc>
          <w:tcPr>
            <w:tcW w:w="225" w:type="pct"/>
            <w:vMerge w:val="restart"/>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微软雅黑"/>
                <w:color w:val="auto"/>
                <w:szCs w:val="21"/>
                <w:highlight w:val="none"/>
                <w:lang w:eastAsia="zh-CN"/>
              </w:rPr>
            </w:pPr>
            <w:r>
              <w:rPr>
                <w:rFonts w:hint="eastAsia" w:ascii="宋体" w:hAnsi="宋体" w:cs="宋体"/>
                <w:color w:val="auto"/>
                <w:szCs w:val="21"/>
                <w:highlight w:val="none"/>
                <w:lang w:val="en-US" w:eastAsia="zh-CN"/>
              </w:rPr>
              <w:t>7</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numPr>
                <w:ilvl w:val="0"/>
                <w:numId w:val="0"/>
              </w:numPr>
              <w:suppressLineNumbers w:val="0"/>
              <w:spacing w:before="0" w:beforeAutospacing="0" w:after="0" w:afterAutospacing="0" w:line="276" w:lineRule="auto"/>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1.施工第三方评价</w:t>
            </w:r>
          </w:p>
          <w:p>
            <w:pPr>
              <w:keepNext w:val="0"/>
              <w:keepLines w:val="0"/>
              <w:numPr>
                <w:ilvl w:val="0"/>
                <w:numId w:val="0"/>
              </w:numPr>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投标人（若为联合体投标，指联合体牵头方）截止时间止往前推算（含最近评审年份2024年度），连续获得过税务机关评定为</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“纳税信用A级纳税人”的年限：</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rPr>
              <w:t>1）</w:t>
            </w:r>
            <w:r>
              <w:rPr>
                <w:rFonts w:hint="eastAsia" w:ascii="宋体" w:hAnsi="宋体" w:cs="宋体"/>
                <w:color w:val="auto"/>
                <w:szCs w:val="21"/>
                <w:highlight w:val="none"/>
              </w:rPr>
              <w:t>连续5年或以上的，得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连续3～4年的，得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color w:val="auto"/>
                <w:highlight w:val="none"/>
                <w:lang w:val="en-US" w:eastAsia="zh-CN"/>
              </w:rPr>
              <w:t>（3）</w:t>
            </w:r>
            <w:r>
              <w:rPr>
                <w:rFonts w:hint="eastAsia" w:ascii="宋体" w:hAnsi="宋体" w:cs="宋体"/>
                <w:color w:val="auto"/>
                <w:szCs w:val="21"/>
                <w:highlight w:val="none"/>
              </w:rPr>
              <w:t>连续1～2年的，得1分。</w:t>
            </w:r>
          </w:p>
          <w:p>
            <w:pPr>
              <w:keepNext w:val="0"/>
              <w:keepLines w:val="0"/>
              <w:widowControl/>
              <w:suppressLineNumbers w:val="0"/>
              <w:snapToGrid w:val="0"/>
              <w:spacing w:before="0" w:beforeAutospacing="0" w:after="0" w:afterAutospacing="0" w:line="276" w:lineRule="auto"/>
              <w:ind w:left="0" w:right="0"/>
              <w:jc w:val="left"/>
              <w:rPr>
                <w:rFonts w:hint="eastAsia" w:eastAsia="宋体"/>
                <w:color w:val="auto"/>
                <w:highlight w:val="none"/>
                <w:lang w:eastAsia="zh-CN"/>
              </w:rPr>
            </w:pPr>
            <w:r>
              <w:rPr>
                <w:rFonts w:hint="eastAsia" w:ascii="宋体" w:hAnsi="宋体" w:cs="宋体"/>
                <w:color w:val="auto"/>
                <w:szCs w:val="21"/>
                <w:highlight w:val="none"/>
              </w:rPr>
              <w:t>其他不得分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bidi="ar-SA"/>
              </w:rPr>
              <w:t>本项最高得4分。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70" w:hRule="atLeast"/>
          <w:jc w:val="center"/>
        </w:trPr>
        <w:tc>
          <w:tcPr>
            <w:tcW w:w="363" w:type="pct"/>
            <w:vMerge w:val="continue"/>
            <w:tcBorders>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default"/>
                <w:color w:val="auto"/>
                <w:highlight w:val="none"/>
              </w:rPr>
            </w:pPr>
          </w:p>
        </w:tc>
        <w:tc>
          <w:tcPr>
            <w:tcW w:w="374" w:type="pct"/>
            <w:vMerge w:val="continue"/>
            <w:tcBorders>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default"/>
                <w:color w:val="auto"/>
                <w:highlight w:val="none"/>
              </w:rPr>
            </w:pPr>
          </w:p>
        </w:tc>
        <w:tc>
          <w:tcPr>
            <w:tcW w:w="225" w:type="pct"/>
            <w:vMerge w:val="continue"/>
            <w:tcBorders>
              <w:left w:val="single" w:color="auto" w:sz="8" w:space="0"/>
              <w:bottom w:val="inset" w:color="auto" w:sz="6" w:space="0"/>
              <w:right w:val="single" w:color="auto" w:sz="8" w:space="0"/>
            </w:tcBorders>
            <w:vAlign w:val="center"/>
          </w:tcPr>
          <w:p>
            <w:pPr>
              <w:keepNext w:val="0"/>
              <w:keepLines w:val="0"/>
              <w:suppressLineNumbers w:val="0"/>
              <w:spacing w:before="0" w:beforeAutospacing="0" w:after="0" w:afterAutospacing="0" w:line="300" w:lineRule="auto"/>
              <w:ind w:left="0" w:right="0"/>
              <w:jc w:val="left"/>
              <w:rPr>
                <w:rFonts w:hint="default"/>
                <w:color w:val="auto"/>
                <w:highlight w:val="none"/>
              </w:rPr>
            </w:pP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2.设计第三方评价</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投标人（若为联合体投标，指联合体</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方）截止时间止往前推算（含最近评审年份2024年度），连续获得过税务机关评定为</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“纳税信用A级纳税人”的年限：</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rPr>
              <w:t>1）</w:t>
            </w:r>
            <w:r>
              <w:rPr>
                <w:rFonts w:hint="eastAsia" w:ascii="宋体" w:hAnsi="宋体" w:cs="宋体"/>
                <w:color w:val="auto"/>
                <w:szCs w:val="21"/>
                <w:highlight w:val="none"/>
              </w:rPr>
              <w:t>连续5年或以上的，得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连续3～4年的，得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color w:val="auto"/>
                <w:highlight w:val="none"/>
                <w:lang w:val="en-US" w:eastAsia="zh-CN"/>
              </w:rPr>
              <w:t>（3）</w:t>
            </w:r>
            <w:r>
              <w:rPr>
                <w:rFonts w:hint="eastAsia" w:ascii="宋体" w:hAnsi="宋体" w:cs="宋体"/>
                <w:color w:val="auto"/>
                <w:szCs w:val="21"/>
                <w:highlight w:val="none"/>
              </w:rPr>
              <w:t>连续1～2年的，得1分。</w:t>
            </w:r>
          </w:p>
          <w:p>
            <w:pPr>
              <w:keepNext w:val="0"/>
              <w:keepLines w:val="0"/>
              <w:suppressLineNumbers w:val="0"/>
              <w:spacing w:before="0" w:beforeAutospacing="0" w:after="0" w:afterAutospacing="0" w:line="30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其他不得分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bidi="ar-SA"/>
              </w:rPr>
              <w:t>本项最高得3分。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restart"/>
            <w:tcBorders>
              <w:top w:val="inset" w:color="auto" w:sz="6" w:space="0"/>
              <w:left w:val="single" w:color="auto" w:sz="8"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工程实施方案</w:t>
            </w:r>
          </w:p>
          <w:p>
            <w:pPr>
              <w:keepNext w:val="0"/>
              <w:keepLines w:val="0"/>
              <w:suppressLineNumbers w:val="0"/>
              <w:snapToGrid w:val="0"/>
              <w:spacing w:before="0" w:beforeAutospacing="0" w:after="0" w:afterAutospacing="0" w:line="276" w:lineRule="auto"/>
              <w:ind w:left="0" w:right="0"/>
              <w:rPr>
                <w:rFonts w:hint="eastAsia" w:ascii="宋体" w:hAnsi="宋体" w:cs="微软雅黑"/>
                <w:color w:val="auto"/>
                <w:szCs w:val="21"/>
                <w:highlight w:val="none"/>
              </w:rPr>
            </w:pPr>
            <w:r>
              <w:rPr>
                <w:rFonts w:hint="eastAsia" w:ascii="宋体" w:hAnsi="宋体" w:cs="宋体"/>
                <w:color w:val="auto"/>
                <w:szCs w:val="21"/>
                <w:highlight w:val="none"/>
                <w:lang w:bidi="ar"/>
              </w:rPr>
              <w:t>（</w:t>
            </w:r>
            <w:r>
              <w:rPr>
                <w:rFonts w:hint="default" w:ascii="宋体" w:hAnsi="宋体" w:cs="宋体"/>
                <w:color w:val="auto"/>
                <w:szCs w:val="21"/>
                <w:highlight w:val="none"/>
                <w:lang w:bidi="ar"/>
              </w:rPr>
              <w:t>6</w:t>
            </w:r>
            <w:r>
              <w:rPr>
                <w:rFonts w:hint="eastAsia" w:ascii="宋体" w:hAnsi="宋体" w:cs="宋体"/>
                <w:color w:val="auto"/>
                <w:szCs w:val="21"/>
                <w:highlight w:val="none"/>
                <w:lang w:bidi="ar"/>
              </w:rPr>
              <w:t>4</w:t>
            </w:r>
            <w:r>
              <w:rPr>
                <w:rFonts w:hint="default" w:ascii="宋体" w:hAnsi="宋体" w:cs="宋体"/>
                <w:color w:val="auto"/>
                <w:szCs w:val="21"/>
                <w:highlight w:val="none"/>
                <w:lang w:bidi="ar"/>
              </w:rPr>
              <w:t>分）</w:t>
            </w:r>
          </w:p>
        </w:tc>
        <w:tc>
          <w:tcPr>
            <w:tcW w:w="374" w:type="pct"/>
            <w:tcBorders>
              <w:top w:val="inset" w:color="auto" w:sz="6"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default" w:ascii="宋体" w:hAnsi="宋体" w:cs="宋体"/>
                <w:color w:val="auto"/>
                <w:szCs w:val="21"/>
                <w:highlight w:val="none"/>
              </w:rPr>
              <w:t>项目管理机构能力</w:t>
            </w:r>
          </w:p>
        </w:tc>
        <w:tc>
          <w:tcPr>
            <w:tcW w:w="225" w:type="pct"/>
            <w:tcBorders>
              <w:top w:val="inset" w:color="auto" w:sz="6"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olor w:val="auto"/>
                <w:kern w:val="2"/>
                <w:highlight w:val="none"/>
                <w:lang w:val="en-US" w:eastAsia="zh-CN"/>
              </w:rPr>
              <w:t>23</w:t>
            </w:r>
            <w:r>
              <w:rPr>
                <w:rFonts w:hint="eastAsia" w:ascii="宋体" w:hAnsi="宋体"/>
                <w:color w:val="auto"/>
                <w:kern w:val="2"/>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b/>
                <w:bCs/>
                <w:color w:val="auto"/>
                <w:highlight w:val="none"/>
              </w:rPr>
            </w:pPr>
            <w:r>
              <w:rPr>
                <w:rFonts w:hint="default"/>
                <w:b/>
                <w:bCs/>
                <w:color w:val="auto"/>
                <w:highlight w:val="none"/>
              </w:rPr>
              <w:t>1、项目管理机构人员配备情况：</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（1）项目管理机构的施工人员配备情况（若为联合体，指联合体牵头方）（本项最高得</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造价负责人（</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1）造价负责人具有一级注册造价工程师证书，得1分；具有二级注册造价工程师证书，得0.5分；未提供不得分。</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2）具有建筑工程相关专业高级（或以上）工程师职称证书的得1分，具有建筑工程相关专业中级职称的得0.5分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质量负责人（</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具有建筑工程相关专业高级（或以上）工程师职称证书的，得1分；具有建筑工程相关专业中级工程师技术职称的，得0.5分；未提供不得分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安全负责人（</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1）安全负责人具有注册安全工程师执业证书的，得1分；未提供不得分。</w:t>
            </w:r>
          </w:p>
          <w:p>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2）具有建筑工程相关专业高级（或以上）工程师职称证书的，得1分；具有建筑工程相关专业中级工程师技术职称的，得0.5分；未提供不得分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w:t>
            </w:r>
            <w:r>
              <w:rPr>
                <w:rFonts w:hint="default"/>
                <w:b/>
                <w:bCs/>
                <w:color w:val="auto"/>
                <w:highlight w:val="none"/>
              </w:rPr>
              <w:t>2）</w:t>
            </w:r>
            <w:r>
              <w:rPr>
                <w:rFonts w:hint="eastAsia"/>
                <w:b/>
                <w:bCs/>
                <w:color w:val="auto"/>
                <w:highlight w:val="none"/>
              </w:rPr>
              <w:t>项目管理机构的勘察、设计人员配备情况（若为联合体，指联合体勘察、设计方）</w:t>
            </w:r>
            <w:r>
              <w:rPr>
                <w:rFonts w:hint="default"/>
                <w:b/>
                <w:bCs/>
                <w:color w:val="auto"/>
                <w:highlight w:val="none"/>
              </w:rPr>
              <w:t>（本项最高得</w:t>
            </w:r>
            <w:r>
              <w:rPr>
                <w:rFonts w:hint="eastAsia"/>
                <w:b/>
                <w:bCs/>
                <w:color w:val="auto"/>
                <w:highlight w:val="none"/>
                <w:lang w:val="en-US" w:eastAsia="zh-CN"/>
              </w:rPr>
              <w:t>18</w:t>
            </w:r>
            <w:r>
              <w:rPr>
                <w:rFonts w:hint="default"/>
                <w:b/>
                <w:bCs/>
                <w:color w:val="auto"/>
                <w:highlight w:val="none"/>
              </w:rPr>
              <w:t>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①</w:t>
            </w:r>
            <w:r>
              <w:rPr>
                <w:rFonts w:hint="eastAsia"/>
                <w:color w:val="auto"/>
                <w:highlight w:val="none"/>
              </w:rPr>
              <w:t>投入人员完全满足《勘察、设计人员配置基本要求表》（详见附件3）得2分，否则本项不得分。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②</w:t>
            </w:r>
            <w:r>
              <w:rPr>
                <w:rFonts w:hint="eastAsia"/>
                <w:color w:val="auto"/>
                <w:highlight w:val="none"/>
              </w:rPr>
              <w:t xml:space="preserve">设计负责人（1分）：具有建筑相关专业正高级（或教授级）职称的得1分； </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③</w:t>
            </w:r>
            <w:r>
              <w:rPr>
                <w:rFonts w:hint="eastAsia"/>
                <w:color w:val="auto"/>
                <w:highlight w:val="none"/>
              </w:rPr>
              <w:t>设计技术负责人（4分） ：</w:t>
            </w:r>
          </w:p>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具有一级注册结构工程师职业资格的得2分；</w:t>
            </w:r>
          </w:p>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lang w:val="en-US" w:eastAsia="zh-CN"/>
              </w:rPr>
              <w:t>2）</w:t>
            </w:r>
            <w:r>
              <w:rPr>
                <w:rFonts w:hint="eastAsia"/>
                <w:color w:val="auto"/>
                <w:highlight w:val="none"/>
              </w:rPr>
              <w:t>具有建筑或结构相关专业正高级（或教授级）职称的得2分；具有建筑或结构相关专业高级职称的得1分。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④</w:t>
            </w:r>
            <w:r>
              <w:rPr>
                <w:rFonts w:hint="eastAsia"/>
                <w:color w:val="auto"/>
                <w:highlight w:val="none"/>
              </w:rPr>
              <w:t>建筑专业负责人（1分）：具有建筑相关专业正高级（或教授级）职称的得1分；具有建筑相关专业高级职称的得0.5分。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⑤</w:t>
            </w:r>
            <w:r>
              <w:rPr>
                <w:rFonts w:hint="eastAsia"/>
                <w:color w:val="auto"/>
                <w:highlight w:val="none"/>
              </w:rPr>
              <w:t>结构专业负责人（1分）：具有结构相关专业正高级（或教授级）职称的得1分；具有结构相关专业高级职称的得0.5分。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⑥</w:t>
            </w:r>
            <w:r>
              <w:rPr>
                <w:rFonts w:hint="eastAsia"/>
                <w:color w:val="auto"/>
                <w:highlight w:val="none"/>
              </w:rPr>
              <w:t>给排水专业负责人（1分）：具有给水排水相关专业正高级（或教授级）职称的得1分；具有给水排水相关专业高级职称的得0.5分。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⑦</w:t>
            </w:r>
            <w:r>
              <w:rPr>
                <w:rFonts w:hint="eastAsia"/>
                <w:color w:val="auto"/>
                <w:highlight w:val="none"/>
              </w:rPr>
              <w:t>电气专业负责人（1分）：具有电气相关专业正高级（或教授级）职称的得1分；具有电气相关专业高级职称的得0.5分。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⑧</w:t>
            </w:r>
            <w:r>
              <w:rPr>
                <w:rFonts w:hint="eastAsia"/>
                <w:color w:val="auto"/>
                <w:highlight w:val="none"/>
              </w:rPr>
              <w:t>智能化专业负责人（1分）：具有电气相关专业正高级（或教授级）职称的得1分；具有电气相关专业高级职称的得0.5分。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⑨</w:t>
            </w:r>
            <w:r>
              <w:rPr>
                <w:rFonts w:hint="eastAsia"/>
                <w:color w:val="auto"/>
                <w:highlight w:val="none"/>
              </w:rPr>
              <w:t>暖通专业负责人（1分）：具有暖通空调相关专业正高级（或教授级）职称的得1分；具有暖通空调相关专业高级职称的得0.5分。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⑩</w:t>
            </w:r>
            <w:r>
              <w:rPr>
                <w:rFonts w:hint="eastAsia"/>
                <w:color w:val="auto"/>
                <w:highlight w:val="none"/>
              </w:rPr>
              <w:t>基坑专业负责人（1分）：具有岩土相关专业正高级（或教授级）职称的得1分；具有岩土相关专业高级职称的得0.5分。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⑪</w:t>
            </w:r>
            <w:r>
              <w:rPr>
                <w:rFonts w:hint="eastAsia"/>
                <w:color w:val="auto"/>
                <w:highlight w:val="none"/>
              </w:rPr>
              <w:t>造价专业负责人（1分）：具有造价相关专业正高级（或教授级）职称的得1分；具有造价相关专业高级职称的得0.5分。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⑫</w:t>
            </w:r>
            <w:r>
              <w:rPr>
                <w:rFonts w:hint="eastAsia"/>
                <w:color w:val="auto"/>
                <w:highlight w:val="none"/>
              </w:rPr>
              <w:t>园林专业负责人（1分）：具有园林绿化或风景园林相关专业正高级（或教授级）职称的得1分；具有园林绿化或风景园林相关专业高级职称的得0.5分。</w:t>
            </w:r>
          </w:p>
          <w:p>
            <w:pPr>
              <w:keepNext w:val="0"/>
              <w:keepLines w:val="0"/>
              <w:suppressLineNumbers w:val="0"/>
              <w:spacing w:before="0" w:beforeAutospacing="0" w:after="0" w:afterAutospacing="0"/>
              <w:ind w:left="0" w:right="0"/>
              <w:rPr>
                <w:rFonts w:hint="eastAsia"/>
                <w:color w:val="auto"/>
                <w:highlight w:val="none"/>
              </w:rPr>
            </w:pPr>
            <w:r>
              <w:rPr>
                <w:rFonts w:hint="default" w:ascii="Calibri" w:hAnsi="Calibri" w:cs="Calibri"/>
                <w:color w:val="auto"/>
                <w:highlight w:val="none"/>
              </w:rPr>
              <w:t>⑬</w:t>
            </w:r>
            <w:r>
              <w:rPr>
                <w:rFonts w:hint="eastAsia"/>
                <w:color w:val="auto"/>
                <w:highlight w:val="none"/>
              </w:rPr>
              <w:t>装修专业负责人（1分）：具有建筑装饰相关专业正高级（或教授级）职称的得1分；具有建筑装饰相关专业高级职称的得0.5分。</w:t>
            </w:r>
          </w:p>
          <w:p>
            <w:pPr>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default" w:ascii="Calibri" w:hAnsi="Calibri" w:cs="Calibri"/>
                <w:color w:val="auto"/>
                <w:highlight w:val="none"/>
              </w:rPr>
              <w:t>⑭</w:t>
            </w:r>
            <w:r>
              <w:rPr>
                <w:rFonts w:hint="eastAsia"/>
                <w:color w:val="auto"/>
                <w:highlight w:val="none"/>
              </w:rPr>
              <w:t>勘察专业负责人（1分）：具有岩土相关专业正高级（或教授级）职称的得1分；具有岩土相关专业高级职称的得0.5分。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5"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设计与施工的融合</w:t>
            </w:r>
          </w:p>
        </w:tc>
        <w:tc>
          <w:tcPr>
            <w:tcW w:w="225" w:type="pct"/>
            <w:tcBorders>
              <w:top w:val="inset" w:color="auto" w:sz="6"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hd w:val="clear"/>
              <w:autoSpaceDE w:val="0"/>
              <w:autoSpaceDN w:val="0"/>
              <w:adjustRightInd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rPr>
              <w:t>设计和施工的融合措施，有得 1分，无得 0 分；</w:t>
            </w:r>
          </w:p>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default" w:ascii="宋体" w:hAnsi="宋体" w:cs="宋体"/>
                <w:color w:val="auto"/>
                <w:szCs w:val="21"/>
                <w:highlight w:val="none"/>
              </w:rPr>
              <w:t>上述方案切实可行，保证措施具体有效，针对性强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分，一般得 </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default" w:ascii="宋体" w:hAnsi="宋体" w:cs="宋体"/>
                <w:color w:val="auto"/>
                <w:szCs w:val="21"/>
                <w:highlight w:val="none"/>
                <w:lang w:bidi="ar"/>
              </w:rPr>
            </w:pPr>
            <w:r>
              <w:rPr>
                <w:rFonts w:hint="eastAsia" w:ascii="宋体" w:hAnsi="宋体" w:cs="宋体"/>
                <w:color w:val="auto"/>
                <w:szCs w:val="21"/>
                <w:highlight w:val="none"/>
                <w:lang w:bidi="ar"/>
              </w:rPr>
              <w:t>绿色节能</w:t>
            </w:r>
          </w:p>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控制措施</w:t>
            </w:r>
          </w:p>
        </w:tc>
        <w:tc>
          <w:tcPr>
            <w:tcW w:w="225"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rPr>
            </w:pPr>
            <w:r>
              <w:rPr>
                <w:rFonts w:hint="eastAsia" w:ascii="宋体" w:hAnsi="宋体" w:cs="宋体"/>
                <w:color w:val="auto"/>
                <w:szCs w:val="21"/>
                <w:highlight w:val="none"/>
                <w:lang w:val="en-US" w:eastAsia="zh-CN" w:bidi="ar"/>
              </w:rPr>
              <w:t>6</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numPr>
                <w:ilvl w:val="0"/>
                <w:numId w:val="0"/>
              </w:numPr>
              <w:suppressLineNumbers w:val="0"/>
              <w:spacing w:before="0" w:beforeAutospacing="0" w:after="0" w:afterAutospacing="0" w:line="276" w:lineRule="auto"/>
              <w:ind w:left="0" w:right="0"/>
              <w:rPr>
                <w:rFonts w:hint="eastAsia" w:ascii="宋体" w:hAnsi="宋体" w:cs="宋体"/>
                <w:color w:val="auto"/>
                <w:szCs w:val="21"/>
                <w:highlight w:val="none"/>
                <w:lang w:bidi="ar"/>
              </w:rPr>
            </w:pPr>
            <w:r>
              <w:rPr>
                <w:rFonts w:hint="eastAsia" w:ascii="宋体" w:hAnsi="宋体" w:cs="宋体"/>
                <w:color w:val="auto"/>
                <w:szCs w:val="21"/>
                <w:highlight w:val="none"/>
                <w:lang w:bidi="ar"/>
              </w:rPr>
              <w:t>1、建立了完善的绿色施工管理体系，并承诺氢燃料电池汽车作为混凝土搅拌车和建筑废弃物运输车在本项目的使用，投入比例≥30%（即：投入的氢燃料电池汽车/投入的总车辆数≥30%）的，有得3分，无得0分；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2、根据本工程的特点，提出详细的绿色节能控制措施。优得3分，良得1分，一般得0.5分</w:t>
            </w:r>
            <w:bookmarkStart w:id="427" w:name="_GoBack"/>
            <w:bookmarkEnd w:id="427"/>
            <w:r>
              <w:rPr>
                <w:rFonts w:hint="default" w:ascii="宋体" w:hAnsi="宋体" w:cs="宋体"/>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default" w:ascii="宋体" w:hAnsi="宋体" w:cs="宋体"/>
                <w:color w:val="auto"/>
                <w:szCs w:val="21"/>
                <w:highlight w:val="none"/>
                <w:lang w:bidi="ar"/>
              </w:rPr>
            </w:pPr>
            <w:r>
              <w:rPr>
                <w:rFonts w:hint="eastAsia" w:ascii="宋体" w:hAnsi="宋体" w:cs="宋体"/>
                <w:color w:val="auto"/>
                <w:szCs w:val="21"/>
                <w:highlight w:val="none"/>
                <w:lang w:bidi="ar"/>
              </w:rPr>
              <w:t>安全控制</w:t>
            </w:r>
          </w:p>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措施</w:t>
            </w:r>
          </w:p>
        </w:tc>
        <w:tc>
          <w:tcPr>
            <w:tcW w:w="225"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100" w:beforeAutospacing="1" w:after="100" w:afterAutospacing="1" w:line="276" w:lineRule="auto"/>
              <w:ind w:left="0" w:right="0"/>
              <w:jc w:val="center"/>
              <w:rPr>
                <w:rFonts w:hint="eastAsia" w:ascii="宋体" w:hAnsi="宋体" w:cs="微软雅黑"/>
                <w:color w:val="auto"/>
                <w:szCs w:val="21"/>
                <w:highlight w:val="none"/>
              </w:rPr>
            </w:pPr>
            <w:r>
              <w:rPr>
                <w:rFonts w:hint="eastAsia" w:ascii="宋体" w:hAnsi="宋体" w:cs="宋体"/>
                <w:color w:val="auto"/>
                <w:szCs w:val="21"/>
                <w:highlight w:val="none"/>
                <w:lang w:val="en-US" w:eastAsia="zh-CN" w:bidi="ar"/>
              </w:rPr>
              <w:t>6</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default" w:ascii="宋体" w:hAnsi="宋体" w:cs="宋体"/>
                <w:color w:val="auto"/>
                <w:szCs w:val="21"/>
                <w:highlight w:val="none"/>
                <w:lang w:bidi="ar"/>
              </w:rPr>
            </w:pPr>
            <w:r>
              <w:rPr>
                <w:rFonts w:hint="eastAsia" w:ascii="宋体" w:hAnsi="宋体" w:cs="宋体"/>
                <w:color w:val="auto"/>
                <w:szCs w:val="21"/>
                <w:highlight w:val="none"/>
                <w:lang w:bidi="ar"/>
              </w:rPr>
              <w:t>1、安全生产及文明施工保证措施，有得3分，无得0分；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 xml:space="preserve">2、根据本工程的安全文明施工目标，针对项目的特点，从安全文明施工管理体系、应急预案等方面提出详细的安全生产及文明施工保证措施。优得3分，良得1分，一般得0.5分。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default" w:ascii="宋体" w:hAnsi="宋体" w:cs="宋体"/>
                <w:color w:val="auto"/>
                <w:szCs w:val="21"/>
                <w:highlight w:val="none"/>
                <w:lang w:bidi="ar"/>
              </w:rPr>
            </w:pPr>
            <w:r>
              <w:rPr>
                <w:rFonts w:hint="eastAsia" w:ascii="宋体" w:hAnsi="宋体" w:cs="宋体"/>
                <w:color w:val="auto"/>
                <w:szCs w:val="21"/>
                <w:highlight w:val="none"/>
                <w:lang w:bidi="ar"/>
              </w:rPr>
              <w:t>质量控制</w:t>
            </w:r>
          </w:p>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措施</w:t>
            </w:r>
          </w:p>
        </w:tc>
        <w:tc>
          <w:tcPr>
            <w:tcW w:w="225"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default" w:ascii="宋体" w:hAnsi="宋体" w:cs="微软雅黑"/>
                <w:color w:val="auto"/>
                <w:szCs w:val="21"/>
                <w:highlight w:val="none"/>
                <w:lang w:val="en-US" w:bidi="ar"/>
              </w:rPr>
            </w:pPr>
            <w:r>
              <w:rPr>
                <w:rFonts w:hint="eastAsia" w:ascii="宋体" w:hAnsi="宋体" w:cs="微软雅黑"/>
                <w:color w:val="auto"/>
                <w:szCs w:val="21"/>
                <w:highlight w:val="none"/>
                <w:lang w:val="en-US" w:eastAsia="zh-CN" w:bidi="ar"/>
              </w:rPr>
              <w:t>6</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default" w:ascii="宋体" w:hAnsi="宋体" w:cs="宋体"/>
                <w:color w:val="auto"/>
                <w:szCs w:val="21"/>
                <w:highlight w:val="none"/>
                <w:lang w:bidi="ar"/>
              </w:rPr>
            </w:pPr>
            <w:r>
              <w:rPr>
                <w:rFonts w:hint="eastAsia" w:ascii="宋体" w:hAnsi="宋体" w:cs="宋体"/>
                <w:color w:val="auto"/>
                <w:szCs w:val="21"/>
                <w:highlight w:val="none"/>
                <w:lang w:bidi="ar"/>
              </w:rPr>
              <w:t>1、质量管理水平及保证措施，有得3分，无得0分；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lang w:bidi="ar"/>
              </w:rPr>
            </w:pPr>
            <w:r>
              <w:rPr>
                <w:rFonts w:hint="eastAsia" w:ascii="宋体" w:hAnsi="宋体" w:cs="宋体"/>
                <w:color w:val="auto"/>
                <w:szCs w:val="21"/>
                <w:highlight w:val="none"/>
                <w:lang w:bidi="ar"/>
              </w:rPr>
              <w:t>2、根据本工程的质量目标，针对项目的特点，从质量保证体系、材料的检测、质量通病的防治等方面提出详细的质量保证措施。优得3分，良得1分，一般得0.5分。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shd w:val="clear" w:color="auto" w:fill="auto"/>
            <w:vAlign w:val="center"/>
          </w:tcPr>
          <w:p>
            <w:pPr>
              <w:keepNext w:val="0"/>
              <w:keepLines w:val="0"/>
              <w:widowControl/>
              <w:suppressLineNumbers w:val="0"/>
              <w:snapToGrid w:val="0"/>
              <w:spacing w:before="0" w:beforeAutospacing="0" w:after="0" w:afterAutospacing="0" w:line="276" w:lineRule="auto"/>
              <w:ind w:left="0" w:right="0"/>
              <w:jc w:val="center"/>
              <w:rPr>
                <w:rFonts w:hint="default" w:ascii="宋体" w:hAnsi="宋体" w:cs="宋体"/>
                <w:color w:val="auto"/>
                <w:szCs w:val="21"/>
                <w:highlight w:val="none"/>
                <w:lang w:bidi="ar"/>
              </w:rPr>
            </w:pPr>
            <w:r>
              <w:rPr>
                <w:rFonts w:hint="eastAsia" w:ascii="宋体" w:hAnsi="宋体" w:cs="宋体"/>
                <w:color w:val="auto"/>
                <w:szCs w:val="21"/>
                <w:highlight w:val="none"/>
                <w:lang w:bidi="ar"/>
              </w:rPr>
              <w:t>进度控制</w:t>
            </w:r>
          </w:p>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措施</w:t>
            </w:r>
          </w:p>
        </w:tc>
        <w:tc>
          <w:tcPr>
            <w:tcW w:w="225" w:type="pct"/>
            <w:tcBorders>
              <w:top w:val="inset" w:color="auto" w:sz="6" w:space="0"/>
              <w:left w:val="single" w:color="auto" w:sz="8" w:space="0"/>
              <w:bottom w:val="inset" w:color="auto" w:sz="6" w:space="0"/>
              <w:right w:val="single" w:color="auto" w:sz="8" w:space="0"/>
            </w:tcBorders>
            <w:shd w:val="clear" w:color="auto" w:fill="auto"/>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lang w:bidi="ar"/>
              </w:rPr>
            </w:pPr>
            <w:r>
              <w:rPr>
                <w:rFonts w:hint="eastAsia" w:ascii="宋体" w:hAnsi="宋体" w:cs="微软雅黑"/>
                <w:color w:val="auto"/>
                <w:szCs w:val="21"/>
                <w:highlight w:val="none"/>
                <w:lang w:val="en-US" w:eastAsia="zh-CN" w:bidi="ar"/>
              </w:rPr>
              <w:t>7</w:t>
            </w:r>
          </w:p>
        </w:tc>
        <w:tc>
          <w:tcPr>
            <w:tcW w:w="4036"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line="276" w:lineRule="auto"/>
              <w:ind w:left="0" w:right="0"/>
              <w:rPr>
                <w:rFonts w:hint="default" w:ascii="宋体" w:hAnsi="宋体" w:cs="宋体"/>
                <w:color w:val="auto"/>
                <w:szCs w:val="21"/>
                <w:highlight w:val="none"/>
                <w:lang w:bidi="ar"/>
              </w:rPr>
            </w:pPr>
            <w:r>
              <w:rPr>
                <w:rFonts w:hint="eastAsia" w:ascii="宋体" w:hAnsi="宋体" w:cs="宋体"/>
                <w:color w:val="auto"/>
                <w:szCs w:val="21"/>
                <w:highlight w:val="none"/>
                <w:lang w:bidi="ar"/>
              </w:rPr>
              <w:t>1、工期及确保工期措施，有得3分，无得0分；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lang w:bidi="ar"/>
              </w:rPr>
            </w:pPr>
            <w:r>
              <w:rPr>
                <w:rFonts w:hint="eastAsia" w:ascii="宋体" w:hAnsi="宋体" w:cs="宋体"/>
                <w:color w:val="auto"/>
                <w:szCs w:val="21"/>
                <w:highlight w:val="none"/>
                <w:lang w:bidi="ar"/>
              </w:rPr>
              <w:t>2、分析准确、措施得当。针对项目特点编制施工总进度计划及工期保证措施，确保实现工程进度目标。优得4分，良得2分，一般得1分</w:t>
            </w:r>
            <w:r>
              <w:rPr>
                <w:rFonts w:hint="default" w:ascii="宋体" w:hAnsi="宋体" w:cs="宋体"/>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lang w:bidi="ar"/>
              </w:rPr>
            </w:pPr>
            <w:r>
              <w:rPr>
                <w:rFonts w:hint="default" w:ascii="宋体" w:hAnsi="宋体"/>
                <w:color w:val="auto"/>
                <w:highlight w:val="none"/>
              </w:rPr>
              <w:t>科技创新及保证措施</w:t>
            </w:r>
          </w:p>
        </w:tc>
        <w:tc>
          <w:tcPr>
            <w:tcW w:w="225"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微软雅黑"/>
                <w:color w:val="auto"/>
                <w:szCs w:val="21"/>
                <w:highlight w:val="none"/>
                <w:lang w:bidi="ar"/>
              </w:rPr>
            </w:pPr>
            <w:r>
              <w:rPr>
                <w:rFonts w:hint="eastAsia" w:ascii="宋体" w:hAnsi="宋体"/>
                <w:color w:val="auto"/>
                <w:highlight w:val="none"/>
                <w:lang w:val="en-US" w:eastAsia="zh-CN"/>
              </w:rPr>
              <w:t>7</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1、科技创新及保证措施，有得3分，无得0分；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lang w:bidi="ar"/>
              </w:rPr>
            </w:pPr>
            <w:r>
              <w:rPr>
                <w:rFonts w:hint="eastAsia" w:ascii="宋体" w:hAnsi="宋体"/>
                <w:color w:val="auto"/>
                <w:highlight w:val="none"/>
              </w:rPr>
              <w:t>2、根据本项目的情况，采用新技术的具体措施及应急预案，提出针对性的技术创新措施及采用新技术可能产生的风险预见充分。优得4分，良得2分，一般得1分</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line="276" w:lineRule="auto"/>
              <w:ind w:left="0" w:right="0"/>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rPr>
            </w:pPr>
            <w:r>
              <w:rPr>
                <w:rFonts w:hint="default" w:ascii="宋体" w:hAnsi="宋体"/>
                <w:color w:val="auto"/>
                <w:highlight w:val="none"/>
              </w:rPr>
              <w:t>投资控制</w:t>
            </w:r>
          </w:p>
        </w:tc>
        <w:tc>
          <w:tcPr>
            <w:tcW w:w="225" w:type="pct"/>
            <w:tcBorders>
              <w:top w:val="inset" w:color="auto" w:sz="6" w:space="0"/>
              <w:left w:val="single" w:color="auto" w:sz="8" w:space="0"/>
              <w:bottom w:val="inset" w:color="auto" w:sz="6" w:space="0"/>
              <w:right w:val="single" w:color="auto" w:sz="8" w:space="0"/>
            </w:tcBorders>
            <w:vAlign w:val="center"/>
          </w:tcPr>
          <w:p>
            <w:pPr>
              <w:keepNext w:val="0"/>
              <w:keepLines w:val="0"/>
              <w:widowControl/>
              <w:suppressLineNumbers w:val="0"/>
              <w:snapToGrid w:val="0"/>
              <w:spacing w:before="0" w:beforeAutospacing="0" w:after="0" w:afterAutospacing="0" w:line="276" w:lineRule="auto"/>
              <w:ind w:left="0" w:right="0"/>
              <w:jc w:val="center"/>
              <w:rPr>
                <w:rFonts w:hint="eastAsia" w:ascii="宋体" w:hAnsi="宋体" w:cs="宋体"/>
                <w:color w:val="auto"/>
                <w:szCs w:val="21"/>
                <w:highlight w:val="none"/>
              </w:rPr>
            </w:pPr>
            <w:r>
              <w:rPr>
                <w:rFonts w:hint="eastAsia" w:ascii="宋体" w:hAnsi="宋体"/>
                <w:color w:val="auto"/>
                <w:highlight w:val="none"/>
                <w:lang w:val="en-US" w:eastAsia="zh-CN"/>
              </w:rPr>
              <w:t>6</w:t>
            </w:r>
          </w:p>
        </w:tc>
        <w:tc>
          <w:tcPr>
            <w:tcW w:w="4036" w:type="pct"/>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投资控制措施，有得</w:t>
            </w:r>
            <w:r>
              <w:rPr>
                <w:rFonts w:hint="eastAsia" w:ascii="宋体" w:hAnsi="宋体"/>
                <w:color w:val="auto"/>
                <w:highlight w:val="none"/>
                <w:lang w:val="en-US" w:eastAsia="zh-CN"/>
              </w:rPr>
              <w:t>3</w:t>
            </w:r>
            <w:r>
              <w:rPr>
                <w:rFonts w:hint="eastAsia" w:ascii="宋体" w:hAnsi="宋体"/>
                <w:color w:val="auto"/>
                <w:highlight w:val="none"/>
              </w:rPr>
              <w:t>分，无得0分；</w:t>
            </w:r>
          </w:p>
          <w:p>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lang w:val="zh-TW"/>
              </w:rPr>
            </w:pPr>
            <w:r>
              <w:rPr>
                <w:rFonts w:hint="eastAsia" w:ascii="宋体" w:hAnsi="宋体"/>
                <w:color w:val="auto"/>
                <w:highlight w:val="none"/>
                <w:lang w:val="en-US" w:eastAsia="zh-CN"/>
              </w:rPr>
              <w:t>2.</w:t>
            </w:r>
            <w:r>
              <w:rPr>
                <w:rFonts w:hint="eastAsia" w:ascii="宋体" w:hAnsi="宋体"/>
                <w:color w:val="auto"/>
                <w:highlight w:val="none"/>
              </w:rPr>
              <w:t>建设过程中，能有效保证业主利益，有效降低业主风险所采取的措施。优得</w:t>
            </w:r>
            <w:r>
              <w:rPr>
                <w:rFonts w:hint="eastAsia" w:ascii="宋体" w:hAnsi="宋体"/>
                <w:color w:val="auto"/>
                <w:highlight w:val="none"/>
                <w:lang w:val="en-US" w:eastAsia="zh-CN"/>
              </w:rPr>
              <w:t>3</w:t>
            </w:r>
            <w:r>
              <w:rPr>
                <w:rFonts w:hint="eastAsia" w:ascii="宋体" w:hAnsi="宋体"/>
                <w:color w:val="auto"/>
                <w:highlight w:val="none"/>
              </w:rPr>
              <w:t>分，良得</w:t>
            </w:r>
            <w:r>
              <w:rPr>
                <w:rFonts w:hint="eastAsia" w:ascii="宋体" w:hAnsi="宋体"/>
                <w:color w:val="auto"/>
                <w:highlight w:val="none"/>
                <w:lang w:val="en-US" w:eastAsia="zh-CN"/>
              </w:rPr>
              <w:t>1</w:t>
            </w:r>
            <w:r>
              <w:rPr>
                <w:rFonts w:hint="eastAsia" w:ascii="宋体" w:hAnsi="宋体"/>
                <w:color w:val="auto"/>
                <w:highlight w:val="none"/>
              </w:rPr>
              <w:t>分，一般得</w:t>
            </w:r>
            <w:r>
              <w:rPr>
                <w:rFonts w:hint="eastAsia" w:ascii="宋体" w:hAnsi="宋体"/>
                <w:color w:val="auto"/>
                <w:highlight w:val="none"/>
                <w:lang w:val="en-US" w:eastAsia="zh-CN"/>
              </w:rPr>
              <w:t>0.5</w:t>
            </w:r>
            <w:r>
              <w:rPr>
                <w:rFonts w:hint="eastAsia" w:ascii="宋体" w:hAnsi="宋体"/>
                <w:color w:val="auto"/>
                <w:highlight w:val="none"/>
              </w:rPr>
              <w:t>分。</w:t>
            </w:r>
          </w:p>
        </w:tc>
      </w:tr>
    </w:tbl>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w:t>
      </w:r>
    </w:p>
    <w:p>
      <w:pPr>
        <w:spacing w:line="276" w:lineRule="auto"/>
        <w:ind w:firstLine="422"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rPr>
        <w:t>1.</w:t>
      </w:r>
      <w:r>
        <w:rPr>
          <w:rFonts w:hint="eastAsia" w:ascii="宋体" w:hAnsi="宋体" w:cs="宋体"/>
          <w:b/>
          <w:bCs/>
          <w:color w:val="auto"/>
          <w:szCs w:val="21"/>
          <w:highlight w:val="none"/>
          <w:lang w:bidi="ar"/>
        </w:rPr>
        <w:t>类似项目业绩</w:t>
      </w:r>
    </w:p>
    <w:p>
      <w:pPr>
        <w:ind w:firstLine="422" w:firstLineChars="200"/>
        <w:rPr>
          <w:rFonts w:hint="eastAsia" w:ascii="宋体" w:hAnsi="宋体" w:eastAsia="宋体" w:cs="宋体"/>
          <w:b/>
          <w:bCs/>
          <w:color w:val="auto"/>
          <w:highlight w:val="none"/>
          <w:lang w:eastAsia="zh-CN"/>
        </w:rPr>
      </w:pPr>
      <w:r>
        <w:rPr>
          <w:rFonts w:hint="eastAsia" w:ascii="宋体" w:hAnsi="宋体" w:cs="宋体"/>
          <w:b/>
          <w:bCs/>
          <w:color w:val="auto"/>
          <w:highlight w:val="none"/>
        </w:rPr>
        <w:t>1.1施工业绩</w:t>
      </w:r>
      <w:r>
        <w:rPr>
          <w:rFonts w:hint="eastAsia" w:ascii="宋体" w:hAnsi="宋体" w:cs="宋体"/>
          <w:b/>
          <w:bCs/>
          <w:color w:val="auto"/>
          <w:highlight w:val="none"/>
          <w:lang w:eastAsia="zh-CN"/>
        </w:rPr>
        <w:t>：</w:t>
      </w:r>
    </w:p>
    <w:p>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指工程中标价大于或等于</w:t>
      </w:r>
      <w:r>
        <w:rPr>
          <w:rFonts w:hint="eastAsia" w:ascii="宋体" w:hAnsi="宋体" w:cs="宋体"/>
          <w:color w:val="auto"/>
          <w:highlight w:val="none"/>
          <w:lang w:val="en-US" w:eastAsia="zh-CN"/>
        </w:rPr>
        <w:t>5</w:t>
      </w:r>
      <w:r>
        <w:rPr>
          <w:rFonts w:hint="eastAsia" w:ascii="宋体" w:hAnsi="宋体" w:cs="宋体"/>
          <w:color w:val="auto"/>
          <w:highlight w:val="none"/>
        </w:rPr>
        <w:t>0000万元的</w:t>
      </w:r>
      <w:r>
        <w:rPr>
          <w:rFonts w:ascii="宋体" w:hAnsi="Times New Roman" w:cs="Times New Roman"/>
          <w:color w:val="auto"/>
          <w:szCs w:val="21"/>
          <w:highlight w:val="none"/>
        </w:rPr>
        <w:t>房屋建筑工程施工总承包或工程总承包（</w:t>
      </w:r>
      <w:r>
        <w:rPr>
          <w:rFonts w:hint="eastAsia" w:ascii="宋体" w:hAnsi="Times New Roman" w:cs="Times New Roman"/>
          <w:color w:val="auto"/>
          <w:szCs w:val="21"/>
          <w:highlight w:val="none"/>
        </w:rPr>
        <w:t>工程总承包</w:t>
      </w:r>
      <w:r>
        <w:rPr>
          <w:rFonts w:ascii="宋体" w:hAnsi="Times New Roman" w:cs="Times New Roman"/>
          <w:color w:val="auto"/>
          <w:szCs w:val="21"/>
          <w:highlight w:val="none"/>
        </w:rPr>
        <w:t>包括</w:t>
      </w:r>
      <w:r>
        <w:rPr>
          <w:rFonts w:hint="eastAsia" w:ascii="宋体" w:hAnsi="Times New Roman" w:cs="Times New Roman"/>
          <w:color w:val="auto"/>
          <w:szCs w:val="21"/>
          <w:highlight w:val="none"/>
        </w:rPr>
        <w:t>但不限于</w:t>
      </w:r>
      <w:r>
        <w:rPr>
          <w:rFonts w:ascii="宋体" w:hAnsi="Times New Roman" w:cs="Times New Roman"/>
          <w:color w:val="auto"/>
          <w:szCs w:val="21"/>
          <w:highlight w:val="none"/>
        </w:rPr>
        <w:t>设计施工总承包或设计采购施工总承包或勘察设计施工总承包或勘察设计采购施工总承包等）</w:t>
      </w:r>
      <w:r>
        <w:rPr>
          <w:rFonts w:hint="eastAsia" w:ascii="宋体" w:hAnsi="Times New Roman" w:cs="Times New Roman"/>
          <w:color w:val="auto"/>
          <w:szCs w:val="21"/>
          <w:highlight w:val="none"/>
        </w:rPr>
        <w:t>或投资类（不限于PPP、ABO等）的施工部分</w:t>
      </w:r>
      <w:r>
        <w:rPr>
          <w:rFonts w:hint="eastAsia" w:ascii="宋体" w:hAnsi="宋体" w:cs="宋体"/>
          <w:color w:val="auto"/>
          <w:highlight w:val="none"/>
        </w:rPr>
        <w:t>。</w:t>
      </w:r>
    </w:p>
    <w:p>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金额以中标通知书为准，中标通知书上没有金额或免招标的，以施工合同（不含补充合同）为准，若合同内没有体现金额的，以竣工验收资料为准；</w:t>
      </w:r>
      <w:r>
        <w:rPr>
          <w:rFonts w:hint="eastAsia" w:ascii="宋体" w:hAnsi="宋体" w:cs="宋体"/>
          <w:b/>
          <w:bCs/>
          <w:color w:val="auto"/>
          <w:highlight w:val="none"/>
        </w:rPr>
        <w:t>须提供中标通知书（或免招标证明）、合同和竣工验收文件扫描件</w:t>
      </w:r>
      <w:r>
        <w:rPr>
          <w:rFonts w:hint="eastAsia" w:ascii="宋体" w:hAnsi="宋体" w:cs="宋体"/>
          <w:color w:val="auto"/>
          <w:highlight w:val="none"/>
        </w:rPr>
        <w:t>。</w:t>
      </w:r>
    </w:p>
    <w:p>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完成时间以竣工验收文件为准。验收文件至少具有建设单位、设计、施工和监理单位盖章。</w:t>
      </w:r>
    </w:p>
    <w:p>
      <w:pPr>
        <w:spacing w:line="276"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业绩：</w:t>
      </w:r>
    </w:p>
    <w:p>
      <w:pPr>
        <w:numPr>
          <w:ilvl w:val="0"/>
          <w:numId w:val="5"/>
        </w:numPr>
        <w:spacing w:line="276"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类似工程设计业绩指建筑总面积≧</w:t>
      </w:r>
      <w:r>
        <w:rPr>
          <w:rFonts w:hint="eastAsia" w:ascii="宋体" w:hAnsi="宋体" w:cs="宋体"/>
          <w:color w:val="auto"/>
          <w:szCs w:val="21"/>
          <w:highlight w:val="none"/>
          <w:lang w:val="en-US" w:eastAsia="zh-CN"/>
        </w:rPr>
        <w:t>18万</w:t>
      </w:r>
      <w:r>
        <w:rPr>
          <w:rFonts w:hint="eastAsia" w:ascii="宋体" w:hAnsi="宋体" w:cs="宋体"/>
          <w:color w:val="auto"/>
          <w:szCs w:val="21"/>
          <w:highlight w:val="none"/>
        </w:rPr>
        <w:t>平方米的建筑工程设计或勘察设计或工程总承包的设计部分（包括设计施工总承包或设计采购施工总承包或勘察设计施工总承包或勘察设计采购施工总承包等）</w:t>
      </w:r>
      <w:r>
        <w:rPr>
          <w:rFonts w:hint="eastAsia" w:ascii="宋体" w:hAnsi="宋体" w:cs="宋体"/>
          <w:color w:val="auto"/>
          <w:szCs w:val="21"/>
          <w:highlight w:val="none"/>
          <w:lang w:eastAsia="zh-CN"/>
        </w:rPr>
        <w:t>。</w:t>
      </w:r>
    </w:p>
    <w:p>
      <w:pPr>
        <w:numPr>
          <w:ilvl w:val="0"/>
          <w:numId w:val="5"/>
        </w:numPr>
        <w:spacing w:line="276"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en-US" w:eastAsia="zh-CN"/>
        </w:rPr>
        <w:t>设计业绩建设性质为新建（不含改建或微改造）</w:t>
      </w:r>
      <w:r>
        <w:rPr>
          <w:rFonts w:hint="eastAsia" w:ascii="宋体" w:hAnsi="宋体" w:cs="宋体"/>
          <w:color w:val="auto"/>
          <w:szCs w:val="21"/>
          <w:highlight w:val="none"/>
          <w:lang w:val="en-US" w:eastAsia="zh-CN"/>
        </w:rPr>
        <w:t>。</w:t>
      </w:r>
    </w:p>
    <w:p>
      <w:pPr>
        <w:spacing w:line="276"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提供合同</w:t>
      </w:r>
      <w:r>
        <w:rPr>
          <w:rFonts w:hint="eastAsia" w:ascii="宋体" w:hAnsi="宋体" w:cs="宋体"/>
          <w:color w:val="auto"/>
          <w:szCs w:val="21"/>
          <w:highlight w:val="none"/>
          <w:lang w:val="en-US" w:eastAsia="zh-CN"/>
        </w:rPr>
        <w:t>及中标通知书</w:t>
      </w:r>
      <w:r>
        <w:rPr>
          <w:rFonts w:hint="eastAsia" w:ascii="宋体" w:hAnsi="宋体" w:cs="宋体"/>
          <w:color w:val="auto"/>
          <w:szCs w:val="21"/>
          <w:highlight w:val="none"/>
        </w:rPr>
        <w:t>扫描件。时间以合同签订时间为准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项目建筑总面积以合同签订的面积为准</w:t>
      </w:r>
      <w:r>
        <w:rPr>
          <w:rFonts w:hint="eastAsia" w:ascii="宋体" w:hAnsi="宋体" w:cs="宋体"/>
          <w:color w:val="auto"/>
          <w:szCs w:val="21"/>
          <w:highlight w:val="none"/>
        </w:rPr>
        <w:t>。如上述资料未能体现相关指标，则须提供</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其他证明材料。</w:t>
      </w:r>
    </w:p>
    <w:p>
      <w:pPr>
        <w:spacing w:line="276" w:lineRule="auto"/>
        <w:ind w:firstLine="422" w:firstLineChars="200"/>
        <w:rPr>
          <w:rFonts w:hint="eastAsia" w:cs="宋体"/>
          <w:b/>
          <w:bCs/>
          <w:color w:val="auto"/>
          <w:sz w:val="21"/>
          <w:szCs w:val="24"/>
          <w:highlight w:val="none"/>
        </w:rPr>
      </w:pPr>
      <w:r>
        <w:rPr>
          <w:rFonts w:hint="eastAsia" w:cs="宋体"/>
          <w:b/>
          <w:bCs/>
          <w:color w:val="auto"/>
          <w:sz w:val="21"/>
          <w:szCs w:val="24"/>
          <w:highlight w:val="none"/>
        </w:rPr>
        <w:t>2.</w:t>
      </w:r>
      <w:r>
        <w:rPr>
          <w:rFonts w:hint="eastAsia"/>
          <w:color w:val="auto"/>
          <w:sz w:val="16"/>
          <w:highlight w:val="none"/>
        </w:rPr>
        <w:t xml:space="preserve"> </w:t>
      </w:r>
      <w:r>
        <w:rPr>
          <w:rFonts w:hint="eastAsia" w:cs="宋体"/>
          <w:b/>
          <w:bCs/>
          <w:color w:val="auto"/>
          <w:sz w:val="21"/>
          <w:szCs w:val="24"/>
          <w:highlight w:val="none"/>
        </w:rPr>
        <w:t>工程获奖：</w:t>
      </w:r>
    </w:p>
    <w:p>
      <w:pPr>
        <w:spacing w:line="276" w:lineRule="auto"/>
        <w:ind w:firstLine="422" w:firstLineChars="200"/>
        <w:rPr>
          <w:rFonts w:hint="eastAsia" w:ascii="宋体" w:hAnsi="宋体" w:cs="宋体"/>
          <w:color w:val="auto"/>
          <w:highlight w:val="none"/>
        </w:rPr>
      </w:pPr>
      <w:r>
        <w:rPr>
          <w:rFonts w:hint="eastAsia" w:ascii="宋体" w:hAnsi="宋体"/>
          <w:b/>
          <w:bCs/>
          <w:color w:val="auto"/>
          <w:highlight w:val="none"/>
        </w:rPr>
        <w:t>2.1</w:t>
      </w:r>
      <w:r>
        <w:rPr>
          <w:rFonts w:hint="eastAsia" w:ascii="宋体" w:hAnsi="宋体"/>
          <w:b/>
          <w:bCs/>
          <w:color w:val="auto"/>
          <w:highlight w:val="none"/>
          <w:lang w:val="en-US" w:eastAsia="zh-CN"/>
        </w:rPr>
        <w:t>施工获奖：</w:t>
      </w:r>
      <w:r>
        <w:rPr>
          <w:rFonts w:hint="eastAsia" w:ascii="宋体" w:hAnsi="宋体"/>
          <w:color w:val="auto"/>
          <w:highlight w:val="none"/>
          <w:lang w:val="en-US" w:eastAsia="zh-CN"/>
        </w:rPr>
        <w:t>提供获奖证书扫描件，时间以获奖证书发证时间为准，只计算承接项目包含共同承接项目，不含参建项目相同项目按最高级别奖项只计一次得分。国家级质量奖包括：鲁班奖或国家优质工程金质奖（金奖）或国家优质工程奖或中国土木工程詹天佑奖。省市级奖项是指由省市级建设行政主管部门或行业协会（或学会）颁发（行业协会（或学会）须在民政部门备案）的工程质量奖项，不包含优质结构奖。只计算房建类质量奖（不含参建），其他非房建项目，如：路桥、铁路、水利、电力、化工、冶金等获奖不参与计分。如颁发单位为行业协会（或学会）的，还须提供该协会（或学会）在“全国社会组织信用信息公示平台”已登记备案的查询信息截图页（网址：https://xxgs.chinanpo.mca.gov.cn/gsxt/newList）。</w:t>
      </w:r>
      <w:r>
        <w:rPr>
          <w:rFonts w:hint="eastAsia" w:ascii="宋体" w:hAnsi="宋体" w:cs="宋体"/>
          <w:color w:val="auto"/>
          <w:highlight w:val="none"/>
        </w:rPr>
        <w:t>。</w:t>
      </w:r>
    </w:p>
    <w:p>
      <w:pPr>
        <w:spacing w:line="276" w:lineRule="auto"/>
        <w:ind w:firstLine="420"/>
        <w:rPr>
          <w:rFonts w:hint="eastAsia" w:ascii="宋体" w:hAnsi="宋体" w:cs="宋体"/>
          <w:color w:val="auto"/>
          <w:highlight w:val="none"/>
        </w:rPr>
      </w:pPr>
      <w:r>
        <w:rPr>
          <w:rFonts w:hint="eastAsia" w:cs="宋体"/>
          <w:b/>
          <w:bCs/>
          <w:color w:val="auto"/>
          <w:szCs w:val="21"/>
          <w:highlight w:val="none"/>
          <w:lang w:val="en-US" w:eastAsia="zh-CN"/>
        </w:rPr>
        <w:t>2.2</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获奖：</w:t>
      </w:r>
      <w:r>
        <w:rPr>
          <w:rFonts w:hint="eastAsia" w:ascii="宋体" w:hAnsi="宋体" w:cs="宋体"/>
          <w:b w:val="0"/>
          <w:bCs w:val="0"/>
          <w:color w:val="auto"/>
          <w:szCs w:val="21"/>
          <w:highlight w:val="none"/>
        </w:rPr>
        <w:t>提供获奖证书扫描件，时间以获奖证书发证时间为准，相同项目按最高级别奖项只计一次得分。国家级奖项是指住建部颁发的全国优秀工程勘察设计奖、中国勘察设计协会颁发的全国优秀工程勘察设计行业奖。省市级奖项是指由省市级建设行政主管部门或行业协会（或学会）颁发（行业协会（或学会）须在民政部门备案）的优秀工程勘察设计奖。只计算房建类设计奖，其他非房建项目，如：路桥、铁路、水利、电力、化工、冶金等获奖不参与计分。如颁发单位为行业协会（或学会）的，还须提供该协会（或学会）在“全国社会组织信用信息公示平台”已登记备案的查询信息截图页（网址：https://xxgs.chinanpo.mca.gov.cn/gsxt/newList）</w:t>
      </w:r>
      <w:r>
        <w:rPr>
          <w:rFonts w:hint="eastAsia" w:ascii="宋体" w:hAnsi="宋体" w:cs="宋体"/>
          <w:b w:val="0"/>
          <w:bCs w:val="0"/>
          <w:color w:val="auto"/>
          <w:szCs w:val="22"/>
          <w:highlight w:val="none"/>
        </w:rPr>
        <w:t>。</w:t>
      </w:r>
    </w:p>
    <w:p>
      <w:pPr>
        <w:spacing w:line="276" w:lineRule="auto"/>
        <w:ind w:firstLine="422"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3.科技创新成果指标：</w:t>
      </w:r>
    </w:p>
    <w:p>
      <w:pPr>
        <w:pStyle w:val="32"/>
        <w:spacing w:after="0" w:line="276" w:lineRule="auto"/>
        <w:ind w:firstLineChars="200"/>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3.1施工科技创新成果指标</w:t>
      </w:r>
      <w:r>
        <w:rPr>
          <w:rFonts w:hint="eastAsia" w:ascii="宋体" w:hAnsi="宋体" w:cs="宋体"/>
          <w:b/>
          <w:bCs/>
          <w:color w:val="auto"/>
          <w:szCs w:val="21"/>
          <w:highlight w:val="none"/>
          <w:lang w:val="en-US" w:eastAsia="zh-CN"/>
        </w:rPr>
        <w:t>：</w:t>
      </w:r>
      <w:r>
        <w:rPr>
          <w:rFonts w:hint="eastAsia" w:ascii="宋体" w:hAnsi="宋体" w:eastAsia="宋体" w:cs="宋体"/>
          <w:color w:val="auto"/>
          <w:szCs w:val="21"/>
          <w:highlight w:val="none"/>
        </w:rPr>
        <w:t>证书须为省级或市级证书为省级或市级人民政府颁发或建设行政主管部门或省级或市级行业协会（或学会）颁发的科学技术进步奖或科技进步奖或科学技术奖项；须提供获奖证书扫描件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时间以获奖证书时间为准。</w:t>
      </w:r>
      <w:r>
        <w:rPr>
          <w:rFonts w:hint="eastAsia" w:ascii="宋体" w:hAnsi="宋体" w:cs="宋体"/>
          <w:color w:val="auto"/>
          <w:szCs w:val="21"/>
          <w:highlight w:val="none"/>
        </w:rPr>
        <w:t>如颁发单位为行业协会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或学会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的，还须提供该协会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或学会</w:t>
      </w:r>
      <w:r>
        <w:rPr>
          <w:rFonts w:hint="eastAsia" w:ascii="宋体" w:hAnsi="宋体" w:cs="宋体"/>
          <w:color w:val="auto"/>
          <w:szCs w:val="21"/>
          <w:highlight w:val="none"/>
          <w:lang w:eastAsia="zh-CN"/>
        </w:rPr>
        <w:t>）</w:t>
      </w:r>
      <w:r>
        <w:rPr>
          <w:rFonts w:hint="eastAsia" w:ascii="宋体" w:hAnsi="宋体" w:cs="宋体"/>
          <w:color w:val="auto"/>
          <w:szCs w:val="21"/>
          <w:highlight w:val="none"/>
        </w:rPr>
        <w:t>在“全国社会组织信用信息公示平台”</w:t>
      </w:r>
      <w:r>
        <w:rPr>
          <w:rFonts w:hint="eastAsia" w:ascii="宋体" w:hAnsi="宋体" w:cs="宋体"/>
          <w:color w:val="auto"/>
          <w:szCs w:val="21"/>
          <w:highlight w:val="none"/>
          <w:lang w:eastAsia="zh-CN"/>
        </w:rPr>
        <w:t>已登记</w:t>
      </w:r>
      <w:r>
        <w:rPr>
          <w:rFonts w:hint="eastAsia" w:ascii="宋体" w:hAnsi="宋体" w:cs="宋体"/>
          <w:color w:val="auto"/>
          <w:szCs w:val="21"/>
          <w:highlight w:val="none"/>
        </w:rPr>
        <w:t>备案的查询信息截图页（网址：</w:t>
      </w:r>
      <w:r>
        <w:rPr>
          <w:rFonts w:hint="eastAsia" w:ascii="宋体" w:hAnsi="宋体" w:cs="宋体"/>
          <w:color w:val="auto"/>
          <w:szCs w:val="21"/>
          <w:highlight w:val="none"/>
          <w:u w:val="none"/>
        </w:rPr>
        <w:t>https://xxgs.chinanpo.mca.gov.cn/gsxt/newList）。</w:t>
      </w:r>
    </w:p>
    <w:p>
      <w:pPr>
        <w:pStyle w:val="32"/>
        <w:spacing w:after="0" w:line="276" w:lineRule="auto"/>
        <w:ind w:firstLineChars="200"/>
        <w:rPr>
          <w:rFonts w:hint="eastAsia" w:ascii="宋体" w:hAnsi="宋体" w:eastAsia="宋体" w:cs="宋体"/>
          <w:color w:val="auto"/>
          <w:kern w:val="2"/>
          <w:sz w:val="21"/>
          <w:szCs w:val="21"/>
          <w:highlight w:val="none"/>
          <w:lang w:val="en-US" w:eastAsia="zh-CN" w:bidi="ar-SA"/>
        </w:rPr>
      </w:pPr>
      <w:r>
        <w:rPr>
          <w:rFonts w:hint="eastAsia"/>
          <w:b/>
          <w:bCs/>
          <w:color w:val="auto"/>
          <w:highlight w:val="none"/>
          <w:lang w:val="en-US" w:eastAsia="zh-CN"/>
        </w:rPr>
        <w:t>3.2设计科技创新成果指标：</w:t>
      </w:r>
      <w:r>
        <w:rPr>
          <w:rFonts w:hint="eastAsia" w:ascii="宋体" w:hAnsi="宋体" w:eastAsia="宋体" w:cs="宋体"/>
          <w:color w:val="auto"/>
          <w:szCs w:val="21"/>
          <w:highlight w:val="none"/>
          <w:lang w:val="en-US" w:eastAsia="zh-CN"/>
        </w:rPr>
        <w:t>证书须为省级或市级证书为省级或市级人民政府颁发或建设行政主管部门或省级或市级行业协会（或学会）颁发的科学技术进步奖或科技进步奖或科学技术奖项；须提供获奖证书扫描件，时间以获奖证书时间为准。同一技术项目获得多个奖项的，只按其中一个奖项所在最高级别计算一次分数，不得重复计算。如颁发单位为行业协会（或学会）的，还须提供该协会（或学会）在“全国社会组织信用信息公示平台”己登记备案的查询信息截图页（网址</w:t>
      </w:r>
      <w:r>
        <w:rPr>
          <w:rFonts w:hint="eastAsia" w:ascii="宋体" w:hAnsi="宋体" w:eastAsia="宋体" w:cs="宋体"/>
          <w:color w:val="auto"/>
          <w:szCs w:val="21"/>
          <w:highlight w:val="none"/>
        </w:rPr>
        <w:t>：https://xxgs.chinanpo.mca.gov.cn/gsxt/newList）。</w:t>
      </w:r>
    </w:p>
    <w:p>
      <w:pPr>
        <w:spacing w:line="276" w:lineRule="auto"/>
        <w:ind w:firstLine="422" w:firstLineChars="200"/>
        <w:rPr>
          <w:b/>
          <w:bCs/>
          <w:color w:val="auto"/>
          <w:highlight w:val="none"/>
        </w:rPr>
      </w:pPr>
      <w:r>
        <w:rPr>
          <w:rFonts w:hint="eastAsia"/>
          <w:b/>
          <w:bCs/>
          <w:color w:val="auto"/>
          <w:highlight w:val="none"/>
        </w:rPr>
        <w:t>4.第三方评价</w:t>
      </w:r>
    </w:p>
    <w:p>
      <w:pPr>
        <w:pStyle w:val="2"/>
        <w:rPr>
          <w:rFonts w:hint="eastAsia" w:cs="宋体"/>
          <w:color w:val="auto"/>
          <w:sz w:val="21"/>
          <w:szCs w:val="22"/>
          <w:highlight w:val="none"/>
          <w:lang w:val="en-US"/>
        </w:rPr>
      </w:pPr>
      <w:r>
        <w:rPr>
          <w:rFonts w:hint="eastAsia"/>
          <w:color w:val="auto"/>
          <w:highlight w:val="none"/>
        </w:rPr>
        <w:t xml:space="preserve">  </w:t>
      </w:r>
      <w:r>
        <w:rPr>
          <w:rFonts w:hint="eastAsia" w:cs="宋体"/>
          <w:color w:val="auto"/>
          <w:sz w:val="21"/>
          <w:szCs w:val="22"/>
          <w:highlight w:val="none"/>
          <w:lang w:val="en-US"/>
        </w:rPr>
        <w:t xml:space="preserve"> 纳税信用等级须在国家税务总局网站（http://hd.chinatax.gov.cn/nszx/InitCredit.html）或各省级税务局“纳税信用A级纳税人名单公布栏”上可查询，投标人提供上述网站公示网页相关信息截图并加盖投标单位电子印章。被评价单位必须为投标单位，且关联公司（含上级公司、子公司、分公司、控股及管理关系）的评价结果不予认可。不符合条件或未提供查询结果网页截图的不得分。时间以获奖年度（评价年度）为准。</w:t>
      </w:r>
    </w:p>
    <w:p>
      <w:pPr>
        <w:spacing w:line="276"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5.项目管理机构人员配备：</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5.1项目管理机构人员仅指注册在本公司的人员，不含子公司人员，如投标申请人为集团公司，则不含其集团下属的子公司人员。项目管理机构人员不能兼任，不重复计算得分。</w:t>
      </w:r>
    </w:p>
    <w:p>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项目管理机构人员须提供相对应提供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5.3</w:t>
      </w:r>
      <w:r>
        <w:rPr>
          <w:rFonts w:hint="eastAsia" w:ascii="宋体" w:hAnsi="宋体" w:cs="宋体"/>
          <w:color w:val="auto"/>
          <w:szCs w:val="21"/>
          <w:highlight w:val="none"/>
        </w:rPr>
        <w:t>所有人员应提供投标人（含分公司）为其缴纳的2025年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月社保证明材料扫描件。</w:t>
      </w:r>
    </w:p>
    <w:p>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6.若以联合体方式参与投标的，</w:t>
      </w:r>
      <w:r>
        <w:rPr>
          <w:rFonts w:hint="eastAsia" w:ascii="宋体" w:hAnsi="宋体" w:cs="宋体"/>
          <w:b/>
          <w:bCs/>
          <w:color w:val="auto"/>
          <w:highlight w:val="none"/>
        </w:rPr>
        <w:t>施工业绩</w:t>
      </w:r>
      <w:r>
        <w:rPr>
          <w:rFonts w:hint="eastAsia" w:ascii="宋体" w:hAnsi="宋体"/>
          <w:b/>
          <w:bCs/>
          <w:color w:val="auto"/>
          <w:szCs w:val="21"/>
          <w:highlight w:val="none"/>
        </w:rPr>
        <w:t>、</w:t>
      </w:r>
      <w:r>
        <w:rPr>
          <w:rFonts w:hint="eastAsia" w:ascii="宋体" w:hAnsi="宋体"/>
          <w:b/>
          <w:bCs/>
          <w:color w:val="auto"/>
          <w:highlight w:val="none"/>
          <w:lang w:val="en-US" w:eastAsia="zh-CN"/>
        </w:rPr>
        <w:t>施工获奖</w:t>
      </w:r>
      <w:r>
        <w:rPr>
          <w:rFonts w:hint="eastAsia" w:ascii="宋体" w:hAnsi="宋体"/>
          <w:b/>
          <w:bCs/>
          <w:color w:val="auto"/>
          <w:szCs w:val="21"/>
          <w:highlight w:val="none"/>
        </w:rPr>
        <w:t>、</w:t>
      </w:r>
      <w:r>
        <w:rPr>
          <w:rFonts w:hint="eastAsia" w:ascii="宋体" w:hAnsi="宋体" w:eastAsia="宋体" w:cs="宋体"/>
          <w:b/>
          <w:bCs/>
          <w:color w:val="auto"/>
          <w:szCs w:val="21"/>
          <w:highlight w:val="none"/>
          <w:lang w:val="en-US" w:eastAsia="zh-CN"/>
        </w:rPr>
        <w:t>施工科技创新成果指标</w:t>
      </w:r>
      <w:r>
        <w:rPr>
          <w:rFonts w:hint="eastAsia" w:ascii="宋体" w:hAnsi="宋体" w:cs="宋体"/>
          <w:b/>
          <w:bCs/>
          <w:color w:val="auto"/>
          <w:szCs w:val="21"/>
          <w:highlight w:val="none"/>
          <w:lang w:val="en-US" w:eastAsia="zh-CN"/>
        </w:rPr>
        <w:t>、施工第三方评价、</w:t>
      </w:r>
      <w:r>
        <w:rPr>
          <w:rFonts w:hint="eastAsia" w:ascii="宋体" w:hAnsi="宋体" w:cs="宋体"/>
          <w:b/>
          <w:bCs/>
          <w:color w:val="auto"/>
          <w:szCs w:val="21"/>
          <w:highlight w:val="none"/>
        </w:rPr>
        <w:t>项目管理机构的施工人员配备</w:t>
      </w:r>
      <w:r>
        <w:rPr>
          <w:rFonts w:hint="eastAsia" w:ascii="宋体" w:hAnsi="宋体"/>
          <w:b/>
          <w:bCs/>
          <w:color w:val="auto"/>
          <w:szCs w:val="21"/>
          <w:highlight w:val="none"/>
        </w:rPr>
        <w:t>的评分内容以联合体牵头方</w:t>
      </w:r>
      <w:r>
        <w:rPr>
          <w:rFonts w:hint="eastAsia" w:ascii="宋体" w:hAnsi="宋体"/>
          <w:b/>
          <w:bCs/>
          <w:color w:val="auto"/>
          <w:szCs w:val="21"/>
          <w:highlight w:val="none"/>
          <w:lang w:val="en-US" w:eastAsia="zh-CN"/>
        </w:rPr>
        <w:t>提供</w:t>
      </w:r>
      <w:r>
        <w:rPr>
          <w:rFonts w:hint="eastAsia" w:ascii="宋体" w:hAnsi="宋体"/>
          <w:b/>
          <w:bCs/>
          <w:color w:val="auto"/>
          <w:szCs w:val="21"/>
          <w:highlight w:val="none"/>
        </w:rPr>
        <w:t>信息</w:t>
      </w:r>
      <w:r>
        <w:rPr>
          <w:rFonts w:hint="eastAsia" w:ascii="宋体" w:hAnsi="宋体"/>
          <w:b/>
          <w:bCs/>
          <w:color w:val="auto"/>
          <w:szCs w:val="21"/>
          <w:highlight w:val="none"/>
          <w:lang w:val="en-US" w:eastAsia="zh-CN"/>
        </w:rPr>
        <w:t>资料</w:t>
      </w:r>
      <w:r>
        <w:rPr>
          <w:rFonts w:hint="eastAsia" w:ascii="宋体" w:hAnsi="宋体"/>
          <w:b/>
          <w:bCs/>
          <w:color w:val="auto"/>
          <w:szCs w:val="21"/>
          <w:highlight w:val="none"/>
        </w:rPr>
        <w:t>为准，其他成员单位不进行累计计分；</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业绩</w:t>
      </w:r>
      <w:r>
        <w:rPr>
          <w:rFonts w:hint="eastAsia" w:ascii="宋体" w:hAnsi="宋体"/>
          <w:b/>
          <w:bCs/>
          <w:color w:val="auto"/>
          <w:szCs w:val="21"/>
          <w:highlight w:val="none"/>
        </w:rPr>
        <w:t>、</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获奖</w:t>
      </w:r>
      <w:r>
        <w:rPr>
          <w:rFonts w:hint="eastAsia" w:ascii="宋体" w:hAnsi="宋体"/>
          <w:b/>
          <w:bCs/>
          <w:color w:val="auto"/>
          <w:szCs w:val="21"/>
          <w:highlight w:val="none"/>
        </w:rPr>
        <w:t>、</w:t>
      </w:r>
      <w:r>
        <w:rPr>
          <w:rFonts w:hint="eastAsia"/>
          <w:b/>
          <w:bCs/>
          <w:color w:val="auto"/>
          <w:highlight w:val="none"/>
          <w:lang w:val="en-US" w:eastAsia="zh-CN"/>
        </w:rPr>
        <w:t>设计科技创新成果指标、</w:t>
      </w:r>
      <w:r>
        <w:rPr>
          <w:rFonts w:hint="eastAsia" w:ascii="宋体" w:hAnsi="宋体" w:cs="宋体"/>
          <w:b/>
          <w:bCs/>
          <w:color w:val="auto"/>
          <w:szCs w:val="21"/>
          <w:highlight w:val="none"/>
          <w:lang w:val="en-US" w:eastAsia="zh-CN"/>
        </w:rPr>
        <w:t>设计第三方评价、</w:t>
      </w:r>
      <w:r>
        <w:rPr>
          <w:rFonts w:hint="eastAsia" w:ascii="宋体" w:hAnsi="宋体" w:cs="宋体"/>
          <w:b/>
          <w:bCs/>
          <w:color w:val="auto"/>
          <w:szCs w:val="21"/>
          <w:highlight w:val="none"/>
        </w:rPr>
        <w:t>项目管理机构的设计人员配备</w:t>
      </w:r>
      <w:r>
        <w:rPr>
          <w:rFonts w:hint="eastAsia" w:ascii="宋体" w:hAnsi="宋体"/>
          <w:b/>
          <w:bCs/>
          <w:color w:val="auto"/>
          <w:szCs w:val="21"/>
          <w:highlight w:val="none"/>
        </w:rPr>
        <w:t>的评分内容</w:t>
      </w:r>
      <w:r>
        <w:rPr>
          <w:rFonts w:hint="eastAsia" w:ascii="宋体" w:hAnsi="宋体"/>
          <w:b/>
          <w:bCs/>
          <w:color w:val="auto"/>
          <w:szCs w:val="21"/>
          <w:highlight w:val="none"/>
          <w:lang w:val="en-US" w:eastAsia="zh-CN"/>
        </w:rPr>
        <w:t>以设计方提供</w:t>
      </w:r>
      <w:r>
        <w:rPr>
          <w:rFonts w:hint="eastAsia" w:ascii="宋体" w:hAnsi="宋体"/>
          <w:b/>
          <w:bCs/>
          <w:color w:val="auto"/>
          <w:szCs w:val="21"/>
          <w:highlight w:val="none"/>
        </w:rPr>
        <w:t>信息</w:t>
      </w:r>
      <w:r>
        <w:rPr>
          <w:rFonts w:hint="eastAsia" w:ascii="宋体" w:hAnsi="宋体"/>
          <w:b/>
          <w:bCs/>
          <w:color w:val="auto"/>
          <w:szCs w:val="21"/>
          <w:highlight w:val="none"/>
          <w:lang w:val="en-US" w:eastAsia="zh-CN"/>
        </w:rPr>
        <w:t>资料</w:t>
      </w:r>
      <w:r>
        <w:rPr>
          <w:rFonts w:hint="eastAsia" w:ascii="宋体" w:hAnsi="宋体"/>
          <w:b/>
          <w:bCs/>
          <w:color w:val="auto"/>
          <w:szCs w:val="21"/>
          <w:highlight w:val="none"/>
        </w:rPr>
        <w:t>为准</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若存在多家设计单位，则以提供设计负责人的一方为准，</w:t>
      </w:r>
      <w:r>
        <w:rPr>
          <w:rFonts w:hint="eastAsia" w:ascii="宋体" w:hAnsi="宋体"/>
          <w:b/>
          <w:bCs/>
          <w:color w:val="auto"/>
          <w:szCs w:val="21"/>
          <w:highlight w:val="none"/>
        </w:rPr>
        <w:t>其他成员单位不进行累计计分</w:t>
      </w:r>
      <w:r>
        <w:rPr>
          <w:rFonts w:hint="eastAsia" w:ascii="宋体" w:hAnsi="宋体"/>
          <w:b/>
          <w:bCs/>
          <w:color w:val="auto"/>
          <w:szCs w:val="21"/>
          <w:highlight w:val="none"/>
          <w:lang w:eastAsia="zh-CN"/>
        </w:rPr>
        <w:t>；</w:t>
      </w:r>
      <w:r>
        <w:rPr>
          <w:rFonts w:hint="eastAsia" w:ascii="宋体" w:hAnsi="宋体"/>
          <w:b/>
          <w:bCs/>
          <w:color w:val="auto"/>
          <w:szCs w:val="21"/>
          <w:highlight w:val="none"/>
        </w:rPr>
        <w:t>项目管理机构的勘察人员配备情况</w:t>
      </w:r>
      <w:r>
        <w:rPr>
          <w:rFonts w:hint="eastAsia" w:ascii="宋体" w:hAnsi="宋体"/>
          <w:b/>
          <w:bCs/>
          <w:color w:val="auto"/>
          <w:szCs w:val="21"/>
          <w:highlight w:val="none"/>
          <w:lang w:val="en-US" w:eastAsia="zh-CN"/>
        </w:rPr>
        <w:t>以承担勘察任务的一方提供</w:t>
      </w:r>
      <w:r>
        <w:rPr>
          <w:rFonts w:hint="eastAsia" w:ascii="宋体" w:hAnsi="宋体"/>
          <w:b/>
          <w:bCs/>
          <w:color w:val="auto"/>
          <w:szCs w:val="21"/>
          <w:highlight w:val="none"/>
        </w:rPr>
        <w:t>信息</w:t>
      </w:r>
      <w:r>
        <w:rPr>
          <w:rFonts w:hint="eastAsia" w:ascii="宋体" w:hAnsi="宋体"/>
          <w:b/>
          <w:bCs/>
          <w:color w:val="auto"/>
          <w:szCs w:val="21"/>
          <w:highlight w:val="none"/>
          <w:lang w:val="en-US" w:eastAsia="zh-CN"/>
        </w:rPr>
        <w:t>资料</w:t>
      </w:r>
      <w:r>
        <w:rPr>
          <w:rFonts w:hint="eastAsia" w:ascii="宋体" w:hAnsi="宋体"/>
          <w:b/>
          <w:bCs/>
          <w:color w:val="auto"/>
          <w:szCs w:val="21"/>
          <w:highlight w:val="none"/>
        </w:rPr>
        <w:t>为准</w:t>
      </w:r>
      <w:r>
        <w:rPr>
          <w:rFonts w:hint="eastAsia" w:ascii="宋体" w:hAnsi="宋体"/>
          <w:b/>
          <w:bCs/>
          <w:color w:val="auto"/>
          <w:szCs w:val="21"/>
          <w:highlight w:val="non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pPr>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.所有评委分数汇总后的算术平均值为投标人的最终得分。分数出现小数点，保留小数点后两位小数，第三位小数四舍五入。投标人满足多个档次的，按最高档得分。</w:t>
      </w:r>
    </w:p>
    <w:p>
      <w:pPr>
        <w:spacing w:line="360" w:lineRule="auto"/>
        <w:ind w:firstLine="420" w:firstLineChars="200"/>
        <w:rPr>
          <w:color w:val="auto"/>
          <w:szCs w:val="21"/>
          <w:highlight w:val="none"/>
        </w:rPr>
      </w:pPr>
      <w:r>
        <w:rPr>
          <w:rFonts w:hint="eastAsia"/>
          <w:color w:val="auto"/>
          <w:szCs w:val="21"/>
          <w:highlight w:val="none"/>
          <w:lang w:val="en-US" w:eastAsia="zh-CN"/>
        </w:rPr>
        <w:t>9</w:t>
      </w:r>
      <w:r>
        <w:rPr>
          <w:rFonts w:hint="eastAsia"/>
          <w:color w:val="auto"/>
          <w:szCs w:val="21"/>
          <w:highlight w:val="none"/>
        </w:rPr>
        <w:t>.中标单位需准备投标文件涉及的所有原件待查，如原件不齐或与原件不符的，招标人有权取消其中标人资格，并上报建设行政主管部门。</w:t>
      </w:r>
    </w:p>
    <w:p>
      <w:pPr>
        <w:rPr>
          <w:rFonts w:hint="eastAsia" w:ascii="宋体" w:hAnsi="宋体"/>
          <w:color w:val="auto"/>
          <w:highlight w:val="none"/>
        </w:rPr>
      </w:pPr>
    </w:p>
    <w:p>
      <w:pPr>
        <w:rPr>
          <w:rFonts w:hint="eastAsia" w:ascii="宋体" w:hAnsi="宋体"/>
          <w:color w:val="auto"/>
          <w:highlight w:val="none"/>
          <w:lang w:val="en-US" w:eastAsia="zh-CN"/>
        </w:rPr>
      </w:pPr>
      <w:r>
        <w:rPr>
          <w:rFonts w:hint="eastAsia" w:ascii="宋体" w:hAnsi="宋体"/>
          <w:color w:val="auto"/>
          <w:highlight w:val="none"/>
        </w:rPr>
        <w:t>评委签名：</w:t>
      </w:r>
      <w:r>
        <w:rPr>
          <w:rFonts w:ascii="宋体" w:hAnsi="宋体"/>
          <w:color w:val="auto"/>
          <w:highlight w:val="none"/>
        </w:rPr>
        <w:t xml:space="preserve">                                                 </w:t>
      </w:r>
      <w:r>
        <w:rPr>
          <w:rFonts w:hint="eastAsia" w:ascii="宋体" w:hAnsi="宋体"/>
          <w:color w:val="auto"/>
          <w:highlight w:val="none"/>
        </w:rPr>
        <w:t>日期：</w:t>
      </w: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日</w:t>
      </w:r>
    </w:p>
    <w:p>
      <w:pPr>
        <w:rPr>
          <w:rFonts w:hint="eastAsia" w:ascii="宋体" w:hAnsi="宋体" w:cs="宋体"/>
          <w:b/>
          <w:color w:val="auto"/>
          <w:kern w:val="1"/>
          <w:sz w:val="24"/>
          <w:highlight w:val="none"/>
        </w:rPr>
      </w:pPr>
      <w:r>
        <w:rPr>
          <w:rFonts w:hint="eastAsia" w:ascii="宋体" w:hAnsi="宋体"/>
          <w:color w:val="auto"/>
          <w:highlight w:val="none"/>
          <w:lang w:val="en-US" w:eastAsia="zh-CN"/>
        </w:rPr>
        <w:br w:type="column"/>
      </w:r>
      <w:r>
        <w:rPr>
          <w:rFonts w:hint="eastAsia"/>
          <w:color w:val="auto"/>
          <w:highlight w:val="none"/>
        </w:rPr>
        <w:t>附件3</w:t>
      </w:r>
    </w:p>
    <w:p>
      <w:pPr>
        <w:spacing w:after="240"/>
        <w:jc w:val="center"/>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勘察、</w:t>
      </w:r>
      <w:r>
        <w:rPr>
          <w:rFonts w:hint="eastAsia" w:ascii="宋体" w:hAnsi="宋体" w:cs="宋体"/>
          <w:b/>
          <w:bCs/>
          <w:color w:val="auto"/>
          <w:sz w:val="24"/>
          <w:highlight w:val="none"/>
        </w:rPr>
        <w:t>设计人员配置基本要求表</w:t>
      </w:r>
    </w:p>
    <w:tbl>
      <w:tblPr>
        <w:tblStyle w:val="34"/>
        <w:tblW w:w="11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003"/>
        <w:gridCol w:w="1275"/>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专业分工</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人员数量</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1</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设计负责人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设计技术负责人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具有一级注册建筑师执业资格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建筑专业负责人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具有一级注册建筑师执业资格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结构专业负责人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具有一级注册结构工程师执业资格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给排水专业负责人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具有注册设备工程师（给排水）执业资格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电气专业负责人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具有注册电气工程师执业资格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智能化专业负责人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具有注册电气工程师执业资格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200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暖通专业负责人</w:t>
            </w:r>
          </w:p>
        </w:tc>
        <w:tc>
          <w:tcPr>
            <w:tcW w:w="1275"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7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具有注册公用设备工程师（暖通空调）执业资格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00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基坑专业负责人</w:t>
            </w:r>
          </w:p>
        </w:tc>
        <w:tc>
          <w:tcPr>
            <w:tcW w:w="12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1</w:t>
            </w:r>
          </w:p>
        </w:tc>
        <w:tc>
          <w:tcPr>
            <w:tcW w:w="81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具有注册土木工程师（岩土）执业资格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00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造价专业负责人</w:t>
            </w:r>
          </w:p>
        </w:tc>
        <w:tc>
          <w:tcPr>
            <w:tcW w:w="12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w:t>
            </w:r>
          </w:p>
        </w:tc>
        <w:tc>
          <w:tcPr>
            <w:tcW w:w="81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具有一级注册造价工程师执业资格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200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园林专业负责人</w:t>
            </w:r>
          </w:p>
        </w:tc>
        <w:tc>
          <w:tcPr>
            <w:tcW w:w="1275"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w:t>
            </w:r>
          </w:p>
        </w:tc>
        <w:tc>
          <w:tcPr>
            <w:tcW w:w="81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园林绿化或</w:t>
            </w:r>
            <w:r>
              <w:rPr>
                <w:rFonts w:hint="eastAsia" w:ascii="宋体" w:hAnsi="宋体" w:cs="宋体"/>
                <w:color w:val="auto"/>
                <w:szCs w:val="21"/>
                <w:highlight w:val="none"/>
              </w:rPr>
              <w:t>风景园林</w:t>
            </w:r>
            <w:r>
              <w:rPr>
                <w:rFonts w:hint="eastAsia" w:ascii="宋体" w:hAnsi="宋体" w:cs="宋体"/>
                <w:color w:val="auto"/>
                <w:szCs w:val="21"/>
                <w:highlight w:val="none"/>
                <w:lang w:val="en-US" w:eastAsia="zh-CN"/>
              </w:rPr>
              <w:t>相关专业中</w:t>
            </w:r>
            <w:r>
              <w:rPr>
                <w:rFonts w:hint="eastAsia" w:ascii="宋体" w:hAnsi="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200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装修专业负责人</w:t>
            </w:r>
          </w:p>
        </w:tc>
        <w:tc>
          <w:tcPr>
            <w:tcW w:w="1275"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w:t>
            </w:r>
          </w:p>
        </w:tc>
        <w:tc>
          <w:tcPr>
            <w:tcW w:w="81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具有建筑装饰</w:t>
            </w:r>
            <w:r>
              <w:rPr>
                <w:rFonts w:hint="eastAsia" w:ascii="宋体" w:hAnsi="宋体" w:cs="宋体"/>
                <w:color w:val="auto"/>
                <w:szCs w:val="21"/>
                <w:highlight w:val="none"/>
                <w:lang w:val="en-US" w:eastAsia="zh-CN"/>
              </w:rPr>
              <w:t>相关专业中</w:t>
            </w:r>
            <w:r>
              <w:rPr>
                <w:rFonts w:hint="eastAsia" w:ascii="宋体" w:hAnsi="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200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专业负责人</w:t>
            </w:r>
          </w:p>
        </w:tc>
        <w:tc>
          <w:tcPr>
            <w:tcW w:w="12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w:t>
            </w:r>
          </w:p>
        </w:tc>
        <w:tc>
          <w:tcPr>
            <w:tcW w:w="81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具有注册土木工程师（岩土）执业资格</w:t>
            </w:r>
          </w:p>
        </w:tc>
      </w:tr>
    </w:tbl>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备注：以上拟派人员不得重复兼任。如联合体投标的，勘察负责人由联合体勘察单位提供，其余人员由联合体设计单位提供。</w:t>
      </w:r>
    </w:p>
    <w:p>
      <w:pPr>
        <w:pStyle w:val="2"/>
        <w:rPr>
          <w:rFonts w:hint="eastAsia"/>
          <w:color w:val="auto"/>
          <w:highlight w:val="none"/>
        </w:rPr>
        <w:sectPr>
          <w:headerReference r:id="rId13" w:type="default"/>
          <w:footerReference r:id="rId14" w:type="default"/>
          <w:pgSz w:w="16840" w:h="11907" w:orient="landscape"/>
          <w:pgMar w:top="1304" w:right="1361" w:bottom="1304" w:left="1304" w:header="851" w:footer="720" w:gutter="0"/>
          <w:cols w:space="0" w:num="1"/>
        </w:sectPr>
      </w:pPr>
    </w:p>
    <w:p>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附表4</w:t>
      </w:r>
    </w:p>
    <w:p>
      <w:pPr>
        <w:spacing w:before="120" w:line="360" w:lineRule="auto"/>
        <w:jc w:val="center"/>
        <w:rPr>
          <w:rFonts w:hint="eastAsia" w:ascii="宋体" w:hAnsi="宋体" w:cs="宋体"/>
          <w:b/>
          <w:color w:val="auto"/>
          <w:kern w:val="1"/>
          <w:sz w:val="28"/>
          <w:szCs w:val="28"/>
          <w:highlight w:val="none"/>
        </w:rPr>
      </w:pPr>
      <w:bookmarkStart w:id="388" w:name="_Hlk69827077"/>
      <w:r>
        <w:rPr>
          <w:rFonts w:hint="eastAsia" w:ascii="宋体" w:hAnsi="宋体" w:cs="宋体"/>
          <w:b/>
          <w:color w:val="auto"/>
          <w:kern w:val="1"/>
          <w:sz w:val="28"/>
          <w:szCs w:val="28"/>
          <w:highlight w:val="none"/>
        </w:rPr>
        <w:t>工程费</w:t>
      </w:r>
      <w:bookmarkEnd w:id="388"/>
      <w:r>
        <w:rPr>
          <w:rFonts w:hint="eastAsia" w:ascii="宋体" w:hAnsi="宋体" w:cs="宋体"/>
          <w:b/>
          <w:color w:val="auto"/>
          <w:kern w:val="1"/>
          <w:sz w:val="28"/>
          <w:szCs w:val="28"/>
          <w:highlight w:val="none"/>
        </w:rPr>
        <w:t>投标报价综合评分表</w:t>
      </w:r>
    </w:p>
    <w:p>
      <w:pPr>
        <w:spacing w:line="360" w:lineRule="auto"/>
        <w:jc w:val="left"/>
        <w:rPr>
          <w:rFonts w:hint="eastAsia" w:ascii="宋体" w:hAnsi="宋体" w:cs="宋体"/>
          <w:color w:val="auto"/>
          <w:kern w:val="1"/>
          <w:highlight w:val="none"/>
        </w:rPr>
      </w:pPr>
      <w:r>
        <w:rPr>
          <w:rFonts w:hint="eastAsia" w:ascii="宋体" w:hAnsi="宋体" w:cs="宋体"/>
          <w:color w:val="auto"/>
          <w:kern w:val="1"/>
          <w:highlight w:val="none"/>
        </w:rPr>
        <w:t>工程名称：</w:t>
      </w:r>
    </w:p>
    <w:tbl>
      <w:tblPr>
        <w:tblStyle w:val="34"/>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rPr>
                <w:rFonts w:hint="eastAsia" w:ascii="宋体" w:hAnsi="宋体" w:cs="宋体"/>
                <w:color w:val="auto"/>
                <w:kern w:val="1"/>
                <w:sz w:val="24"/>
                <w:highlight w:val="none"/>
              </w:rPr>
            </w:pPr>
            <w:r>
              <w:rPr>
                <w:rFonts w:hint="eastAsia" w:ascii="宋体" w:hAnsi="宋体" w:cs="宋体"/>
                <w:color w:val="auto"/>
                <w:kern w:val="1"/>
                <w:sz w:val="24"/>
                <w:highlight w:val="none"/>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rPr>
                <w:rFonts w:hint="eastAsia"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jc w:val="left"/>
              <w:rPr>
                <w:rFonts w:hint="eastAsia" w:ascii="宋体" w:hAnsi="宋体" w:cs="宋体"/>
                <w:color w:val="auto"/>
                <w:kern w:val="1"/>
                <w:sz w:val="24"/>
                <w:highlight w:val="none"/>
              </w:rPr>
            </w:pPr>
            <w:r>
              <w:rPr>
                <w:rFonts w:hint="eastAsia" w:ascii="宋体" w:hAnsi="宋体" w:cs="宋体"/>
                <w:color w:val="auto"/>
                <w:kern w:val="1"/>
                <w:sz w:val="24"/>
                <w:highlight w:val="none"/>
              </w:rPr>
              <w:t>评标基准价（PC）：</w:t>
            </w: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rPr>
                <w:rFonts w:hint="eastAsia"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rPr>
                <w:rFonts w:hint="eastAsia"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rPr>
                <w:rFonts w:hint="eastAsia"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0" w:right="0"/>
              <w:rPr>
                <w:rFonts w:hint="eastAsia"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s>
              <w:spacing w:before="0" w:beforeAutospacing="0" w:after="0" w:afterAutospacing="0" w:line="360" w:lineRule="auto"/>
              <w:ind w:left="563" w:right="0" w:hanging="84"/>
              <w:rPr>
                <w:rFonts w:hint="eastAsia" w:ascii="宋体" w:hAnsi="宋体" w:cs="宋体"/>
                <w:color w:val="auto"/>
                <w:kern w:val="1"/>
                <w:sz w:val="24"/>
                <w:highlight w:val="none"/>
              </w:rPr>
            </w:pPr>
          </w:p>
        </w:tc>
      </w:tr>
    </w:tbl>
    <w:p>
      <w:pPr>
        <w:spacing w:line="360" w:lineRule="auto"/>
        <w:rPr>
          <w:rFonts w:hint="eastAsia" w:ascii="宋体" w:hAnsi="宋体" w:cs="宋体"/>
          <w:color w:val="auto"/>
          <w:kern w:val="1"/>
          <w:szCs w:val="21"/>
          <w:highlight w:val="none"/>
        </w:rPr>
        <w:sectPr>
          <w:pgSz w:w="11907" w:h="16840"/>
          <w:pgMar w:top="1361" w:right="1304" w:bottom="1304" w:left="1304" w:header="851" w:footer="720" w:gutter="0"/>
          <w:cols w:space="0" w:num="1"/>
        </w:sectPr>
      </w:pPr>
      <w:r>
        <w:rPr>
          <w:rFonts w:hint="eastAsia" w:ascii="宋体" w:hAnsi="宋体" w:cs="宋体"/>
          <w:color w:val="auto"/>
          <w:kern w:val="1"/>
          <w:szCs w:val="21"/>
          <w:highlight w:val="none"/>
        </w:rPr>
        <w:t>评委签名：                  日期：</w:t>
      </w:r>
    </w:p>
    <w:p>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附表5</w:t>
      </w:r>
    </w:p>
    <w:p>
      <w:pPr>
        <w:spacing w:before="120" w:line="360" w:lineRule="auto"/>
        <w:jc w:val="center"/>
        <w:rPr>
          <w:rFonts w:hint="eastAsia" w:ascii="宋体" w:hAnsi="宋体" w:cs="宋体"/>
          <w:b/>
          <w:color w:val="auto"/>
          <w:kern w:val="1"/>
          <w:sz w:val="28"/>
          <w:szCs w:val="28"/>
          <w:highlight w:val="none"/>
        </w:rPr>
      </w:pPr>
      <w:bookmarkStart w:id="389" w:name="_Hlk69827118"/>
      <w:r>
        <w:rPr>
          <w:rFonts w:hint="eastAsia" w:ascii="宋体" w:hAnsi="宋体" w:cs="宋体"/>
          <w:b/>
          <w:color w:val="auto"/>
          <w:kern w:val="1"/>
          <w:sz w:val="28"/>
          <w:szCs w:val="28"/>
          <w:highlight w:val="none"/>
        </w:rPr>
        <w:t>工程费投标报价</w:t>
      </w:r>
      <w:bookmarkEnd w:id="389"/>
      <w:r>
        <w:rPr>
          <w:rFonts w:hint="eastAsia" w:ascii="宋体" w:hAnsi="宋体" w:cs="宋体"/>
          <w:b/>
          <w:color w:val="auto"/>
          <w:kern w:val="1"/>
          <w:sz w:val="28"/>
          <w:szCs w:val="28"/>
          <w:highlight w:val="none"/>
        </w:rPr>
        <w:t>算术复核表</w:t>
      </w:r>
    </w:p>
    <w:p>
      <w:pPr>
        <w:spacing w:line="360" w:lineRule="auto"/>
        <w:ind w:firstLine="420" w:firstLineChars="200"/>
        <w:jc w:val="left"/>
        <w:rPr>
          <w:rFonts w:hint="eastAsia" w:ascii="宋体" w:hAnsi="宋体" w:cs="宋体"/>
          <w:color w:val="auto"/>
          <w:kern w:val="1"/>
          <w:highlight w:val="none"/>
        </w:rPr>
      </w:pPr>
      <w:r>
        <w:rPr>
          <w:rFonts w:hint="eastAsia" w:ascii="宋体" w:hAnsi="宋体" w:cs="宋体"/>
          <w:color w:val="auto"/>
          <w:kern w:val="1"/>
          <w:highlight w:val="none"/>
        </w:rPr>
        <w:t>项目名称：</w:t>
      </w:r>
    </w:p>
    <w:tbl>
      <w:tblPr>
        <w:tblStyle w:val="34"/>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szCs w:val="24"/>
                <w:highlight w:val="none"/>
              </w:rPr>
            </w:pPr>
          </w:p>
        </w:tc>
      </w:tr>
    </w:tbl>
    <w:p>
      <w:pPr>
        <w:spacing w:line="360" w:lineRule="auto"/>
        <w:rPr>
          <w:rFonts w:hint="eastAsia" w:ascii="宋体" w:hAnsi="宋体" w:cs="宋体"/>
          <w:b/>
          <w:color w:val="auto"/>
          <w:kern w:val="1"/>
          <w:sz w:val="24"/>
          <w:szCs w:val="24"/>
          <w:highlight w:val="none"/>
        </w:rPr>
      </w:pPr>
    </w:p>
    <w:p>
      <w:pPr>
        <w:spacing w:line="360" w:lineRule="auto"/>
        <w:rPr>
          <w:rFonts w:hint="eastAsia"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pPr>
        <w:spacing w:line="360" w:lineRule="auto"/>
        <w:rPr>
          <w:rFonts w:hint="eastAsia" w:ascii="宋体" w:hAnsi="宋体" w:cs="宋体"/>
          <w:color w:val="auto"/>
          <w:kern w:val="1"/>
          <w:sz w:val="24"/>
          <w:highlight w:val="none"/>
        </w:rPr>
      </w:pPr>
    </w:p>
    <w:p>
      <w:pPr>
        <w:spacing w:line="360" w:lineRule="auto"/>
        <w:rPr>
          <w:rFonts w:hint="eastAsia" w:ascii="宋体" w:hAnsi="宋体" w:cs="宋体"/>
          <w:color w:val="auto"/>
          <w:kern w:val="1"/>
          <w:szCs w:val="21"/>
          <w:highlight w:val="none"/>
        </w:rPr>
        <w:sectPr>
          <w:headerReference r:id="rId15" w:type="default"/>
          <w:footerReference r:id="rId16" w:type="default"/>
          <w:pgSz w:w="16840" w:h="11907" w:orient="landscape"/>
          <w:pgMar w:top="1304" w:right="1361" w:bottom="1304" w:left="1304" w:header="851" w:footer="720" w:gutter="0"/>
          <w:cols w:space="0" w:num="1"/>
        </w:sectPr>
      </w:pPr>
    </w:p>
    <w:p>
      <w:pPr>
        <w:pStyle w:val="3"/>
        <w:spacing w:line="360" w:lineRule="auto"/>
        <w:jc w:val="center"/>
        <w:rPr>
          <w:rFonts w:hint="eastAsia" w:ascii="宋体" w:hAnsi="宋体" w:cs="宋体"/>
          <w:color w:val="auto"/>
          <w:kern w:val="1"/>
          <w:highlight w:val="none"/>
        </w:rPr>
      </w:pPr>
      <w:bookmarkStart w:id="390" w:name="_Toc25769"/>
      <w:bookmarkEnd w:id="390"/>
      <w:bookmarkStart w:id="391" w:name="_Toc5620359"/>
      <w:bookmarkStart w:id="392" w:name="_Toc16039"/>
      <w:r>
        <w:rPr>
          <w:rFonts w:hint="eastAsia" w:ascii="宋体" w:hAnsi="宋体" w:cs="宋体"/>
          <w:color w:val="auto"/>
          <w:kern w:val="1"/>
          <w:highlight w:val="none"/>
        </w:rPr>
        <w:t>第四章 合同条款及格式</w:t>
      </w:r>
      <w:bookmarkEnd w:id="391"/>
      <w:bookmarkEnd w:id="392"/>
    </w:p>
    <w:p>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pPr>
        <w:pStyle w:val="2"/>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pPr>
        <w:pStyle w:val="3"/>
        <w:spacing w:line="360" w:lineRule="auto"/>
        <w:jc w:val="center"/>
        <w:rPr>
          <w:color w:val="auto"/>
          <w:highlight w:val="none"/>
        </w:rPr>
      </w:pPr>
      <w:bookmarkStart w:id="393" w:name="_Toc16641"/>
      <w:r>
        <w:rPr>
          <w:rFonts w:hint="eastAsia"/>
          <w:color w:val="auto"/>
          <w:highlight w:val="none"/>
        </w:rPr>
        <w:t>第五章 招标人要求</w:t>
      </w:r>
      <w:bookmarkEnd w:id="393"/>
    </w:p>
    <w:p>
      <w:pPr>
        <w:tabs>
          <w:tab w:val="left" w:pos="573"/>
        </w:tabs>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1、勘察设计任务书（另册）</w:t>
      </w:r>
    </w:p>
    <w:p>
      <w:pPr>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2、施工要求：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施工现场建筑垃圾源头减量的具体要求和建筑垃圾综合利用产品的使用要求：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tabs>
          <w:tab w:val="left" w:pos="573"/>
        </w:tabs>
        <w:spacing w:line="360" w:lineRule="auto"/>
        <w:ind w:firstLine="480" w:firstLineChars="200"/>
        <w:rPr>
          <w:rFonts w:ascii="方正小标宋简体" w:hAnsi="Arial" w:eastAsia="方正小标宋简体"/>
          <w:b/>
          <w:bCs/>
          <w:color w:val="auto"/>
          <w:sz w:val="36"/>
          <w:szCs w:val="36"/>
          <w:highlight w:val="none"/>
        </w:rPr>
      </w:pPr>
      <w:r>
        <w:rPr>
          <w:rFonts w:hint="eastAsia" w:ascii="宋体" w:hAnsi="宋体" w:cs="宋体"/>
          <w:color w:val="auto"/>
          <w:sz w:val="24"/>
          <w:szCs w:val="24"/>
          <w:highlight w:val="none"/>
        </w:rPr>
        <w:t>7.建设单位和施工单位严格遵守并执行《广东省建筑垃圾管理条例》。</w:t>
      </w:r>
    </w:p>
    <w:p>
      <w:pPr>
        <w:pStyle w:val="2"/>
        <w:spacing w:line="360" w:lineRule="auto"/>
        <w:rPr>
          <w:rFonts w:hint="eastAsia"/>
          <w:color w:val="auto"/>
          <w:highlight w:val="none"/>
        </w:rPr>
      </w:pPr>
    </w:p>
    <w:p>
      <w:pPr>
        <w:pStyle w:val="2"/>
        <w:spacing w:line="360" w:lineRule="auto"/>
        <w:jc w:val="center"/>
        <w:rPr>
          <w:rFonts w:hint="eastAsia"/>
          <w:b/>
          <w:bCs/>
          <w:color w:val="auto"/>
          <w:sz w:val="44"/>
          <w:szCs w:val="44"/>
          <w:highlight w:val="none"/>
        </w:rPr>
        <w:sectPr>
          <w:pgSz w:w="11907" w:h="16840"/>
          <w:pgMar w:top="1361" w:right="1304" w:bottom="1304" w:left="1304" w:header="851" w:footer="720" w:gutter="0"/>
          <w:cols w:space="0" w:num="1"/>
          <w:docGrid w:linePitch="312" w:charSpace="0"/>
        </w:sectPr>
      </w:pPr>
      <w:r>
        <w:rPr>
          <w:color w:val="auto"/>
          <w:highlight w:val="none"/>
        </w:rPr>
        <w:br w:type="page"/>
      </w:r>
    </w:p>
    <w:p>
      <w:pPr>
        <w:pStyle w:val="3"/>
        <w:spacing w:line="360" w:lineRule="auto"/>
        <w:jc w:val="center"/>
        <w:rPr>
          <w:color w:val="auto"/>
          <w:highlight w:val="none"/>
        </w:rPr>
      </w:pPr>
      <w:bookmarkStart w:id="394" w:name="_Toc5620360"/>
      <w:bookmarkStart w:id="395" w:name="_Toc3467"/>
      <w:r>
        <w:rPr>
          <w:rFonts w:hint="eastAsia"/>
          <w:color w:val="auto"/>
          <w:highlight w:val="none"/>
        </w:rPr>
        <w:t>第六章 招标人提供的资料</w:t>
      </w:r>
      <w:bookmarkEnd w:id="394"/>
      <w:bookmarkEnd w:id="395"/>
    </w:p>
    <w:p>
      <w:pPr>
        <w:tabs>
          <w:tab w:val="left" w:pos="573"/>
        </w:tabs>
        <w:spacing w:line="360" w:lineRule="auto"/>
        <w:jc w:val="center"/>
        <w:rPr>
          <w:rFonts w:ascii="方正小标宋简体" w:hAnsi="Arial" w:eastAsia="方正小标宋简体"/>
          <w:b/>
          <w:bCs/>
          <w:color w:val="auto"/>
          <w:sz w:val="36"/>
          <w:szCs w:val="36"/>
          <w:highlight w:val="none"/>
        </w:rPr>
      </w:pPr>
      <w:bookmarkStart w:id="396" w:name="_Toc439240671"/>
      <w:bookmarkEnd w:id="396"/>
      <w:bookmarkStart w:id="397" w:name="_Toc436834794"/>
      <w:bookmarkEnd w:id="397"/>
      <w:bookmarkStart w:id="398" w:name="_Toc439246070"/>
      <w:bookmarkEnd w:id="398"/>
      <w:bookmarkStart w:id="399" w:name="_Toc436834201"/>
      <w:bookmarkEnd w:id="399"/>
      <w:r>
        <w:rPr>
          <w:rFonts w:hint="eastAsia" w:ascii="方正小标宋简体" w:hAnsi="Arial" w:eastAsia="方正小标宋简体"/>
          <w:b/>
          <w:bCs/>
          <w:color w:val="auto"/>
          <w:sz w:val="36"/>
          <w:szCs w:val="36"/>
          <w:highlight w:val="none"/>
        </w:rPr>
        <w:t>红线图（另册）</w:t>
      </w:r>
    </w:p>
    <w:p>
      <w:pP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pPr>
        <w:pStyle w:val="3"/>
        <w:spacing w:line="360" w:lineRule="auto"/>
        <w:jc w:val="center"/>
        <w:rPr>
          <w:color w:val="auto"/>
          <w:highlight w:val="none"/>
        </w:rPr>
      </w:pPr>
      <w:bookmarkStart w:id="400" w:name="_Toc16136"/>
      <w:bookmarkEnd w:id="400"/>
      <w:bookmarkStart w:id="401" w:name="_Toc18390"/>
      <w:bookmarkStart w:id="402" w:name="_Toc5620362"/>
      <w:r>
        <w:rPr>
          <w:rFonts w:hint="eastAsia"/>
          <w:color w:val="auto"/>
          <w:highlight w:val="none"/>
        </w:rPr>
        <w:t>第七章 投标文件格式</w:t>
      </w:r>
      <w:bookmarkEnd w:id="401"/>
      <w:bookmarkEnd w:id="402"/>
    </w:p>
    <w:p>
      <w:pPr>
        <w:spacing w:line="360" w:lineRule="auto"/>
        <w:jc w:val="center"/>
        <w:rPr>
          <w:rFonts w:hint="eastAsia"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pPr>
        <w:spacing w:line="360" w:lineRule="auto"/>
        <w:jc w:val="center"/>
        <w:rPr>
          <w:rFonts w:hint="eastAsia" w:ascii="宋体" w:hAnsi="宋体" w:cs="宋体"/>
          <w:b/>
          <w:color w:val="auto"/>
          <w:kern w:val="1"/>
          <w:sz w:val="30"/>
          <w:szCs w:val="30"/>
          <w:highlight w:val="none"/>
        </w:rPr>
      </w:pPr>
    </w:p>
    <w:p>
      <w:pPr>
        <w:spacing w:line="360" w:lineRule="auto"/>
        <w:jc w:val="center"/>
        <w:rPr>
          <w:rFonts w:hint="eastAsia" w:ascii="宋体" w:hAnsi="宋体" w:cs="宋体"/>
          <w:b/>
          <w:color w:val="auto"/>
          <w:kern w:val="1"/>
          <w:sz w:val="30"/>
          <w:szCs w:val="30"/>
          <w:highlight w:val="none"/>
        </w:rPr>
      </w:pPr>
    </w:p>
    <w:p>
      <w:pPr>
        <w:spacing w:line="360" w:lineRule="auto"/>
        <w:jc w:val="center"/>
        <w:rPr>
          <w:rFonts w:hint="eastAsia" w:ascii="宋体" w:hAnsi="宋体" w:cs="宋体"/>
          <w:b/>
          <w:color w:val="auto"/>
          <w:kern w:val="1"/>
          <w:sz w:val="30"/>
          <w:szCs w:val="30"/>
          <w:highlight w:val="none"/>
        </w:rPr>
        <w:sectPr>
          <w:headerReference r:id="rId17" w:type="default"/>
          <w:footerReference r:id="rId18" w:type="default"/>
          <w:pgSz w:w="11907" w:h="16840"/>
          <w:pgMar w:top="1361" w:right="1304" w:bottom="1304" w:left="1304" w:header="851" w:footer="720" w:gutter="0"/>
          <w:cols w:space="0" w:num="1"/>
        </w:sectPr>
      </w:pPr>
    </w:p>
    <w:p>
      <w:pPr>
        <w:widowControl/>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pPr>
        <w:widowControl/>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pPr>
        <w:widowControl/>
        <w:adjustRightInd w:val="0"/>
        <w:snapToGrid w:val="0"/>
        <w:spacing w:line="360" w:lineRule="auto"/>
        <w:ind w:right="102"/>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pPr>
        <w:pStyle w:val="2"/>
        <w:adjustRightInd w:val="0"/>
        <w:snapToGrid w:val="0"/>
        <w:spacing w:line="360" w:lineRule="auto"/>
        <w:ind w:firstLine="420"/>
        <w:rPr>
          <w:rFonts w:hint="eastAsia"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日历天内有效，如中标，有效期将自动延至勘察设计施工总承包合同终止日为止。</w:t>
      </w:r>
    </w:p>
    <w:p>
      <w:pPr>
        <w:widowControl/>
        <w:adjustRightInd w:val="0"/>
        <w:snapToGrid w:val="0"/>
        <w:spacing w:line="360" w:lineRule="auto"/>
        <w:ind w:right="102" w:firstLine="420"/>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）【其中：勘察费为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元，勘察费下浮率为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pPr>
        <w:widowControl/>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pPr>
        <w:spacing w:line="360" w:lineRule="auto"/>
        <w:ind w:firstLine="5250" w:firstLineChars="2500"/>
        <w:rPr>
          <w:rFonts w:hint="eastAsia"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勘察设计投标书</w:t>
      </w:r>
    </w:p>
    <w:p>
      <w:pPr>
        <w:spacing w:line="360" w:lineRule="auto"/>
        <w:jc w:val="left"/>
        <w:rPr>
          <w:rFonts w:hint="eastAsia"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pPr>
        <w:pStyle w:val="2"/>
        <w:spacing w:line="360" w:lineRule="auto"/>
        <w:rPr>
          <w:rFonts w:hint="eastAsia" w:cs="宋体"/>
          <w:color w:val="auto"/>
          <w:sz w:val="21"/>
          <w:szCs w:val="21"/>
          <w:highlight w:val="none"/>
        </w:rPr>
      </w:pPr>
    </w:p>
    <w:p>
      <w:pPr>
        <w:pStyle w:val="2"/>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pPr>
        <w:spacing w:line="360" w:lineRule="auto"/>
        <w:jc w:val="left"/>
        <w:rPr>
          <w:rFonts w:hint="eastAsia" w:ascii="宋体" w:hAnsi="宋体" w:cs="宋体"/>
          <w:color w:val="auto"/>
          <w:kern w:val="1"/>
          <w:szCs w:val="20"/>
          <w:highlight w:val="none"/>
        </w:rPr>
      </w:pPr>
    </w:p>
    <w:p>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pP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pPr>
        <w:spacing w:line="360" w:lineRule="auto"/>
        <w:rPr>
          <w:rFonts w:hint="eastAsia" w:ascii="宋体" w:hAnsi="宋体" w:cs="宋体"/>
          <w:color w:val="auto"/>
          <w:kern w:val="1"/>
          <w:szCs w:val="21"/>
          <w:highlight w:val="none"/>
        </w:rPr>
      </w:pPr>
    </w:p>
    <w:p>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pP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pPr>
        <w:spacing w:line="360" w:lineRule="auto"/>
        <w:jc w:val="center"/>
        <w:rPr>
          <w:rFonts w:hint="eastAsia" w:ascii="宋体" w:hAnsi="宋体" w:cs="宋体"/>
          <w:b/>
          <w:color w:val="auto"/>
          <w:kern w:val="1"/>
          <w:sz w:val="36"/>
          <w:szCs w:val="36"/>
          <w:highlight w:val="none"/>
          <w:lang w:val="zh-CN"/>
        </w:rPr>
      </w:pPr>
      <w:bookmarkStart w:id="403" w:name="_Hlk61429714"/>
      <w:r>
        <w:rPr>
          <w:rFonts w:hint="eastAsia" w:ascii="宋体" w:hAnsi="宋体" w:cs="宋体"/>
          <w:b/>
          <w:color w:val="auto"/>
          <w:kern w:val="1"/>
          <w:sz w:val="36"/>
          <w:szCs w:val="36"/>
          <w:highlight w:val="none"/>
          <w:lang w:val="zh-CN"/>
        </w:rPr>
        <w:t>技术</w:t>
      </w:r>
      <w:bookmarkEnd w:id="403"/>
      <w:r>
        <w:rPr>
          <w:rFonts w:hint="eastAsia" w:ascii="宋体" w:hAnsi="宋体" w:cs="宋体"/>
          <w:b/>
          <w:color w:val="auto"/>
          <w:kern w:val="1"/>
          <w:sz w:val="36"/>
          <w:szCs w:val="36"/>
          <w:highlight w:val="none"/>
          <w:lang w:val="zh-CN"/>
        </w:rPr>
        <w:t>投标书</w:t>
      </w:r>
    </w:p>
    <w:p>
      <w:pPr>
        <w:spacing w:line="360" w:lineRule="auto"/>
        <w:jc w:val="center"/>
        <w:rPr>
          <w:rFonts w:hint="eastAsia" w:ascii="宋体" w:hAnsi="宋体" w:cs="宋体"/>
          <w:b/>
          <w:color w:val="auto"/>
          <w:kern w:val="1"/>
          <w:sz w:val="32"/>
          <w:szCs w:val="32"/>
          <w:highlight w:val="none"/>
          <w:lang w:val="zh-CN"/>
        </w:rPr>
      </w:pPr>
    </w:p>
    <w:p>
      <w:pP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236" w:right="0" w:hanging="236"/>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pPr>
              <w:keepNext w:val="0"/>
              <w:keepLines w:val="0"/>
              <w:suppressLineNumbers w:val="0"/>
              <w:spacing w:before="0" w:beforeAutospacing="0" w:after="0" w:afterAutospacing="0" w:line="360" w:lineRule="auto"/>
              <w:ind w:left="0" w:right="0"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 w:val="24"/>
                <w:highlight w:val="none"/>
                <w:lang w:val="zh-CN"/>
              </w:rPr>
            </w:pPr>
          </w:p>
        </w:tc>
      </w:tr>
    </w:tbl>
    <w:p>
      <w:pPr>
        <w:pStyle w:val="2"/>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pPr>
        <w:snapToGrid w:val="0"/>
        <w:spacing w:line="360" w:lineRule="auto"/>
        <w:ind w:firstLine="420" w:firstLineChars="200"/>
        <w:rPr>
          <w:rFonts w:hint="eastAsia" w:ascii="宋体" w:hAnsi="宋体"/>
          <w:color w:val="auto"/>
          <w:highlight w:val="none"/>
        </w:rPr>
      </w:pPr>
      <w:r>
        <w:rPr>
          <w:color w:val="auto"/>
          <w:highlight w:val="none"/>
        </w:rPr>
        <w:br w:type="page"/>
      </w:r>
      <w:bookmarkStart w:id="404" w:name="_Hlk69827517"/>
      <w:r>
        <w:rPr>
          <w:rFonts w:hint="eastAsia" w:ascii="宋体" w:hAnsi="宋体" w:cs="宋体"/>
          <w:b/>
          <w:color w:val="auto"/>
          <w:kern w:val="1"/>
          <w:sz w:val="24"/>
          <w:highlight w:val="none"/>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方正大标宋简体"/>
                <w:b/>
                <w:color w:val="auto"/>
                <w:sz w:val="32"/>
                <w:szCs w:val="32"/>
                <w:highlight w:val="none"/>
              </w:rPr>
            </w:pPr>
            <w:bookmarkStart w:id="405" w:name="_Hlk61431754"/>
            <w:r>
              <w:rPr>
                <w:rFonts w:hint="eastAsia" w:ascii="宋体" w:hAnsi="宋体" w:cs="方正大标宋简体"/>
                <w:b/>
                <w:color w:val="auto"/>
                <w:sz w:val="32"/>
                <w:szCs w:val="32"/>
                <w:highlight w:val="none"/>
                <w:lang w:bidi="ar"/>
              </w:rPr>
              <w:t>工程总承包</w:t>
            </w:r>
            <w:r>
              <w:rPr>
                <w:rFonts w:hint="default" w:ascii="宋体" w:hAnsi="宋体" w:cs="方正大标宋简体"/>
                <w:b/>
                <w:color w:val="auto"/>
                <w:sz w:val="32"/>
                <w:szCs w:val="32"/>
                <w:highlight w:val="none"/>
                <w:lang w:bidi="ar"/>
              </w:rPr>
              <w:t>项目管理团队人员信息表</w:t>
            </w:r>
            <w:bookmarkEnd w:id="405"/>
          </w:p>
        </w:tc>
      </w:tr>
      <w:tr>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bidi="ar"/>
              </w:rPr>
            </w:pPr>
            <w:r>
              <w:rPr>
                <w:rFonts w:hint="default"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pPr>
              <w:keepNext w:val="0"/>
              <w:keepLines w:val="0"/>
              <w:widowControl/>
              <w:suppressLineNumbers w:val="0"/>
              <w:spacing w:before="0" w:beforeAutospacing="0" w:after="0" w:afterAutospacing="0"/>
              <w:ind w:left="0" w:right="0"/>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4"/>
                <w:rFonts w:hint="eastAsia"/>
                <w:b/>
                <w:bCs/>
                <w:color w:val="auto"/>
                <w:sz w:val="22"/>
                <w:szCs w:val="22"/>
                <w:highlight w:val="none"/>
                <w:lang w:bidi="ar"/>
              </w:rPr>
              <w:t>[</w:t>
            </w:r>
            <w:r>
              <w:rPr>
                <w:rStyle w:val="54"/>
                <w:rFonts w:hint="default"/>
                <w:b/>
                <w:bCs/>
                <w:color w:val="auto"/>
                <w:sz w:val="22"/>
                <w:szCs w:val="22"/>
                <w:highlight w:val="none"/>
                <w:lang w:bidi="ar"/>
              </w:rPr>
              <w:t>除项目负责人</w:t>
            </w:r>
            <w:r>
              <w:rPr>
                <w:rStyle w:val="54"/>
                <w:rFonts w:hint="eastAsia"/>
                <w:b/>
                <w:bCs/>
                <w:color w:val="auto"/>
                <w:sz w:val="22"/>
                <w:szCs w:val="22"/>
                <w:highlight w:val="none"/>
                <w:lang w:bidi="ar"/>
              </w:rPr>
              <w:t>（兼施工项目负责人）、设计负责人</w:t>
            </w:r>
            <w:r>
              <w:rPr>
                <w:rStyle w:val="54"/>
                <w:rFonts w:hint="default"/>
                <w:b/>
                <w:bCs/>
                <w:color w:val="auto"/>
                <w:sz w:val="22"/>
                <w:szCs w:val="22"/>
                <w:highlight w:val="none"/>
                <w:lang w:bidi="ar"/>
              </w:rPr>
              <w:t>和专职安全员外</w:t>
            </w:r>
            <w:r>
              <w:rPr>
                <w:rStyle w:val="54"/>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pPr>
              <w:keepNext w:val="0"/>
              <w:keepLines w:val="0"/>
              <w:widowControl/>
              <w:suppressLineNumbers w:val="0"/>
              <w:spacing w:before="0" w:beforeAutospacing="0" w:after="0" w:afterAutospacing="0"/>
              <w:ind w:left="0" w:right="0"/>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widowControl/>
              <w:suppressLineNumbers w:val="0"/>
              <w:spacing w:before="0" w:beforeAutospacing="0" w:after="0" w:afterAutospacing="0"/>
              <w:ind w:left="0" w:right="0"/>
              <w:jc w:val="left"/>
              <w:textAlignment w:val="center"/>
              <w:rPr>
                <w:rFonts w:hint="eastAsia" w:ascii="宋体" w:hAnsi="宋体" w:cs="仿宋"/>
                <w:color w:val="auto"/>
                <w:sz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6"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6"/>
          </w:p>
        </w:tc>
      </w:tr>
      <w:bookmarkEnd w:id="404"/>
    </w:tbl>
    <w:p>
      <w:pPr>
        <w:pStyle w:val="2"/>
        <w:spacing w:line="360" w:lineRule="auto"/>
        <w:rPr>
          <w:rFonts w:hint="eastAsia"/>
          <w:color w:val="auto"/>
          <w:sz w:val="24"/>
          <w:highlight w:val="none"/>
          <w:lang w:val="en-US"/>
        </w:rPr>
      </w:pPr>
    </w:p>
    <w:p>
      <w:pPr>
        <w:spacing w:line="360" w:lineRule="auto"/>
        <w:rPr>
          <w:rFonts w:hint="eastAsia"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pPr>
        <w:spacing w:line="360" w:lineRule="auto"/>
        <w:jc w:val="center"/>
        <w:rPr>
          <w:rFonts w:hint="eastAsia" w:ascii="宋体" w:hAnsi="宋体" w:cs="宋体"/>
          <w:b/>
          <w:color w:val="auto"/>
          <w:kern w:val="1"/>
          <w:sz w:val="24"/>
          <w:highlight w:val="none"/>
        </w:rPr>
      </w:pPr>
    </w:p>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pPr>
        <w:spacing w:line="360" w:lineRule="auto"/>
        <w:ind w:firstLine="3360"/>
        <w:rPr>
          <w:rFonts w:hint="eastAsia" w:ascii="宋体" w:hAnsi="宋体" w:cs="宋体"/>
          <w:color w:val="auto"/>
          <w:kern w:val="1"/>
          <w:szCs w:val="21"/>
          <w:highlight w:val="none"/>
        </w:rPr>
      </w:pPr>
    </w:p>
    <w:p>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pP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pP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pPr>
        <w:pStyle w:val="2"/>
        <w:spacing w:line="360" w:lineRule="auto"/>
        <w:rPr>
          <w:rFonts w:hint="eastAsia" w:cs="宋体"/>
          <w:b/>
          <w:color w:val="auto"/>
          <w:kern w:val="1"/>
          <w:sz w:val="24"/>
          <w:highlight w:val="none"/>
        </w:rPr>
      </w:pPr>
    </w:p>
    <w:p>
      <w:pPr>
        <w:spacing w:line="360" w:lineRule="auto"/>
        <w:ind w:firstLine="420"/>
        <w:rPr>
          <w:rFonts w:hint="eastAsia" w:ascii="宋体" w:hAnsi="宋体" w:cs="宋体"/>
          <w:color w:val="auto"/>
          <w:kern w:val="1"/>
          <w:szCs w:val="21"/>
          <w:highlight w:val="none"/>
        </w:rPr>
      </w:pPr>
    </w:p>
    <w:p>
      <w:pP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455" w:type="dxa"/>
        <w:tblInd w:w="0" w:type="dxa"/>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pPr>
              <w:keepNext w:val="0"/>
              <w:keepLines w:val="0"/>
              <w:suppressLineNumbers w:val="0"/>
              <w:spacing w:before="0" w:beforeAutospacing="0" w:after="0" w:afterAutospacing="0" w:line="360" w:lineRule="auto"/>
              <w:ind w:left="0" w:right="0"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243" w:type="dxa"/>
        <w:tblInd w:w="0" w:type="dxa"/>
        <w:tblLayout w:type="fixed"/>
        <w:tblCellMar>
          <w:top w:w="0" w:type="dxa"/>
          <w:left w:w="108" w:type="dxa"/>
          <w:bottom w:w="0" w:type="dxa"/>
          <w:right w:w="108" w:type="dxa"/>
        </w:tblCellMar>
      </w:tblPr>
      <w:tblGrid>
        <w:gridCol w:w="9243"/>
      </w:tblGrid>
      <w:tr>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hint="default"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default"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hint="default"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pPr>
        <w:numPr>
          <w:ilvl w:val="0"/>
          <w:numId w:val="6"/>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pPr>
        <w:pStyle w:val="2"/>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pPr>
        <w:spacing w:line="360" w:lineRule="auto"/>
        <w:jc w:val="center"/>
        <w:rPr>
          <w:rFonts w:hint="eastAsia" w:ascii="宋体" w:hAnsi="宋体" w:cs="宋体"/>
          <w:b/>
          <w:color w:val="auto"/>
          <w:kern w:val="1"/>
          <w:sz w:val="28"/>
          <w:szCs w:val="28"/>
          <w:highlight w:val="none"/>
          <w:lang w:val="zh-CN"/>
        </w:rPr>
      </w:pPr>
      <w:bookmarkStart w:id="407" w:name="_Toc17417"/>
      <w:bookmarkEnd w:id="407"/>
      <w:bookmarkStart w:id="408" w:name="_Toc31552"/>
      <w:bookmarkEnd w:id="408"/>
      <w:bookmarkStart w:id="409" w:name="_Toc5620363"/>
      <w:r>
        <w:rPr>
          <w:rFonts w:hint="eastAsia" w:ascii="宋体" w:hAnsi="宋体" w:cs="宋体"/>
          <w:b/>
          <w:color w:val="auto"/>
          <w:kern w:val="1"/>
          <w:sz w:val="28"/>
          <w:szCs w:val="28"/>
          <w:highlight w:val="none"/>
          <w:lang w:val="zh-CN"/>
        </w:rPr>
        <w:t>设计主要负责人配备</w:t>
      </w:r>
      <w:bookmarkEnd w:id="409"/>
      <w:r>
        <w:rPr>
          <w:rFonts w:hint="eastAsia" w:ascii="宋体" w:hAnsi="宋体" w:cs="宋体"/>
          <w:b/>
          <w:color w:val="auto"/>
          <w:kern w:val="1"/>
          <w:sz w:val="28"/>
          <w:szCs w:val="28"/>
          <w:highlight w:val="none"/>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r>
              <w:rPr>
                <w:rFonts w:hint="eastAsia" w:ascii="宋体" w:hAnsi="宋体" w:cs="宋体"/>
                <w:color w:val="auto"/>
                <w:kern w:val="1"/>
                <w:highlight w:val="none"/>
              </w:rPr>
              <w:t>获奖奖项</w:t>
            </w: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default"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bl>
    <w:p>
      <w:pPr>
        <w:pStyle w:val="2"/>
        <w:spacing w:line="360" w:lineRule="auto"/>
        <w:rPr>
          <w:rFonts w:hint="eastAsia"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pPr>
        <w:pStyle w:val="2"/>
        <w:spacing w:line="360" w:lineRule="auto"/>
        <w:jc w:val="right"/>
        <w:rPr>
          <w:rFonts w:hint="eastAsia"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pPr>
        <w:pStyle w:val="2"/>
        <w:rPr>
          <w:rFonts w:hint="eastAsia"/>
          <w:color w:val="auto"/>
          <w:highlight w:val="none"/>
        </w:rPr>
      </w:pPr>
      <w:r>
        <w:rPr>
          <w:color w:val="auto"/>
          <w:highlight w:val="none"/>
        </w:rPr>
        <w:br w:type="page"/>
      </w:r>
    </w:p>
    <w:p>
      <w:pP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bl>
    <w:p>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pPr>
        <w:spacing w:line="360" w:lineRule="auto"/>
        <w:ind w:right="-624" w:firstLine="520"/>
        <w:rPr>
          <w:rFonts w:hint="eastAsia" w:ascii="宋体" w:hAnsi="宋体" w:cs="宋体"/>
          <w:color w:val="auto"/>
          <w:spacing w:val="-10"/>
          <w:kern w:val="1"/>
          <w:szCs w:val="21"/>
          <w:highlight w:val="none"/>
        </w:rPr>
      </w:pPr>
    </w:p>
    <w:p>
      <w:pPr>
        <w:pStyle w:val="2"/>
        <w:spacing w:line="360" w:lineRule="auto"/>
        <w:rPr>
          <w:rFonts w:hint="eastAsia"/>
          <w:color w:val="auto"/>
          <w:highlight w:val="none"/>
        </w:rPr>
      </w:pPr>
    </w:p>
    <w:p>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pacing w:line="360" w:lineRule="auto"/>
        <w:jc w:val="right"/>
        <w:rPr>
          <w:rFonts w:hint="eastAsia" w:ascii="宋体" w:hAnsi="宋体" w:cs="宋体"/>
          <w:color w:val="auto"/>
          <w:kern w:val="1"/>
          <w:szCs w:val="21"/>
          <w:highlight w:val="none"/>
        </w:rPr>
      </w:pPr>
    </w:p>
    <w:p>
      <w:pPr>
        <w:pStyle w:val="67"/>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pPr>
        <w:pStyle w:val="67"/>
        <w:ind w:firstLine="198"/>
        <w:jc w:val="center"/>
        <w:rPr>
          <w:rFonts w:hint="eastAsia" w:ascii="宋体" w:hAnsi="宋体" w:cs="宋体"/>
          <w:b/>
          <w:bCs/>
          <w:color w:val="auto"/>
          <w:highlight w:val="none"/>
        </w:rPr>
      </w:pPr>
      <w:bookmarkStart w:id="410" w:name="_Hlk55921181"/>
      <w:r>
        <w:rPr>
          <w:rFonts w:hint="eastAsia" w:ascii="宋体" w:hAnsi="宋体" w:cs="宋体"/>
          <w:b/>
          <w:bCs/>
          <w:color w:val="auto"/>
          <w:sz w:val="32"/>
          <w:szCs w:val="32"/>
          <w:highlight w:val="none"/>
          <w:lang w:val="zh-CN"/>
        </w:rPr>
        <w:t>拟投入本项目施工人员一览表</w:t>
      </w:r>
      <w:bookmarkEnd w:id="410"/>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lang w:val="zh-CN"/>
              </w:rPr>
            </w:pPr>
            <w:r>
              <w:rPr>
                <w:rFonts w:hint="default"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9297"/>
              </w:tabs>
              <w:spacing w:before="0" w:beforeAutospacing="0" w:after="0" w:afterAutospacing="0" w:line="360" w:lineRule="auto"/>
              <w:ind w:left="-90" w:right="0"/>
              <w:jc w:val="center"/>
              <w:rPr>
                <w:rFonts w:hint="eastAsia" w:ascii="宋体" w:hAnsi="宋体" w:cs="宋体"/>
                <w:color w:val="auto"/>
                <w:kern w:val="1"/>
                <w:sz w:val="28"/>
                <w:szCs w:val="28"/>
                <w:highlight w:val="none"/>
              </w:rPr>
            </w:pPr>
          </w:p>
        </w:tc>
      </w:tr>
    </w:tbl>
    <w:p>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pPr>
        <w:spacing w:line="360" w:lineRule="auto"/>
        <w:ind w:firstLine="3600"/>
        <w:rPr>
          <w:rFonts w:hint="eastAsia" w:ascii="宋体" w:hAnsi="宋体" w:cs="宋体"/>
          <w:color w:val="auto"/>
          <w:kern w:val="1"/>
          <w:sz w:val="28"/>
          <w:szCs w:val="28"/>
          <w:highlight w:val="none"/>
        </w:rPr>
      </w:pPr>
    </w:p>
    <w:p>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pPr>
        <w:pStyle w:val="83"/>
        <w:rPr>
          <w:rFonts w:hint="eastAsia" w:ascii="宋体" w:hAnsi="宋体" w:eastAsia="宋体" w:cs="宋体"/>
          <w:color w:val="auto"/>
          <w:sz w:val="32"/>
          <w:szCs w:val="32"/>
          <w:highlight w:val="none"/>
        </w:rPr>
      </w:pPr>
      <w:bookmarkStart w:id="411" w:name="_Hlk49259541"/>
      <w:r>
        <w:rPr>
          <w:rFonts w:hint="eastAsia" w:ascii="宋体" w:hAnsi="宋体" w:eastAsia="宋体" w:cs="宋体"/>
          <w:color w:val="auto"/>
          <w:sz w:val="32"/>
          <w:szCs w:val="32"/>
          <w:highlight w:val="none"/>
        </w:rPr>
        <w:t>设计工程业绩</w:t>
      </w:r>
      <w:bookmarkEnd w:id="411"/>
      <w:r>
        <w:rPr>
          <w:rFonts w:hint="eastAsia" w:ascii="宋体" w:hAnsi="宋体" w:eastAsia="宋体" w:cs="宋体"/>
          <w:color w:val="auto"/>
          <w:sz w:val="32"/>
          <w:szCs w:val="32"/>
          <w:highlight w:val="none"/>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r>
      <w:tr>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 w:val="24"/>
                <w:szCs w:val="24"/>
                <w:highlight w:val="none"/>
              </w:rPr>
            </w:pPr>
          </w:p>
        </w:tc>
      </w:tr>
    </w:tbl>
    <w:p>
      <w:pPr>
        <w:pStyle w:val="2"/>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pPr>
        <w:tabs>
          <w:tab w:val="left" w:pos="7655"/>
        </w:tabs>
        <w:spacing w:line="360" w:lineRule="auto"/>
        <w:ind w:right="492"/>
        <w:jc w:val="right"/>
        <w:rPr>
          <w:rFonts w:hint="eastAsia" w:ascii="宋体" w:hAnsi="宋体" w:cs="宋体"/>
          <w:color w:val="auto"/>
          <w:spacing w:val="18"/>
          <w:kern w:val="1"/>
          <w:szCs w:val="21"/>
          <w:highlight w:val="none"/>
          <w:lang w:val="zh-CN"/>
        </w:rPr>
      </w:pPr>
    </w:p>
    <w:p>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360" w:lineRule="auto"/>
        <w:jc w:val="right"/>
        <w:rPr>
          <w:rFonts w:hint="eastAsia"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spacing w:line="360" w:lineRule="auto"/>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spacing w:line="360" w:lineRule="auto"/>
        <w:jc w:val="center"/>
        <w:rPr>
          <w:rFonts w:hint="eastAsia" w:ascii="宋体" w:hAnsi="宋体" w:cs="宋体"/>
          <w:b/>
          <w:bCs/>
          <w:color w:val="auto"/>
          <w:kern w:val="1"/>
          <w:sz w:val="28"/>
          <w:szCs w:val="28"/>
          <w:highlight w:val="none"/>
          <w:lang w:val="zh-CN"/>
        </w:rPr>
      </w:pPr>
      <w:bookmarkStart w:id="412" w:name="_Hlk56526643"/>
    </w:p>
    <w:p>
      <w:pPr>
        <w:widowControl/>
        <w:jc w:val="left"/>
        <w:rPr>
          <w:rFonts w:hint="eastAsia"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pPr>
        <w:spacing w:line="360" w:lineRule="auto"/>
        <w:jc w:val="center"/>
        <w:rPr>
          <w:rFonts w:hint="eastAsia"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2"/>
      <w:r>
        <w:rPr>
          <w:rFonts w:hint="eastAsia" w:ascii="宋体" w:hAnsi="宋体" w:cs="宋体"/>
          <w:b/>
          <w:bCs/>
          <w:color w:val="auto"/>
          <w:kern w:val="1"/>
          <w:sz w:val="28"/>
          <w:szCs w:val="28"/>
          <w:highlight w:val="none"/>
          <w:lang w:val="zh-CN"/>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480" w:lineRule="auto"/>
              <w:ind w:left="0" w:right="0"/>
              <w:jc w:val="center"/>
              <w:rPr>
                <w:rFonts w:hint="eastAsia" w:ascii="宋体" w:hAnsi="宋体" w:cs="宋体"/>
                <w:color w:val="auto"/>
                <w:kern w:val="1"/>
                <w:szCs w:val="21"/>
                <w:highlight w:val="none"/>
              </w:rPr>
            </w:pPr>
          </w:p>
        </w:tc>
      </w:tr>
    </w:tbl>
    <w:p>
      <w:pPr>
        <w:pStyle w:val="2"/>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pPr>
        <w:pStyle w:val="2"/>
        <w:rPr>
          <w:rFonts w:hint="eastAsia"/>
          <w:color w:val="auto"/>
          <w:highlight w:val="none"/>
        </w:rPr>
      </w:pPr>
    </w:p>
    <w:p>
      <w:pPr>
        <w:pStyle w:val="2"/>
        <w:rPr>
          <w:rFonts w:hint="eastAsia"/>
          <w:color w:val="auto"/>
          <w:highlight w:val="none"/>
        </w:rPr>
      </w:pPr>
    </w:p>
    <w:p>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tabs>
          <w:tab w:val="left" w:pos="7655"/>
        </w:tabs>
        <w:spacing w:line="360" w:lineRule="auto"/>
        <w:ind w:right="492"/>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pPr>
        <w:spacing w:line="360" w:lineRule="auto"/>
        <w:jc w:val="center"/>
        <w:rPr>
          <w:rFonts w:hint="eastAsia" w:ascii="宋体" w:hAnsi="宋体" w:cs="宋体"/>
          <w:color w:val="auto"/>
          <w:spacing w:val="18"/>
          <w:kern w:val="1"/>
          <w:szCs w:val="21"/>
          <w:highlight w:val="none"/>
          <w:lang w:val="zh-CN"/>
        </w:rPr>
      </w:pPr>
      <w:r>
        <w:rPr>
          <w:color w:val="auto"/>
          <w:highlight w:val="none"/>
        </w:rPr>
        <w:br w:type="page"/>
      </w:r>
    </w:p>
    <w:p>
      <w:pPr>
        <w:pStyle w:val="2"/>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pP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w:t>
            </w: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left"/>
              <w:rPr>
                <w:rFonts w:hint="eastAsia"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pacing w:before="0" w:beforeAutospacing="0" w:after="0" w:afterAutospacing="0" w:line="360" w:lineRule="auto"/>
              <w:ind w:left="0" w:right="0"/>
              <w:rPr>
                <w:rFonts w:hint="eastAsia"/>
                <w:color w:val="auto"/>
                <w:sz w:val="24"/>
                <w:szCs w:val="24"/>
                <w:highlight w:val="none"/>
              </w:rPr>
            </w:pPr>
          </w:p>
        </w:tc>
      </w:tr>
    </w:tbl>
    <w:p>
      <w:pPr>
        <w:pStyle w:val="2"/>
        <w:spacing w:line="360" w:lineRule="auto"/>
        <w:rPr>
          <w:rFonts w:hint="eastAsia"/>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pPr>
        <w:pStyle w:val="80"/>
        <w:spacing w:line="360" w:lineRule="auto"/>
        <w:rPr>
          <w:rFonts w:hint="eastAsia"/>
          <w:color w:val="auto"/>
          <w:highlight w:val="none"/>
        </w:rPr>
      </w:pPr>
    </w:p>
    <w:p>
      <w:pPr>
        <w:pStyle w:val="67"/>
        <w:ind w:firstLine="5166" w:firstLineChars="21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pPr>
        <w:pStyle w:val="67"/>
        <w:ind w:firstLine="3198" w:firstLineChars="13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pPr>
        <w:pStyle w:val="2"/>
        <w:spacing w:line="360" w:lineRule="auto"/>
        <w:ind w:firstLine="4920" w:firstLineChars="2000"/>
        <w:rPr>
          <w:rFonts w:hint="eastAsia" w:cs="宋体"/>
          <w:color w:val="auto"/>
          <w:spacing w:val="18"/>
          <w:kern w:val="1"/>
          <w:sz w:val="21"/>
          <w:szCs w:val="21"/>
          <w:highlight w:val="none"/>
        </w:rPr>
      </w:pPr>
      <w:r>
        <w:rPr>
          <w:rFonts w:hint="eastAsia" w:cs="宋体"/>
          <w:color w:val="auto"/>
          <w:spacing w:val="18"/>
          <w:kern w:val="1"/>
          <w:sz w:val="21"/>
          <w:szCs w:val="21"/>
          <w:highlight w:val="none"/>
        </w:rPr>
        <w:t>日   期：    年    月    日</w:t>
      </w:r>
    </w:p>
    <w:p>
      <w:pPr>
        <w:spacing w:line="360" w:lineRule="auto"/>
        <w:jc w:val="center"/>
        <w:rPr>
          <w:rFonts w:hint="eastAsia" w:ascii="宋体" w:hAnsi="宋体" w:cs="宋体"/>
          <w:color w:val="auto"/>
          <w:kern w:val="1"/>
          <w:sz w:val="28"/>
          <w:szCs w:val="28"/>
          <w:highlight w:val="none"/>
        </w:rPr>
      </w:pPr>
      <w:r>
        <w:rPr>
          <w:color w:val="auto"/>
          <w:highlight w:val="none"/>
        </w:rPr>
        <w:br w:type="page"/>
      </w:r>
      <w:bookmarkStart w:id="413" w:name="_Hlk56526665"/>
      <w:r>
        <w:rPr>
          <w:rFonts w:hint="eastAsia" w:ascii="宋体" w:hAnsi="宋体" w:cs="宋体"/>
          <w:b/>
          <w:bCs/>
          <w:color w:val="auto"/>
          <w:kern w:val="1"/>
          <w:sz w:val="28"/>
          <w:szCs w:val="28"/>
          <w:highlight w:val="none"/>
          <w:lang w:val="zh-CN"/>
        </w:rPr>
        <w:t>投标人施工工程业绩获奖情况表</w:t>
      </w:r>
      <w:bookmarkEnd w:id="413"/>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cs="宋体"/>
                <w:color w:val="auto"/>
                <w:kern w:val="1"/>
                <w:szCs w:val="21"/>
                <w:highlight w:val="none"/>
              </w:rPr>
            </w:pPr>
          </w:p>
        </w:tc>
      </w:tr>
    </w:tbl>
    <w:p>
      <w:pPr>
        <w:pStyle w:val="2"/>
        <w:spacing w:line="360" w:lineRule="auto"/>
        <w:rPr>
          <w:rFonts w:hint="eastAsia"/>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pPr>
        <w:pStyle w:val="2"/>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pPr>
        <w:pStyle w:val="2"/>
        <w:spacing w:line="360" w:lineRule="auto"/>
        <w:jc w:val="center"/>
        <w:rPr>
          <w:rFonts w:hint="eastAsia"/>
          <w:color w:val="auto"/>
          <w:highlight w:val="none"/>
        </w:rPr>
      </w:pPr>
      <w:r>
        <w:rPr>
          <w:rFonts w:hint="eastAsia"/>
          <w:color w:val="auto"/>
          <w:sz w:val="24"/>
          <w:szCs w:val="24"/>
          <w:highlight w:val="none"/>
        </w:rPr>
        <w:t>注：按照《工程总承包实施方案</w:t>
      </w:r>
      <w:bookmarkStart w:id="414" w:name="_Hlk69827759"/>
      <w:r>
        <w:rPr>
          <w:rFonts w:hint="eastAsia"/>
          <w:color w:val="auto"/>
          <w:sz w:val="24"/>
          <w:szCs w:val="24"/>
          <w:highlight w:val="none"/>
        </w:rPr>
        <w:t>技术部分评分</w:t>
      </w:r>
      <w:bookmarkEnd w:id="414"/>
      <w:r>
        <w:rPr>
          <w:rFonts w:hint="eastAsia"/>
          <w:color w:val="auto"/>
          <w:sz w:val="24"/>
          <w:szCs w:val="24"/>
          <w:highlight w:val="none"/>
        </w:rPr>
        <w:t>表》评审内容提交，格式自拟。</w:t>
      </w:r>
    </w:p>
    <w:p>
      <w:pPr>
        <w:pStyle w:val="32"/>
        <w:spacing w:line="360" w:lineRule="auto"/>
        <w:ind w:firstLine="0"/>
        <w:rPr>
          <w:rFonts w:hint="eastAsia" w:ascii="宋体" w:hAnsi="宋体" w:cs="宋体"/>
          <w:b/>
          <w:color w:val="auto"/>
          <w:kern w:val="0"/>
          <w:sz w:val="28"/>
          <w:szCs w:val="28"/>
          <w:highlight w:val="none"/>
        </w:rPr>
      </w:pPr>
    </w:p>
    <w:p>
      <w:pP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5" w:name="_Hlk56417686"/>
      <w:r>
        <w:rPr>
          <w:rFonts w:hint="eastAsia" w:ascii="宋体" w:hAnsi="宋体" w:cs="宋体"/>
          <w:b/>
          <w:bCs/>
          <w:color w:val="auto"/>
          <w:sz w:val="28"/>
          <w:szCs w:val="28"/>
          <w:highlight w:val="none"/>
          <w:lang w:val="zh-CN"/>
        </w:rPr>
        <w:t>工程总承包实施方案</w:t>
      </w:r>
      <w:bookmarkStart w:id="416" w:name="_Hlk56417741"/>
      <w:r>
        <w:rPr>
          <w:rFonts w:hint="eastAsia" w:ascii="宋体" w:hAnsi="宋体" w:cs="宋体"/>
          <w:b/>
          <w:bCs/>
          <w:color w:val="auto"/>
          <w:sz w:val="28"/>
          <w:szCs w:val="28"/>
          <w:highlight w:val="none"/>
          <w:lang w:val="zh-CN"/>
        </w:rPr>
        <w:t>技术投标文件</w:t>
      </w:r>
      <w:bookmarkEnd w:id="415"/>
      <w:bookmarkEnd w:id="416"/>
      <w:r>
        <w:rPr>
          <w:rFonts w:hint="eastAsia" w:ascii="宋体" w:hAnsi="宋体" w:cs="宋体"/>
          <w:b/>
          <w:bCs/>
          <w:color w:val="auto"/>
          <w:sz w:val="28"/>
          <w:szCs w:val="28"/>
          <w:highlight w:val="none"/>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bl>
    <w:p>
      <w:pP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7" w:name="_Hlk69827854"/>
      <w:r>
        <w:rPr>
          <w:rFonts w:hint="eastAsia" w:ascii="宋体" w:hAnsi="宋体" w:cs="宋体"/>
          <w:color w:val="auto"/>
          <w:kern w:val="1"/>
          <w:sz w:val="18"/>
          <w:szCs w:val="18"/>
          <w:highlight w:val="none"/>
        </w:rPr>
        <w:t>工程总承包实施方案技术投标文件、</w:t>
      </w:r>
      <w:bookmarkEnd w:id="417"/>
      <w:r>
        <w:rPr>
          <w:rFonts w:hint="eastAsia" w:ascii="宋体" w:hAnsi="宋体" w:cs="宋体"/>
          <w:color w:val="auto"/>
          <w:kern w:val="1"/>
          <w:sz w:val="18"/>
          <w:szCs w:val="18"/>
          <w:highlight w:val="none"/>
        </w:rPr>
        <w:t>负责清样校对、负责打印及复印等所有人员在内的人员名单。</w:t>
      </w:r>
    </w:p>
    <w:p>
      <w:pPr>
        <w:pStyle w:val="2"/>
        <w:spacing w:line="360" w:lineRule="auto"/>
        <w:rPr>
          <w:rFonts w:hint="eastAsia"/>
          <w:color w:val="auto"/>
          <w:highlight w:val="none"/>
          <w:lang w:val="en-US"/>
        </w:rPr>
      </w:pPr>
    </w:p>
    <w:p>
      <w:pPr>
        <w:pStyle w:val="2"/>
        <w:spacing w:line="360" w:lineRule="auto"/>
        <w:jc w:val="center"/>
        <w:rPr>
          <w:rFonts w:hint="eastAsia"/>
          <w:color w:val="auto"/>
          <w:highlight w:val="none"/>
          <w:lang w:val="en-US"/>
        </w:rPr>
      </w:pPr>
    </w:p>
    <w:p>
      <w:pPr>
        <w:pStyle w:val="2"/>
        <w:spacing w:line="360" w:lineRule="auto"/>
        <w:rPr>
          <w:rFonts w:hint="eastAsia"/>
          <w:color w:val="auto"/>
          <w:highlight w:val="none"/>
        </w:rPr>
      </w:pPr>
      <w:r>
        <w:rPr>
          <w:color w:val="auto"/>
          <w:highlight w:val="none"/>
        </w:rPr>
        <w:br w:type="page"/>
      </w:r>
    </w:p>
    <w:p>
      <w:pPr>
        <w:pStyle w:val="2"/>
        <w:spacing w:line="360" w:lineRule="auto"/>
        <w:rPr>
          <w:rFonts w:hint="eastAsia" w:cs="宋体"/>
          <w:b/>
          <w:strike/>
          <w:color w:val="auto"/>
          <w:kern w:val="1"/>
          <w:sz w:val="24"/>
          <w:highlight w:val="none"/>
        </w:rPr>
      </w:pPr>
      <w:r>
        <w:rPr>
          <w:rFonts w:hint="eastAsia" w:cs="宋体"/>
          <w:b/>
          <w:strike/>
          <w:color w:val="auto"/>
          <w:kern w:val="1"/>
          <w:sz w:val="24"/>
          <w:highlight w:val="none"/>
        </w:rPr>
        <w:t>格式13：</w:t>
      </w:r>
    </w:p>
    <w:p>
      <w:pPr>
        <w:pStyle w:val="2"/>
        <w:spacing w:line="360" w:lineRule="auto"/>
        <w:jc w:val="center"/>
        <w:rPr>
          <w:rFonts w:hint="eastAsia" w:cs="宋体"/>
          <w:b/>
          <w:bCs/>
          <w:strike/>
          <w:color w:val="auto"/>
          <w:sz w:val="28"/>
          <w:szCs w:val="28"/>
          <w:highlight w:val="none"/>
        </w:rPr>
      </w:pPr>
      <w:bookmarkStart w:id="418" w:name="_Hlk69828306"/>
      <w:r>
        <w:rPr>
          <w:rFonts w:hint="eastAsia" w:cs="宋体"/>
          <w:b/>
          <w:bCs/>
          <w:strike/>
          <w:color w:val="auto"/>
          <w:sz w:val="28"/>
          <w:szCs w:val="28"/>
          <w:highlight w:val="none"/>
        </w:rPr>
        <w:t>投标保证金</w:t>
      </w:r>
    </w:p>
    <w:p>
      <w:pPr>
        <w:pStyle w:val="2"/>
        <w:spacing w:line="360" w:lineRule="auto"/>
        <w:jc w:val="left"/>
        <w:rPr>
          <w:rFonts w:hint="eastAsia"/>
          <w:strike/>
          <w:color w:val="auto"/>
          <w:sz w:val="24"/>
          <w:szCs w:val="24"/>
          <w:highlight w:val="none"/>
        </w:rPr>
      </w:pPr>
      <w:r>
        <w:rPr>
          <w:rFonts w:hint="eastAsia"/>
          <w:strike/>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pPr>
        <w:pStyle w:val="2"/>
        <w:spacing w:line="360" w:lineRule="auto"/>
        <w:ind w:firstLine="480" w:firstLineChars="200"/>
        <w:jc w:val="left"/>
        <w:rPr>
          <w:rFonts w:hint="eastAsia"/>
          <w:strike/>
          <w:color w:val="auto"/>
          <w:sz w:val="24"/>
          <w:szCs w:val="24"/>
          <w:highlight w:val="none"/>
        </w:rPr>
      </w:pPr>
      <w:r>
        <w:rPr>
          <w:rFonts w:hint="eastAsia"/>
          <w:strike/>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如采用非电子形式的银行保函、保证保险、专业工程担保公司担保提交的，投标人应在此处提供银行保函、保证保险、专业工程担保公司担保等的原件扫描件并加盖投标人（或联合体牵头方）电子印章。</w:t>
      </w:r>
      <w:bookmarkEnd w:id="418"/>
    </w:p>
    <w:p>
      <w:pPr>
        <w:widowControl/>
        <w:jc w:val="left"/>
        <w:rPr>
          <w:rFonts w:hint="eastAsia" w:ascii="宋体" w:hAnsi="宋体" w:cs="Courier New"/>
          <w:color w:val="auto"/>
          <w:sz w:val="20"/>
          <w:szCs w:val="20"/>
          <w:highlight w:val="none"/>
          <w:lang w:val="zh-CN"/>
        </w:rPr>
      </w:pPr>
      <w:r>
        <w:rPr>
          <w:color w:val="auto"/>
          <w:highlight w:val="none"/>
        </w:rPr>
        <w:br w:type="page"/>
      </w:r>
    </w:p>
    <w:p>
      <w:pPr>
        <w:pStyle w:val="2"/>
        <w:rPr>
          <w:rFonts w:hint="eastAsia"/>
          <w:color w:val="auto"/>
          <w:spacing w:val="2"/>
          <w:position w:val="-1"/>
          <w:sz w:val="32"/>
          <w:szCs w:val="32"/>
          <w:highlight w:val="none"/>
        </w:rPr>
      </w:pPr>
      <w:bookmarkStart w:id="419" w:name="_Toc50480839"/>
      <w:bookmarkStart w:id="420"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9"/>
      <w:bookmarkEnd w:id="420"/>
    </w:p>
    <w:p>
      <w:pPr>
        <w:jc w:val="center"/>
        <w:rPr>
          <w:rFonts w:ascii="宋体"/>
          <w:b/>
          <w:bCs/>
          <w:color w:val="auto"/>
          <w:sz w:val="32"/>
          <w:szCs w:val="32"/>
          <w:highlight w:val="none"/>
        </w:rPr>
      </w:pPr>
    </w:p>
    <w:p>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pPr>
        <w:rPr>
          <w:rFonts w:ascii="宋体"/>
          <w:b/>
          <w:bCs/>
          <w:color w:val="auto"/>
          <w:szCs w:val="21"/>
          <w:highlight w:val="none"/>
        </w:rPr>
      </w:pPr>
      <w:r>
        <w:rPr>
          <w:rFonts w:ascii="宋体" w:hAnsi="宋体"/>
          <w:color w:val="auto"/>
          <w:highlight w:val="none"/>
        </w:rPr>
        <w:t xml:space="preserve">                             </w:t>
      </w:r>
    </w:p>
    <w:p>
      <w:pPr>
        <w:rPr>
          <w:rFonts w:hint="eastAsia" w:ascii="宋体" w:hAnsi="宋体"/>
          <w:color w:val="auto"/>
          <w:sz w:val="24"/>
          <w:highlight w:val="none"/>
        </w:rPr>
      </w:pPr>
      <w:r>
        <w:rPr>
          <w:rFonts w:ascii="宋体" w:hAnsi="宋体"/>
          <w:color w:val="auto"/>
          <w:sz w:val="24"/>
          <w:highlight w:val="none"/>
        </w:rPr>
        <w:t xml:space="preserve"> </w:t>
      </w:r>
    </w:p>
    <w:p>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2"/>
        <w:spacing w:line="360" w:lineRule="auto"/>
        <w:rPr>
          <w:rFonts w:hint="eastAsia"/>
          <w:color w:val="auto"/>
          <w:sz w:val="24"/>
          <w:szCs w:val="24"/>
          <w:highlight w:val="none"/>
        </w:rPr>
      </w:pPr>
      <w:r>
        <w:rPr>
          <w:color w:val="auto"/>
          <w:sz w:val="24"/>
          <w:szCs w:val="24"/>
          <w:highlight w:val="none"/>
        </w:rPr>
        <w:t xml:space="preserve"> </w:t>
      </w:r>
    </w:p>
    <w:p>
      <w:pPr>
        <w:pStyle w:val="2"/>
        <w:spacing w:line="360" w:lineRule="auto"/>
        <w:rPr>
          <w:rFonts w:hint="eastAsia"/>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pPr>
        <w:spacing w:line="360" w:lineRule="auto"/>
        <w:jc w:val="left"/>
        <w:rPr>
          <w:rFonts w:hint="eastAsia" w:ascii="宋体" w:hAnsi="宋体"/>
          <w:color w:val="auto"/>
          <w:sz w:val="24"/>
          <w:szCs w:val="24"/>
          <w:highlight w:val="none"/>
        </w:rPr>
      </w:pPr>
      <w:r>
        <w:rPr>
          <w:rFonts w:ascii="宋体" w:hAnsi="宋体"/>
          <w:color w:val="auto"/>
          <w:sz w:val="24"/>
          <w:szCs w:val="24"/>
          <w:highlight w:val="none"/>
        </w:rPr>
        <w:t xml:space="preserve"> </w:t>
      </w:r>
    </w:p>
    <w:p>
      <w:pPr>
        <w:pStyle w:val="2"/>
        <w:spacing w:line="360" w:lineRule="auto"/>
        <w:ind w:firstLine="420"/>
        <w:rPr>
          <w:rFonts w:hint="eastAsia"/>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pPr>
        <w:spacing w:line="360" w:lineRule="auto"/>
        <w:rPr>
          <w:rFonts w:hint="eastAsia" w:ascii="宋体" w:hAnsi="宋体"/>
          <w:color w:val="auto"/>
          <w:sz w:val="24"/>
          <w:szCs w:val="24"/>
          <w:highlight w:val="none"/>
        </w:rPr>
      </w:pPr>
      <w:r>
        <w:rPr>
          <w:rFonts w:ascii="宋体" w:hAnsi="宋体"/>
          <w:color w:val="auto"/>
          <w:sz w:val="24"/>
          <w:szCs w:val="24"/>
          <w:highlight w:val="none"/>
        </w:rPr>
        <w:t xml:space="preserve"> </w:t>
      </w:r>
    </w:p>
    <w:p>
      <w:pPr>
        <w:pStyle w:val="2"/>
        <w:spacing w:line="360" w:lineRule="auto"/>
        <w:rPr>
          <w:rFonts w:hint="eastAsia"/>
          <w:color w:val="auto"/>
          <w:sz w:val="24"/>
          <w:szCs w:val="24"/>
          <w:highlight w:val="none"/>
        </w:rPr>
      </w:pPr>
      <w:r>
        <w:rPr>
          <w:color w:val="auto"/>
          <w:sz w:val="24"/>
          <w:szCs w:val="24"/>
          <w:highlight w:val="none"/>
        </w:rPr>
        <w:t xml:space="preserve"> </w:t>
      </w:r>
    </w:p>
    <w:p>
      <w:pPr>
        <w:pStyle w:val="2"/>
        <w:spacing w:line="360" w:lineRule="auto"/>
        <w:ind w:firstLine="240" w:firstLineChars="100"/>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pPr>
        <w:pStyle w:val="2"/>
        <w:spacing w:line="360" w:lineRule="auto"/>
        <w:ind w:firstLine="480" w:firstLineChars="200"/>
        <w:rPr>
          <w:rFonts w:hint="eastAsia"/>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pPr>
        <w:pStyle w:val="2"/>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pPr>
        <w:pStyle w:val="2"/>
        <w:spacing w:line="360" w:lineRule="auto"/>
        <w:rPr>
          <w:rFonts w:hint="eastAsia"/>
          <w:color w:val="auto"/>
          <w:sz w:val="24"/>
          <w:szCs w:val="24"/>
          <w:highlight w:val="none"/>
        </w:rPr>
      </w:pPr>
      <w:r>
        <w:rPr>
          <w:color w:val="auto"/>
          <w:sz w:val="24"/>
          <w:szCs w:val="24"/>
          <w:highlight w:val="none"/>
        </w:rPr>
        <w:t xml:space="preserve"> </w:t>
      </w:r>
    </w:p>
    <w:p>
      <w:pPr>
        <w:pStyle w:val="2"/>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pPr>
        <w:pStyle w:val="2"/>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pPr>
        <w:pStyle w:val="2"/>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pPr>
        <w:pStyle w:val="2"/>
        <w:spacing w:line="360" w:lineRule="auto"/>
        <w:rPr>
          <w:rFonts w:hint="eastAsia"/>
          <w:color w:val="auto"/>
          <w:highlight w:val="none"/>
        </w:rPr>
      </w:pPr>
    </w:p>
    <w:p>
      <w:pPr>
        <w:pStyle w:val="2"/>
        <w:spacing w:line="360" w:lineRule="auto"/>
        <w:rPr>
          <w:rFonts w:hint="eastAsia"/>
          <w:color w:val="auto"/>
          <w:highlight w:val="none"/>
        </w:rPr>
      </w:pPr>
      <w:r>
        <w:rPr>
          <w:color w:val="auto"/>
          <w:highlight w:val="none"/>
        </w:rPr>
        <w:br w:type="page"/>
      </w:r>
    </w:p>
    <w:p>
      <w:pPr>
        <w:pStyle w:val="2"/>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pPr>
        <w:pStyle w:val="2"/>
        <w:spacing w:line="360" w:lineRule="auto"/>
        <w:jc w:val="center"/>
        <w:rPr>
          <w:rFonts w:hint="eastAsia" w:cs="宋体"/>
          <w:b/>
          <w:bCs/>
          <w:color w:val="auto"/>
          <w:sz w:val="28"/>
          <w:szCs w:val="28"/>
          <w:highlight w:val="none"/>
        </w:rPr>
      </w:pPr>
      <w:r>
        <w:rPr>
          <w:rFonts w:hint="eastAsia" w:cs="宋体"/>
          <w:b/>
          <w:bCs/>
          <w:color w:val="auto"/>
          <w:sz w:val="28"/>
          <w:szCs w:val="28"/>
          <w:highlight w:val="none"/>
        </w:rPr>
        <w:t>投标人认为应该提供的其他资料</w:t>
      </w:r>
    </w:p>
    <w:p>
      <w:pPr>
        <w:pStyle w:val="2"/>
        <w:spacing w:line="360" w:lineRule="auto"/>
        <w:jc w:val="center"/>
        <w:rPr>
          <w:rFonts w:hint="eastAsia"/>
          <w:color w:val="auto"/>
          <w:highlight w:val="none"/>
          <w:lang w:val="en-US"/>
        </w:rPr>
      </w:pPr>
      <w:r>
        <w:rPr>
          <w:rFonts w:hint="eastAsia" w:cs="宋体"/>
          <w:b/>
          <w:bCs/>
          <w:color w:val="auto"/>
          <w:sz w:val="28"/>
          <w:szCs w:val="28"/>
          <w:highlight w:val="none"/>
        </w:rPr>
        <w:t>（包括招标文件评审或评分要求需要提供的相关资料）</w:t>
      </w:r>
    </w:p>
    <w:p>
      <w:pPr>
        <w:widowControl/>
        <w:jc w:val="left"/>
        <w:rPr>
          <w:rFonts w:hint="eastAsia" w:ascii="宋体" w:hAnsi="宋体" w:cs="宋体"/>
          <w:b/>
          <w:color w:val="auto"/>
          <w:kern w:val="1"/>
          <w:sz w:val="36"/>
          <w:szCs w:val="36"/>
          <w:highlight w:val="none"/>
          <w:lang w:val="zh-CN"/>
        </w:rPr>
      </w:pPr>
      <w:r>
        <w:rPr>
          <w:rFonts w:cs="宋体"/>
          <w:b/>
          <w:color w:val="auto"/>
          <w:kern w:val="1"/>
          <w:sz w:val="36"/>
          <w:szCs w:val="36"/>
          <w:highlight w:val="none"/>
        </w:rPr>
        <w:br w:type="page"/>
      </w:r>
    </w:p>
    <w:p>
      <w:pPr>
        <w:pStyle w:val="2"/>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21" w:name="_Hlk69828514"/>
      <w:r>
        <w:rPr>
          <w:rFonts w:hint="eastAsia" w:cs="宋体"/>
          <w:b/>
          <w:color w:val="auto"/>
          <w:kern w:val="1"/>
          <w:sz w:val="36"/>
          <w:szCs w:val="36"/>
          <w:highlight w:val="none"/>
        </w:rPr>
        <w:t>工程总承包实施方案经济投标文件格式</w:t>
      </w:r>
      <w:bookmarkEnd w:id="421"/>
    </w:p>
    <w:p>
      <w:pPr>
        <w:spacing w:line="360" w:lineRule="auto"/>
        <w:jc w:val="center"/>
        <w:rPr>
          <w:rFonts w:hint="eastAsia" w:ascii="宋体" w:hAnsi="宋体" w:cs="宋体"/>
          <w:b/>
          <w:color w:val="auto"/>
          <w:kern w:val="1"/>
          <w:sz w:val="30"/>
          <w:szCs w:val="30"/>
          <w:highlight w:val="none"/>
        </w:rPr>
      </w:pPr>
    </w:p>
    <w:p>
      <w:pP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pPr>
        <w:pStyle w:val="32"/>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pP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Cs w:val="21"/>
                <w:highlight w:val="none"/>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p>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其中：勘察费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pPr>
              <w:keepNext w:val="0"/>
              <w:keepLines w:val="0"/>
              <w:suppressLineNumbers w:val="0"/>
              <w:spacing w:before="0" w:beforeAutospacing="0" w:after="0" w:afterAutospacing="0" w:line="360" w:lineRule="auto"/>
              <w:ind w:left="207" w:right="0"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hint="default"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注：下浮率=【1-（勘察费投标报价/勘察费最高投标限价）】</w:t>
            </w:r>
            <w:r>
              <w:rPr>
                <w:rFonts w:hint="default"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pPr>
              <w:keepNext w:val="0"/>
              <w:keepLines w:val="0"/>
              <w:suppressLineNumbers w:val="0"/>
              <w:spacing w:before="0" w:beforeAutospacing="0" w:after="0" w:afterAutospacing="0" w:line="360" w:lineRule="auto"/>
              <w:ind w:left="207" w:right="0"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hint="default"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hint="default"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pPr>
              <w:keepNext w:val="0"/>
              <w:keepLines w:val="0"/>
              <w:suppressLineNumbers w:val="0"/>
              <w:spacing w:before="0" w:beforeAutospacing="0" w:after="0" w:afterAutospacing="0" w:line="360" w:lineRule="auto"/>
              <w:ind w:left="207" w:right="0"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hint="default"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pPr>
              <w:keepNext w:val="0"/>
              <w:keepLines w:val="0"/>
              <w:suppressLineNumbers w:val="0"/>
              <w:spacing w:before="0" w:beforeAutospacing="0" w:after="0" w:afterAutospacing="0" w:line="360" w:lineRule="auto"/>
              <w:ind w:left="0" w:right="0"/>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w:t>
            </w:r>
            <w:r>
              <w:rPr>
                <w:rFonts w:hint="eastAsia" w:ascii="宋体" w:hAnsi="宋体" w:cs="宋体"/>
                <w:b/>
                <w:bCs/>
                <w:color w:val="auto"/>
                <w:kern w:val="1"/>
                <w:szCs w:val="21"/>
                <w:highlight w:val="none"/>
                <w:lang w:val="zh-CN"/>
              </w:rPr>
              <w:t>费最高投标限价）】</w:t>
            </w:r>
            <w:r>
              <w:rPr>
                <w:rFonts w:hint="default"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Cs w:val="21"/>
                <w:highlight w:val="none"/>
              </w:rPr>
            </w:pPr>
          </w:p>
        </w:tc>
      </w:tr>
      <w:tr>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Cs w:val="21"/>
                <w:highlight w:val="none"/>
              </w:rPr>
            </w:pPr>
          </w:p>
        </w:tc>
      </w:tr>
      <w:tr>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pPr>
              <w:keepNext w:val="0"/>
              <w:keepLines w:val="0"/>
              <w:suppressLineNumbers w:val="0"/>
              <w:spacing w:before="0" w:beforeAutospacing="0" w:after="0" w:afterAutospacing="0" w:line="360" w:lineRule="auto"/>
              <w:ind w:left="0" w:right="0"/>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eastAsia" w:ascii="宋体" w:hAnsi="宋体" w:cs="宋体"/>
                <w:b/>
                <w:color w:val="auto"/>
                <w:kern w:val="1"/>
                <w:szCs w:val="21"/>
                <w:highlight w:val="none"/>
              </w:rPr>
            </w:pPr>
          </w:p>
        </w:tc>
      </w:tr>
    </w:tbl>
    <w:p>
      <w:pPr>
        <w:pStyle w:val="2"/>
        <w:spacing w:line="360" w:lineRule="auto"/>
        <w:rPr>
          <w:rFonts w:hint="eastAsia" w:cs="宋体"/>
          <w:b/>
          <w:color w:val="auto"/>
          <w:sz w:val="21"/>
          <w:szCs w:val="21"/>
          <w:highlight w:val="none"/>
        </w:rPr>
      </w:pPr>
      <w:r>
        <w:rPr>
          <w:rFonts w:hint="eastAsia" w:cs="宋体"/>
          <w:b/>
          <w:color w:val="auto"/>
          <w:sz w:val="21"/>
          <w:szCs w:val="21"/>
          <w:highlight w:val="none"/>
        </w:rPr>
        <w:t>注：</w:t>
      </w:r>
    </w:p>
    <w:p>
      <w:pPr>
        <w:pStyle w:val="2"/>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pPr>
        <w:pStyle w:val="2"/>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pPr>
        <w:pStyle w:val="2"/>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完成本次招标内容及《勘察、设计任务书》内的全部内容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pPr>
        <w:pStyle w:val="2"/>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pPr>
        <w:pStyle w:val="2"/>
        <w:spacing w:line="360" w:lineRule="auto"/>
        <w:rPr>
          <w:rFonts w:hint="eastAsia"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pPr>
        <w:spacing w:line="360" w:lineRule="auto"/>
        <w:rPr>
          <w:rFonts w:hint="eastAsia" w:ascii="宋体" w:hAnsi="宋体" w:cs="Cambria Math"/>
          <w:b/>
          <w:color w:val="auto"/>
          <w:kern w:val="1"/>
          <w:sz w:val="24"/>
          <w:highlight w:val="none"/>
        </w:rPr>
      </w:pPr>
      <w:r>
        <w:rPr>
          <w:color w:val="auto"/>
          <w:highlight w:val="none"/>
        </w:rPr>
        <w:br w:type="page"/>
      </w:r>
      <w:r>
        <w:rPr>
          <w:rFonts w:hint="eastAsia" w:ascii="宋体" w:hAnsi="宋体" w:cs="Cambria Math"/>
          <w:b/>
          <w:color w:val="auto"/>
          <w:kern w:val="1"/>
          <w:sz w:val="24"/>
          <w:highlight w:val="none"/>
        </w:rPr>
        <w:t>格式2：</w:t>
      </w:r>
    </w:p>
    <w:p>
      <w:pPr>
        <w:spacing w:line="480" w:lineRule="auto"/>
        <w:jc w:val="center"/>
        <w:rPr>
          <w:color w:val="auto"/>
          <w:highlight w:val="none"/>
        </w:rPr>
      </w:pPr>
      <w:r>
        <w:rPr>
          <w:rFonts w:hint="eastAsia" w:ascii="宋体" w:hAnsi="宋体" w:cs="Cambria Math"/>
          <w:b/>
          <w:color w:val="auto"/>
          <w:kern w:val="1"/>
          <w:sz w:val="28"/>
          <w:szCs w:val="28"/>
          <w:highlight w:val="none"/>
          <w:lang w:val="zh-CN"/>
        </w:rPr>
        <w:t>勘察费用明细表</w:t>
      </w:r>
    </w:p>
    <w:tbl>
      <w:tblPr>
        <w:tblStyle w:val="34"/>
        <w:tblW w:w="8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27"/>
        <w:gridCol w:w="923"/>
        <w:gridCol w:w="692"/>
        <w:gridCol w:w="957"/>
        <w:gridCol w:w="1097"/>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工作量</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含税综合单价（元）</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勘察费总价</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（万元）</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岩土工程勘察费</w:t>
            </w:r>
          </w:p>
        </w:tc>
        <w:tc>
          <w:tcPr>
            <w:tcW w:w="9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6200</w:t>
            </w:r>
          </w:p>
        </w:tc>
        <w:tc>
          <w:tcPr>
            <w:tcW w:w="6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9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包括初步勘察、详细勘察、施工阶段勘察及所有实物工作收费、技术工作收费、进退场费、税金等。</w:t>
            </w:r>
            <w:r>
              <w:rPr>
                <w:rFonts w:hint="eastAsia" w:ascii="宋体" w:hAnsi="宋体" w:eastAsia="宋体" w:cs="宋体"/>
                <w:b/>
                <w:i w:val="0"/>
                <w:color w:val="auto"/>
                <w:kern w:val="0"/>
                <w:sz w:val="22"/>
                <w:szCs w:val="22"/>
                <w:highlight w:val="none"/>
                <w:u w:val="none"/>
                <w:lang w:val="en-US" w:eastAsia="zh-CN" w:bidi="ar"/>
              </w:rPr>
              <w:t>综合包干单价投标报价应不高于</w:t>
            </w:r>
            <w:r>
              <w:rPr>
                <w:rFonts w:hint="eastAsia" w:ascii="宋体" w:hAnsi="宋体" w:eastAsia="宋体" w:cs="宋体"/>
                <w:b/>
                <w:i w:val="0"/>
                <w:color w:val="auto"/>
                <w:kern w:val="0"/>
                <w:sz w:val="22"/>
                <w:szCs w:val="22"/>
                <w:highlight w:val="none"/>
                <w:u w:val="single"/>
                <w:lang w:val="en-US" w:eastAsia="zh-CN" w:bidi="ar"/>
              </w:rPr>
              <w:t>120</w:t>
            </w:r>
            <w:r>
              <w:rPr>
                <w:rFonts w:hint="eastAsia" w:ascii="宋体" w:hAnsi="宋体" w:eastAsia="宋体" w:cs="宋体"/>
                <w:b/>
                <w:i w:val="0"/>
                <w:color w:val="auto"/>
                <w:kern w:val="0"/>
                <w:sz w:val="22"/>
                <w:szCs w:val="22"/>
                <w:highlight w:val="none"/>
                <w:u w:val="none"/>
                <w:lang w:val="en-US" w:eastAsia="zh-CN" w:bidi="ar"/>
              </w:rPr>
              <w:t>元/m</w:t>
            </w:r>
            <w:r>
              <w:rPr>
                <w:rFonts w:hint="eastAsia" w:ascii="宋体" w:hAnsi="宋体" w:eastAsia="宋体" w:cs="宋体"/>
                <w:i w:val="0"/>
                <w:color w:val="auto"/>
                <w:kern w:val="0"/>
                <w:sz w:val="22"/>
                <w:szCs w:val="22"/>
                <w:highlight w:val="none"/>
                <w:u w:val="none"/>
                <w:lang w:val="en-US" w:eastAsia="zh-CN" w:bidi="ar"/>
              </w:rPr>
              <w:t>。结算按投标综合包干单价计算。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超前钻费用</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1.包括所有实物工作收费、技术工作收费、进退场费、税金等。综合包干单价投标报价应不高于</w:t>
            </w:r>
            <w:r>
              <w:rPr>
                <w:rFonts w:hint="eastAsia" w:ascii="宋体" w:hAnsi="宋体" w:eastAsia="宋体" w:cs="宋体"/>
                <w:i w:val="0"/>
                <w:color w:val="auto"/>
                <w:kern w:val="0"/>
                <w:sz w:val="22"/>
                <w:szCs w:val="22"/>
                <w:highlight w:val="none"/>
                <w:u w:val="single"/>
                <w:lang w:val="en-US" w:eastAsia="zh-CN" w:bidi="ar"/>
              </w:rPr>
              <w:t>105</w:t>
            </w:r>
            <w:r>
              <w:rPr>
                <w:rFonts w:hint="eastAsia" w:ascii="宋体" w:hAnsi="宋体" w:eastAsia="宋体" w:cs="宋体"/>
                <w:i w:val="0"/>
                <w:color w:val="auto"/>
                <w:kern w:val="0"/>
                <w:sz w:val="22"/>
                <w:szCs w:val="22"/>
                <w:highlight w:val="none"/>
                <w:u w:val="none"/>
                <w:lang w:val="en-US" w:eastAsia="zh-CN" w:bidi="ar"/>
              </w:rPr>
              <w:t>元/m。结算按投标综合包干单价计算。</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2.本项费用如有发生则据实结算。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工程物探费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43065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综合包干单价投标报价应不高于1.5元/㎡。结算按投标综合包干单价计算。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地形测绘及工程测量（含规划报建放线费)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9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w:t>
            </w:r>
          </w:p>
        </w:tc>
        <w:tc>
          <w:tcPr>
            <w:tcW w:w="109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100.00</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sz w:val="22"/>
                <w:szCs w:val="22"/>
                <w:highlight w:val="none"/>
                <w:u w:val="none"/>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i w:val="0"/>
                <w:color w:val="auto"/>
                <w:sz w:val="22"/>
                <w:szCs w:val="22"/>
                <w:highlight w:val="none"/>
                <w:u w:val="none"/>
              </w:rPr>
              <w:br w:type="textWrapping"/>
            </w:r>
            <w:r>
              <w:rPr>
                <w:rFonts w:hint="eastAsia" w:ascii="宋体" w:hAnsi="宋体" w:eastAsia="宋体" w:cs="宋体"/>
                <w:i w:val="0"/>
                <w:color w:val="auto"/>
                <w:sz w:val="22"/>
                <w:szCs w:val="22"/>
                <w:highlight w:val="none"/>
                <w:u w:val="none"/>
              </w:rPr>
              <w:t>包括放线测量（含控制点、实地定桩）、验线测量，实测地形图、图根控制点、IV等水准测量、图根水准测量、数字化地形图等测量详细调查，以及GPS(PTK控制点观测)、地形图测量、建筑面积技术审查费及管线地形图费、联合验收测绘（含项目规划条件核实验线测量、人防面积测绘、房产面积测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抽水试验</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综合包干单价投标报价应不高于10000元/个。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剪切波速</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孔</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综合包干单价投标报价应不高于2500元/个。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土壤氡浓度测试</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综合包干单价投标报价应不高于120元/点。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噪声测试</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综合包干单价投标报价应不高于3000元/项。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管波探测</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孔</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综合包干单价投标报价应不高于2300元/孔。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勘察费合计(万元)</w:t>
            </w:r>
          </w:p>
        </w:tc>
        <w:tc>
          <w:tcPr>
            <w:tcW w:w="5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p>
        </w:tc>
      </w:tr>
    </w:tbl>
    <w:p>
      <w:pPr>
        <w:spacing w:line="480" w:lineRule="auto"/>
        <w:jc w:val="center"/>
        <w:rPr>
          <w:rFonts w:hint="eastAsia"/>
          <w:color w:val="auto"/>
          <w:highlight w:val="none"/>
          <w:lang w:val="zh-CN"/>
        </w:rPr>
      </w:pPr>
    </w:p>
    <w:p>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1、中标人需按总报价的金额完成本次招标内容及勘察任务书内的全部内容，不得增加费用。</w:t>
      </w:r>
    </w:p>
    <w:p>
      <w:pPr>
        <w:adjustRightInd w:val="0"/>
        <w:snapToGrid w:val="0"/>
        <w:ind w:right="-50" w:rightChars="-24" w:firstLine="420" w:firstLineChars="200"/>
        <w:jc w:val="left"/>
        <w:rPr>
          <w:rFonts w:hint="eastAsia" w:ascii="宋体" w:hAnsi="宋体" w:cs="宋体"/>
          <w:b/>
          <w:color w:val="auto"/>
          <w:szCs w:val="21"/>
          <w:highlight w:val="none"/>
        </w:rPr>
      </w:pPr>
      <w:r>
        <w:rPr>
          <w:rFonts w:hint="eastAsia" w:ascii="宋体" w:hAnsi="宋体" w:cs="宋体"/>
          <w:bCs/>
          <w:color w:val="auto"/>
          <w:kern w:val="2"/>
          <w:szCs w:val="21"/>
          <w:highlight w:val="none"/>
        </w:rPr>
        <w:t>2、</w:t>
      </w:r>
      <w:r>
        <w:rPr>
          <w:rFonts w:hint="eastAsia" w:ascii="宋体" w:hAnsi="宋体" w:cs="Cambria Math"/>
          <w:bCs/>
          <w:color w:val="auto"/>
          <w:kern w:val="2"/>
          <w:szCs w:val="21"/>
          <w:highlight w:val="none"/>
        </w:rPr>
        <w:t>中标单位在进场开展工作之前，需编制勘察工作方案，报招标人审核同意后方可实施。</w:t>
      </w:r>
    </w:p>
    <w:p>
      <w:pPr>
        <w:adjustRightInd w:val="0"/>
        <w:snapToGrid w:val="0"/>
        <w:ind w:right="-50" w:rightChars="-24" w:firstLine="422" w:firstLineChars="200"/>
        <w:rPr>
          <w:rFonts w:hint="eastAsia" w:ascii="宋体" w:hAnsi="宋体" w:cs="宋体"/>
          <w:b/>
          <w:bCs/>
          <w:color w:val="auto"/>
          <w:szCs w:val="21"/>
          <w:highlight w:val="none"/>
        </w:rPr>
      </w:pPr>
      <w:r>
        <w:rPr>
          <w:rFonts w:hint="eastAsia" w:ascii="宋体" w:hAnsi="宋体" w:cs="宋体"/>
          <w:b/>
          <w:bCs/>
          <w:color w:val="auto"/>
          <w:kern w:val="2"/>
          <w:szCs w:val="21"/>
          <w:highlight w:val="none"/>
        </w:rPr>
        <w:t>3、投标人须按招标文件要求进行投标报价，否则由评标委员按否决其投标处理。</w:t>
      </w:r>
    </w:p>
    <w:p>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4</w:t>
      </w:r>
      <w:r>
        <w:rPr>
          <w:rFonts w:hint="eastAsia" w:ascii="宋体" w:hAnsi="宋体" w:cs="宋体"/>
          <w:bCs/>
          <w:color w:val="auto"/>
          <w:kern w:val="2"/>
          <w:szCs w:val="21"/>
          <w:highlight w:val="none"/>
        </w:rPr>
        <w:t>、勘察费合计金额应与经济标投标书中勘察费金额一致。</w:t>
      </w:r>
    </w:p>
    <w:p>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5、勘察费</w:t>
      </w:r>
      <w:r>
        <w:rPr>
          <w:rFonts w:hint="eastAsia" w:ascii="宋体" w:hAnsi="宋体" w:cs="宋体"/>
          <w:bCs/>
          <w:color w:val="auto"/>
          <w:kern w:val="2"/>
          <w:szCs w:val="21"/>
          <w:highlight w:val="none"/>
        </w:rPr>
        <w:t>合计</w:t>
      </w:r>
      <w:r>
        <w:rPr>
          <w:rFonts w:ascii="宋体" w:hAnsi="宋体" w:cs="宋体"/>
          <w:bCs/>
          <w:color w:val="auto"/>
          <w:kern w:val="2"/>
          <w:szCs w:val="21"/>
          <w:highlight w:val="none"/>
        </w:rPr>
        <w:t>总报价以万元为单位，小数点后保留二位小数，第三位小数四舍五入。</w:t>
      </w:r>
    </w:p>
    <w:p>
      <w:pPr>
        <w:pStyle w:val="2"/>
        <w:rPr>
          <w:rFonts w:hint="eastAsia"/>
          <w:color w:val="auto"/>
          <w:highlight w:val="none"/>
          <w:lang w:val="en-US"/>
        </w:rPr>
      </w:pPr>
    </w:p>
    <w:p>
      <w:pPr>
        <w:rPr>
          <w:color w:val="auto"/>
          <w:highlight w:val="none"/>
        </w:rPr>
      </w:pPr>
    </w:p>
    <w:p>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pPr>
        <w:spacing w:line="360" w:lineRule="auto"/>
        <w:jc w:val="right"/>
        <w:rPr>
          <w:rFonts w:hint="eastAsia"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pPr>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pPr>
        <w:spacing w:line="360" w:lineRule="auto"/>
        <w:rPr>
          <w:rFonts w:hint="eastAsia" w:ascii="宋体" w:hAnsi="宋体" w:cs="宋体"/>
          <w:b/>
          <w:color w:val="auto"/>
          <w:kern w:val="1"/>
          <w:sz w:val="28"/>
          <w:szCs w:val="28"/>
          <w:highlight w:val="none"/>
        </w:rPr>
      </w:pPr>
      <w:r>
        <w:rPr>
          <w:rFonts w:hint="eastAsia" w:ascii="宋体" w:hAnsi="宋体" w:cs="宋体"/>
          <w:b/>
          <w:color w:val="auto"/>
          <w:kern w:val="1"/>
          <w:sz w:val="24"/>
          <w:highlight w:val="none"/>
        </w:rPr>
        <w:t>格式</w:t>
      </w:r>
      <w:r>
        <w:rPr>
          <w:rFonts w:ascii="宋体" w:hAnsi="宋体" w:cs="宋体"/>
          <w:b/>
          <w:color w:val="auto"/>
          <w:kern w:val="1"/>
          <w:sz w:val="24"/>
          <w:highlight w:val="none"/>
        </w:rPr>
        <w:t>3</w:t>
      </w:r>
      <w:r>
        <w:rPr>
          <w:rFonts w:hint="eastAsia" w:ascii="宋体" w:hAnsi="宋体" w:cs="宋体"/>
          <w:b/>
          <w:color w:val="auto"/>
          <w:kern w:val="1"/>
          <w:sz w:val="24"/>
          <w:highlight w:val="none"/>
        </w:rPr>
        <w:t>：</w:t>
      </w:r>
    </w:p>
    <w:p>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4"/>
        <w:tblW w:w="8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2971"/>
        <w:gridCol w:w="1581"/>
        <w:gridCol w:w="1150"/>
        <w:gridCol w:w="2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暂定计费额</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设计费总价（万元）</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基本设计费（不含永久用水工程、永久用电工程、临时施工供水工程、临时施工供电工程、燃气工程、管线迁改工程）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142,076.23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1.计费额： 142076.23 万元</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专业系数暂定为1.0，复杂系数暂定为1.0，附加系数暂定为1.0（设计费系数最终按概算批复的设计费系数为准）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专业工程设计费（燃气工程）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457.39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专业工程设计费（永久用电工程）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831.72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专业工程设计费（永久用水工程）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专业系数为1.0，复杂系数为0.85，附加系数为1.0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专业工程设计费（临时施工供电工程）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专业工程设计费（临时施工供水工程）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专业系数为1.0，复杂系数为0.85，附加系数为1.0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专业工程设计费（管线迁改工程工程）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380.00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设计费合计</w:t>
            </w:r>
            <w:r>
              <w:rPr>
                <w:rFonts w:hint="eastAsia" w:ascii="宋体" w:hAnsi="宋体" w:cs="宋体"/>
                <w:b/>
                <w:bCs/>
                <w:i w:val="0"/>
                <w:iCs w:val="0"/>
                <w:color w:val="auto"/>
                <w:kern w:val="0"/>
                <w:sz w:val="22"/>
                <w:szCs w:val="22"/>
                <w:highlight w:val="none"/>
                <w:u w:val="none"/>
                <w:lang w:val="en-US" w:eastAsia="zh-CN" w:bidi="ar"/>
              </w:rPr>
              <w:t>（万元）</w:t>
            </w:r>
          </w:p>
        </w:tc>
        <w:tc>
          <w:tcPr>
            <w:tcW w:w="3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p>
        </w:tc>
      </w:tr>
    </w:tbl>
    <w:p>
      <w:pPr>
        <w:adjustRightInd w:val="0"/>
        <w:snapToGrid w:val="0"/>
        <w:ind w:right="-758" w:rightChars="-361" w:firstLine="420" w:firstLineChars="200"/>
        <w:jc w:val="left"/>
        <w:rPr>
          <w:rFonts w:hint="eastAsia" w:ascii="宋体" w:hAnsi="宋体" w:cs="宋体"/>
          <w:color w:val="auto"/>
          <w:kern w:val="2"/>
          <w:szCs w:val="21"/>
          <w:highlight w:val="none"/>
        </w:rPr>
      </w:pPr>
    </w:p>
    <w:p>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pPr>
        <w:adjustRightInd w:val="0"/>
        <w:snapToGrid w:val="0"/>
        <w:ind w:right="-758" w:rightChars="-361"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1、设计总包、现场服务费用等费用含在设计费投标报价中，不单独报价。</w:t>
      </w:r>
    </w:p>
    <w:p>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2、中标人需按总报价的金额完成本次招标内容及《勘察设计任务书》内的全部内容，不得增加费用。</w:t>
      </w:r>
    </w:p>
    <w:p>
      <w:pPr>
        <w:adjustRightInd w:val="0"/>
        <w:snapToGrid w:val="0"/>
        <w:ind w:right="-50" w:rightChars="-24" w:firstLine="420" w:firstLineChars="200"/>
        <w:jc w:val="left"/>
        <w:rPr>
          <w:rFonts w:hint="eastAsia" w:ascii="宋体" w:hAnsi="宋体" w:cs="宋体"/>
          <w:b/>
          <w:bCs/>
          <w:color w:val="auto"/>
          <w:kern w:val="2"/>
          <w:szCs w:val="21"/>
          <w:highlight w:val="none"/>
        </w:rPr>
      </w:pPr>
      <w:r>
        <w:rPr>
          <w:rFonts w:hint="eastAsia" w:ascii="宋体" w:hAnsi="宋体" w:cs="宋体"/>
          <w:bCs/>
          <w:color w:val="auto"/>
          <w:kern w:val="2"/>
          <w:szCs w:val="21"/>
          <w:highlight w:val="none"/>
        </w:rPr>
        <w:t>3、</w:t>
      </w:r>
      <w:r>
        <w:rPr>
          <w:rFonts w:hint="eastAsia" w:ascii="宋体" w:hAnsi="宋体" w:cs="宋体"/>
          <w:b/>
          <w:bCs/>
          <w:color w:val="auto"/>
          <w:kern w:val="2"/>
          <w:szCs w:val="21"/>
          <w:highlight w:val="none"/>
        </w:rPr>
        <w:t>投标人须按招标文件要求进行投标报价，否则由评标委员按否决其投标处理。</w:t>
      </w:r>
    </w:p>
    <w:p>
      <w:pPr>
        <w:pStyle w:val="32"/>
        <w:adjustRightInd w:val="0"/>
        <w:snapToGrid w:val="0"/>
        <w:spacing w:line="240" w:lineRule="auto"/>
        <w:ind w:right="-50" w:rightChars="-24"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5、设计费合计金额应与经济标投标书中设计费金额一致。</w:t>
      </w:r>
    </w:p>
    <w:p>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6、设计费合计总报价以万元为单位，小数点后保留二位小数，第三位小数四舍五入。</w:t>
      </w:r>
    </w:p>
    <w:p>
      <w:pPr>
        <w:pStyle w:val="2"/>
        <w:rPr>
          <w:rFonts w:hint="eastAsia" w:cs="宋体"/>
          <w:color w:val="auto"/>
          <w:highlight w:val="none"/>
        </w:rPr>
      </w:pPr>
    </w:p>
    <w:p>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pPr>
        <w:adjustRightInd/>
        <w:snapToGrid/>
        <w:spacing w:line="360" w:lineRule="auto"/>
        <w:ind w:firstLine="0" w:firstLineChars="0"/>
        <w:jc w:val="left"/>
        <w:rPr>
          <w:rFonts w:hint="eastAsia" w:ascii="宋体" w:hAnsi="宋体" w:cs="宋体"/>
          <w:bCs/>
          <w:color w:val="auto"/>
          <w:kern w:val="2"/>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r>
        <w:rPr>
          <w:rFonts w:cs="宋体"/>
          <w:color w:val="auto"/>
          <w:kern w:val="1"/>
          <w:szCs w:val="21"/>
          <w:highlight w:val="none"/>
        </w:rPr>
        <w:br w:type="page"/>
      </w:r>
    </w:p>
    <w:p>
      <w:pPr>
        <w:pStyle w:val="2"/>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rPr>
        <w:t>4</w:t>
      </w:r>
      <w:r>
        <w:rPr>
          <w:rFonts w:hint="eastAsia" w:cs="宋体"/>
          <w:b/>
          <w:color w:val="auto"/>
          <w:kern w:val="1"/>
          <w:sz w:val="24"/>
          <w:highlight w:val="none"/>
        </w:rPr>
        <w:t>：</w:t>
      </w:r>
    </w:p>
    <w:p>
      <w:pPr>
        <w:pStyle w:val="32"/>
        <w:spacing w:line="360" w:lineRule="auto"/>
        <w:ind w:left="-2" w:firstLine="632"/>
        <w:jc w:val="center"/>
        <w:rPr>
          <w:rFonts w:hint="eastAsia" w:ascii="宋体" w:hAnsi="宋体" w:cs="宋体"/>
          <w:b/>
          <w:bCs/>
          <w:color w:val="auto"/>
          <w:sz w:val="28"/>
          <w:szCs w:val="28"/>
          <w:highlight w:val="none"/>
          <w:lang w:val="zh-CN"/>
        </w:rPr>
      </w:pPr>
      <w:bookmarkStart w:id="422" w:name="_Hlk56677631"/>
      <w:r>
        <w:rPr>
          <w:rFonts w:hint="eastAsia" w:ascii="宋体" w:hAnsi="宋体" w:cs="宋体"/>
          <w:b/>
          <w:bCs/>
          <w:color w:val="auto"/>
          <w:sz w:val="28"/>
          <w:szCs w:val="28"/>
          <w:highlight w:val="none"/>
          <w:lang w:val="zh-CN"/>
        </w:rPr>
        <w:t>参与编制</w:t>
      </w:r>
      <w:bookmarkStart w:id="423" w:name="_Hlk69828595"/>
      <w:r>
        <w:rPr>
          <w:rFonts w:hint="eastAsia" w:ascii="宋体" w:hAnsi="宋体" w:cs="宋体"/>
          <w:b/>
          <w:bCs/>
          <w:color w:val="auto"/>
          <w:sz w:val="28"/>
          <w:szCs w:val="28"/>
          <w:highlight w:val="none"/>
          <w:lang w:val="zh-CN"/>
        </w:rPr>
        <w:t>工程总承包实施方案经济投标文件</w:t>
      </w:r>
      <w:bookmarkEnd w:id="423"/>
      <w:r>
        <w:rPr>
          <w:rFonts w:hint="eastAsia" w:ascii="宋体" w:hAnsi="宋体" w:cs="宋体"/>
          <w:b/>
          <w:bCs/>
          <w:color w:val="auto"/>
          <w:sz w:val="28"/>
          <w:szCs w:val="28"/>
          <w:highlight w:val="none"/>
          <w:lang w:val="zh-CN"/>
        </w:rPr>
        <w:t>人员名单</w:t>
      </w:r>
      <w:bookmarkEnd w:id="422"/>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r>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720"/>
              </w:tabs>
              <w:spacing w:before="0" w:beforeAutospacing="0" w:after="0" w:afterAutospacing="0" w:line="360" w:lineRule="auto"/>
              <w:ind w:left="0" w:right="0"/>
              <w:jc w:val="center"/>
              <w:rPr>
                <w:rFonts w:hint="eastAsia" w:ascii="宋体" w:hAnsi="宋体" w:cs="宋体"/>
                <w:color w:val="auto"/>
                <w:kern w:val="1"/>
                <w:szCs w:val="21"/>
                <w:highlight w:val="none"/>
              </w:rPr>
            </w:pPr>
          </w:p>
        </w:tc>
      </w:tr>
    </w:tbl>
    <w:p>
      <w:pP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pPr>
        <w:spacing w:line="360" w:lineRule="auto"/>
        <w:rPr>
          <w:rFonts w:hint="eastAsia" w:ascii="宋体" w:hAnsi="宋体" w:cs="宋体"/>
          <w:b/>
          <w:color w:val="auto"/>
          <w:kern w:val="1"/>
          <w:sz w:val="36"/>
          <w:szCs w:val="36"/>
          <w:highlight w:val="none"/>
        </w:rPr>
      </w:pPr>
    </w:p>
    <w:p>
      <w:pP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pPr>
        <w:rPr>
          <w:color w:val="auto"/>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5</w:t>
      </w:r>
      <w:r>
        <w:rPr>
          <w:rFonts w:hint="eastAsia" w:ascii="宋体" w:hAnsi="宋体" w:cs="宋体"/>
          <w:b/>
          <w:color w:val="auto"/>
          <w:kern w:val="1"/>
          <w:sz w:val="24"/>
          <w:highlight w:val="none"/>
          <w:lang w:val="zh-CN"/>
        </w:rPr>
        <w:t xml:space="preserve">： </w:t>
      </w:r>
      <w:r>
        <w:rPr>
          <w:rFonts w:hint="eastAsia"/>
          <w:color w:val="auto"/>
          <w:highlight w:val="none"/>
        </w:rPr>
        <w:t>（以下格式文件由投标人根据需要选用）</w:t>
      </w:r>
    </w:p>
    <w:p>
      <w:pPr>
        <w:pStyle w:val="2"/>
        <w:spacing w:line="360" w:lineRule="auto"/>
        <w:rPr>
          <w:rFonts w:hint="eastAsia"/>
          <w:color w:val="auto"/>
          <w:highlight w:val="none"/>
          <w:lang w:val="en-US"/>
        </w:rPr>
      </w:pPr>
    </w:p>
    <w:p>
      <w:pPr>
        <w:pStyle w:val="13"/>
        <w:tabs>
          <w:tab w:val="left" w:pos="1282"/>
        </w:tabs>
        <w:kinsoku w:val="0"/>
        <w:overflowPunct w:val="0"/>
        <w:spacing w:before="55"/>
        <w:jc w:val="center"/>
        <w:rPr>
          <w:rFonts w:hint="eastAsia"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w:t>
      </w:r>
    </w:p>
    <w:p>
      <w:pPr>
        <w:pStyle w:val="13"/>
        <w:kinsoku w:val="0"/>
        <w:overflowPunct w:val="0"/>
        <w:spacing w:before="12"/>
        <w:rPr>
          <w:color w:val="auto"/>
          <w:sz w:val="26"/>
          <w:szCs w:val="26"/>
          <w:highlight w:val="none"/>
        </w:rPr>
      </w:pPr>
    </w:p>
    <w:p>
      <w:pPr>
        <w:pStyle w:val="13"/>
        <w:tabs>
          <w:tab w:val="left" w:pos="1981"/>
          <w:tab w:val="left" w:pos="3555"/>
        </w:tabs>
        <w:kinsoku w:val="0"/>
        <w:overflowPunct w:val="0"/>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ab/>
      </w:r>
      <w:r>
        <w:rPr>
          <w:rFonts w:hint="eastAsia" w:ascii="宋体" w:hAnsi="宋体"/>
          <w:color w:val="auto"/>
          <w:w w:val="95"/>
          <w:sz w:val="24"/>
          <w:szCs w:val="24"/>
          <w:highlight w:val="none"/>
          <w:u w:val="single"/>
        </w:rPr>
        <w:t>（招标人）</w:t>
      </w:r>
      <w:r>
        <w:rPr>
          <w:rFonts w:ascii="宋体" w:hAnsi="宋体"/>
          <w:color w:val="auto"/>
          <w:sz w:val="24"/>
          <w:szCs w:val="24"/>
          <w:highlight w:val="none"/>
          <w:u w:val="single"/>
        </w:rPr>
        <w:tab/>
      </w:r>
    </w:p>
    <w:p>
      <w:pPr>
        <w:pStyle w:val="13"/>
        <w:kinsoku w:val="0"/>
        <w:overflowPunct w:val="0"/>
        <w:spacing w:after="0" w:line="360" w:lineRule="auto"/>
        <w:ind w:right="216" w:firstLine="460" w:firstLineChars="200"/>
        <w:rPr>
          <w:rFonts w:hint="eastAsia" w:ascii="宋体" w:hAnsi="宋体"/>
          <w:color w:val="auto"/>
          <w:sz w:val="24"/>
          <w:szCs w:val="24"/>
          <w:highlight w:val="none"/>
        </w:rPr>
      </w:pPr>
      <w:r>
        <w:rPr>
          <w:rFonts w:hint="eastAsia" w:ascii="宋体" w:hAnsi="宋体"/>
          <w:color w:val="auto"/>
          <w:spacing w:val="-5"/>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13"/>
          <w:sz w:val="24"/>
          <w:szCs w:val="24"/>
          <w:highlight w:val="none"/>
        </w:rPr>
        <w:t>）</w:t>
      </w:r>
      <w:r>
        <w:rPr>
          <w:rFonts w:hint="eastAsia" w:ascii="宋体" w:hAnsi="宋体"/>
          <w:color w:val="auto"/>
          <w:spacing w:val="-5"/>
          <w:sz w:val="24"/>
          <w:szCs w:val="24"/>
          <w:highlight w:val="none"/>
        </w:rPr>
        <w:t>郑重声明，根据《政府采购促进中小企业发展管理办法》</w:t>
      </w:r>
      <w:r>
        <w:rPr>
          <w:rFonts w:hint="eastAsia" w:ascii="宋体" w:hAnsi="宋体"/>
          <w:color w:val="auto"/>
          <w:sz w:val="24"/>
          <w:szCs w:val="24"/>
          <w:highlight w:val="none"/>
        </w:rPr>
        <w:t>（财库﹝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pacing w:val="-35"/>
          <w:sz w:val="24"/>
          <w:szCs w:val="24"/>
          <w:highlight w:val="none"/>
        </w:rPr>
        <w:t>号</w:t>
      </w:r>
      <w:r>
        <w:rPr>
          <w:rFonts w:hint="eastAsia" w:ascii="宋体" w:hAnsi="宋体"/>
          <w:color w:val="auto"/>
          <w:sz w:val="24"/>
          <w:szCs w:val="24"/>
          <w:highlight w:val="none"/>
        </w:rPr>
        <w:t>）的规定，本公司参加</w:t>
      </w:r>
      <w:r>
        <w:rPr>
          <w:rFonts w:hint="eastAsia" w:ascii="宋体" w:hAnsi="宋体"/>
          <w:color w:val="auto"/>
          <w:sz w:val="24"/>
          <w:szCs w:val="24"/>
          <w:highlight w:val="none"/>
          <w:u w:val="single"/>
        </w:rPr>
        <w:t>（招标人）</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招标活动，工程的施工单位全部为符合政策要求的中小企业。相关企业（含联合体中的中小企业、签订分包意向协议的中小企业）的具体情况如下：</w:t>
      </w:r>
    </w:p>
    <w:p>
      <w:pPr>
        <w:pStyle w:val="13"/>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13"/>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13"/>
        <w:kinsoku w:val="0"/>
        <w:overflowPunct w:val="0"/>
        <w:spacing w:after="0" w:line="360" w:lineRule="auto"/>
        <w:ind w:firstLine="480" w:firstLineChars="200"/>
        <w:rPr>
          <w:rFonts w:hint="eastAsia" w:ascii="宋体" w:hAnsi="宋体"/>
          <w:color w:val="auto"/>
          <w:sz w:val="24"/>
          <w:szCs w:val="24"/>
          <w:highlight w:val="none"/>
        </w:rPr>
      </w:pPr>
    </w:p>
    <w:p>
      <w:pPr>
        <w:pStyle w:val="13"/>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pPr>
        <w:pStyle w:val="13"/>
        <w:kinsoku w:val="0"/>
        <w:overflowPunct w:val="0"/>
        <w:spacing w:after="0" w:line="360" w:lineRule="auto"/>
        <w:ind w:right="32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pPr>
        <w:pStyle w:val="13"/>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pPr>
        <w:pStyle w:val="110"/>
        <w:widowControl/>
        <w:shd w:val="clear" w:color="auto"/>
        <w:spacing w:line="360" w:lineRule="auto"/>
        <w:ind w:firstLine="3780"/>
        <w:rPr>
          <w:rFonts w:hint="eastAsia" w:ascii="宋体" w:hAnsi="宋体" w:cs="宋体"/>
          <w:color w:val="auto"/>
          <w:kern w:val="0"/>
          <w:sz w:val="24"/>
          <w:highlight w:val="none"/>
        </w:rPr>
      </w:pPr>
    </w:p>
    <w:p>
      <w:pPr>
        <w:pStyle w:val="110"/>
        <w:widowControl/>
        <w:shd w:val="clear" w:color="auto"/>
        <w:spacing w:line="360" w:lineRule="auto"/>
        <w:ind w:firstLine="4380" w:firstLineChars="1825"/>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ascii="宋体" w:hAnsi="宋体" w:cs="宋体"/>
          <w:color w:val="auto"/>
          <w:kern w:val="0"/>
          <w:sz w:val="24"/>
          <w:highlight w:val="none"/>
          <w:u w:val="single"/>
        </w:rPr>
        <w:tab/>
      </w:r>
      <w:r>
        <w:rPr>
          <w:rFonts w:ascii="宋体" w:hAnsi="宋体" w:cs="宋体"/>
          <w:color w:val="auto"/>
          <w:kern w:val="0"/>
          <w:sz w:val="24"/>
          <w:highlight w:val="none"/>
          <w:u w:val="single"/>
        </w:rPr>
        <w:tab/>
      </w:r>
      <w:r>
        <w:rPr>
          <w:rFonts w:hint="eastAsia" w:ascii="宋体" w:hAnsi="宋体" w:cs="宋体"/>
          <w:color w:val="auto"/>
          <w:kern w:val="0"/>
          <w:sz w:val="24"/>
          <w:highlight w:val="none"/>
        </w:rPr>
        <w:t>（盖章）</w:t>
      </w:r>
    </w:p>
    <w:p>
      <w:pPr>
        <w:pStyle w:val="110"/>
        <w:widowControl/>
        <w:shd w:val="clear" w:color="auto"/>
        <w:spacing w:line="360" w:lineRule="auto"/>
        <w:ind w:right="1440"/>
        <w:jc w:val="center"/>
        <w:rPr>
          <w:rFonts w:hint="eastAsia"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pPr>
        <w:spacing w:line="360" w:lineRule="auto"/>
        <w:rPr>
          <w:rFonts w:hint="eastAsia" w:ascii="宋体" w:hAnsi="宋体" w:cs="宋体"/>
          <w:color w:val="auto"/>
          <w:sz w:val="24"/>
          <w:szCs w:val="24"/>
          <w:highlight w:val="none"/>
        </w:rPr>
      </w:pPr>
      <w:r>
        <w:rPr>
          <w:rFonts w:hint="eastAsia" w:ascii="宋体" w:hAnsi="宋体"/>
          <w:color w:val="auto"/>
          <w:sz w:val="24"/>
          <w:szCs w:val="24"/>
          <w:highlight w:val="none"/>
        </w:rPr>
        <w:t>2：投标人应当自行核实是否属于小微企业，并认真填写声明函，若有虚假将追究其责任。</w:t>
      </w:r>
    </w:p>
    <w:p>
      <w:pPr>
        <w:widowControl/>
        <w:jc w:val="left"/>
        <w:rPr>
          <w:rFonts w:hint="eastAsia" w:ascii="宋体" w:hAnsi="宋体" w:cs="宋体"/>
          <w:b/>
          <w:color w:val="auto"/>
          <w:kern w:val="1"/>
          <w:sz w:val="24"/>
          <w:szCs w:val="20"/>
          <w:highlight w:val="none"/>
          <w:lang w:val="zh-CN"/>
        </w:rPr>
      </w:pPr>
      <w:r>
        <w:rPr>
          <w:rFonts w:cs="宋体"/>
          <w:b/>
          <w:color w:val="auto"/>
          <w:kern w:val="1"/>
          <w:sz w:val="24"/>
          <w:highlight w:val="none"/>
        </w:rPr>
        <w:br w:type="page"/>
      </w:r>
    </w:p>
    <w:p>
      <w:pPr>
        <w:pStyle w:val="2"/>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6</w:t>
      </w:r>
      <w:r>
        <w:rPr>
          <w:rFonts w:hint="eastAsia" w:cs="宋体"/>
          <w:b/>
          <w:color w:val="auto"/>
          <w:kern w:val="1"/>
          <w:sz w:val="24"/>
          <w:highlight w:val="none"/>
        </w:rPr>
        <w:t>：</w:t>
      </w:r>
    </w:p>
    <w:p>
      <w:pPr>
        <w:jc w:val="center"/>
        <w:rPr>
          <w:b/>
          <w:color w:val="auto"/>
          <w:sz w:val="28"/>
          <w:szCs w:val="28"/>
          <w:highlight w:val="none"/>
        </w:rPr>
      </w:pPr>
      <w:r>
        <w:rPr>
          <w:rFonts w:hint="eastAsia"/>
          <w:b/>
          <w:color w:val="auto"/>
          <w:sz w:val="28"/>
          <w:szCs w:val="28"/>
          <w:highlight w:val="none"/>
        </w:rPr>
        <w:t>分包意向协议书（如有）</w:t>
      </w:r>
    </w:p>
    <w:p>
      <w:pPr>
        <w:spacing w:line="360" w:lineRule="auto"/>
        <w:rPr>
          <w:rFonts w:hint="eastAsia" w:ascii="宋体" w:hAnsi="宋体"/>
          <w:color w:val="auto"/>
          <w:kern w:val="10"/>
          <w:szCs w:val="21"/>
          <w:highlight w:val="none"/>
        </w:rPr>
      </w:pPr>
    </w:p>
    <w:p>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自愿达成分包意向，参加</w:t>
      </w:r>
      <w:r>
        <w:rPr>
          <w:rFonts w:hint="eastAsia" w:ascii="宋体" w:hAnsi="宋体"/>
          <w:color w:val="auto"/>
          <w:szCs w:val="21"/>
          <w:highlight w:val="none"/>
          <w:u w:val="single"/>
        </w:rPr>
        <w:t>（项目名称）</w:t>
      </w:r>
      <w:r>
        <w:rPr>
          <w:rFonts w:hint="eastAsia" w:ascii="宋体" w:hAnsi="宋体"/>
          <w:color w:val="auto"/>
          <w:szCs w:val="21"/>
          <w:highlight w:val="none"/>
        </w:rPr>
        <w:t>的投标活动。经各方充分协商一致，就</w:t>
      </w:r>
      <w:r>
        <w:rPr>
          <w:rFonts w:hint="eastAsia" w:ascii="宋体" w:hAnsi="宋体"/>
          <w:color w:val="auto"/>
          <w:kern w:val="10"/>
          <w:szCs w:val="21"/>
          <w:highlight w:val="none"/>
        </w:rPr>
        <w:t>项目的</w:t>
      </w:r>
      <w:r>
        <w:rPr>
          <w:rFonts w:hint="eastAsia" w:ascii="宋体" w:hAnsi="宋体"/>
          <w:color w:val="auto"/>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szCs w:val="21"/>
          <w:highlight w:val="none"/>
        </w:rPr>
        <w:t>订立意向如下：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（甲公司全称）为投标人</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szCs w:val="21"/>
          <w:highlight w:val="none"/>
          <w:u w:val="single"/>
        </w:rPr>
        <w:t>（甲公司全称）</w:t>
      </w:r>
      <w:r>
        <w:rPr>
          <w:rFonts w:hint="eastAsia" w:ascii="宋体" w:hAnsi="宋体"/>
          <w:color w:val="auto"/>
          <w:szCs w:val="21"/>
          <w:highlight w:val="none"/>
        </w:rPr>
        <w:t>以投标人的身份参加本项目的投标。若中标，</w:t>
      </w:r>
      <w:r>
        <w:rPr>
          <w:rFonts w:hint="eastAsia" w:ascii="宋体" w:hAnsi="宋体"/>
          <w:color w:val="auto"/>
          <w:szCs w:val="21"/>
          <w:highlight w:val="none"/>
          <w:u w:val="single"/>
        </w:rPr>
        <w:t>（甲公司全称）与招标人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（甲公司全称）</w:t>
      </w:r>
      <w:r>
        <w:rPr>
          <w:rFonts w:hint="eastAsia" w:ascii="宋体" w:hAnsi="宋体"/>
          <w:color w:val="auto"/>
          <w:szCs w:val="21"/>
          <w:highlight w:val="none"/>
        </w:rPr>
        <w:t>签订分包合同。</w:t>
      </w:r>
      <w:r>
        <w:rPr>
          <w:rFonts w:hint="eastAsia" w:ascii="宋体" w:hAnsi="宋体"/>
          <w:color w:val="auto"/>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（甲公司全称）</w:t>
      </w:r>
      <w:r>
        <w:rPr>
          <w:rFonts w:hint="eastAsia" w:ascii="宋体" w:hAnsi="宋体"/>
          <w:color w:val="auto"/>
          <w:szCs w:val="21"/>
          <w:highlight w:val="none"/>
        </w:rPr>
        <w:t>签订合同书，并就中标项目分包部分承担法律责任；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（乙公司全称）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四、如因违约过失责任而导致招标人经济损失或被索赔时，</w:t>
      </w:r>
      <w:r>
        <w:rPr>
          <w:rFonts w:hint="eastAsia" w:ascii="宋体" w:hAnsi="宋体"/>
          <w:color w:val="auto"/>
          <w:szCs w:val="21"/>
          <w:highlight w:val="none"/>
          <w:u w:val="single"/>
        </w:rPr>
        <w:t>（甲公司全称）</w:t>
      </w:r>
      <w:r>
        <w:rPr>
          <w:rFonts w:hint="eastAsia" w:ascii="宋体" w:hAnsi="宋体"/>
          <w:color w:val="auto"/>
          <w:szCs w:val="21"/>
          <w:highlight w:val="none"/>
        </w:rPr>
        <w:t>同意无条件优先清偿招标人的一切债务和经济赔偿。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五、如中标，分包意向单位不得以任何理由提出终止本意向协议。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六、如中标，分包意向单位确定后，不得擅自变更。</w:t>
      </w:r>
    </w:p>
    <w:p>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szCs w:val="21"/>
          <w:highlight w:val="none"/>
        </w:rPr>
        <w:t>七、本意向书在自签署之日起生效，有效期内有效，如获中标资格，有效期延续至合同履行完毕之日。</w:t>
      </w:r>
    </w:p>
    <w:p>
      <w:pPr>
        <w:widowControl/>
        <w:tabs>
          <w:tab w:val="left" w:pos="2977"/>
          <w:tab w:val="left" w:pos="5954"/>
        </w:tabs>
        <w:spacing w:line="360" w:lineRule="auto"/>
        <w:jc w:val="left"/>
        <w:rPr>
          <w:rFonts w:hint="eastAsia" w:ascii="宋体" w:hAnsi="宋体"/>
          <w:color w:val="auto"/>
          <w:szCs w:val="21"/>
          <w:highlight w:val="none"/>
        </w:rPr>
      </w:pPr>
    </w:p>
    <w:p>
      <w:pPr>
        <w:widowControl/>
        <w:tabs>
          <w:tab w:val="left" w:pos="2977"/>
          <w:tab w:val="left" w:pos="5954"/>
        </w:tabs>
        <w:spacing w:line="360" w:lineRule="auto"/>
        <w:jc w:val="left"/>
        <w:rPr>
          <w:rFonts w:hint="eastAsia" w:ascii="宋体" w:hAnsi="宋体"/>
          <w:color w:val="auto"/>
          <w:szCs w:val="21"/>
          <w:highlight w:val="none"/>
        </w:rPr>
      </w:pPr>
    </w:p>
    <w:p>
      <w:pPr>
        <w:widowControl/>
        <w:tabs>
          <w:tab w:val="left" w:pos="2977"/>
          <w:tab w:val="left" w:pos="5954"/>
        </w:tabs>
        <w:spacing w:line="360" w:lineRule="auto"/>
        <w:jc w:val="left"/>
        <w:rPr>
          <w:rFonts w:hint="eastAsia" w:ascii="宋体" w:hAnsi="宋体"/>
          <w:color w:val="auto"/>
          <w:szCs w:val="21"/>
          <w:highlight w:val="none"/>
        </w:rPr>
      </w:pPr>
    </w:p>
    <w:p>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p>
    <w:p>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法定代表人（签字或盖章）</w:t>
      </w:r>
    </w:p>
    <w:p>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p>
    <w:p>
      <w:pPr>
        <w:widowControl/>
        <w:tabs>
          <w:tab w:val="left" w:pos="2977"/>
          <w:tab w:val="left" w:pos="5954"/>
        </w:tabs>
        <w:spacing w:line="360" w:lineRule="auto"/>
        <w:jc w:val="left"/>
        <w:rPr>
          <w:rFonts w:hint="eastAsia" w:ascii="宋体" w:hAnsi="宋体"/>
          <w:color w:val="auto"/>
          <w:szCs w:val="21"/>
          <w:highlight w:val="none"/>
        </w:rPr>
      </w:pPr>
    </w:p>
    <w:p>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乙公司全称：（盖章）</w:t>
      </w:r>
      <w:r>
        <w:rPr>
          <w:rFonts w:hint="eastAsia" w:ascii="宋体" w:hAnsi="宋体"/>
          <w:color w:val="auto"/>
          <w:szCs w:val="21"/>
          <w:highlight w:val="none"/>
        </w:rPr>
        <w:tab/>
      </w:r>
    </w:p>
    <w:p>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rPr>
        <w:tab/>
      </w:r>
    </w:p>
    <w:p>
      <w:pPr>
        <w:widowControl/>
        <w:tabs>
          <w:tab w:val="left" w:pos="2977"/>
          <w:tab w:val="left" w:pos="5954"/>
        </w:tabs>
        <w:spacing w:line="360" w:lineRule="auto"/>
        <w:ind w:firstLine="405"/>
        <w:jc w:val="left"/>
        <w:rPr>
          <w:rFonts w:hint="eastAsia"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p>
    <w:p>
      <w:pPr>
        <w:widowControl/>
        <w:tabs>
          <w:tab w:val="left" w:pos="2977"/>
          <w:tab w:val="left" w:pos="5954"/>
        </w:tabs>
        <w:spacing w:line="360" w:lineRule="auto"/>
        <w:jc w:val="left"/>
        <w:rPr>
          <w:rFonts w:hint="eastAsia" w:ascii="宋体" w:hAnsi="宋体"/>
          <w:color w:val="auto"/>
          <w:szCs w:val="21"/>
          <w:highlight w:val="none"/>
        </w:rPr>
      </w:pPr>
    </w:p>
    <w:p>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……公司全称（盖章）</w:t>
      </w:r>
    </w:p>
    <w:p>
      <w:pPr>
        <w:spacing w:line="360" w:lineRule="auto"/>
        <w:ind w:left="617" w:hanging="617" w:hangingChars="294"/>
        <w:rPr>
          <w:rFonts w:hint="eastAsia" w:ascii="宋体" w:hAnsi="宋体"/>
          <w:color w:val="auto"/>
          <w:szCs w:val="21"/>
          <w:highlight w:val="none"/>
        </w:rPr>
      </w:pPr>
      <w:r>
        <w:rPr>
          <w:rFonts w:hint="eastAsia" w:ascii="宋体" w:hAnsi="宋体"/>
          <w:color w:val="auto"/>
          <w:szCs w:val="21"/>
          <w:highlight w:val="none"/>
        </w:rPr>
        <w:t>法定代表人：（签字或盖章）</w:t>
      </w:r>
    </w:p>
    <w:p>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　　年　　月　　日</w:t>
      </w:r>
    </w:p>
    <w:p>
      <w:pPr>
        <w:spacing w:line="360" w:lineRule="auto"/>
        <w:ind w:left="620" w:hanging="620" w:hangingChars="294"/>
        <w:rPr>
          <w:rFonts w:hint="eastAsia" w:ascii="宋体" w:hAnsi="宋体"/>
          <w:b/>
          <w:color w:val="auto"/>
          <w:szCs w:val="21"/>
          <w:highlight w:val="none"/>
        </w:rPr>
      </w:pPr>
    </w:p>
    <w:p>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注：1．各方成员应在本意向书上共同盖章确认。</w:t>
      </w:r>
    </w:p>
    <w:p>
      <w:pPr>
        <w:spacing w:line="360" w:lineRule="auto"/>
        <w:rPr>
          <w:rFonts w:hint="eastAsia" w:ascii="宋体" w:hAnsi="宋体" w:cs="宋体"/>
          <w:b/>
          <w:bCs/>
          <w:color w:val="auto"/>
          <w:sz w:val="27"/>
          <w:szCs w:val="27"/>
          <w:highlight w:val="none"/>
        </w:rPr>
      </w:pPr>
      <w:r>
        <w:rPr>
          <w:rFonts w:hint="eastAsia" w:ascii="宋体" w:hAnsi="宋体"/>
          <w:color w:val="auto"/>
          <w:szCs w:val="21"/>
          <w:highlight w:val="none"/>
        </w:rPr>
        <w:t>2．本意向书内容将作为签订合同的附件之一。</w:t>
      </w:r>
    </w:p>
    <w:p>
      <w:pPr>
        <w:spacing w:line="360" w:lineRule="auto"/>
        <w:rPr>
          <w:rFonts w:hint="eastAsia" w:ascii="宋体" w:hAnsi="宋体" w:cs="宋体"/>
          <w:b/>
          <w:bCs/>
          <w:color w:val="auto"/>
          <w:sz w:val="27"/>
          <w:szCs w:val="27"/>
          <w:highlight w:val="none"/>
        </w:rPr>
      </w:pPr>
    </w:p>
    <w:p>
      <w:pPr>
        <w:spacing w:line="360" w:lineRule="auto"/>
        <w:rPr>
          <w:rFonts w:hint="eastAsia" w:ascii="宋体" w:hAnsi="宋体" w:cs="宋体"/>
          <w:b/>
          <w:color w:val="auto"/>
          <w:kern w:val="1"/>
          <w:sz w:val="24"/>
          <w:highlight w:val="none"/>
          <w:lang w:val="zh-CN"/>
        </w:rPr>
      </w:pPr>
    </w:p>
    <w:p>
      <w:pPr>
        <w:widowControl/>
        <w:jc w:val="left"/>
        <w:rPr>
          <w:rFonts w:hint="eastAsia" w:ascii="宋体" w:hAnsi="宋体" w:cs="宋体"/>
          <w:b/>
          <w:bCs/>
          <w:color w:val="auto"/>
          <w:kern w:val="1"/>
          <w:sz w:val="28"/>
          <w:szCs w:val="28"/>
          <w:highlight w:val="none"/>
          <w:lang w:val="zh-CN"/>
        </w:rPr>
      </w:pPr>
    </w:p>
    <w:p>
      <w:pPr>
        <w:tabs>
          <w:tab w:val="left" w:pos="426"/>
        </w:tabs>
        <w:adjustRightInd w:val="0"/>
        <w:snapToGrid w:val="0"/>
        <w:jc w:val="center"/>
        <w:outlineLvl w:val="3"/>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pPr>
        <w:pStyle w:val="2"/>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7</w:t>
      </w:r>
      <w:r>
        <w:rPr>
          <w:rFonts w:hint="eastAsia" w:cs="宋体"/>
          <w:b/>
          <w:color w:val="auto"/>
          <w:kern w:val="1"/>
          <w:sz w:val="24"/>
          <w:highlight w:val="none"/>
        </w:rPr>
        <w:t>：</w:t>
      </w:r>
    </w:p>
    <w:p>
      <w:pPr>
        <w:tabs>
          <w:tab w:val="left" w:pos="426"/>
        </w:tabs>
        <w:adjustRightInd w:val="0"/>
        <w:snapToGrid w:val="0"/>
        <w:jc w:val="center"/>
        <w:outlineLvl w:val="3"/>
        <w:rPr>
          <w:rFonts w:hint="eastAsia" w:ascii="宋体" w:hAnsi="宋体" w:cs="宋体"/>
          <w:b/>
          <w:bCs/>
          <w:color w:val="auto"/>
          <w:sz w:val="28"/>
          <w:szCs w:val="28"/>
          <w:highlight w:val="none"/>
          <w:lang w:val="zh-CN"/>
        </w:rPr>
      </w:pPr>
    </w:p>
    <w:p>
      <w:pPr>
        <w:tabs>
          <w:tab w:val="left" w:pos="426"/>
        </w:tabs>
        <w:adjustRightInd w:val="0"/>
        <w:snapToGrid w:val="0"/>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残疾人福利性单位声明函（如有）</w:t>
      </w:r>
    </w:p>
    <w:p>
      <w:pPr>
        <w:spacing w:line="360" w:lineRule="auto"/>
        <w:ind w:firstLine="420" w:firstLineChars="200"/>
        <w:rPr>
          <w:color w:val="auto"/>
          <w:highlight w:val="none"/>
        </w:rPr>
      </w:pPr>
    </w:p>
    <w:p>
      <w:pPr>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pPr>
        <w:spacing w:line="360" w:lineRule="auto"/>
        <w:ind w:firstLine="420" w:firstLineChars="200"/>
        <w:jc w:val="center"/>
        <w:rPr>
          <w:color w:val="auto"/>
          <w:highlight w:val="none"/>
        </w:rPr>
      </w:pPr>
    </w:p>
    <w:p>
      <w:pPr>
        <w:spacing w:line="360" w:lineRule="auto"/>
        <w:ind w:firstLine="420" w:firstLineChars="200"/>
        <w:rPr>
          <w:color w:val="auto"/>
          <w:highlight w:val="none"/>
        </w:rPr>
      </w:pPr>
    </w:p>
    <w:p>
      <w:pPr>
        <w:spacing w:line="360" w:lineRule="auto"/>
        <w:jc w:val="right"/>
        <w:rPr>
          <w:color w:val="auto"/>
          <w:highlight w:val="none"/>
        </w:rPr>
      </w:pPr>
      <w:r>
        <w:rPr>
          <w:rFonts w:hint="eastAsia"/>
          <w:color w:val="auto"/>
          <w:highlight w:val="none"/>
        </w:rPr>
        <w:t>投标人名称（单位盖公章）：</w:t>
      </w:r>
    </w:p>
    <w:p>
      <w:pPr>
        <w:spacing w:line="360" w:lineRule="auto"/>
        <w:ind w:firstLine="5579" w:firstLineChars="2657"/>
        <w:rPr>
          <w:color w:val="auto"/>
          <w:highlight w:val="none"/>
        </w:rPr>
      </w:pPr>
      <w:r>
        <w:rPr>
          <w:rFonts w:hint="eastAsia"/>
          <w:color w:val="auto"/>
          <w:highlight w:val="none"/>
        </w:rPr>
        <w:t>日  期：</w:t>
      </w:r>
    </w:p>
    <w:p>
      <w:pPr>
        <w:rPr>
          <w:color w:val="auto"/>
          <w:highlight w:val="none"/>
        </w:rPr>
      </w:pPr>
    </w:p>
    <w:p>
      <w:pPr>
        <w:rPr>
          <w:rFonts w:hint="eastAsia" w:ascii="黑体" w:hAnsi="黑体" w:eastAsia="黑体"/>
          <w:color w:val="auto"/>
          <w:sz w:val="32"/>
          <w:szCs w:val="32"/>
          <w:highlight w:val="none"/>
        </w:rPr>
      </w:pPr>
    </w:p>
    <w:p>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ascii="黑体" w:hAnsi="黑体" w:eastAsia="黑体"/>
          <w:color w:val="auto"/>
          <w:sz w:val="32"/>
          <w:szCs w:val="32"/>
          <w:highlight w:val="none"/>
        </w:rPr>
        <w:br w:type="page"/>
      </w:r>
    </w:p>
    <w:p>
      <w:pPr>
        <w:pStyle w:val="2"/>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8</w:t>
      </w:r>
      <w:r>
        <w:rPr>
          <w:rFonts w:hint="eastAsia" w:cs="宋体"/>
          <w:b/>
          <w:color w:val="auto"/>
          <w:kern w:val="1"/>
          <w:sz w:val="24"/>
          <w:highlight w:val="none"/>
        </w:rPr>
        <w:t>：</w:t>
      </w:r>
    </w:p>
    <w:p>
      <w:pPr>
        <w:tabs>
          <w:tab w:val="left" w:pos="426"/>
        </w:tabs>
        <w:adjustRightInd w:val="0"/>
        <w:spacing w:line="360" w:lineRule="auto"/>
        <w:jc w:val="center"/>
        <w:outlineLvl w:val="3"/>
        <w:rPr>
          <w:rFonts w:hint="eastAsia" w:ascii="黑体" w:hAnsi="黑体" w:eastAsia="黑体"/>
          <w:color w:val="auto"/>
          <w:sz w:val="32"/>
          <w:szCs w:val="32"/>
          <w:highlight w:val="none"/>
        </w:rPr>
      </w:pPr>
    </w:p>
    <w:p>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监狱企业的证明文件（如有）</w:t>
      </w:r>
    </w:p>
    <w:p>
      <w:pPr>
        <w:spacing w:line="360" w:lineRule="auto"/>
        <w:ind w:firstLine="420" w:firstLineChars="200"/>
        <w:rPr>
          <w:color w:val="auto"/>
          <w:highlight w:val="none"/>
        </w:rPr>
      </w:pPr>
    </w:p>
    <w:p>
      <w:pPr>
        <w:spacing w:line="360" w:lineRule="auto"/>
        <w:ind w:firstLine="420" w:firstLineChars="200"/>
        <w:rPr>
          <w:color w:val="auto"/>
          <w:highlight w:val="none"/>
        </w:rPr>
      </w:pPr>
      <w:r>
        <w:rPr>
          <w:rFonts w:hint="eastAsia"/>
          <w:color w:val="auto"/>
          <w:highlight w:val="none"/>
        </w:rPr>
        <w:t>说明：监狱企业参加招标活动时，应当提供由</w:t>
      </w:r>
      <w:r>
        <w:rPr>
          <w:rFonts w:hint="eastAsia"/>
          <w:b/>
          <w:color w:val="auto"/>
          <w:highlight w:val="none"/>
        </w:rPr>
        <w:t>省级以上监狱管理局、戒毒管理局（含新疆生产建设兵团）出具的属于监狱企业的证明文件，</w:t>
      </w:r>
      <w:r>
        <w:rPr>
          <w:rFonts w:hint="eastAsia"/>
          <w:color w:val="auto"/>
          <w:highlight w:val="none"/>
        </w:rPr>
        <w:t>并加盖投标单位公章。</w:t>
      </w:r>
    </w:p>
    <w:p>
      <w:pPr>
        <w:spacing w:line="360" w:lineRule="auto"/>
        <w:rPr>
          <w:rFonts w:hint="eastAsia" w:ascii="宋体" w:hAnsi="宋体" w:cs="宋体"/>
          <w:b/>
          <w:color w:val="auto"/>
          <w:kern w:val="1"/>
          <w:sz w:val="24"/>
          <w:highlight w:val="none"/>
        </w:rPr>
      </w:pPr>
    </w:p>
    <w:p>
      <w:pPr>
        <w:pStyle w:val="2"/>
        <w:spacing w:line="360" w:lineRule="auto"/>
        <w:rPr>
          <w:rFonts w:hint="eastAsia"/>
          <w:color w:val="auto"/>
          <w:highlight w:val="none"/>
        </w:rPr>
      </w:pPr>
    </w:p>
    <w:p>
      <w:pPr>
        <w:widowControl/>
        <w:jc w:val="left"/>
        <w:rPr>
          <w:rFonts w:hint="eastAsia" w:ascii="宋体" w:hAnsi="宋体" w:cs="宋体"/>
          <w:b/>
          <w:bCs/>
          <w:color w:val="auto"/>
          <w:kern w:val="1"/>
          <w:sz w:val="28"/>
          <w:szCs w:val="28"/>
          <w:highlight w:val="none"/>
          <w:lang w:val="zh-CN"/>
        </w:rPr>
      </w:pPr>
      <w:r>
        <w:rPr>
          <w:rFonts w:ascii="宋体" w:hAnsi="宋体" w:cs="宋体"/>
          <w:b/>
          <w:bCs/>
          <w:color w:val="auto"/>
          <w:sz w:val="28"/>
          <w:szCs w:val="28"/>
          <w:highlight w:val="none"/>
          <w:lang w:val="zh-CN"/>
        </w:rPr>
        <w:br w:type="page"/>
      </w:r>
    </w:p>
    <w:p>
      <w:pPr>
        <w:spacing w:line="360" w:lineRule="auto"/>
        <w:rPr>
          <w:rFonts w:hint="eastAsia" w:ascii="宋体" w:hAnsi="宋体" w:cs="宋体"/>
          <w:b/>
          <w:color w:val="auto"/>
          <w:kern w:val="1"/>
          <w:sz w:val="24"/>
          <w:highlight w:val="none"/>
          <w:lang w:val="zh-CN"/>
        </w:rPr>
      </w:pPr>
    </w:p>
    <w:p>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9</w:t>
      </w:r>
      <w:r>
        <w:rPr>
          <w:rFonts w:hint="eastAsia" w:ascii="宋体" w:hAnsi="宋体" w:cs="宋体"/>
          <w:b/>
          <w:color w:val="auto"/>
          <w:kern w:val="1"/>
          <w:sz w:val="24"/>
          <w:highlight w:val="none"/>
          <w:lang w:val="zh-CN"/>
        </w:rPr>
        <w:t xml:space="preserve">： </w:t>
      </w:r>
    </w:p>
    <w:p>
      <w:pPr>
        <w:pStyle w:val="2"/>
        <w:spacing w:line="360" w:lineRule="auto"/>
        <w:rPr>
          <w:rFonts w:hint="eastAsia"/>
          <w:color w:val="auto"/>
          <w:highlight w:val="none"/>
        </w:rPr>
      </w:pPr>
    </w:p>
    <w:p>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pPr>
        <w:pStyle w:val="32"/>
        <w:spacing w:line="360" w:lineRule="auto"/>
        <w:ind w:firstLine="0"/>
        <w:rPr>
          <w:rFonts w:hint="eastAsia" w:ascii="宋体" w:hAnsi="宋体" w:cs="宋体"/>
          <w:b/>
          <w:bCs/>
          <w:color w:val="auto"/>
          <w:sz w:val="28"/>
          <w:szCs w:val="28"/>
          <w:highlight w:val="none"/>
          <w:lang w:val="zh-CN"/>
        </w:rPr>
      </w:pPr>
    </w:p>
    <w:p>
      <w:pPr>
        <w:pStyle w:val="32"/>
        <w:spacing w:line="360" w:lineRule="auto"/>
        <w:ind w:left="-2" w:firstLine="632"/>
        <w:jc w:val="center"/>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pPr>
        <w:pStyle w:val="3"/>
        <w:spacing w:line="360" w:lineRule="auto"/>
        <w:jc w:val="center"/>
        <w:rPr>
          <w:rFonts w:hint="eastAsia" w:ascii="宋体" w:hAnsi="宋体" w:cs="方正大标宋简体"/>
          <w:color w:val="auto"/>
          <w:sz w:val="32"/>
          <w:szCs w:val="32"/>
          <w:highlight w:val="none"/>
          <w:lang w:bidi="ar"/>
        </w:rPr>
      </w:pPr>
      <w:bookmarkStart w:id="424" w:name="_Toc5889"/>
      <w:bookmarkStart w:id="425" w:name="_Toc9619"/>
      <w:bookmarkStart w:id="426" w:name="_Toc19024"/>
      <w:r>
        <w:rPr>
          <w:rFonts w:hint="eastAsia" w:ascii="宋体" w:hAnsi="宋体" w:cs="方正大标宋简体"/>
          <w:color w:val="auto"/>
          <w:sz w:val="32"/>
          <w:szCs w:val="32"/>
          <w:highlight w:val="none"/>
          <w:lang w:bidi="ar"/>
        </w:rPr>
        <w:t>第八章 招标控制价细项汇总表</w:t>
      </w:r>
      <w:bookmarkEnd w:id="424"/>
      <w:bookmarkEnd w:id="425"/>
      <w:bookmarkEnd w:id="426"/>
    </w:p>
    <w:p>
      <w:pPr>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广州市白云区潭村城中村改造项目二期安置地块及安置区配套道路项目勘察设计施工总承包（EPC）（房建）</w:t>
      </w:r>
    </w:p>
    <w:tbl>
      <w:tblPr>
        <w:tblStyle w:val="34"/>
        <w:tblW w:w="9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20"/>
        <w:gridCol w:w="1050"/>
        <w:gridCol w:w="753"/>
        <w:gridCol w:w="954"/>
        <w:gridCol w:w="7"/>
        <w:gridCol w:w="907"/>
        <w:gridCol w:w="1558"/>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70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83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勘察费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工作量</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名称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含税综合单价（元）</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勘察费总价</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（万元）</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岩土工程勘察费</w:t>
            </w:r>
          </w:p>
        </w:tc>
        <w:tc>
          <w:tcPr>
            <w:tcW w:w="10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6200</w:t>
            </w:r>
          </w:p>
        </w:tc>
        <w:tc>
          <w:tcPr>
            <w:tcW w:w="7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m</w:t>
            </w:r>
          </w:p>
        </w:tc>
        <w:tc>
          <w:tcPr>
            <w:tcW w:w="9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c>
          <w:tcPr>
            <w:tcW w:w="91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包括初步勘察、详细勘察、施工阶段勘察及所有实物工作收费、技术工作收费、进退场费、税金等。</w:t>
            </w:r>
            <w:r>
              <w:rPr>
                <w:rFonts w:hint="eastAsia" w:ascii="宋体" w:hAnsi="宋体" w:eastAsia="宋体" w:cs="宋体"/>
                <w:b/>
                <w:i w:val="0"/>
                <w:color w:val="auto"/>
                <w:kern w:val="0"/>
                <w:sz w:val="22"/>
                <w:szCs w:val="22"/>
                <w:highlight w:val="none"/>
                <w:u w:val="none"/>
                <w:lang w:val="en-US" w:eastAsia="zh-CN" w:bidi="ar"/>
              </w:rPr>
              <w:t>综合包干单价投标报价应不高于</w:t>
            </w:r>
            <w:r>
              <w:rPr>
                <w:rFonts w:hint="eastAsia" w:ascii="宋体" w:hAnsi="宋体" w:eastAsia="宋体" w:cs="宋体"/>
                <w:b/>
                <w:i w:val="0"/>
                <w:color w:val="auto"/>
                <w:kern w:val="0"/>
                <w:sz w:val="22"/>
                <w:szCs w:val="22"/>
                <w:highlight w:val="none"/>
                <w:u w:val="single"/>
                <w:lang w:val="en-US" w:eastAsia="zh-CN" w:bidi="ar"/>
              </w:rPr>
              <w:t>120</w:t>
            </w:r>
            <w:r>
              <w:rPr>
                <w:rFonts w:hint="eastAsia" w:ascii="宋体" w:hAnsi="宋体" w:eastAsia="宋体" w:cs="宋体"/>
                <w:b/>
                <w:i w:val="0"/>
                <w:color w:val="auto"/>
                <w:kern w:val="0"/>
                <w:sz w:val="22"/>
                <w:szCs w:val="22"/>
                <w:highlight w:val="none"/>
                <w:u w:val="none"/>
                <w:lang w:val="en-US" w:eastAsia="zh-CN" w:bidi="ar"/>
              </w:rPr>
              <w:t>元/m</w:t>
            </w:r>
            <w:r>
              <w:rPr>
                <w:rFonts w:hint="eastAsia" w:ascii="宋体" w:hAnsi="宋体" w:eastAsia="宋体" w:cs="宋体"/>
                <w:i w:val="0"/>
                <w:color w:val="auto"/>
                <w:kern w:val="0"/>
                <w:sz w:val="22"/>
                <w:szCs w:val="22"/>
                <w:highlight w:val="none"/>
                <w:u w:val="none"/>
                <w:lang w:val="en-US" w:eastAsia="zh-CN" w:bidi="ar"/>
              </w:rPr>
              <w:t>。结算按投标综合包干单价计算。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超前钻费用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w:t>
            </w:r>
          </w:p>
        </w:tc>
        <w:tc>
          <w:tcPr>
            <w:tcW w:w="91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795.06</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1.包括所有实物工作收费、技术工作收费、进退场费、税金等。综合包干单价投标报价应不高于</w:t>
            </w:r>
            <w:r>
              <w:rPr>
                <w:rFonts w:hint="eastAsia" w:ascii="宋体" w:hAnsi="宋体" w:eastAsia="宋体" w:cs="宋体"/>
                <w:i w:val="0"/>
                <w:color w:val="auto"/>
                <w:kern w:val="0"/>
                <w:sz w:val="22"/>
                <w:szCs w:val="22"/>
                <w:highlight w:val="none"/>
                <w:u w:val="single"/>
                <w:lang w:val="en-US" w:eastAsia="zh-CN" w:bidi="ar"/>
              </w:rPr>
              <w:t>105</w:t>
            </w:r>
            <w:r>
              <w:rPr>
                <w:rFonts w:hint="eastAsia" w:ascii="宋体" w:hAnsi="宋体" w:eastAsia="宋体" w:cs="宋体"/>
                <w:i w:val="0"/>
                <w:color w:val="auto"/>
                <w:kern w:val="0"/>
                <w:sz w:val="22"/>
                <w:szCs w:val="22"/>
                <w:highlight w:val="none"/>
                <w:u w:val="none"/>
                <w:lang w:val="en-US" w:eastAsia="zh-CN" w:bidi="ar"/>
              </w:rPr>
              <w:t>元/m。结算按投标综合包干单价计算。</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2.本项费用如有发生则据实结算。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工程物探费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43065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6.46</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综合包干单价投标报价应不高于1.5元/㎡。结算按投标综合包干单价计算。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地形测绘及工程测量（含规划报建放线费)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 xml:space="preserve"> </w:t>
            </w:r>
            <w:r>
              <w:rPr>
                <w:rFonts w:hint="eastAsia" w:ascii="宋体" w:hAnsi="宋体" w:cs="宋体"/>
                <w:i w:val="0"/>
                <w:color w:val="auto"/>
                <w:kern w:val="0"/>
                <w:sz w:val="22"/>
                <w:szCs w:val="22"/>
                <w:highlight w:val="none"/>
                <w:u w:val="none"/>
                <w:lang w:val="en-US" w:eastAsia="zh-CN" w:bidi="ar"/>
              </w:rPr>
              <w:t>/</w:t>
            </w:r>
          </w:p>
        </w:tc>
        <w:tc>
          <w:tcPr>
            <w:tcW w:w="9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100.00</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包括放线测量（含控制点、实地定桩）、验线测量，实测地形图、图根控制点、IV等水准测量、图根水准测量、数字化地形图等测量详细调查，以及GPS(PTK控制点观测)、地形图测量、建筑面积技术审查费及管线地形图费、联合验收测绘（含项目规划条件核实验线测量、人防面积测绘、房产面积测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抽水试验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10000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综合包干单价投标报价应不高于10000元/个。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剪切波速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2500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综合包干单价投标报价应不高于2500元/个。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土壤氡浓度测试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5.16</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综合包干单价投标报价应不高于120元/点。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噪声测试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综合包干单价投标报价应不高于3000元/项。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管波探测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孔</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2300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138.46</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综合包干单价投标报价应不高于2300元/孔。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勘察费小计(万元)</w:t>
            </w:r>
          </w:p>
        </w:tc>
        <w:tc>
          <w:tcPr>
            <w:tcW w:w="5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1124.99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83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暂定计费额</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（万元）</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设计费总价（万元）</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基本设计费（不含永久用水工程、永久用电工程、临时施工供水工程、临时施工供电工程、燃气工程、管线迁改工程）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142,076.23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2118.4</w:t>
            </w:r>
            <w:r>
              <w:rPr>
                <w:rFonts w:hint="eastAsia" w:ascii="宋体" w:hAnsi="宋体" w:cs="宋体"/>
                <w:i w:val="0"/>
                <w:color w:val="auto"/>
                <w:kern w:val="0"/>
                <w:sz w:val="22"/>
                <w:szCs w:val="22"/>
                <w:highlight w:val="none"/>
                <w:u w:val="none"/>
                <w:lang w:val="en-US" w:eastAsia="zh-CN" w:bidi="ar"/>
              </w:rPr>
              <w:t>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1.计费额： 142076.23 万元</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2.按暂定计费额的比例并下浮 35.0 %。专业系数暂定为1.0，复杂系数暂定为1.0，附加系数暂定为1.0（设计费系数最终按概算批复的设计费系数为准）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专业工程设计费（燃气工程）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457.39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19.21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按收费标准计算：下浮率0。专业系数为1.0，复杂系数为1.0，附加系数为1.0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专业工程设计费（永久用电工程）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831.72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32.78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按收费标准计算：下浮率0。专业系数为1.0，复杂系数为1.0，附加系数为1.0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专业工程设计费（永久用水工程）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5.92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按收费标准计算：下浮率0。专业系数为1.0，复杂系数为0.85，附加系数为1.0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专业工程设计费（临时施工供电工程）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185.00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按收费标准计算：下浮率0。专业系数为1.0，复杂系数为1.0，附加系数为1.0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专业工程设计费（临时施工供水工程）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30.00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按收费标准计算：下浮率0。专业系数为1.0，复杂系数为0.85，附加系数为1.0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专业工程设计费（管线迁改工程工程）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380.00 </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按收费标准计算：下浮率0。专业系数为1.0，复杂系数为1.0，附加系数为1.0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bidi="ar"/>
              </w:rPr>
              <w:t>8</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设计费小计</w:t>
            </w:r>
            <w:r>
              <w:rPr>
                <w:rFonts w:hint="eastAsia" w:ascii="宋体" w:hAnsi="宋体" w:cs="宋体"/>
                <w:b/>
                <w:i w:val="0"/>
                <w:color w:val="auto"/>
                <w:kern w:val="0"/>
                <w:sz w:val="22"/>
                <w:szCs w:val="22"/>
                <w:highlight w:val="none"/>
                <w:u w:val="none"/>
                <w:lang w:val="en-US" w:eastAsia="zh-CN" w:bidi="ar"/>
              </w:rPr>
              <w:t>（万元）</w:t>
            </w:r>
          </w:p>
        </w:tc>
        <w:tc>
          <w:tcPr>
            <w:tcW w:w="52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2196.24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83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建安工程费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工程内容</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建安工程费（万元）</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主体工程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137,523.27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不良地质处理工程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2,958.32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配建道路工程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1,518.04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配建绿化工程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76.60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燃气工程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457.39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永久供电工程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831.72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永久供水工程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临时施工供电工程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185.00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临时施工供水工程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管线迁改工程</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合同约定下浮率5%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建安工程费小计（万元）</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143,966.25</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四</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EPC合计（万元）</w:t>
            </w:r>
          </w:p>
        </w:tc>
        <w:tc>
          <w:tcPr>
            <w:tcW w:w="3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147</w:t>
            </w:r>
            <w:r>
              <w:rPr>
                <w:rFonts w:hint="eastAsia" w:ascii="宋体" w:hAnsi="宋体" w:cs="宋体"/>
                <w:b/>
                <w:i w:val="0"/>
                <w:color w:val="auto"/>
                <w:kern w:val="0"/>
                <w:sz w:val="22"/>
                <w:szCs w:val="22"/>
                <w:highlight w:val="none"/>
                <w:u w:val="none"/>
                <w:lang w:val="en-US" w:eastAsia="zh-CN" w:bidi="ar"/>
              </w:rPr>
              <w:t>,</w:t>
            </w:r>
            <w:r>
              <w:rPr>
                <w:rFonts w:hint="eastAsia" w:ascii="宋体" w:hAnsi="宋体" w:eastAsia="宋体" w:cs="宋体"/>
                <w:b/>
                <w:i w:val="0"/>
                <w:color w:val="auto"/>
                <w:kern w:val="0"/>
                <w:sz w:val="22"/>
                <w:szCs w:val="22"/>
                <w:highlight w:val="none"/>
                <w:u w:val="none"/>
                <w:lang w:val="en-US" w:eastAsia="zh-CN" w:bidi="ar"/>
              </w:rPr>
              <w:t>287.48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勘察+设计+施工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90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注：1、招标人有权根据实际情况对建设内容进行调整，招标人减少的项目无论有无替代，发包人都不予补偿。</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headerReference r:id="rId19" w:type="default"/>
      <w:footerReference r:id="rId20"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Malgun Gothic Semilight"/>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pPr>
                            <w:pStyle w:val="22"/>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8dqa9MAAAADAQAADwAAAAAA&#10;AAABACAAAAAiAAAAZHJzL2Rvd25yZXYueG1sUEsBAhQAFAAAAAgAh07iQASn82ffAQAAtQMAAA4A&#10;AAAAAAAAAQAgAAAAIgEAAGRycy9lMm9Eb2MueG1sUEsFBgAAAAAGAAYAWQEAAHMFAAAAAA==&#10;">
              <v:fill on="f" focussize="0,0"/>
              <v:stroke on="f"/>
              <v:imagedata o:title=""/>
              <o:lock v:ext="edit" aspectratio="f"/>
              <v:textbox inset="0mm,0mm,0mm,0mm">
                <w:txbxContent>
                  <w:p>
                    <w:pPr>
                      <w:pStyle w:val="22"/>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t7ikV4wEAAMI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UKW5A4wEAAMI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xNGVb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CVnVhga0aMaA/sEI3sX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7E0ZVuQBAADBAwAA&#10;DgAAAAAAAAABACAAAAAfAQAAZHJzL2Uyb0RvYy54bWxQSwUGAAAAAAYABgBZAQAAd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5oPEauQBAADBAwAA&#10;DgAAAAAAAAABACAAAAAfAQAAZHJzL2Uyb0RvYy54bWxQSwUGAAAAAAYABgBZAQAAd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CZ9of4wEAAME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ugnUr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DvOrDA0okc1BvYJRnYZ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O6CdSuQBAADBAwAA&#10;DgAAAAAAAAABACAAAAAfAQAAZHJzL2Uyb0RvYy54bWxQSwUGAAAAAAYABgBZAQAAd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5L9ky4wEAAMI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C75CB"/>
    <w:multiLevelType w:val="singleLevel"/>
    <w:tmpl w:val="A40C75CB"/>
    <w:lvl w:ilvl="0" w:tentative="0">
      <w:start w:val="1"/>
      <w:numFmt w:val="decimal"/>
      <w:suff w:val="nothing"/>
      <w:lvlText w:val="%1）"/>
      <w:lvlJc w:val="left"/>
    </w:lvl>
  </w:abstractNum>
  <w:abstractNum w:abstractNumId="1">
    <w:nsid w:val="BD2ADDAB"/>
    <w:multiLevelType w:val="singleLevel"/>
    <w:tmpl w:val="BD2ADDAB"/>
    <w:lvl w:ilvl="0" w:tentative="0">
      <w:start w:val="4"/>
      <w:numFmt w:val="decimal"/>
      <w:suff w:val="space"/>
      <w:lvlText w:val="%1."/>
      <w:lvlJc w:val="left"/>
    </w:lvl>
  </w:abstractNum>
  <w:abstractNum w:abstractNumId="2">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8A1518"/>
    <w:multiLevelType w:val="singleLevel"/>
    <w:tmpl w:val="7D8A1518"/>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val="1"/>
  <w:bordersDoNotSurroundHeader w:val="0"/>
  <w:bordersDoNotSurroundFooter w:val="0"/>
  <w:gutterAtTop/>
  <w:trackRevisions w:val="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8685E"/>
    <w:rsid w:val="018D1B93"/>
    <w:rsid w:val="01920219"/>
    <w:rsid w:val="01A8450E"/>
    <w:rsid w:val="01BC1294"/>
    <w:rsid w:val="01C2207C"/>
    <w:rsid w:val="01C47ACC"/>
    <w:rsid w:val="01C776E0"/>
    <w:rsid w:val="01CF13C4"/>
    <w:rsid w:val="01DB4E9F"/>
    <w:rsid w:val="01EB2BE1"/>
    <w:rsid w:val="01F21292"/>
    <w:rsid w:val="01FA102D"/>
    <w:rsid w:val="02064BCD"/>
    <w:rsid w:val="02090068"/>
    <w:rsid w:val="02263C2A"/>
    <w:rsid w:val="02273298"/>
    <w:rsid w:val="023F3EF2"/>
    <w:rsid w:val="024B6E08"/>
    <w:rsid w:val="026659F0"/>
    <w:rsid w:val="02682FB0"/>
    <w:rsid w:val="027A6549"/>
    <w:rsid w:val="027F512B"/>
    <w:rsid w:val="028A205E"/>
    <w:rsid w:val="029B3385"/>
    <w:rsid w:val="029E2BA4"/>
    <w:rsid w:val="029E662D"/>
    <w:rsid w:val="02BA4997"/>
    <w:rsid w:val="02C25610"/>
    <w:rsid w:val="02D931FC"/>
    <w:rsid w:val="02E56D1B"/>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CD6225"/>
    <w:rsid w:val="04D63E4A"/>
    <w:rsid w:val="04EC2FF1"/>
    <w:rsid w:val="04F06B51"/>
    <w:rsid w:val="04F811F7"/>
    <w:rsid w:val="052B305B"/>
    <w:rsid w:val="052D3EE9"/>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E5311"/>
    <w:rsid w:val="06757696"/>
    <w:rsid w:val="06763B4B"/>
    <w:rsid w:val="06801BF9"/>
    <w:rsid w:val="068151D0"/>
    <w:rsid w:val="069F0F4E"/>
    <w:rsid w:val="06A94B4A"/>
    <w:rsid w:val="06AC7BDE"/>
    <w:rsid w:val="06B1626D"/>
    <w:rsid w:val="06B604A6"/>
    <w:rsid w:val="06CD0855"/>
    <w:rsid w:val="06D313E6"/>
    <w:rsid w:val="06D33870"/>
    <w:rsid w:val="06F34B4B"/>
    <w:rsid w:val="06F71148"/>
    <w:rsid w:val="06F72F04"/>
    <w:rsid w:val="06FD0DC2"/>
    <w:rsid w:val="06FD3A00"/>
    <w:rsid w:val="070218EC"/>
    <w:rsid w:val="07180312"/>
    <w:rsid w:val="07183D02"/>
    <w:rsid w:val="071E3EF8"/>
    <w:rsid w:val="071F570D"/>
    <w:rsid w:val="07306395"/>
    <w:rsid w:val="073533AD"/>
    <w:rsid w:val="073A56D4"/>
    <w:rsid w:val="07476DC8"/>
    <w:rsid w:val="07484589"/>
    <w:rsid w:val="074A7978"/>
    <w:rsid w:val="077C7A64"/>
    <w:rsid w:val="07815C50"/>
    <w:rsid w:val="078B3D91"/>
    <w:rsid w:val="07B62C9C"/>
    <w:rsid w:val="07E27415"/>
    <w:rsid w:val="07EA291F"/>
    <w:rsid w:val="07FC4222"/>
    <w:rsid w:val="080808A0"/>
    <w:rsid w:val="081508A2"/>
    <w:rsid w:val="08172B0B"/>
    <w:rsid w:val="081749A7"/>
    <w:rsid w:val="083E2F25"/>
    <w:rsid w:val="08437EF3"/>
    <w:rsid w:val="08594498"/>
    <w:rsid w:val="085A7797"/>
    <w:rsid w:val="08692312"/>
    <w:rsid w:val="08706A66"/>
    <w:rsid w:val="089036B7"/>
    <w:rsid w:val="089F7CA5"/>
    <w:rsid w:val="08B51453"/>
    <w:rsid w:val="08BD0EA0"/>
    <w:rsid w:val="08C064C0"/>
    <w:rsid w:val="08CC0EAA"/>
    <w:rsid w:val="08DB4B25"/>
    <w:rsid w:val="08E01BCE"/>
    <w:rsid w:val="08E216F0"/>
    <w:rsid w:val="08E26F45"/>
    <w:rsid w:val="08E3734A"/>
    <w:rsid w:val="08E702BF"/>
    <w:rsid w:val="08EA6987"/>
    <w:rsid w:val="08EB4EA1"/>
    <w:rsid w:val="09081B56"/>
    <w:rsid w:val="091C4C21"/>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3253A5"/>
    <w:rsid w:val="0B326CC7"/>
    <w:rsid w:val="0B3543DB"/>
    <w:rsid w:val="0B370769"/>
    <w:rsid w:val="0B446AEB"/>
    <w:rsid w:val="0B562DAC"/>
    <w:rsid w:val="0B702D58"/>
    <w:rsid w:val="0B723658"/>
    <w:rsid w:val="0B75201D"/>
    <w:rsid w:val="0B7E14D0"/>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28640C"/>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DFE5677"/>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EF45C83"/>
    <w:rsid w:val="0F0D19D8"/>
    <w:rsid w:val="0F177709"/>
    <w:rsid w:val="0F217D15"/>
    <w:rsid w:val="0F2E726F"/>
    <w:rsid w:val="0F321715"/>
    <w:rsid w:val="0F3E131E"/>
    <w:rsid w:val="0F471525"/>
    <w:rsid w:val="0F5977B6"/>
    <w:rsid w:val="0F6A0D23"/>
    <w:rsid w:val="0F704352"/>
    <w:rsid w:val="0F856668"/>
    <w:rsid w:val="0F8B4CE8"/>
    <w:rsid w:val="0FAF385C"/>
    <w:rsid w:val="0FBF197F"/>
    <w:rsid w:val="0FC32FB3"/>
    <w:rsid w:val="0FC95EA1"/>
    <w:rsid w:val="0FDC6702"/>
    <w:rsid w:val="0FF54C4D"/>
    <w:rsid w:val="1005432D"/>
    <w:rsid w:val="1009448F"/>
    <w:rsid w:val="102C4A8E"/>
    <w:rsid w:val="1060768A"/>
    <w:rsid w:val="10616FD4"/>
    <w:rsid w:val="10726AB1"/>
    <w:rsid w:val="1090632E"/>
    <w:rsid w:val="10951CC5"/>
    <w:rsid w:val="109A5F8C"/>
    <w:rsid w:val="10BD62F9"/>
    <w:rsid w:val="10D4264C"/>
    <w:rsid w:val="10DD707D"/>
    <w:rsid w:val="10DF592B"/>
    <w:rsid w:val="10E636FF"/>
    <w:rsid w:val="11175E42"/>
    <w:rsid w:val="111854A2"/>
    <w:rsid w:val="112231F4"/>
    <w:rsid w:val="11290272"/>
    <w:rsid w:val="114A7AE3"/>
    <w:rsid w:val="11671785"/>
    <w:rsid w:val="118858CA"/>
    <w:rsid w:val="118A1992"/>
    <w:rsid w:val="119F755E"/>
    <w:rsid w:val="11A23697"/>
    <w:rsid w:val="11B72EF1"/>
    <w:rsid w:val="11B76268"/>
    <w:rsid w:val="11B82A44"/>
    <w:rsid w:val="11BA669D"/>
    <w:rsid w:val="11BC0ABD"/>
    <w:rsid w:val="11CA5AA2"/>
    <w:rsid w:val="11D973BC"/>
    <w:rsid w:val="11DA0BCE"/>
    <w:rsid w:val="11F53E16"/>
    <w:rsid w:val="12113CC6"/>
    <w:rsid w:val="121B516A"/>
    <w:rsid w:val="12231D95"/>
    <w:rsid w:val="12312C85"/>
    <w:rsid w:val="12375677"/>
    <w:rsid w:val="123C702A"/>
    <w:rsid w:val="12441B06"/>
    <w:rsid w:val="1249182D"/>
    <w:rsid w:val="125B2E40"/>
    <w:rsid w:val="12877439"/>
    <w:rsid w:val="129725E9"/>
    <w:rsid w:val="12B343B2"/>
    <w:rsid w:val="12C86981"/>
    <w:rsid w:val="12CF4C41"/>
    <w:rsid w:val="12DA1AE3"/>
    <w:rsid w:val="12DD1218"/>
    <w:rsid w:val="12FD6E69"/>
    <w:rsid w:val="130E0A9E"/>
    <w:rsid w:val="13270EFD"/>
    <w:rsid w:val="132A6E2F"/>
    <w:rsid w:val="13384EBF"/>
    <w:rsid w:val="13401D7B"/>
    <w:rsid w:val="13450C06"/>
    <w:rsid w:val="13452D3B"/>
    <w:rsid w:val="1346590F"/>
    <w:rsid w:val="134E59DE"/>
    <w:rsid w:val="13741A0A"/>
    <w:rsid w:val="137F762D"/>
    <w:rsid w:val="138D3A49"/>
    <w:rsid w:val="13BC5F47"/>
    <w:rsid w:val="13C76AD9"/>
    <w:rsid w:val="13D24932"/>
    <w:rsid w:val="13DF2F86"/>
    <w:rsid w:val="13E16550"/>
    <w:rsid w:val="13E36DF3"/>
    <w:rsid w:val="13E97AE8"/>
    <w:rsid w:val="13EE5A17"/>
    <w:rsid w:val="1406065E"/>
    <w:rsid w:val="140E6A2C"/>
    <w:rsid w:val="142C50B5"/>
    <w:rsid w:val="143417A2"/>
    <w:rsid w:val="143E3F4A"/>
    <w:rsid w:val="14576A07"/>
    <w:rsid w:val="146C05D1"/>
    <w:rsid w:val="14774747"/>
    <w:rsid w:val="147A40E5"/>
    <w:rsid w:val="14885C9A"/>
    <w:rsid w:val="14B645DD"/>
    <w:rsid w:val="14CF6367"/>
    <w:rsid w:val="1506170C"/>
    <w:rsid w:val="152615C5"/>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C182F"/>
    <w:rsid w:val="168C097C"/>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370CD"/>
    <w:rsid w:val="18F642EE"/>
    <w:rsid w:val="18F71715"/>
    <w:rsid w:val="18FD0335"/>
    <w:rsid w:val="19047A40"/>
    <w:rsid w:val="19205339"/>
    <w:rsid w:val="19207633"/>
    <w:rsid w:val="19311DAE"/>
    <w:rsid w:val="193C1504"/>
    <w:rsid w:val="193F08F1"/>
    <w:rsid w:val="194E4DC2"/>
    <w:rsid w:val="19585F48"/>
    <w:rsid w:val="195F0793"/>
    <w:rsid w:val="196E0779"/>
    <w:rsid w:val="197F1A4D"/>
    <w:rsid w:val="19826508"/>
    <w:rsid w:val="198A4C43"/>
    <w:rsid w:val="1995668A"/>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F5DBD"/>
    <w:rsid w:val="1B0516FC"/>
    <w:rsid w:val="1B0B3766"/>
    <w:rsid w:val="1B1D35F1"/>
    <w:rsid w:val="1B1E1106"/>
    <w:rsid w:val="1B261436"/>
    <w:rsid w:val="1B441B4B"/>
    <w:rsid w:val="1B524CFD"/>
    <w:rsid w:val="1B8F198C"/>
    <w:rsid w:val="1B932E9D"/>
    <w:rsid w:val="1BA710FC"/>
    <w:rsid w:val="1BC33A5C"/>
    <w:rsid w:val="1BF52347"/>
    <w:rsid w:val="1C081CA0"/>
    <w:rsid w:val="1C1E0910"/>
    <w:rsid w:val="1C235610"/>
    <w:rsid w:val="1C301257"/>
    <w:rsid w:val="1C336944"/>
    <w:rsid w:val="1C4472B2"/>
    <w:rsid w:val="1C6E1B03"/>
    <w:rsid w:val="1C78051A"/>
    <w:rsid w:val="1C7945EF"/>
    <w:rsid w:val="1C7C2072"/>
    <w:rsid w:val="1C8468D5"/>
    <w:rsid w:val="1C967034"/>
    <w:rsid w:val="1CA02084"/>
    <w:rsid w:val="1CAD2B96"/>
    <w:rsid w:val="1CB9135B"/>
    <w:rsid w:val="1CF27799"/>
    <w:rsid w:val="1CFB039E"/>
    <w:rsid w:val="1D123B2F"/>
    <w:rsid w:val="1D4B26AA"/>
    <w:rsid w:val="1D5E6460"/>
    <w:rsid w:val="1D5F31C0"/>
    <w:rsid w:val="1D7520DE"/>
    <w:rsid w:val="1D894D3C"/>
    <w:rsid w:val="1D8B75A9"/>
    <w:rsid w:val="1D9A07EC"/>
    <w:rsid w:val="1D9B1DF7"/>
    <w:rsid w:val="1DA51865"/>
    <w:rsid w:val="1DAA6B76"/>
    <w:rsid w:val="1DC46FF2"/>
    <w:rsid w:val="1DE25941"/>
    <w:rsid w:val="1DF210AF"/>
    <w:rsid w:val="1DF338DF"/>
    <w:rsid w:val="1DF563BD"/>
    <w:rsid w:val="1E0D2F8B"/>
    <w:rsid w:val="1E157441"/>
    <w:rsid w:val="1E401394"/>
    <w:rsid w:val="1E465F4C"/>
    <w:rsid w:val="1E492823"/>
    <w:rsid w:val="1E6F1FB2"/>
    <w:rsid w:val="1E7C28E8"/>
    <w:rsid w:val="1E7D2B5A"/>
    <w:rsid w:val="1E827D7E"/>
    <w:rsid w:val="1E8534F8"/>
    <w:rsid w:val="1E9721B3"/>
    <w:rsid w:val="1E9A240C"/>
    <w:rsid w:val="1E9A6994"/>
    <w:rsid w:val="1EA86A96"/>
    <w:rsid w:val="1EBF1537"/>
    <w:rsid w:val="1EC56616"/>
    <w:rsid w:val="1EE1365E"/>
    <w:rsid w:val="1EFC3829"/>
    <w:rsid w:val="1F3A1DB1"/>
    <w:rsid w:val="1F3D4D6E"/>
    <w:rsid w:val="1F4C2D8C"/>
    <w:rsid w:val="1F577D3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CB7383"/>
    <w:rsid w:val="1FD43313"/>
    <w:rsid w:val="1FF17C2B"/>
    <w:rsid w:val="1FFF4E7B"/>
    <w:rsid w:val="20054643"/>
    <w:rsid w:val="202B6F7B"/>
    <w:rsid w:val="20323E6A"/>
    <w:rsid w:val="204A0ACB"/>
    <w:rsid w:val="20586827"/>
    <w:rsid w:val="20702B26"/>
    <w:rsid w:val="20780093"/>
    <w:rsid w:val="20907043"/>
    <w:rsid w:val="2091709B"/>
    <w:rsid w:val="20B81A77"/>
    <w:rsid w:val="20B84F06"/>
    <w:rsid w:val="20BE6AB2"/>
    <w:rsid w:val="20E36096"/>
    <w:rsid w:val="20FD38FB"/>
    <w:rsid w:val="21030F54"/>
    <w:rsid w:val="2109527E"/>
    <w:rsid w:val="213D6CC6"/>
    <w:rsid w:val="214171CE"/>
    <w:rsid w:val="21573BC9"/>
    <w:rsid w:val="21592C8F"/>
    <w:rsid w:val="21636D7B"/>
    <w:rsid w:val="216F71FD"/>
    <w:rsid w:val="218A3CE7"/>
    <w:rsid w:val="21914B24"/>
    <w:rsid w:val="21B06990"/>
    <w:rsid w:val="21C87D97"/>
    <w:rsid w:val="21CA3166"/>
    <w:rsid w:val="21CF326F"/>
    <w:rsid w:val="21D8702B"/>
    <w:rsid w:val="21D91E2A"/>
    <w:rsid w:val="21DF6586"/>
    <w:rsid w:val="220A22BA"/>
    <w:rsid w:val="22180C02"/>
    <w:rsid w:val="222372A0"/>
    <w:rsid w:val="222C0C55"/>
    <w:rsid w:val="222F0FA7"/>
    <w:rsid w:val="222F46EE"/>
    <w:rsid w:val="2259031D"/>
    <w:rsid w:val="22602004"/>
    <w:rsid w:val="22753E0A"/>
    <w:rsid w:val="227919AA"/>
    <w:rsid w:val="227F27A3"/>
    <w:rsid w:val="22810A8F"/>
    <w:rsid w:val="22811DE4"/>
    <w:rsid w:val="22842DF1"/>
    <w:rsid w:val="229D3B01"/>
    <w:rsid w:val="22A11A31"/>
    <w:rsid w:val="22A42B75"/>
    <w:rsid w:val="22B62C3D"/>
    <w:rsid w:val="22BE307F"/>
    <w:rsid w:val="22C30C00"/>
    <w:rsid w:val="22D24498"/>
    <w:rsid w:val="23022971"/>
    <w:rsid w:val="2304021D"/>
    <w:rsid w:val="23105139"/>
    <w:rsid w:val="23251948"/>
    <w:rsid w:val="23291C21"/>
    <w:rsid w:val="23372B85"/>
    <w:rsid w:val="233740CD"/>
    <w:rsid w:val="2342491A"/>
    <w:rsid w:val="234E7127"/>
    <w:rsid w:val="23521D38"/>
    <w:rsid w:val="23533917"/>
    <w:rsid w:val="235651B5"/>
    <w:rsid w:val="23613237"/>
    <w:rsid w:val="23616034"/>
    <w:rsid w:val="23677B55"/>
    <w:rsid w:val="237F49BB"/>
    <w:rsid w:val="23856A36"/>
    <w:rsid w:val="23A72E6D"/>
    <w:rsid w:val="23AA0742"/>
    <w:rsid w:val="23B12D40"/>
    <w:rsid w:val="23B20D3E"/>
    <w:rsid w:val="23B56380"/>
    <w:rsid w:val="23C506D5"/>
    <w:rsid w:val="23C84470"/>
    <w:rsid w:val="23DD01B9"/>
    <w:rsid w:val="240F6896"/>
    <w:rsid w:val="2425734F"/>
    <w:rsid w:val="242B03F0"/>
    <w:rsid w:val="24393FFA"/>
    <w:rsid w:val="24582D0C"/>
    <w:rsid w:val="245D3D13"/>
    <w:rsid w:val="2469029B"/>
    <w:rsid w:val="24695D13"/>
    <w:rsid w:val="246F05F7"/>
    <w:rsid w:val="24754746"/>
    <w:rsid w:val="247B7BAD"/>
    <w:rsid w:val="24A4671B"/>
    <w:rsid w:val="24B753DA"/>
    <w:rsid w:val="24D87048"/>
    <w:rsid w:val="24D87381"/>
    <w:rsid w:val="24DB52FC"/>
    <w:rsid w:val="24E47DD8"/>
    <w:rsid w:val="25233450"/>
    <w:rsid w:val="25272813"/>
    <w:rsid w:val="2542408E"/>
    <w:rsid w:val="2558593D"/>
    <w:rsid w:val="255A64F0"/>
    <w:rsid w:val="258745AB"/>
    <w:rsid w:val="259B5417"/>
    <w:rsid w:val="25A345C7"/>
    <w:rsid w:val="25BA0083"/>
    <w:rsid w:val="25CC064D"/>
    <w:rsid w:val="25DB4156"/>
    <w:rsid w:val="25DD571A"/>
    <w:rsid w:val="25DF5078"/>
    <w:rsid w:val="25F17882"/>
    <w:rsid w:val="25FC33D9"/>
    <w:rsid w:val="260F10C4"/>
    <w:rsid w:val="2615591C"/>
    <w:rsid w:val="26312206"/>
    <w:rsid w:val="26386ABC"/>
    <w:rsid w:val="263E0227"/>
    <w:rsid w:val="26404627"/>
    <w:rsid w:val="26451DDC"/>
    <w:rsid w:val="26540875"/>
    <w:rsid w:val="26572E04"/>
    <w:rsid w:val="265A302E"/>
    <w:rsid w:val="26711CA2"/>
    <w:rsid w:val="268D1231"/>
    <w:rsid w:val="26995E1A"/>
    <w:rsid w:val="26A60B05"/>
    <w:rsid w:val="26AD1590"/>
    <w:rsid w:val="26BC1123"/>
    <w:rsid w:val="26EF0BA1"/>
    <w:rsid w:val="270D0281"/>
    <w:rsid w:val="27124CDE"/>
    <w:rsid w:val="273B5402"/>
    <w:rsid w:val="273C3E45"/>
    <w:rsid w:val="274D57E8"/>
    <w:rsid w:val="27584838"/>
    <w:rsid w:val="275B152E"/>
    <w:rsid w:val="275F0664"/>
    <w:rsid w:val="27605DF0"/>
    <w:rsid w:val="276277AA"/>
    <w:rsid w:val="276E3AFE"/>
    <w:rsid w:val="27737039"/>
    <w:rsid w:val="27791188"/>
    <w:rsid w:val="279377AD"/>
    <w:rsid w:val="27A87CA4"/>
    <w:rsid w:val="27EB2370"/>
    <w:rsid w:val="27EC1425"/>
    <w:rsid w:val="280669D8"/>
    <w:rsid w:val="280E08E2"/>
    <w:rsid w:val="2820402B"/>
    <w:rsid w:val="28305FD5"/>
    <w:rsid w:val="283413A6"/>
    <w:rsid w:val="28810504"/>
    <w:rsid w:val="288D28A0"/>
    <w:rsid w:val="28B40502"/>
    <w:rsid w:val="28C223DE"/>
    <w:rsid w:val="28C22C4B"/>
    <w:rsid w:val="28CD08FE"/>
    <w:rsid w:val="28DE60CD"/>
    <w:rsid w:val="28E55011"/>
    <w:rsid w:val="28F71147"/>
    <w:rsid w:val="29321D97"/>
    <w:rsid w:val="29694A41"/>
    <w:rsid w:val="297D24E6"/>
    <w:rsid w:val="2999700F"/>
    <w:rsid w:val="299C1F80"/>
    <w:rsid w:val="29BB5357"/>
    <w:rsid w:val="29C06B34"/>
    <w:rsid w:val="29C14785"/>
    <w:rsid w:val="29DD07EB"/>
    <w:rsid w:val="29E73928"/>
    <w:rsid w:val="29F96867"/>
    <w:rsid w:val="29FE19BA"/>
    <w:rsid w:val="2A0D31C6"/>
    <w:rsid w:val="2A156AF0"/>
    <w:rsid w:val="2A3D0A69"/>
    <w:rsid w:val="2A3F34CF"/>
    <w:rsid w:val="2A465F84"/>
    <w:rsid w:val="2A576519"/>
    <w:rsid w:val="2A5C3BA7"/>
    <w:rsid w:val="2A650DC0"/>
    <w:rsid w:val="2AB51E86"/>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3B57A4"/>
    <w:rsid w:val="2C3B6106"/>
    <w:rsid w:val="2C4922BA"/>
    <w:rsid w:val="2C692ABE"/>
    <w:rsid w:val="2C6E5BE6"/>
    <w:rsid w:val="2C997D1F"/>
    <w:rsid w:val="2CAD6701"/>
    <w:rsid w:val="2CCC5FED"/>
    <w:rsid w:val="2CCF2078"/>
    <w:rsid w:val="2CE528D0"/>
    <w:rsid w:val="2CEB5D27"/>
    <w:rsid w:val="2CFA7FE4"/>
    <w:rsid w:val="2D095E18"/>
    <w:rsid w:val="2D2D0510"/>
    <w:rsid w:val="2D50593E"/>
    <w:rsid w:val="2D5313CF"/>
    <w:rsid w:val="2D5F578C"/>
    <w:rsid w:val="2D933446"/>
    <w:rsid w:val="2D9644A2"/>
    <w:rsid w:val="2DA32C44"/>
    <w:rsid w:val="2DB60998"/>
    <w:rsid w:val="2DB7083D"/>
    <w:rsid w:val="2DBE7284"/>
    <w:rsid w:val="2DC31A80"/>
    <w:rsid w:val="2DC42D0C"/>
    <w:rsid w:val="2DD4569D"/>
    <w:rsid w:val="2DDA5FA1"/>
    <w:rsid w:val="2DFA3C63"/>
    <w:rsid w:val="2E030BE7"/>
    <w:rsid w:val="2E034CE3"/>
    <w:rsid w:val="2E2145BE"/>
    <w:rsid w:val="2E3031D3"/>
    <w:rsid w:val="2E393DE3"/>
    <w:rsid w:val="2E4C0045"/>
    <w:rsid w:val="2E5B6362"/>
    <w:rsid w:val="2E615D08"/>
    <w:rsid w:val="2E6C6861"/>
    <w:rsid w:val="2E7316B8"/>
    <w:rsid w:val="2E9168DF"/>
    <w:rsid w:val="2EA121BB"/>
    <w:rsid w:val="2EA65243"/>
    <w:rsid w:val="2EAA5E47"/>
    <w:rsid w:val="2ED70585"/>
    <w:rsid w:val="2EE15669"/>
    <w:rsid w:val="2EEA5F12"/>
    <w:rsid w:val="2EF2301B"/>
    <w:rsid w:val="2F4F7564"/>
    <w:rsid w:val="2F5C724D"/>
    <w:rsid w:val="2F5F0DB6"/>
    <w:rsid w:val="2F6F14D7"/>
    <w:rsid w:val="2F6F263B"/>
    <w:rsid w:val="2F7F6134"/>
    <w:rsid w:val="2F880E16"/>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0F32296"/>
    <w:rsid w:val="31067E7B"/>
    <w:rsid w:val="310E5FB5"/>
    <w:rsid w:val="31187A66"/>
    <w:rsid w:val="311D6212"/>
    <w:rsid w:val="31262BBA"/>
    <w:rsid w:val="31280191"/>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2E67DCD"/>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171147"/>
    <w:rsid w:val="34207020"/>
    <w:rsid w:val="34341AA0"/>
    <w:rsid w:val="34390907"/>
    <w:rsid w:val="343B04DD"/>
    <w:rsid w:val="34534056"/>
    <w:rsid w:val="34567B7B"/>
    <w:rsid w:val="345A1B9E"/>
    <w:rsid w:val="345B36DB"/>
    <w:rsid w:val="348E6394"/>
    <w:rsid w:val="34B63A90"/>
    <w:rsid w:val="34C7150A"/>
    <w:rsid w:val="34D1182B"/>
    <w:rsid w:val="35072CEF"/>
    <w:rsid w:val="351F2985"/>
    <w:rsid w:val="35205FBB"/>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C4853"/>
    <w:rsid w:val="366F1447"/>
    <w:rsid w:val="367F78CD"/>
    <w:rsid w:val="368A4D4A"/>
    <w:rsid w:val="368C52E8"/>
    <w:rsid w:val="369D3ED8"/>
    <w:rsid w:val="36AF4BCB"/>
    <w:rsid w:val="36BE1A6B"/>
    <w:rsid w:val="36DB1B0B"/>
    <w:rsid w:val="36E15CCC"/>
    <w:rsid w:val="36E53567"/>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AC1D73"/>
    <w:rsid w:val="37C86550"/>
    <w:rsid w:val="37CB133A"/>
    <w:rsid w:val="37CB4122"/>
    <w:rsid w:val="37CB7AC8"/>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4328E"/>
    <w:rsid w:val="390C4BB8"/>
    <w:rsid w:val="3914330A"/>
    <w:rsid w:val="3925101A"/>
    <w:rsid w:val="39341181"/>
    <w:rsid w:val="39477622"/>
    <w:rsid w:val="395122B2"/>
    <w:rsid w:val="3951491A"/>
    <w:rsid w:val="39625FC8"/>
    <w:rsid w:val="39633820"/>
    <w:rsid w:val="396E45E5"/>
    <w:rsid w:val="398A730D"/>
    <w:rsid w:val="399D5069"/>
    <w:rsid w:val="39BA1BA2"/>
    <w:rsid w:val="39BF445A"/>
    <w:rsid w:val="39C8479B"/>
    <w:rsid w:val="39E555E3"/>
    <w:rsid w:val="39E81D16"/>
    <w:rsid w:val="39E93843"/>
    <w:rsid w:val="3A040EA5"/>
    <w:rsid w:val="3A093664"/>
    <w:rsid w:val="3A0D7F05"/>
    <w:rsid w:val="3A400A75"/>
    <w:rsid w:val="3A4D6EBA"/>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8C6B6E"/>
    <w:rsid w:val="3B920E16"/>
    <w:rsid w:val="3BAA64D6"/>
    <w:rsid w:val="3BBC7ABA"/>
    <w:rsid w:val="3C026920"/>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AB4A65"/>
    <w:rsid w:val="3CBE5019"/>
    <w:rsid w:val="3CCB2283"/>
    <w:rsid w:val="3CD363A6"/>
    <w:rsid w:val="3CE31817"/>
    <w:rsid w:val="3CEA0C86"/>
    <w:rsid w:val="3CEE5B3A"/>
    <w:rsid w:val="3CFC3D7C"/>
    <w:rsid w:val="3CFE1C8B"/>
    <w:rsid w:val="3D016725"/>
    <w:rsid w:val="3D0A7209"/>
    <w:rsid w:val="3D0F7DF5"/>
    <w:rsid w:val="3D220E7D"/>
    <w:rsid w:val="3D263EFE"/>
    <w:rsid w:val="3D502711"/>
    <w:rsid w:val="3D547F1F"/>
    <w:rsid w:val="3D5C0385"/>
    <w:rsid w:val="3D5F0191"/>
    <w:rsid w:val="3D6F4667"/>
    <w:rsid w:val="3D725A53"/>
    <w:rsid w:val="3D7E5FAA"/>
    <w:rsid w:val="3D9A5BD2"/>
    <w:rsid w:val="3DAC026A"/>
    <w:rsid w:val="3DB34D94"/>
    <w:rsid w:val="3DCA0564"/>
    <w:rsid w:val="3DDD556C"/>
    <w:rsid w:val="3DE8419C"/>
    <w:rsid w:val="3E0B5732"/>
    <w:rsid w:val="3E135D25"/>
    <w:rsid w:val="3E3964F8"/>
    <w:rsid w:val="3E3B533C"/>
    <w:rsid w:val="3E465F23"/>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53259"/>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0DB0C6E"/>
    <w:rsid w:val="41174D77"/>
    <w:rsid w:val="41364669"/>
    <w:rsid w:val="41432DC5"/>
    <w:rsid w:val="41545FF1"/>
    <w:rsid w:val="4174619E"/>
    <w:rsid w:val="41766461"/>
    <w:rsid w:val="418A540F"/>
    <w:rsid w:val="41B81A4B"/>
    <w:rsid w:val="41CB60F4"/>
    <w:rsid w:val="41D63219"/>
    <w:rsid w:val="41F00EBF"/>
    <w:rsid w:val="41F329E6"/>
    <w:rsid w:val="421637D4"/>
    <w:rsid w:val="42367B8F"/>
    <w:rsid w:val="423A6A5C"/>
    <w:rsid w:val="42430868"/>
    <w:rsid w:val="424B51C7"/>
    <w:rsid w:val="424D59C6"/>
    <w:rsid w:val="42875F49"/>
    <w:rsid w:val="42BA3414"/>
    <w:rsid w:val="42CC379C"/>
    <w:rsid w:val="42CC753A"/>
    <w:rsid w:val="42D15BE8"/>
    <w:rsid w:val="42D259CD"/>
    <w:rsid w:val="42DA3E98"/>
    <w:rsid w:val="42E67EAC"/>
    <w:rsid w:val="42F9198D"/>
    <w:rsid w:val="430E203F"/>
    <w:rsid w:val="430E47FE"/>
    <w:rsid w:val="43175D05"/>
    <w:rsid w:val="431E5D7A"/>
    <w:rsid w:val="432013FB"/>
    <w:rsid w:val="432E60A8"/>
    <w:rsid w:val="43314424"/>
    <w:rsid w:val="43364B9B"/>
    <w:rsid w:val="43406531"/>
    <w:rsid w:val="434331FA"/>
    <w:rsid w:val="43572B58"/>
    <w:rsid w:val="436113EA"/>
    <w:rsid w:val="43841533"/>
    <w:rsid w:val="438B33AE"/>
    <w:rsid w:val="438E0CDB"/>
    <w:rsid w:val="439D603A"/>
    <w:rsid w:val="43A079C1"/>
    <w:rsid w:val="43C62ADF"/>
    <w:rsid w:val="43CD0E1F"/>
    <w:rsid w:val="43E279FF"/>
    <w:rsid w:val="43E702A1"/>
    <w:rsid w:val="43F92F27"/>
    <w:rsid w:val="441E7344"/>
    <w:rsid w:val="442F4789"/>
    <w:rsid w:val="44392250"/>
    <w:rsid w:val="44690CC8"/>
    <w:rsid w:val="446C2AA4"/>
    <w:rsid w:val="447A5EDE"/>
    <w:rsid w:val="448259B3"/>
    <w:rsid w:val="448A4A98"/>
    <w:rsid w:val="449B3BBD"/>
    <w:rsid w:val="44AE67A8"/>
    <w:rsid w:val="44BB35ED"/>
    <w:rsid w:val="44D505C5"/>
    <w:rsid w:val="44D73F50"/>
    <w:rsid w:val="44FA476B"/>
    <w:rsid w:val="451E2EFD"/>
    <w:rsid w:val="451F5984"/>
    <w:rsid w:val="45276081"/>
    <w:rsid w:val="45340FC1"/>
    <w:rsid w:val="4545457C"/>
    <w:rsid w:val="455029A9"/>
    <w:rsid w:val="45705A68"/>
    <w:rsid w:val="457C4AD7"/>
    <w:rsid w:val="45921C25"/>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AA420F"/>
    <w:rsid w:val="46B6474D"/>
    <w:rsid w:val="46C82C01"/>
    <w:rsid w:val="46D2468C"/>
    <w:rsid w:val="46DF5310"/>
    <w:rsid w:val="46E247F9"/>
    <w:rsid w:val="46E46803"/>
    <w:rsid w:val="46FC333E"/>
    <w:rsid w:val="4713610D"/>
    <w:rsid w:val="471B02BF"/>
    <w:rsid w:val="472520BD"/>
    <w:rsid w:val="47315579"/>
    <w:rsid w:val="47370D5C"/>
    <w:rsid w:val="474D343B"/>
    <w:rsid w:val="476F4F18"/>
    <w:rsid w:val="4770372A"/>
    <w:rsid w:val="478B7CD9"/>
    <w:rsid w:val="478C4FF0"/>
    <w:rsid w:val="47943893"/>
    <w:rsid w:val="47990732"/>
    <w:rsid w:val="47A33AD8"/>
    <w:rsid w:val="47A9447F"/>
    <w:rsid w:val="47AB4803"/>
    <w:rsid w:val="47AF314A"/>
    <w:rsid w:val="47DF6F1B"/>
    <w:rsid w:val="47E84AB8"/>
    <w:rsid w:val="47F06738"/>
    <w:rsid w:val="47F24D0F"/>
    <w:rsid w:val="48125136"/>
    <w:rsid w:val="48292150"/>
    <w:rsid w:val="48292D00"/>
    <w:rsid w:val="482B6AA8"/>
    <w:rsid w:val="48306AE6"/>
    <w:rsid w:val="48362813"/>
    <w:rsid w:val="48362B8F"/>
    <w:rsid w:val="487840D4"/>
    <w:rsid w:val="487D6BBD"/>
    <w:rsid w:val="48981E67"/>
    <w:rsid w:val="489C465D"/>
    <w:rsid w:val="48B67365"/>
    <w:rsid w:val="48BB2874"/>
    <w:rsid w:val="48DA700F"/>
    <w:rsid w:val="48E70868"/>
    <w:rsid w:val="49003648"/>
    <w:rsid w:val="490078D6"/>
    <w:rsid w:val="492A5852"/>
    <w:rsid w:val="49336729"/>
    <w:rsid w:val="49422133"/>
    <w:rsid w:val="49481F51"/>
    <w:rsid w:val="49503781"/>
    <w:rsid w:val="495C44D4"/>
    <w:rsid w:val="498D71F3"/>
    <w:rsid w:val="499A371F"/>
    <w:rsid w:val="49B1277C"/>
    <w:rsid w:val="49B214E4"/>
    <w:rsid w:val="49B32963"/>
    <w:rsid w:val="49B35C2C"/>
    <w:rsid w:val="49B72EF0"/>
    <w:rsid w:val="49BE2795"/>
    <w:rsid w:val="49CE2C0E"/>
    <w:rsid w:val="49D1656A"/>
    <w:rsid w:val="49D93B21"/>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C94D68"/>
    <w:rsid w:val="4AD80E43"/>
    <w:rsid w:val="4AE30920"/>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034A7"/>
    <w:rsid w:val="4BDA233F"/>
    <w:rsid w:val="4BE11388"/>
    <w:rsid w:val="4BF17575"/>
    <w:rsid w:val="4BFC32B1"/>
    <w:rsid w:val="4C0B44E0"/>
    <w:rsid w:val="4C1B55F9"/>
    <w:rsid w:val="4C1D57B6"/>
    <w:rsid w:val="4C215AB1"/>
    <w:rsid w:val="4C2F3138"/>
    <w:rsid w:val="4C2F44B9"/>
    <w:rsid w:val="4C4C1930"/>
    <w:rsid w:val="4C5F70AB"/>
    <w:rsid w:val="4C617F2E"/>
    <w:rsid w:val="4C64768C"/>
    <w:rsid w:val="4C727777"/>
    <w:rsid w:val="4C794241"/>
    <w:rsid w:val="4C88610C"/>
    <w:rsid w:val="4C9E7C7A"/>
    <w:rsid w:val="4CC0351C"/>
    <w:rsid w:val="4CC129DC"/>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10C3A"/>
    <w:rsid w:val="4E884C1B"/>
    <w:rsid w:val="4E9814DC"/>
    <w:rsid w:val="4EA61ED8"/>
    <w:rsid w:val="4EB7350B"/>
    <w:rsid w:val="4EE709A7"/>
    <w:rsid w:val="4EFE010D"/>
    <w:rsid w:val="4F027246"/>
    <w:rsid w:val="4F21402F"/>
    <w:rsid w:val="4F2B0742"/>
    <w:rsid w:val="4F2C30D4"/>
    <w:rsid w:val="4F3A07F8"/>
    <w:rsid w:val="4F462F16"/>
    <w:rsid w:val="4F4B22B1"/>
    <w:rsid w:val="4F653279"/>
    <w:rsid w:val="4F6726AA"/>
    <w:rsid w:val="4F685B2A"/>
    <w:rsid w:val="4F687CA9"/>
    <w:rsid w:val="4F6B4FCC"/>
    <w:rsid w:val="4F6F4D85"/>
    <w:rsid w:val="4F743E89"/>
    <w:rsid w:val="4F7725B8"/>
    <w:rsid w:val="4F85070E"/>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566AD"/>
    <w:rsid w:val="50E872C0"/>
    <w:rsid w:val="50FF7595"/>
    <w:rsid w:val="51186F2A"/>
    <w:rsid w:val="512F14C2"/>
    <w:rsid w:val="513A2BE3"/>
    <w:rsid w:val="51417175"/>
    <w:rsid w:val="514D38CD"/>
    <w:rsid w:val="515404ED"/>
    <w:rsid w:val="518538E8"/>
    <w:rsid w:val="518C2832"/>
    <w:rsid w:val="51A4340C"/>
    <w:rsid w:val="51AD1BB3"/>
    <w:rsid w:val="51B74BC8"/>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5EE9"/>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E2021C"/>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CB7252"/>
    <w:rsid w:val="55D87C51"/>
    <w:rsid w:val="55E0250C"/>
    <w:rsid w:val="55F3691E"/>
    <w:rsid w:val="55FC10F6"/>
    <w:rsid w:val="55FF309C"/>
    <w:rsid w:val="56061EEC"/>
    <w:rsid w:val="560960F4"/>
    <w:rsid w:val="560D13FF"/>
    <w:rsid w:val="56384344"/>
    <w:rsid w:val="56407F58"/>
    <w:rsid w:val="564E4BD5"/>
    <w:rsid w:val="565129A9"/>
    <w:rsid w:val="56637EEB"/>
    <w:rsid w:val="56657AFF"/>
    <w:rsid w:val="567A4719"/>
    <w:rsid w:val="56882188"/>
    <w:rsid w:val="56982E14"/>
    <w:rsid w:val="56A42EFF"/>
    <w:rsid w:val="56BF5611"/>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BC0E68"/>
    <w:rsid w:val="57BE7095"/>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05CDD"/>
    <w:rsid w:val="584624D1"/>
    <w:rsid w:val="5856016B"/>
    <w:rsid w:val="58607C16"/>
    <w:rsid w:val="58931150"/>
    <w:rsid w:val="589C780E"/>
    <w:rsid w:val="58A9755A"/>
    <w:rsid w:val="58BB2538"/>
    <w:rsid w:val="58BB43ED"/>
    <w:rsid w:val="58BD45E1"/>
    <w:rsid w:val="58C3426C"/>
    <w:rsid w:val="58CE5E3E"/>
    <w:rsid w:val="58DC4A95"/>
    <w:rsid w:val="58E53494"/>
    <w:rsid w:val="59053B5E"/>
    <w:rsid w:val="59194BE8"/>
    <w:rsid w:val="59436497"/>
    <w:rsid w:val="594A0A1F"/>
    <w:rsid w:val="594E0191"/>
    <w:rsid w:val="59531CE9"/>
    <w:rsid w:val="5966389F"/>
    <w:rsid w:val="597504E1"/>
    <w:rsid w:val="597F3CD5"/>
    <w:rsid w:val="59A76227"/>
    <w:rsid w:val="59C01E74"/>
    <w:rsid w:val="59C106EE"/>
    <w:rsid w:val="59C56616"/>
    <w:rsid w:val="59CB15D9"/>
    <w:rsid w:val="59D6437F"/>
    <w:rsid w:val="59EF5B57"/>
    <w:rsid w:val="5A035BC8"/>
    <w:rsid w:val="5A0462BB"/>
    <w:rsid w:val="5A0600DB"/>
    <w:rsid w:val="5A10754C"/>
    <w:rsid w:val="5A1173EF"/>
    <w:rsid w:val="5A172017"/>
    <w:rsid w:val="5A176AE4"/>
    <w:rsid w:val="5A23402C"/>
    <w:rsid w:val="5A2D32C4"/>
    <w:rsid w:val="5A3B6715"/>
    <w:rsid w:val="5A4C4AFC"/>
    <w:rsid w:val="5A504131"/>
    <w:rsid w:val="5A5708CA"/>
    <w:rsid w:val="5A587B93"/>
    <w:rsid w:val="5A5D23AA"/>
    <w:rsid w:val="5A673229"/>
    <w:rsid w:val="5A673A41"/>
    <w:rsid w:val="5A6E14F9"/>
    <w:rsid w:val="5A707C18"/>
    <w:rsid w:val="5A76432B"/>
    <w:rsid w:val="5A8032B2"/>
    <w:rsid w:val="5A927DF9"/>
    <w:rsid w:val="5A96525B"/>
    <w:rsid w:val="5A9E48A8"/>
    <w:rsid w:val="5AA95C4D"/>
    <w:rsid w:val="5AC8101E"/>
    <w:rsid w:val="5AC81176"/>
    <w:rsid w:val="5AD47C48"/>
    <w:rsid w:val="5AFA611E"/>
    <w:rsid w:val="5AFE695B"/>
    <w:rsid w:val="5B0071A9"/>
    <w:rsid w:val="5B0E1342"/>
    <w:rsid w:val="5B197E3E"/>
    <w:rsid w:val="5B276294"/>
    <w:rsid w:val="5B2F4088"/>
    <w:rsid w:val="5B2F7D2D"/>
    <w:rsid w:val="5B3D1931"/>
    <w:rsid w:val="5B4120BC"/>
    <w:rsid w:val="5B486682"/>
    <w:rsid w:val="5B7C3E8B"/>
    <w:rsid w:val="5B931A5F"/>
    <w:rsid w:val="5B962ECF"/>
    <w:rsid w:val="5B9E711E"/>
    <w:rsid w:val="5B9F51C9"/>
    <w:rsid w:val="5BA8515B"/>
    <w:rsid w:val="5BC30933"/>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761C8C"/>
    <w:rsid w:val="5E791D7E"/>
    <w:rsid w:val="5E7E3530"/>
    <w:rsid w:val="5E850121"/>
    <w:rsid w:val="5E8F1E81"/>
    <w:rsid w:val="5E9A3166"/>
    <w:rsid w:val="5EA94A1B"/>
    <w:rsid w:val="5EBF7813"/>
    <w:rsid w:val="5EC605EC"/>
    <w:rsid w:val="5EC8428D"/>
    <w:rsid w:val="5ED01A16"/>
    <w:rsid w:val="5ED41357"/>
    <w:rsid w:val="5ED738F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CC673D"/>
    <w:rsid w:val="5FD55057"/>
    <w:rsid w:val="5FD62FFA"/>
    <w:rsid w:val="5FDE3E9A"/>
    <w:rsid w:val="5FFA226D"/>
    <w:rsid w:val="5FFB295B"/>
    <w:rsid w:val="5FFC08B7"/>
    <w:rsid w:val="60116091"/>
    <w:rsid w:val="601B7E39"/>
    <w:rsid w:val="602865AF"/>
    <w:rsid w:val="603C534C"/>
    <w:rsid w:val="60400BF0"/>
    <w:rsid w:val="60414505"/>
    <w:rsid w:val="6048008F"/>
    <w:rsid w:val="60723731"/>
    <w:rsid w:val="60724F96"/>
    <w:rsid w:val="60785A6B"/>
    <w:rsid w:val="607B387F"/>
    <w:rsid w:val="607C6223"/>
    <w:rsid w:val="60912DAE"/>
    <w:rsid w:val="60A324B6"/>
    <w:rsid w:val="60AE1BB1"/>
    <w:rsid w:val="60B266BA"/>
    <w:rsid w:val="60CC33D3"/>
    <w:rsid w:val="60D30D71"/>
    <w:rsid w:val="60D33281"/>
    <w:rsid w:val="60D6365B"/>
    <w:rsid w:val="60FB4822"/>
    <w:rsid w:val="60FD1DE9"/>
    <w:rsid w:val="61176C1A"/>
    <w:rsid w:val="6140228C"/>
    <w:rsid w:val="61546BBA"/>
    <w:rsid w:val="615E0514"/>
    <w:rsid w:val="61601B08"/>
    <w:rsid w:val="6163419B"/>
    <w:rsid w:val="616828E2"/>
    <w:rsid w:val="6175499D"/>
    <w:rsid w:val="618C38D3"/>
    <w:rsid w:val="61CA14D3"/>
    <w:rsid w:val="61D10E64"/>
    <w:rsid w:val="61E02DAC"/>
    <w:rsid w:val="61E7115C"/>
    <w:rsid w:val="62037E7B"/>
    <w:rsid w:val="62324E61"/>
    <w:rsid w:val="623D1D75"/>
    <w:rsid w:val="626B054B"/>
    <w:rsid w:val="62731173"/>
    <w:rsid w:val="627D0EAE"/>
    <w:rsid w:val="627D0F0C"/>
    <w:rsid w:val="628469D5"/>
    <w:rsid w:val="62A8078A"/>
    <w:rsid w:val="62BE1E54"/>
    <w:rsid w:val="62D55D1A"/>
    <w:rsid w:val="62E219AE"/>
    <w:rsid w:val="62F11BBE"/>
    <w:rsid w:val="62F11FCB"/>
    <w:rsid w:val="631A4BA2"/>
    <w:rsid w:val="632B13DC"/>
    <w:rsid w:val="63337763"/>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E43B3C"/>
    <w:rsid w:val="63E47698"/>
    <w:rsid w:val="63F15196"/>
    <w:rsid w:val="64103E1C"/>
    <w:rsid w:val="6414190F"/>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127DB"/>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736F26"/>
    <w:rsid w:val="65984BDE"/>
    <w:rsid w:val="65B059DA"/>
    <w:rsid w:val="65D0103F"/>
    <w:rsid w:val="65E5538A"/>
    <w:rsid w:val="65EE2245"/>
    <w:rsid w:val="65FA0C86"/>
    <w:rsid w:val="65FD3A76"/>
    <w:rsid w:val="660E73B6"/>
    <w:rsid w:val="66183B89"/>
    <w:rsid w:val="661C16B0"/>
    <w:rsid w:val="665D4D15"/>
    <w:rsid w:val="666C58EA"/>
    <w:rsid w:val="667514BC"/>
    <w:rsid w:val="667C127C"/>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71792"/>
    <w:rsid w:val="699C507C"/>
    <w:rsid w:val="69A037F9"/>
    <w:rsid w:val="69C65FFE"/>
    <w:rsid w:val="69C91594"/>
    <w:rsid w:val="69D95735"/>
    <w:rsid w:val="69DD3BEC"/>
    <w:rsid w:val="69EC69F7"/>
    <w:rsid w:val="6A0C3890"/>
    <w:rsid w:val="6A1329E1"/>
    <w:rsid w:val="6A265F03"/>
    <w:rsid w:val="6A3B77F3"/>
    <w:rsid w:val="6A3F73CE"/>
    <w:rsid w:val="6A460A7A"/>
    <w:rsid w:val="6A46493C"/>
    <w:rsid w:val="6A4C7395"/>
    <w:rsid w:val="6A572ABF"/>
    <w:rsid w:val="6A584B38"/>
    <w:rsid w:val="6A6179B3"/>
    <w:rsid w:val="6A6D269D"/>
    <w:rsid w:val="6A7039BC"/>
    <w:rsid w:val="6A783CE9"/>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51FA8"/>
    <w:rsid w:val="6BC71348"/>
    <w:rsid w:val="6BC87F6C"/>
    <w:rsid w:val="6BE92141"/>
    <w:rsid w:val="6C090B05"/>
    <w:rsid w:val="6C2D30F2"/>
    <w:rsid w:val="6C3C4E4A"/>
    <w:rsid w:val="6C425B31"/>
    <w:rsid w:val="6C506B3E"/>
    <w:rsid w:val="6C726189"/>
    <w:rsid w:val="6C747438"/>
    <w:rsid w:val="6C752A69"/>
    <w:rsid w:val="6C7F629D"/>
    <w:rsid w:val="6C8A0478"/>
    <w:rsid w:val="6C8F50C7"/>
    <w:rsid w:val="6C970F4F"/>
    <w:rsid w:val="6CA66243"/>
    <w:rsid w:val="6CBF5376"/>
    <w:rsid w:val="6CC255DF"/>
    <w:rsid w:val="6CC265FC"/>
    <w:rsid w:val="6CC35B2A"/>
    <w:rsid w:val="6CC418C2"/>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DA2983"/>
    <w:rsid w:val="6DE85C9A"/>
    <w:rsid w:val="6DF545B2"/>
    <w:rsid w:val="6DFB1388"/>
    <w:rsid w:val="6E031D07"/>
    <w:rsid w:val="6E0D553D"/>
    <w:rsid w:val="6E2A2AC8"/>
    <w:rsid w:val="6E2A6B30"/>
    <w:rsid w:val="6E34344E"/>
    <w:rsid w:val="6E364F94"/>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860455"/>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5045BF"/>
    <w:rsid w:val="7168027F"/>
    <w:rsid w:val="71815A96"/>
    <w:rsid w:val="7185508C"/>
    <w:rsid w:val="718A3557"/>
    <w:rsid w:val="718E6821"/>
    <w:rsid w:val="719218CD"/>
    <w:rsid w:val="7195140E"/>
    <w:rsid w:val="719B728B"/>
    <w:rsid w:val="719C3C19"/>
    <w:rsid w:val="71A20CAD"/>
    <w:rsid w:val="71A315F9"/>
    <w:rsid w:val="71DB12C0"/>
    <w:rsid w:val="71EF4453"/>
    <w:rsid w:val="72037883"/>
    <w:rsid w:val="720C3BED"/>
    <w:rsid w:val="7215661E"/>
    <w:rsid w:val="72232AC3"/>
    <w:rsid w:val="723932AD"/>
    <w:rsid w:val="723F2389"/>
    <w:rsid w:val="724E591C"/>
    <w:rsid w:val="72591107"/>
    <w:rsid w:val="726D1A27"/>
    <w:rsid w:val="72837FB3"/>
    <w:rsid w:val="728B683A"/>
    <w:rsid w:val="72AF312B"/>
    <w:rsid w:val="72BE61D3"/>
    <w:rsid w:val="72D53B48"/>
    <w:rsid w:val="72DC528A"/>
    <w:rsid w:val="72E05F51"/>
    <w:rsid w:val="72E334FD"/>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B8414B"/>
    <w:rsid w:val="77C50317"/>
    <w:rsid w:val="77D60618"/>
    <w:rsid w:val="77FC7D69"/>
    <w:rsid w:val="77FF4DFE"/>
    <w:rsid w:val="78125987"/>
    <w:rsid w:val="78174746"/>
    <w:rsid w:val="781751F3"/>
    <w:rsid w:val="781F026B"/>
    <w:rsid w:val="782B6D92"/>
    <w:rsid w:val="782E281E"/>
    <w:rsid w:val="783B03F8"/>
    <w:rsid w:val="78591FAB"/>
    <w:rsid w:val="786243F7"/>
    <w:rsid w:val="78647781"/>
    <w:rsid w:val="78717535"/>
    <w:rsid w:val="7872306D"/>
    <w:rsid w:val="78743F67"/>
    <w:rsid w:val="788855CA"/>
    <w:rsid w:val="7889382D"/>
    <w:rsid w:val="78A2331B"/>
    <w:rsid w:val="78AF606F"/>
    <w:rsid w:val="78BD4F1F"/>
    <w:rsid w:val="78BF3336"/>
    <w:rsid w:val="78C93DFE"/>
    <w:rsid w:val="78DC3232"/>
    <w:rsid w:val="78E53671"/>
    <w:rsid w:val="78EE0A60"/>
    <w:rsid w:val="791003AF"/>
    <w:rsid w:val="792D7EFF"/>
    <w:rsid w:val="793A3738"/>
    <w:rsid w:val="79460EDE"/>
    <w:rsid w:val="794A63C6"/>
    <w:rsid w:val="794F055C"/>
    <w:rsid w:val="79503ED5"/>
    <w:rsid w:val="795135CA"/>
    <w:rsid w:val="795A0FA1"/>
    <w:rsid w:val="796B4BD6"/>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D66BF"/>
    <w:rsid w:val="7A0B3584"/>
    <w:rsid w:val="7A131711"/>
    <w:rsid w:val="7A2F70C4"/>
    <w:rsid w:val="7A372826"/>
    <w:rsid w:val="7A3B0D2D"/>
    <w:rsid w:val="7A451348"/>
    <w:rsid w:val="7A4610EA"/>
    <w:rsid w:val="7A492843"/>
    <w:rsid w:val="7A4A7061"/>
    <w:rsid w:val="7A4D46B1"/>
    <w:rsid w:val="7A522490"/>
    <w:rsid w:val="7A5A200A"/>
    <w:rsid w:val="7A6348BA"/>
    <w:rsid w:val="7A6B26F7"/>
    <w:rsid w:val="7A74492B"/>
    <w:rsid w:val="7A88301C"/>
    <w:rsid w:val="7A8B398C"/>
    <w:rsid w:val="7A9654D2"/>
    <w:rsid w:val="7A997AA0"/>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840FC"/>
    <w:rsid w:val="7B8D438C"/>
    <w:rsid w:val="7B9559F0"/>
    <w:rsid w:val="7BA50D4D"/>
    <w:rsid w:val="7BCF4F4A"/>
    <w:rsid w:val="7BDB3521"/>
    <w:rsid w:val="7BDE25D6"/>
    <w:rsid w:val="7BE04399"/>
    <w:rsid w:val="7BEA728A"/>
    <w:rsid w:val="7C0B5A94"/>
    <w:rsid w:val="7C1C423A"/>
    <w:rsid w:val="7C6A0036"/>
    <w:rsid w:val="7C7E289D"/>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4535E"/>
    <w:rsid w:val="7D9A72EE"/>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C87A85"/>
    <w:rsid w:val="7ECB3E04"/>
    <w:rsid w:val="7ED16786"/>
    <w:rsid w:val="7EF17A1B"/>
    <w:rsid w:val="7EF45130"/>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A5F5D"/>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1"/>
    <w:link w:val="87"/>
    <w:qFormat/>
    <w:uiPriority w:val="0"/>
    <w:rPr>
      <w:rFonts w:ascii="宋体" w:hAnsi="宋体" w:cs="Courier New"/>
      <w:sz w:val="20"/>
      <w:szCs w:val="20"/>
      <w:lang w:val="zh-CN"/>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Normal Indent"/>
    <w:basedOn w:val="1"/>
    <w:qFormat/>
    <w:uiPriority w:val="0"/>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link w:val="42"/>
    <w:qFormat/>
    <w:uiPriority w:val="0"/>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ody Text"/>
    <w:basedOn w:val="1"/>
    <w:qFormat/>
    <w:uiPriority w:val="0"/>
    <w:pPr>
      <w:spacing w:after="120"/>
    </w:pPr>
    <w:rPr>
      <w:kern w:val="1"/>
    </w:rPr>
  </w:style>
  <w:style w:type="paragraph" w:styleId="14">
    <w:name w:val="Body Text Indent"/>
    <w:basedOn w:val="1"/>
    <w:semiHidden/>
    <w:unhideWhenUsed/>
    <w:qFormat/>
    <w:uiPriority w:val="99"/>
    <w:pPr>
      <w:spacing w:after="120"/>
      <w:ind w:left="420" w:leftChars="200"/>
    </w:pPr>
  </w:style>
  <w:style w:type="paragraph" w:styleId="15">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6">
    <w:name w:val="toc 5"/>
    <w:basedOn w:val="1"/>
    <w:next w:val="1"/>
    <w:unhideWhenUsed/>
    <w:qFormat/>
    <w:uiPriority w:val="39"/>
    <w:pPr>
      <w:ind w:left="1680" w:leftChars="800"/>
    </w:pPr>
    <w:rPr>
      <w:rFonts w:cs="Times New Roman"/>
      <w:color w:val="auto"/>
      <w:kern w:val="2"/>
    </w:rPr>
  </w:style>
  <w:style w:type="paragraph" w:styleId="17">
    <w:name w:val="toc 3"/>
    <w:basedOn w:val="1"/>
    <w:next w:val="1"/>
    <w:unhideWhenUsed/>
    <w:qFormat/>
    <w:uiPriority w:val="39"/>
    <w:pPr>
      <w:ind w:left="840" w:leftChars="400"/>
    </w:p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1"/>
    <w:next w:val="11"/>
    <w:qFormat/>
    <w:uiPriority w:val="0"/>
    <w:rPr>
      <w:b/>
      <w:kern w:val="1"/>
      <w:sz w:val="21"/>
      <w:szCs w:val="22"/>
    </w:rPr>
  </w:style>
  <w:style w:type="paragraph" w:styleId="32">
    <w:name w:val="Body Text First Indent"/>
    <w:basedOn w:val="13"/>
    <w:next w:val="33"/>
    <w:qFormat/>
    <w:uiPriority w:val="0"/>
    <w:pPr>
      <w:spacing w:line="312" w:lineRule="auto"/>
      <w:ind w:firstLine="420"/>
    </w:pPr>
  </w:style>
  <w:style w:type="paragraph" w:styleId="33">
    <w:name w:val="Body Text First Indent 2"/>
    <w:basedOn w:val="14"/>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0"/>
    <w:rPr>
      <w:rFonts w:ascii="宋体" w:hAnsi="宋体"/>
    </w:rPr>
  </w:style>
  <w:style w:type="character" w:customStyle="1" w:styleId="42">
    <w:name w:val="批注文字 字符"/>
    <w:link w:val="11"/>
    <w:qFormat/>
    <w:uiPriority w:val="0"/>
    <w:rPr>
      <w:rFonts w:ascii="Calibri" w:hAnsi="Calibri" w:eastAsia="宋体" w:cs="Calibri"/>
      <w:color w:val="000000"/>
      <w:szCs w:val="24"/>
      <w:lang w:val="zh-CN" w:eastAsia="zh-CN" w:bidi="ar-SA"/>
    </w:rPr>
  </w:style>
  <w:style w:type="character" w:customStyle="1" w:styleId="43">
    <w:name w:val="批注文字 Char"/>
    <w:qFormat/>
    <w:uiPriority w:val="0"/>
    <w:rPr>
      <w:szCs w:val="24"/>
    </w:rPr>
  </w:style>
  <w:style w:type="character" w:customStyle="1" w:styleId="44">
    <w:name w:val="页脚 字符"/>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99"/>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6"/>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3"/>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19"/>
    <w:semiHidden/>
    <w:qFormat/>
    <w:uiPriority w:val="99"/>
    <w:rPr>
      <w:rFonts w:ascii="Calibri" w:hAnsi="Calibri" w:cs="Calibri"/>
      <w:color w:val="000000"/>
      <w:sz w:val="21"/>
      <w:szCs w:val="22"/>
    </w:rPr>
  </w:style>
  <w:style w:type="character" w:customStyle="1" w:styleId="87">
    <w:name w:val="纯文本 字符"/>
    <w:link w:val="2"/>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3"/>
    <w:next w:val="1"/>
    <w:semiHidden/>
    <w:unhideWhenUsed/>
    <w:qFormat/>
    <w:uiPriority w:val="39"/>
    <w:pPr>
      <w:spacing w:line="578" w:lineRule="auto"/>
      <w:outlineLvl w:val="9"/>
    </w:pPr>
    <w:rPr>
      <w:bCs/>
      <w:kern w:val="44"/>
    </w:rPr>
  </w:style>
  <w:style w:type="character" w:customStyle="1" w:styleId="93">
    <w:name w:val="标题 3 字符"/>
    <w:basedOn w:val="35"/>
    <w:link w:val="5"/>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paragraph" w:customStyle="1" w:styleId="110">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657AE-DB57-4205-A1A8-19A7CAD01AF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90</Pages>
  <Words>26790</Words>
  <Characters>28118</Characters>
  <Lines>359</Lines>
  <Paragraphs>101</Paragraphs>
  <TotalTime>9</TotalTime>
  <ScaleCrop>false</ScaleCrop>
  <LinksUpToDate>false</LinksUpToDate>
  <CharactersWithSpaces>28791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admin</cp:lastModifiedBy>
  <cp:lastPrinted>2025-08-08T03:16:00Z</cp:lastPrinted>
  <dcterms:modified xsi:type="dcterms:W3CDTF">2025-08-08T08:17:15Z</dcterms:modified>
  <dc:title>设计施工总承包（EPC）</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0963FA4EBF4E484DB4D6525E1F4E3B8D</vt:lpwstr>
  </property>
  <property fmtid="{D5CDD505-2E9C-101B-9397-08002B2CF9AE}" pid="4" name="KSOTemplateDocerSaveRecord">
    <vt:lpwstr>eyJoZGlkIjoiODlmMDQyMmFjOGI1ZDMwZjE4NjcxMTFhYjMxMjdhMWMiLCJ1c2VySWQiOiI0MDgzNDc5OTYifQ==</vt:lpwstr>
  </property>
</Properties>
</file>