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41753">
      <w:pPr>
        <w:pStyle w:val="8"/>
        <w:adjustRightInd w:val="0"/>
        <w:snapToGrid w:val="0"/>
        <w:spacing w:before="312" w:beforeLines="100" w:after="312" w:afterLines="100" w:line="360" w:lineRule="auto"/>
        <w:ind w:right="640" w:firstLine="3200" w:firstLineChars="1000"/>
        <w:rPr>
          <w:rFonts w:ascii="方正小标宋简体" w:hAnsi="宋体" w:eastAsia="方正小标宋简体"/>
          <w:color w:val="auto"/>
          <w:sz w:val="52"/>
          <w:szCs w:val="52"/>
          <w:highlight w:val="none"/>
        </w:rPr>
      </w:pPr>
      <w:r>
        <w:rPr>
          <w:rFonts w:hint="eastAsia" w:ascii="宋体" w:hAnsi="宋体" w:cs="华文中宋"/>
          <w:color w:val="auto"/>
          <w:sz w:val="32"/>
          <w:szCs w:val="32"/>
          <w:highlight w:val="none"/>
        </w:rPr>
        <w:t>合同编号：</w:t>
      </w:r>
      <w:r>
        <w:rPr>
          <w:rFonts w:hint="eastAsia" w:ascii="宋体" w:hAnsi="宋体" w:cs="华文中宋"/>
          <w:color w:val="auto"/>
          <w:sz w:val="32"/>
          <w:szCs w:val="32"/>
          <w:highlight w:val="none"/>
          <w:lang w:val="en-US" w:eastAsia="zh-CN"/>
        </w:rPr>
        <w:t>穗天投更新-成合【2025】  号</w:t>
      </w:r>
    </w:p>
    <w:p w14:paraId="11319425">
      <w:pPr>
        <w:pStyle w:val="8"/>
        <w:adjustRightInd w:val="0"/>
        <w:snapToGrid w:val="0"/>
        <w:spacing w:before="312" w:beforeLines="100" w:after="312" w:afterLines="100" w:line="360" w:lineRule="auto"/>
        <w:ind w:right="0" w:firstLine="0" w:firstLineChars="0"/>
        <w:jc w:val="center"/>
        <w:rPr>
          <w:rFonts w:ascii="方正小标宋简体" w:hAnsi="宋体" w:eastAsia="方正小标宋简体"/>
          <w:color w:val="auto"/>
          <w:sz w:val="72"/>
          <w:szCs w:val="72"/>
          <w:highlight w:val="none"/>
        </w:rPr>
      </w:pPr>
    </w:p>
    <w:p w14:paraId="6CCC0E5E">
      <w:pPr>
        <w:pStyle w:val="8"/>
        <w:adjustRightInd w:val="0"/>
        <w:snapToGrid w:val="0"/>
        <w:spacing w:before="312" w:beforeLines="100" w:after="312" w:afterLines="100" w:line="360" w:lineRule="auto"/>
        <w:ind w:right="0" w:firstLine="0" w:firstLineChars="0"/>
        <w:jc w:val="center"/>
        <w:rPr>
          <w:rFonts w:ascii="宋体" w:hAnsi="宋体" w:eastAsia="宋体"/>
          <w:color w:val="auto"/>
          <w:sz w:val="72"/>
          <w:szCs w:val="72"/>
          <w:highlight w:val="none"/>
        </w:rPr>
      </w:pPr>
      <w:r>
        <w:rPr>
          <w:rFonts w:hint="eastAsia" w:ascii="宋体" w:hAnsi="宋体" w:eastAsia="宋体"/>
          <w:color w:val="auto"/>
          <w:sz w:val="72"/>
          <w:szCs w:val="72"/>
          <w:highlight w:val="none"/>
        </w:rPr>
        <w:t>建设工程造价咨询合同</w:t>
      </w:r>
    </w:p>
    <w:p w14:paraId="73047331">
      <w:pPr>
        <w:pStyle w:val="8"/>
        <w:adjustRightInd w:val="0"/>
        <w:snapToGrid w:val="0"/>
        <w:spacing w:before="312" w:beforeLines="100" w:after="312" w:afterLines="100" w:line="360" w:lineRule="auto"/>
        <w:ind w:right="0" w:firstLine="0" w:firstLineChars="0"/>
        <w:jc w:val="center"/>
        <w:rPr>
          <w:rFonts w:ascii="方正小标宋简体" w:hAnsi="宋体" w:eastAsia="方正小标宋简体"/>
          <w:color w:val="auto"/>
          <w:sz w:val="72"/>
          <w:szCs w:val="72"/>
          <w:highlight w:val="none"/>
        </w:rPr>
      </w:pPr>
    </w:p>
    <w:p w14:paraId="2199ACF6">
      <w:pPr>
        <w:spacing w:line="640" w:lineRule="exact"/>
        <w:ind w:left="638" w:leftChars="304" w:firstLine="0" w:firstLineChars="0"/>
        <w:rPr>
          <w:rFonts w:ascii="宋体" w:hAnsi="宋体" w:cs="仿宋"/>
          <w:color w:val="auto"/>
          <w:sz w:val="32"/>
          <w:szCs w:val="32"/>
          <w:highlight w:val="none"/>
          <w:u w:val="single"/>
        </w:rPr>
      </w:pPr>
      <w:r>
        <w:rPr>
          <w:rFonts w:hint="eastAsia" w:ascii="宋体" w:hAnsi="宋体" w:cs="仿宋"/>
          <w:color w:val="auto"/>
          <w:sz w:val="32"/>
          <w:szCs w:val="32"/>
          <w:highlight w:val="none"/>
        </w:rPr>
        <w:t>工程名称：天河区柯木塱村城中村改造项目</w:t>
      </w:r>
      <w:r>
        <w:rPr>
          <w:rFonts w:hint="eastAsia" w:ascii="宋体" w:hAnsi="宋体" w:cs="仿宋"/>
          <w:color w:val="auto"/>
          <w:sz w:val="32"/>
          <w:szCs w:val="32"/>
          <w:highlight w:val="none"/>
          <w:lang w:val="en-US" w:eastAsia="zh-CN"/>
        </w:rPr>
        <w:t>-</w:t>
      </w:r>
      <w:r>
        <w:rPr>
          <w:rFonts w:hint="eastAsia" w:ascii="宋体" w:hAnsi="宋体" w:cs="仿宋"/>
          <w:color w:val="auto"/>
          <w:sz w:val="32"/>
          <w:szCs w:val="32"/>
          <w:highlight w:val="none"/>
        </w:rPr>
        <w:t>首开区</w:t>
      </w:r>
      <w:r>
        <w:rPr>
          <w:rFonts w:hint="eastAsia" w:ascii="宋体" w:hAnsi="宋体" w:cs="仿宋"/>
          <w:color w:val="auto"/>
          <w:sz w:val="32"/>
          <w:szCs w:val="32"/>
          <w:highlight w:val="none"/>
          <w:lang w:val="en-US" w:eastAsia="zh-CN"/>
        </w:rPr>
        <w:t>凤凰汇西侧</w:t>
      </w:r>
      <w:r>
        <w:rPr>
          <w:rFonts w:hint="eastAsia" w:ascii="宋体" w:hAnsi="宋体" w:cs="仿宋"/>
          <w:color w:val="auto"/>
          <w:sz w:val="32"/>
          <w:szCs w:val="32"/>
          <w:highlight w:val="none"/>
        </w:rPr>
        <w:t>地块复建安置房及配套设施工程</w:t>
      </w:r>
    </w:p>
    <w:p w14:paraId="27896332">
      <w:pPr>
        <w:spacing w:line="640" w:lineRule="exact"/>
        <w:ind w:firstLine="640" w:firstLineChars="200"/>
        <w:rPr>
          <w:rFonts w:ascii="宋体" w:hAnsi="宋体" w:cs="仿宋"/>
          <w:color w:val="auto"/>
          <w:sz w:val="32"/>
          <w:szCs w:val="32"/>
          <w:highlight w:val="none"/>
          <w:u w:val="none"/>
        </w:rPr>
      </w:pPr>
      <w:r>
        <w:rPr>
          <w:rFonts w:hint="eastAsia" w:ascii="宋体" w:hAnsi="宋体" w:cs="仿宋"/>
          <w:color w:val="auto"/>
          <w:sz w:val="32"/>
          <w:szCs w:val="32"/>
          <w:highlight w:val="none"/>
          <w:u w:val="none"/>
        </w:rPr>
        <w:t>甲    方：</w:t>
      </w:r>
      <w:r>
        <w:rPr>
          <w:rFonts w:hint="eastAsia" w:ascii="宋体" w:hAnsi="宋体" w:cs="仿宋"/>
          <w:color w:val="auto"/>
          <w:sz w:val="32"/>
          <w:szCs w:val="32"/>
          <w:highlight w:val="none"/>
          <w:u w:val="single"/>
          <w:lang w:val="en-US" w:eastAsia="zh-CN"/>
        </w:rPr>
        <w:t>广州市天投城市更新有限公司</w:t>
      </w:r>
      <w:r>
        <w:rPr>
          <w:rFonts w:hint="eastAsia" w:ascii="宋体" w:hAnsi="宋体" w:cs="仿宋"/>
          <w:color w:val="auto"/>
          <w:sz w:val="32"/>
          <w:szCs w:val="32"/>
          <w:highlight w:val="none"/>
          <w:u w:val="none"/>
          <w:lang w:val="en-US" w:eastAsia="zh-CN"/>
        </w:rPr>
        <w:t xml:space="preserve"> </w:t>
      </w:r>
      <w:r>
        <w:rPr>
          <w:rFonts w:ascii="宋体" w:hAnsi="宋体" w:cs="仿宋"/>
          <w:color w:val="auto"/>
          <w:sz w:val="32"/>
          <w:szCs w:val="32"/>
          <w:highlight w:val="none"/>
          <w:u w:val="none"/>
        </w:rPr>
        <w:t xml:space="preserve">          </w:t>
      </w:r>
    </w:p>
    <w:p w14:paraId="75EF2E4D">
      <w:pPr>
        <w:spacing w:line="640" w:lineRule="exact"/>
        <w:ind w:firstLine="640" w:firstLineChars="200"/>
        <w:rPr>
          <w:rFonts w:ascii="宋体" w:hAnsi="宋体" w:cs="仿宋"/>
          <w:color w:val="auto"/>
          <w:sz w:val="32"/>
          <w:szCs w:val="32"/>
          <w:highlight w:val="none"/>
          <w:u w:val="none"/>
        </w:rPr>
      </w:pPr>
      <w:r>
        <w:rPr>
          <w:rFonts w:hint="eastAsia" w:ascii="宋体" w:hAnsi="宋体" w:cs="仿宋"/>
          <w:color w:val="auto"/>
          <w:sz w:val="32"/>
          <w:szCs w:val="32"/>
          <w:highlight w:val="none"/>
          <w:u w:val="none"/>
        </w:rPr>
        <w:t>乙    方：</w:t>
      </w:r>
      <w:r>
        <w:rPr>
          <w:rFonts w:ascii="宋体" w:hAnsi="宋体" w:cs="仿宋"/>
          <w:color w:val="auto"/>
          <w:sz w:val="32"/>
          <w:szCs w:val="32"/>
          <w:highlight w:val="none"/>
          <w:u w:val="single"/>
        </w:rPr>
        <w:t xml:space="preserve">                            </w:t>
      </w:r>
      <w:r>
        <w:rPr>
          <w:rFonts w:ascii="宋体" w:hAnsi="宋体" w:cs="仿宋"/>
          <w:color w:val="auto"/>
          <w:sz w:val="32"/>
          <w:szCs w:val="32"/>
          <w:highlight w:val="none"/>
          <w:u w:val="none"/>
        </w:rPr>
        <w:t xml:space="preserve">            </w:t>
      </w:r>
    </w:p>
    <w:p w14:paraId="3E8A1843">
      <w:pPr>
        <w:spacing w:line="640" w:lineRule="exact"/>
        <w:rPr>
          <w:rFonts w:ascii="宋体" w:hAnsi="宋体"/>
          <w:color w:val="auto"/>
          <w:sz w:val="32"/>
          <w:szCs w:val="32"/>
          <w:highlight w:val="none"/>
        </w:rPr>
      </w:pPr>
    </w:p>
    <w:p w14:paraId="2DDA70B0">
      <w:pPr>
        <w:spacing w:line="640" w:lineRule="exact"/>
        <w:rPr>
          <w:rFonts w:ascii="宋体" w:hAnsi="宋体" w:cs="仿宋"/>
          <w:color w:val="auto"/>
          <w:sz w:val="32"/>
          <w:szCs w:val="32"/>
          <w:highlight w:val="none"/>
        </w:rPr>
      </w:pPr>
    </w:p>
    <w:p w14:paraId="7D54C18B">
      <w:pPr>
        <w:spacing w:line="640" w:lineRule="exact"/>
        <w:rPr>
          <w:rFonts w:ascii="宋体" w:hAnsi="宋体" w:cs="仿宋"/>
          <w:color w:val="auto"/>
          <w:sz w:val="32"/>
          <w:szCs w:val="32"/>
          <w:highlight w:val="none"/>
        </w:rPr>
      </w:pPr>
    </w:p>
    <w:p w14:paraId="09AF86DA">
      <w:pPr>
        <w:pStyle w:val="32"/>
        <w:widowControl/>
        <w:tabs>
          <w:tab w:val="left" w:pos="1274"/>
        </w:tabs>
        <w:adjustRightInd w:val="0"/>
        <w:snapToGrid w:val="0"/>
        <w:spacing w:before="312" w:beforeLines="100" w:after="312" w:afterLines="100" w:line="360" w:lineRule="auto"/>
        <w:ind w:firstLine="0" w:firstLineChars="0"/>
        <w:jc w:val="center"/>
        <w:rPr>
          <w:rFonts w:ascii="宋体" w:hAnsi="宋体" w:cs="仿宋"/>
          <w:color w:val="auto"/>
          <w:sz w:val="32"/>
          <w:szCs w:val="32"/>
          <w:highlight w:val="none"/>
        </w:rPr>
      </w:pPr>
      <w:r>
        <w:rPr>
          <w:rFonts w:hint="eastAsia" w:ascii="宋体" w:hAnsi="宋体" w:cs="仿宋"/>
          <w:color w:val="auto"/>
          <w:sz w:val="32"/>
          <w:szCs w:val="32"/>
          <w:highlight w:val="none"/>
        </w:rPr>
        <w:t xml:space="preserve">签订日期：      年 </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 xml:space="preserve"> 月  日</w:t>
      </w:r>
    </w:p>
    <w:p w14:paraId="30CA68CE">
      <w:pPr>
        <w:pStyle w:val="32"/>
        <w:widowControl/>
        <w:tabs>
          <w:tab w:val="left" w:pos="1274"/>
        </w:tabs>
        <w:adjustRightInd w:val="0"/>
        <w:snapToGrid w:val="0"/>
        <w:spacing w:before="312" w:beforeLines="100" w:after="312" w:afterLines="100" w:line="360" w:lineRule="auto"/>
        <w:ind w:firstLine="0" w:firstLineChars="0"/>
        <w:jc w:val="center"/>
        <w:rPr>
          <w:rFonts w:ascii="方正小标宋简体" w:hAnsi="宋体" w:eastAsia="方正小标宋简体"/>
          <w:b/>
          <w:bCs/>
          <w:smallCaps/>
          <w:color w:val="auto"/>
          <w:kern w:val="0"/>
          <w:sz w:val="36"/>
          <w:szCs w:val="36"/>
          <w:highlight w:val="none"/>
        </w:rPr>
      </w:pPr>
    </w:p>
    <w:p w14:paraId="47E96A65">
      <w:pPr>
        <w:pStyle w:val="32"/>
        <w:widowControl/>
        <w:tabs>
          <w:tab w:val="left" w:pos="1274"/>
        </w:tabs>
        <w:adjustRightInd w:val="0"/>
        <w:snapToGrid w:val="0"/>
        <w:spacing w:before="312" w:beforeLines="100" w:after="312" w:afterLines="100" w:line="360" w:lineRule="auto"/>
        <w:ind w:firstLine="0" w:firstLineChars="0"/>
        <w:jc w:val="center"/>
        <w:rPr>
          <w:rFonts w:ascii="方正小标宋简体" w:hAnsi="宋体" w:eastAsia="方正小标宋简体"/>
          <w:b/>
          <w:bCs/>
          <w:smallCaps/>
          <w:color w:val="auto"/>
          <w:kern w:val="0"/>
          <w:sz w:val="36"/>
          <w:szCs w:val="36"/>
          <w:highlight w:val="none"/>
        </w:rPr>
      </w:pPr>
    </w:p>
    <w:p w14:paraId="30904EC3">
      <w:pPr>
        <w:pStyle w:val="32"/>
        <w:widowControl/>
        <w:tabs>
          <w:tab w:val="left" w:pos="1274"/>
        </w:tabs>
        <w:adjustRightInd w:val="0"/>
        <w:snapToGrid w:val="0"/>
        <w:spacing w:before="312" w:beforeLines="100" w:after="312" w:afterLines="100" w:line="360" w:lineRule="auto"/>
        <w:ind w:firstLine="0" w:firstLineChars="0"/>
        <w:jc w:val="center"/>
        <w:rPr>
          <w:rFonts w:ascii="宋体" w:hAnsi="宋体"/>
          <w:b/>
          <w:bCs/>
          <w:smallCaps/>
          <w:color w:val="auto"/>
          <w:kern w:val="0"/>
          <w:sz w:val="36"/>
          <w:szCs w:val="36"/>
          <w:highlight w:val="none"/>
        </w:rPr>
      </w:pPr>
      <w:r>
        <w:rPr>
          <w:rFonts w:hint="eastAsia" w:ascii="宋体" w:hAnsi="宋体"/>
          <w:b/>
          <w:bCs/>
          <w:smallCaps/>
          <w:color w:val="auto"/>
          <w:kern w:val="0"/>
          <w:sz w:val="36"/>
          <w:szCs w:val="36"/>
          <w:highlight w:val="none"/>
        </w:rPr>
        <w:t>说   明</w:t>
      </w:r>
    </w:p>
    <w:p w14:paraId="401F4E9D">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ascii="Times New Roman" w:hAnsi="宋体" w:eastAsia="宋体"/>
          <w:color w:val="auto"/>
          <w:sz w:val="24"/>
          <w:szCs w:val="24"/>
          <w:highlight w:val="none"/>
        </w:rPr>
        <w:t>为了规范建设工程造价咨询活动，维护合同</w:t>
      </w:r>
      <w:r>
        <w:rPr>
          <w:rFonts w:hint="eastAsia" w:ascii="Times New Roman" w:hAnsi="宋体" w:eastAsia="宋体"/>
          <w:color w:val="auto"/>
          <w:sz w:val="24"/>
          <w:szCs w:val="24"/>
          <w:highlight w:val="none"/>
        </w:rPr>
        <w:t>双方</w:t>
      </w:r>
      <w:r>
        <w:rPr>
          <w:rFonts w:ascii="Times New Roman" w:hAnsi="宋体" w:eastAsia="宋体"/>
          <w:color w:val="auto"/>
          <w:sz w:val="24"/>
          <w:szCs w:val="24"/>
          <w:highlight w:val="none"/>
        </w:rPr>
        <w:t>当事人的合法权益，依据《中华人民共和国民法典》等相关法律法规，制定本《建设工程造价咨询合同》。为了便于合同当事人使用本《建设工程造价咨询合同》，现就有关问题说明如下：</w:t>
      </w:r>
    </w:p>
    <w:p w14:paraId="241D0CC2">
      <w:pPr>
        <w:pStyle w:val="8"/>
        <w:adjustRightInd w:val="0"/>
        <w:snapToGrid w:val="0"/>
        <w:spacing w:before="312" w:beforeLines="100" w:after="312" w:afterLines="100" w:line="360" w:lineRule="auto"/>
        <w:ind w:right="0" w:firstLine="463" w:firstLineChars="193"/>
        <w:jc w:val="left"/>
        <w:rPr>
          <w:rFonts w:hAnsi="宋体"/>
          <w:color w:val="auto"/>
          <w:sz w:val="24"/>
          <w:szCs w:val="24"/>
          <w:highlight w:val="none"/>
        </w:rPr>
      </w:pPr>
      <w:r>
        <w:rPr>
          <w:rFonts w:hint="eastAsia" w:hAnsi="宋体"/>
          <w:color w:val="auto"/>
          <w:sz w:val="24"/>
          <w:szCs w:val="24"/>
          <w:highlight w:val="none"/>
        </w:rPr>
        <w:t>一、《建设工程造价咨询合同》的组成</w:t>
      </w:r>
    </w:p>
    <w:p w14:paraId="4C1EFA96">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ascii="Times New Roman" w:hAnsi="宋体" w:eastAsia="宋体"/>
          <w:color w:val="auto"/>
          <w:sz w:val="24"/>
          <w:szCs w:val="24"/>
          <w:highlight w:val="none"/>
        </w:rPr>
        <w:t>《建设工程造价咨询合同》由合同协议书、通用合同条款和专用合同条款三部分组成。</w:t>
      </w:r>
    </w:p>
    <w:p w14:paraId="01383AFE">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hint="eastAsia" w:ascii="Times New Roman" w:hAnsi="宋体" w:eastAsia="宋体"/>
          <w:color w:val="auto"/>
          <w:sz w:val="24"/>
          <w:szCs w:val="24"/>
          <w:highlight w:val="none"/>
        </w:rPr>
        <w:t>（一）</w:t>
      </w:r>
      <w:r>
        <w:rPr>
          <w:rFonts w:ascii="Times New Roman" w:hAnsi="宋体" w:eastAsia="宋体"/>
          <w:color w:val="auto"/>
          <w:sz w:val="24"/>
          <w:szCs w:val="24"/>
          <w:highlight w:val="none"/>
        </w:rPr>
        <w:t>合同协议书</w:t>
      </w:r>
      <w:r>
        <w:rPr>
          <w:rFonts w:hint="eastAsia" w:ascii="Times New Roman" w:hAnsi="宋体" w:eastAsia="宋体"/>
          <w:color w:val="auto"/>
          <w:sz w:val="24"/>
          <w:szCs w:val="24"/>
          <w:highlight w:val="none"/>
        </w:rPr>
        <w:t>。</w:t>
      </w:r>
      <w:r>
        <w:rPr>
          <w:rFonts w:ascii="Times New Roman" w:hAnsi="宋体" w:eastAsia="宋体"/>
          <w:color w:val="auto"/>
          <w:sz w:val="24"/>
          <w:szCs w:val="24"/>
          <w:highlight w:val="none"/>
        </w:rPr>
        <w:t>《建设工程造价咨询合同》合同</w:t>
      </w:r>
      <w:r>
        <w:rPr>
          <w:rFonts w:hint="eastAsia" w:ascii="Times New Roman" w:hAnsi="宋体" w:eastAsia="宋体"/>
          <w:color w:val="auto"/>
          <w:sz w:val="24"/>
          <w:szCs w:val="24"/>
          <w:highlight w:val="none"/>
        </w:rPr>
        <w:t>双方</w:t>
      </w:r>
      <w:r>
        <w:rPr>
          <w:rFonts w:ascii="Times New Roman" w:hAnsi="宋体" w:eastAsia="宋体"/>
          <w:color w:val="auto"/>
          <w:sz w:val="24"/>
          <w:szCs w:val="24"/>
          <w:highlight w:val="none"/>
        </w:rPr>
        <w:t>对权利义务的总体约定。</w:t>
      </w:r>
    </w:p>
    <w:p w14:paraId="5682F729">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hint="eastAsia" w:ascii="Times New Roman" w:hAnsi="宋体" w:eastAsia="宋体"/>
          <w:color w:val="auto"/>
          <w:sz w:val="24"/>
          <w:szCs w:val="24"/>
          <w:highlight w:val="none"/>
        </w:rPr>
        <w:t>（二）</w:t>
      </w:r>
      <w:r>
        <w:rPr>
          <w:rFonts w:ascii="Times New Roman" w:hAnsi="宋体" w:eastAsia="宋体"/>
          <w:color w:val="auto"/>
          <w:sz w:val="24"/>
          <w:szCs w:val="24"/>
          <w:highlight w:val="none"/>
        </w:rPr>
        <w:t>通用合同条款</w:t>
      </w:r>
      <w:r>
        <w:rPr>
          <w:rFonts w:hint="eastAsia" w:ascii="Times New Roman" w:hAnsi="宋体" w:eastAsia="宋体"/>
          <w:color w:val="auto"/>
          <w:sz w:val="24"/>
          <w:szCs w:val="24"/>
          <w:highlight w:val="none"/>
        </w:rPr>
        <w:t>。</w:t>
      </w:r>
      <w:r>
        <w:rPr>
          <w:rFonts w:ascii="Times New Roman" w:hAnsi="宋体" w:eastAsia="宋体"/>
          <w:color w:val="auto"/>
          <w:sz w:val="24"/>
          <w:szCs w:val="24"/>
          <w:highlight w:val="none"/>
        </w:rPr>
        <w:t>通用合同条款是合同当事人根据《中华人民共和国民法典》等法律法规的规定，就建设工程造价咨询工作的实施及相关事项，对合同当事人的权利义务作出的约定。</w:t>
      </w:r>
    </w:p>
    <w:p w14:paraId="78E1E090">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hint="eastAsia" w:ascii="Times New Roman" w:hAnsi="宋体" w:eastAsia="宋体"/>
          <w:color w:val="auto"/>
          <w:sz w:val="24"/>
          <w:szCs w:val="24"/>
          <w:highlight w:val="none"/>
        </w:rPr>
        <w:t>（三）</w:t>
      </w:r>
      <w:r>
        <w:rPr>
          <w:rFonts w:ascii="Times New Roman" w:hAnsi="宋体" w:eastAsia="宋体"/>
          <w:color w:val="auto"/>
          <w:sz w:val="24"/>
          <w:szCs w:val="24"/>
          <w:highlight w:val="none"/>
        </w:rPr>
        <w:t>专用合同条款</w:t>
      </w:r>
      <w:r>
        <w:rPr>
          <w:rFonts w:hint="eastAsia" w:ascii="Times New Roman" w:hAnsi="宋体" w:eastAsia="宋体"/>
          <w:color w:val="auto"/>
          <w:sz w:val="24"/>
          <w:szCs w:val="24"/>
          <w:highlight w:val="none"/>
        </w:rPr>
        <w:t>。</w:t>
      </w:r>
      <w:r>
        <w:rPr>
          <w:rFonts w:ascii="Times New Roman" w:hAnsi="宋体" w:eastAsia="宋体"/>
          <w:color w:val="auto"/>
          <w:sz w:val="24"/>
          <w:szCs w:val="24"/>
          <w:highlight w:val="none"/>
        </w:rPr>
        <w:t>专用合同条款是对合同条款约定的细化、完善、补充、修改或另行约定的条款。合同当事人可以根据不同建设工程的特点及具体情况，通过</w:t>
      </w:r>
      <w:r>
        <w:rPr>
          <w:rFonts w:hint="eastAsia" w:ascii="Times New Roman" w:hAnsi="宋体" w:eastAsia="宋体"/>
          <w:color w:val="auto"/>
          <w:sz w:val="24"/>
          <w:szCs w:val="24"/>
          <w:highlight w:val="none"/>
        </w:rPr>
        <w:t>双方</w:t>
      </w:r>
      <w:r>
        <w:rPr>
          <w:rFonts w:ascii="Times New Roman" w:hAnsi="宋体" w:eastAsia="宋体"/>
          <w:color w:val="auto"/>
          <w:sz w:val="24"/>
          <w:szCs w:val="24"/>
          <w:highlight w:val="none"/>
        </w:rPr>
        <w:t>的谈判、协商对相应的专用合同条款进行修改补充。在使用专用合同条款时，应注意以下事项：</w:t>
      </w:r>
    </w:p>
    <w:p w14:paraId="223E0D31">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hint="eastAsia" w:ascii="Times New Roman" w:hAnsi="宋体" w:eastAsia="宋体"/>
          <w:color w:val="auto"/>
          <w:sz w:val="24"/>
          <w:szCs w:val="24"/>
          <w:highlight w:val="none"/>
        </w:rPr>
        <w:t>1、</w:t>
      </w:r>
      <w:r>
        <w:rPr>
          <w:rFonts w:ascii="Times New Roman" w:hAnsi="宋体" w:eastAsia="宋体"/>
          <w:color w:val="auto"/>
          <w:sz w:val="24"/>
          <w:szCs w:val="24"/>
          <w:highlight w:val="none"/>
        </w:rPr>
        <w:t>合同当事人可以通过对专用合同条款的修改，满足具体建设工程的特殊要求；</w:t>
      </w:r>
    </w:p>
    <w:p w14:paraId="38FF1A77">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hint="eastAsia" w:ascii="Times New Roman" w:hAnsi="宋体" w:eastAsia="宋体"/>
          <w:color w:val="auto"/>
          <w:sz w:val="24"/>
          <w:szCs w:val="24"/>
          <w:highlight w:val="none"/>
        </w:rPr>
        <w:t>2、</w:t>
      </w:r>
      <w:r>
        <w:rPr>
          <w:rFonts w:ascii="Times New Roman" w:hAnsi="宋体" w:eastAsia="宋体"/>
          <w:color w:val="auto"/>
          <w:sz w:val="24"/>
          <w:szCs w:val="24"/>
          <w:highlight w:val="none"/>
        </w:rPr>
        <w:t>在专用合同条款中有横道线的地方，合同当事人可针对相应的合同条款进行细化、完善、补充、修改或另行约定；如无细化、完善、补充、修改或另行约定，则填写“无”或划“/”。</w:t>
      </w:r>
    </w:p>
    <w:p w14:paraId="0BA12ABE">
      <w:pPr>
        <w:pStyle w:val="8"/>
        <w:adjustRightInd w:val="0"/>
        <w:snapToGrid w:val="0"/>
        <w:spacing w:before="312" w:beforeLines="100" w:after="312" w:afterLines="100" w:line="360" w:lineRule="auto"/>
        <w:ind w:right="0" w:firstLine="463" w:firstLineChars="193"/>
        <w:jc w:val="left"/>
        <w:rPr>
          <w:rFonts w:hAnsi="宋体"/>
          <w:color w:val="auto"/>
          <w:sz w:val="24"/>
          <w:szCs w:val="24"/>
          <w:highlight w:val="none"/>
        </w:rPr>
      </w:pPr>
      <w:r>
        <w:rPr>
          <w:rFonts w:hint="eastAsia" w:hAnsi="宋体"/>
          <w:color w:val="auto"/>
          <w:sz w:val="24"/>
          <w:szCs w:val="24"/>
          <w:highlight w:val="none"/>
        </w:rPr>
        <w:t>二、《建设工程造价咨询合同》的适用范围</w:t>
      </w:r>
    </w:p>
    <w:p w14:paraId="2CE111CD">
      <w:pPr>
        <w:pStyle w:val="8"/>
        <w:adjustRightInd w:val="0"/>
        <w:snapToGrid w:val="0"/>
        <w:spacing w:before="312" w:beforeLines="100" w:after="312" w:afterLines="100" w:line="360" w:lineRule="auto"/>
        <w:ind w:right="0" w:firstLine="463" w:firstLineChars="193"/>
        <w:jc w:val="left"/>
        <w:rPr>
          <w:rFonts w:ascii="Times New Roman" w:hAnsi="宋体" w:eastAsia="宋体"/>
          <w:color w:val="auto"/>
          <w:sz w:val="24"/>
          <w:szCs w:val="24"/>
          <w:highlight w:val="none"/>
        </w:rPr>
      </w:pPr>
      <w:r>
        <w:rPr>
          <w:rFonts w:ascii="Times New Roman" w:hAnsi="宋体" w:eastAsia="宋体"/>
          <w:color w:val="auto"/>
          <w:sz w:val="24"/>
          <w:szCs w:val="24"/>
          <w:highlight w:val="none"/>
        </w:rPr>
        <w:t>《建设工程造价咨询合同》</w:t>
      </w:r>
      <w:r>
        <w:rPr>
          <w:rFonts w:hint="eastAsia" w:ascii="Times New Roman" w:hAnsi="宋体" w:eastAsia="宋体"/>
          <w:color w:val="auto"/>
          <w:sz w:val="24"/>
          <w:szCs w:val="24"/>
          <w:highlight w:val="none"/>
        </w:rPr>
        <w:t>可</w:t>
      </w:r>
      <w:r>
        <w:rPr>
          <w:rFonts w:ascii="Times New Roman" w:hAnsi="宋体" w:eastAsia="宋体"/>
          <w:color w:val="auto"/>
          <w:sz w:val="24"/>
          <w:szCs w:val="24"/>
          <w:highlight w:val="none"/>
        </w:rPr>
        <w:t>适用于房屋建筑工程、土木工程、线路管道和设备安装工程、装修工程等建设工程的造价咨询活动。</w:t>
      </w:r>
    </w:p>
    <w:p w14:paraId="3456DD78">
      <w:pPr>
        <w:pStyle w:val="32"/>
        <w:widowControl/>
        <w:tabs>
          <w:tab w:val="left" w:pos="1274"/>
        </w:tabs>
        <w:adjustRightInd w:val="0"/>
        <w:snapToGrid w:val="0"/>
        <w:spacing w:before="312" w:beforeLines="100" w:after="312" w:afterLines="100" w:line="540" w:lineRule="exact"/>
        <w:ind w:firstLine="0" w:firstLineChars="0"/>
        <w:jc w:val="center"/>
        <w:rPr>
          <w:rFonts w:ascii="方正小标宋简体" w:hAnsi="宋体" w:eastAsia="方正小标宋简体"/>
          <w:b/>
          <w:bCs/>
          <w:smallCaps/>
          <w:color w:val="auto"/>
          <w:kern w:val="0"/>
          <w:sz w:val="36"/>
          <w:szCs w:val="36"/>
          <w:highlight w:val="none"/>
        </w:rPr>
      </w:pPr>
    </w:p>
    <w:p w14:paraId="5BBB6D5C">
      <w:pPr>
        <w:pStyle w:val="32"/>
        <w:widowControl/>
        <w:tabs>
          <w:tab w:val="left" w:pos="1274"/>
        </w:tabs>
        <w:adjustRightInd w:val="0"/>
        <w:snapToGrid w:val="0"/>
        <w:spacing w:before="312" w:beforeLines="100" w:after="312" w:afterLines="100" w:line="540" w:lineRule="exact"/>
        <w:ind w:firstLine="0" w:firstLineChars="0"/>
        <w:jc w:val="center"/>
        <w:rPr>
          <w:rFonts w:ascii="宋体" w:hAnsi="宋体"/>
          <w:b/>
          <w:bCs/>
          <w:smallCaps/>
          <w:color w:val="auto"/>
          <w:kern w:val="0"/>
          <w:sz w:val="36"/>
          <w:szCs w:val="36"/>
          <w:highlight w:val="none"/>
        </w:rPr>
      </w:pPr>
      <w:r>
        <w:rPr>
          <w:rFonts w:hint="eastAsia" w:ascii="宋体" w:hAnsi="宋体"/>
          <w:b/>
          <w:bCs/>
          <w:smallCaps/>
          <w:color w:val="auto"/>
          <w:kern w:val="0"/>
          <w:sz w:val="36"/>
          <w:szCs w:val="36"/>
          <w:highlight w:val="none"/>
        </w:rPr>
        <w:t xml:space="preserve">第一部分   </w:t>
      </w:r>
      <w:r>
        <w:rPr>
          <w:rFonts w:ascii="宋体" w:hAnsi="宋体"/>
          <w:b/>
          <w:bCs/>
          <w:smallCaps/>
          <w:color w:val="auto"/>
          <w:kern w:val="0"/>
          <w:sz w:val="36"/>
          <w:szCs w:val="36"/>
          <w:highlight w:val="none"/>
        </w:rPr>
        <w:t>建设工程造价咨询协议书</w:t>
      </w:r>
    </w:p>
    <w:p w14:paraId="1237C056">
      <w:pPr>
        <w:adjustRightInd w:val="0"/>
        <w:snapToGrid w:val="0"/>
        <w:spacing w:line="540" w:lineRule="exact"/>
        <w:ind w:firstLine="480" w:firstLineChars="200"/>
        <w:rPr>
          <w:rFonts w:ascii="宋体" w:hAnsi="宋体"/>
          <w:b/>
          <w:bCs/>
          <w:color w:val="auto"/>
          <w:sz w:val="24"/>
          <w:szCs w:val="24"/>
          <w:highlight w:val="none"/>
        </w:rPr>
      </w:pPr>
      <w:r>
        <w:rPr>
          <w:rFonts w:hint="eastAsia" w:ascii="宋体" w:hAnsi="宋体"/>
          <w:color w:val="auto"/>
          <w:sz w:val="24"/>
          <w:szCs w:val="24"/>
          <w:highlight w:val="none"/>
        </w:rPr>
        <w:t>甲  方：</w:t>
      </w:r>
      <w:r>
        <w:rPr>
          <w:rFonts w:hint="eastAsia" w:ascii="宋体" w:hAnsi="宋体"/>
          <w:color w:val="auto"/>
          <w:sz w:val="24"/>
          <w:szCs w:val="24"/>
          <w:highlight w:val="none"/>
          <w:u w:val="single"/>
          <w:lang w:val="en-US" w:eastAsia="zh-CN"/>
        </w:rPr>
        <w:t>广州市天投城市更新有限公司</w:t>
      </w:r>
      <w:r>
        <w:rPr>
          <w:rFonts w:hint="eastAsia" w:ascii="宋体" w:hAnsi="宋体"/>
          <w:color w:val="auto"/>
          <w:sz w:val="24"/>
          <w:szCs w:val="24"/>
          <w:highlight w:val="none"/>
          <w:u w:val="single"/>
        </w:rPr>
        <w:t xml:space="preserve">      </w:t>
      </w:r>
    </w:p>
    <w:p w14:paraId="5D79B604">
      <w:pPr>
        <w:adjustRightInd w:val="0"/>
        <w:snapToGrid w:val="0"/>
        <w:spacing w:line="540" w:lineRule="exact"/>
        <w:ind w:firstLine="480" w:firstLineChars="200"/>
        <w:rPr>
          <w:rFonts w:ascii="宋体" w:hAnsi="宋体" w:cs="仿宋"/>
          <w:color w:val="auto"/>
          <w:sz w:val="24"/>
          <w:szCs w:val="24"/>
          <w:highlight w:val="none"/>
          <w:u w:val="single"/>
        </w:rPr>
      </w:pPr>
      <w:r>
        <w:rPr>
          <w:rFonts w:hint="eastAsia" w:ascii="宋体" w:hAnsi="宋体"/>
          <w:color w:val="auto"/>
          <w:sz w:val="24"/>
          <w:szCs w:val="24"/>
          <w:highlight w:val="none"/>
        </w:rPr>
        <w:t>乙  方：</w:t>
      </w:r>
      <w:r>
        <w:rPr>
          <w:rFonts w:ascii="宋体" w:hAnsi="宋体" w:cs="仿宋"/>
          <w:color w:val="auto"/>
          <w:sz w:val="24"/>
          <w:szCs w:val="24"/>
          <w:highlight w:val="none"/>
          <w:u w:val="single"/>
        </w:rPr>
        <w:t xml:space="preserve">                                  </w:t>
      </w:r>
    </w:p>
    <w:p w14:paraId="2F4E2370">
      <w:pPr>
        <w:spacing w:line="540" w:lineRule="exact"/>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根据《</w:t>
      </w:r>
      <w:r>
        <w:rPr>
          <w:rFonts w:hint="eastAsia" w:ascii="宋体" w:hAnsi="宋体" w:cs="仿宋"/>
          <w:color w:val="auto"/>
          <w:sz w:val="24"/>
          <w:szCs w:val="24"/>
          <w:highlight w:val="none"/>
        </w:rPr>
        <w:fldChar w:fldCharType="begin"/>
      </w:r>
      <w:r>
        <w:rPr>
          <w:rFonts w:hint="eastAsia" w:ascii="宋体" w:hAnsi="宋体" w:cs="仿宋"/>
          <w:color w:val="auto"/>
          <w:sz w:val="24"/>
          <w:szCs w:val="24"/>
          <w:highlight w:val="none"/>
        </w:rPr>
        <w:instrText xml:space="preserve"> HYPERLINK "javascript:SLC(21651,0)" </w:instrText>
      </w:r>
      <w:r>
        <w:rPr>
          <w:rFonts w:hint="eastAsia" w:ascii="宋体" w:hAnsi="宋体" w:cs="仿宋"/>
          <w:color w:val="auto"/>
          <w:sz w:val="24"/>
          <w:szCs w:val="24"/>
          <w:highlight w:val="none"/>
        </w:rPr>
        <w:fldChar w:fldCharType="separate"/>
      </w:r>
      <w:r>
        <w:rPr>
          <w:rStyle w:val="51"/>
          <w:rFonts w:hint="eastAsia" w:ascii="宋体" w:hAnsi="宋体" w:cs="仿宋"/>
          <w:sz w:val="24"/>
          <w:szCs w:val="24"/>
          <w:highlight w:val="none"/>
        </w:rPr>
        <w:t>中华人民共和国民法典</w:t>
      </w:r>
      <w:r>
        <w:rPr>
          <w:rFonts w:hint="eastAsia" w:ascii="宋体" w:hAnsi="宋体" w:cs="仿宋"/>
          <w:color w:val="auto"/>
          <w:sz w:val="24"/>
          <w:szCs w:val="24"/>
          <w:highlight w:val="none"/>
        </w:rPr>
        <w:fldChar w:fldCharType="end"/>
      </w:r>
      <w:r>
        <w:rPr>
          <w:rFonts w:hint="eastAsia" w:ascii="宋体" w:hAnsi="宋体" w:cs="仿宋"/>
          <w:color w:val="auto"/>
          <w:sz w:val="24"/>
          <w:szCs w:val="24"/>
          <w:highlight w:val="none"/>
        </w:rPr>
        <w:t>》及其他有关法律、法规，遵循平等、自愿、公平和诚实信用的原则，双方就下述建设工程委托造价咨询与其他服务事项协商一致，订立本合同。</w:t>
      </w:r>
    </w:p>
    <w:p w14:paraId="16BDAAC3">
      <w:pPr>
        <w:pStyle w:val="32"/>
        <w:widowControl/>
        <w:numPr>
          <w:ilvl w:val="0"/>
          <w:numId w:val="1"/>
        </w:numPr>
        <w:tabs>
          <w:tab w:val="left" w:pos="709"/>
        </w:tabs>
        <w:adjustRightInd w:val="0"/>
        <w:snapToGrid w:val="0"/>
        <w:spacing w:before="312" w:beforeLines="100" w:after="312" w:afterLines="100" w:line="540" w:lineRule="exact"/>
        <w:ind w:left="776" w:hanging="776" w:hangingChars="322"/>
        <w:jc w:val="left"/>
        <w:rPr>
          <w:rFonts w:ascii="宋体" w:hAnsi="宋体"/>
          <w:b/>
          <w:color w:val="auto"/>
          <w:kern w:val="0"/>
          <w:sz w:val="24"/>
          <w:szCs w:val="24"/>
          <w:highlight w:val="none"/>
        </w:rPr>
      </w:pPr>
      <w:r>
        <w:rPr>
          <w:rFonts w:hint="eastAsia" w:ascii="宋体" w:hAnsi="宋体"/>
          <w:b/>
          <w:color w:val="auto"/>
          <w:kern w:val="0"/>
          <w:sz w:val="24"/>
          <w:szCs w:val="24"/>
          <w:highlight w:val="none"/>
        </w:rPr>
        <w:t>甲方委托乙方为以下项目提供建设工程造价咨询服务：</w:t>
      </w:r>
    </w:p>
    <w:p w14:paraId="58A7404F">
      <w:pPr>
        <w:pStyle w:val="32"/>
        <w:widowControl/>
        <w:numPr>
          <w:ilvl w:val="1"/>
          <w:numId w:val="0"/>
        </w:numPr>
        <w:tabs>
          <w:tab w:val="left" w:pos="709"/>
        </w:tabs>
        <w:adjustRightInd w:val="0"/>
        <w:snapToGrid w:val="0"/>
        <w:spacing w:line="540" w:lineRule="exact"/>
        <w:ind w:left="773" w:hanging="772" w:hangingChars="322"/>
        <w:jc w:val="left"/>
        <w:rPr>
          <w:rFonts w:ascii="宋体" w:hAnsi="宋体"/>
          <w:color w:val="auto"/>
          <w:kern w:val="0"/>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ascii="宋体" w:hAnsi="宋体"/>
          <w:color w:val="auto"/>
          <w:kern w:val="0"/>
          <w:sz w:val="24"/>
          <w:szCs w:val="24"/>
          <w:highlight w:val="none"/>
        </w:rPr>
        <w:t>项目名称：</w:t>
      </w:r>
      <w:r>
        <w:rPr>
          <w:rFonts w:hint="eastAsia" w:ascii="宋体" w:hAnsi="宋体"/>
          <w:color w:val="auto"/>
          <w:kern w:val="0"/>
          <w:sz w:val="24"/>
          <w:szCs w:val="24"/>
          <w:highlight w:val="none"/>
          <w:u w:val="none"/>
        </w:rPr>
        <w:t>天河区柯木塱村城中村改造项目</w:t>
      </w:r>
      <w:r>
        <w:rPr>
          <w:rFonts w:hint="eastAsia" w:ascii="宋体" w:hAnsi="宋体"/>
          <w:color w:val="auto"/>
          <w:kern w:val="0"/>
          <w:sz w:val="24"/>
          <w:szCs w:val="24"/>
          <w:highlight w:val="none"/>
          <w:u w:val="none"/>
          <w:lang w:val="en-US" w:eastAsia="zh-CN"/>
        </w:rPr>
        <w:t>-</w:t>
      </w:r>
      <w:r>
        <w:rPr>
          <w:rFonts w:hint="eastAsia" w:ascii="宋体" w:hAnsi="宋体"/>
          <w:color w:val="auto"/>
          <w:kern w:val="0"/>
          <w:sz w:val="24"/>
          <w:szCs w:val="24"/>
          <w:highlight w:val="none"/>
          <w:u w:val="none"/>
        </w:rPr>
        <w:t>首开区</w:t>
      </w:r>
      <w:r>
        <w:rPr>
          <w:rFonts w:hint="eastAsia" w:ascii="宋体" w:hAnsi="宋体"/>
          <w:color w:val="auto"/>
          <w:kern w:val="0"/>
          <w:sz w:val="24"/>
          <w:szCs w:val="24"/>
          <w:highlight w:val="none"/>
          <w:u w:val="none"/>
          <w:lang w:val="en-US" w:eastAsia="zh-CN"/>
        </w:rPr>
        <w:t>凤凰汇西侧</w:t>
      </w:r>
      <w:r>
        <w:rPr>
          <w:rFonts w:hint="eastAsia" w:ascii="宋体" w:hAnsi="宋体"/>
          <w:color w:val="auto"/>
          <w:kern w:val="0"/>
          <w:sz w:val="24"/>
          <w:szCs w:val="24"/>
          <w:highlight w:val="none"/>
          <w:u w:val="none"/>
        </w:rPr>
        <w:t>地块复建安置房及配套设施工程造价咨询服务</w:t>
      </w:r>
      <w:r>
        <w:rPr>
          <w:rFonts w:hint="eastAsia" w:ascii="宋体" w:hAnsi="宋体"/>
          <w:color w:val="auto"/>
          <w:kern w:val="0"/>
          <w:sz w:val="24"/>
          <w:szCs w:val="24"/>
          <w:highlight w:val="none"/>
          <w:u w:val="none"/>
          <w:lang w:eastAsia="zh-CN"/>
        </w:rPr>
        <w:t>（</w:t>
      </w:r>
      <w:r>
        <w:rPr>
          <w:rFonts w:hint="eastAsia" w:ascii="宋体" w:hAnsi="宋体"/>
          <w:color w:val="auto"/>
          <w:kern w:val="0"/>
          <w:sz w:val="24"/>
          <w:szCs w:val="24"/>
          <w:highlight w:val="none"/>
          <w:u w:val="none"/>
          <w:lang w:val="en-US" w:eastAsia="zh-CN"/>
        </w:rPr>
        <w:t>下称“本项目”</w:t>
      </w:r>
      <w:r>
        <w:rPr>
          <w:rFonts w:hint="eastAsia" w:ascii="宋体" w:hAnsi="宋体"/>
          <w:color w:val="auto"/>
          <w:kern w:val="0"/>
          <w:sz w:val="24"/>
          <w:szCs w:val="24"/>
          <w:highlight w:val="none"/>
          <w:u w:val="none"/>
          <w:lang w:eastAsia="zh-CN"/>
        </w:rPr>
        <w:t>）</w:t>
      </w:r>
      <w:r>
        <w:rPr>
          <w:rFonts w:hint="eastAsia" w:ascii="宋体" w:hAnsi="宋体"/>
          <w:color w:val="auto"/>
          <w:kern w:val="0"/>
          <w:sz w:val="24"/>
          <w:szCs w:val="24"/>
          <w:highlight w:val="none"/>
          <w:lang w:eastAsia="zh-CN"/>
        </w:rPr>
        <w:t>。</w:t>
      </w:r>
    </w:p>
    <w:p w14:paraId="03825022">
      <w:pPr>
        <w:pStyle w:val="32"/>
        <w:widowControl/>
        <w:numPr>
          <w:ilvl w:val="1"/>
          <w:numId w:val="0"/>
        </w:numPr>
        <w:tabs>
          <w:tab w:val="left" w:pos="709"/>
        </w:tabs>
        <w:adjustRightInd w:val="0"/>
        <w:snapToGrid w:val="0"/>
        <w:spacing w:line="540" w:lineRule="exact"/>
        <w:ind w:left="773" w:hanging="772" w:hangingChars="322"/>
        <w:jc w:val="left"/>
        <w:rPr>
          <w:rFonts w:ascii="宋体" w:hAnsi="宋体"/>
          <w:color w:val="auto"/>
          <w:kern w:val="0"/>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ascii="宋体" w:hAnsi="宋体"/>
          <w:color w:val="auto"/>
          <w:kern w:val="0"/>
          <w:sz w:val="24"/>
          <w:szCs w:val="24"/>
          <w:highlight w:val="none"/>
        </w:rPr>
        <w:t>项目地点：</w:t>
      </w:r>
      <w:r>
        <w:rPr>
          <w:rFonts w:hint="eastAsia" w:ascii="宋体" w:hAnsi="宋体"/>
          <w:color w:val="auto"/>
          <w:kern w:val="0"/>
          <w:sz w:val="24"/>
          <w:szCs w:val="24"/>
          <w:highlight w:val="none"/>
          <w:u w:val="none"/>
        </w:rPr>
        <w:t>位于广汕路以南，凤凰汇商业中心以西。</w:t>
      </w:r>
    </w:p>
    <w:p w14:paraId="613600A0">
      <w:pPr>
        <w:pStyle w:val="32"/>
        <w:widowControl/>
        <w:numPr>
          <w:ilvl w:val="1"/>
          <w:numId w:val="0"/>
        </w:numPr>
        <w:tabs>
          <w:tab w:val="left" w:pos="709"/>
        </w:tabs>
        <w:adjustRightInd w:val="0"/>
        <w:snapToGrid w:val="0"/>
        <w:spacing w:line="540" w:lineRule="exact"/>
        <w:ind w:left="773" w:hanging="772" w:hangingChars="322"/>
        <w:jc w:val="left"/>
        <w:rPr>
          <w:rFonts w:hint="eastAsia" w:ascii="宋体" w:hAnsi="宋体" w:eastAsia="宋体"/>
          <w:color w:val="auto"/>
          <w:kern w:val="0"/>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ascii="宋体" w:hAnsi="宋体"/>
          <w:color w:val="auto"/>
          <w:kern w:val="0"/>
          <w:sz w:val="24"/>
          <w:szCs w:val="24"/>
          <w:highlight w:val="none"/>
        </w:rPr>
        <w:t>项目规模：</w:t>
      </w:r>
      <w:r>
        <w:rPr>
          <w:rFonts w:hint="eastAsia" w:ascii="宋体" w:hAnsi="宋体" w:cs="宋体"/>
          <w:color w:val="auto"/>
          <w:sz w:val="24"/>
          <w:highlight w:val="none"/>
          <w:u w:val="none"/>
        </w:rPr>
        <w:t>项目规划用地面积44441.7㎡，其中净建设用地36554.96㎡，绿化用地面积7886.74㎡。总建筑面积约16.5万平方米（复建物业的地上及地下建筑不在本次招标范围)。地块容积率≤4.2，建筑密度≤40%，绿地率≥30%，建筑限高 85-100米。项目主要建设内容包括安置房、小区内道路绿地、公共服务配套设施等，最终以建设工程规划许可证为准。</w:t>
      </w:r>
      <w:r>
        <w:rPr>
          <w:rFonts w:hint="eastAsia" w:ascii="宋体" w:hAnsi="宋体" w:eastAsia="宋体"/>
          <w:color w:val="auto"/>
          <w:kern w:val="0"/>
          <w:sz w:val="24"/>
          <w:szCs w:val="24"/>
          <w:highlight w:val="none"/>
          <w:lang w:val="en-US" w:eastAsia="zh-CN"/>
        </w:rPr>
        <w:t>本项目</w:t>
      </w:r>
      <w:r>
        <w:rPr>
          <w:rFonts w:hint="eastAsia" w:ascii="宋体" w:hAnsi="宋体"/>
          <w:color w:val="auto"/>
          <w:kern w:val="0"/>
          <w:sz w:val="24"/>
          <w:szCs w:val="24"/>
          <w:highlight w:val="none"/>
          <w:lang w:val="en-US" w:eastAsia="zh-CN"/>
        </w:rPr>
        <w:t>暂定</w:t>
      </w:r>
      <w:r>
        <w:rPr>
          <w:rFonts w:hint="eastAsia" w:ascii="宋体" w:hAnsi="宋体" w:eastAsia="宋体"/>
          <w:color w:val="auto"/>
          <w:kern w:val="0"/>
          <w:sz w:val="24"/>
          <w:szCs w:val="24"/>
          <w:highlight w:val="none"/>
          <w:lang w:val="en-US" w:eastAsia="zh-CN"/>
        </w:rPr>
        <w:t>估算总投资约：</w:t>
      </w:r>
      <w:r>
        <w:rPr>
          <w:rFonts w:hint="eastAsia" w:ascii="宋体" w:hAnsi="宋体"/>
          <w:color w:val="auto"/>
          <w:kern w:val="0"/>
          <w:sz w:val="24"/>
          <w:szCs w:val="24"/>
          <w:highlight w:val="none"/>
          <w:lang w:val="en-US" w:eastAsia="zh-CN"/>
        </w:rPr>
        <w:t>12亿</w:t>
      </w:r>
      <w:r>
        <w:rPr>
          <w:rFonts w:hint="eastAsia" w:ascii="宋体" w:hAnsi="宋体" w:eastAsia="宋体"/>
          <w:color w:val="auto"/>
          <w:kern w:val="0"/>
          <w:sz w:val="24"/>
          <w:szCs w:val="24"/>
          <w:highlight w:val="none"/>
          <w:lang w:val="en-US" w:eastAsia="zh-CN"/>
        </w:rPr>
        <w:t>元，其中</w:t>
      </w:r>
      <w:r>
        <w:rPr>
          <w:rFonts w:hint="eastAsia" w:ascii="宋体" w:hAnsi="宋体"/>
          <w:color w:val="auto"/>
          <w:kern w:val="0"/>
          <w:sz w:val="24"/>
          <w:szCs w:val="24"/>
          <w:highlight w:val="none"/>
        </w:rPr>
        <w:t>暂定</w:t>
      </w:r>
      <w:r>
        <w:rPr>
          <w:rFonts w:hint="eastAsia" w:ascii="宋体" w:hAnsi="宋体" w:eastAsia="宋体"/>
          <w:color w:val="auto"/>
          <w:kern w:val="0"/>
          <w:sz w:val="24"/>
          <w:szCs w:val="24"/>
          <w:highlight w:val="none"/>
          <w:lang w:val="en-US" w:eastAsia="zh-CN"/>
        </w:rPr>
        <w:t>建筑安装工程费用约：</w:t>
      </w:r>
      <w:r>
        <w:rPr>
          <w:rFonts w:hint="eastAsia" w:ascii="宋体" w:hAnsi="宋体"/>
          <w:color w:val="auto"/>
          <w:kern w:val="0"/>
          <w:sz w:val="24"/>
          <w:szCs w:val="24"/>
          <w:highlight w:val="none"/>
          <w:lang w:val="en-US" w:eastAsia="zh-CN"/>
        </w:rPr>
        <w:t>79200万元</w:t>
      </w:r>
      <w:r>
        <w:rPr>
          <w:rFonts w:hint="eastAsia" w:ascii="宋体" w:hAnsi="宋体" w:eastAsia="宋体"/>
          <w:color w:val="auto"/>
          <w:kern w:val="0"/>
          <w:sz w:val="24"/>
          <w:szCs w:val="24"/>
          <w:highlight w:val="none"/>
          <w:lang w:val="en-US" w:eastAsia="zh-CN"/>
        </w:rPr>
        <w:t>。</w:t>
      </w:r>
    </w:p>
    <w:p w14:paraId="7FFA0BB1">
      <w:pPr>
        <w:pStyle w:val="32"/>
        <w:widowControl/>
        <w:numPr>
          <w:ilvl w:val="1"/>
          <w:numId w:val="0"/>
        </w:numPr>
        <w:tabs>
          <w:tab w:val="left" w:pos="709"/>
        </w:tabs>
        <w:adjustRightInd w:val="0"/>
        <w:snapToGrid w:val="0"/>
        <w:spacing w:line="540" w:lineRule="exact"/>
        <w:ind w:left="772" w:leftChars="0" w:hanging="772" w:hangingChars="322"/>
        <w:jc w:val="left"/>
        <w:rPr>
          <w:rFonts w:hint="default" w:ascii="宋体" w:hAnsi="宋体" w:eastAsia="宋体"/>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color w:val="auto"/>
          <w:kern w:val="0"/>
          <w:sz w:val="24"/>
          <w:szCs w:val="24"/>
          <w:highlight w:val="none"/>
        </w:rPr>
        <w:t>工作内容包括但不限于以下内容：</w:t>
      </w:r>
      <w:r>
        <w:rPr>
          <w:rFonts w:hint="eastAsia" w:ascii="宋体" w:hAnsi="宋体"/>
          <w:color w:val="auto"/>
          <w:kern w:val="0"/>
          <w:sz w:val="24"/>
          <w:szCs w:val="24"/>
          <w:highlight w:val="none"/>
          <w:lang w:val="en-US" w:eastAsia="zh-CN"/>
        </w:rPr>
        <w:t>本项目的工程范围所述的一切工程从工程概算内审、审核施工图预算、EPC项目补充合同价格清单、编制招标清单及招标控制价、审核计量付款、变更签证及索赔、竣工结算及保修阶段尾款支付工作等造价咨询服务；具体可分为以下阶段服务内容：前期阶段、施工图预算阶段、招标阶段、施工阶段、结算阶段等造价咨询服务及甲方要求的本项目其他成本控制服务事项。</w:t>
      </w:r>
      <w:r>
        <w:rPr>
          <w:rFonts w:hint="eastAsia" w:ascii="宋体" w:hAnsi="宋体"/>
          <w:color w:val="auto"/>
          <w:sz w:val="24"/>
          <w:szCs w:val="24"/>
          <w:highlight w:val="none"/>
        </w:rPr>
        <w:t>主要</w:t>
      </w:r>
      <w:r>
        <w:rPr>
          <w:rFonts w:ascii="宋体" w:hAnsi="宋体"/>
          <w:color w:val="auto"/>
          <w:sz w:val="24"/>
          <w:szCs w:val="24"/>
          <w:highlight w:val="none"/>
        </w:rPr>
        <w:t>内容</w:t>
      </w:r>
      <w:r>
        <w:rPr>
          <w:rFonts w:hint="eastAsia" w:ascii="宋体" w:hAnsi="宋体"/>
          <w:color w:val="auto"/>
          <w:sz w:val="24"/>
          <w:szCs w:val="24"/>
          <w:highlight w:val="none"/>
        </w:rPr>
        <w:t>具体如下：</w:t>
      </w:r>
    </w:p>
    <w:p w14:paraId="3A39BEF1">
      <w:pPr>
        <w:widowControl/>
        <w:shd w:val="clear" w:color="auto" w:fill="FFFFFF"/>
        <w:adjustRightInd w:val="0"/>
        <w:snapToGrid w:val="0"/>
        <w:spacing w:line="360" w:lineRule="auto"/>
        <w:ind w:firstLine="600" w:firstLineChars="250"/>
        <w:jc w:val="left"/>
        <w:rPr>
          <w:rFonts w:ascii="宋体" w:hAnsi="宋体" w:cs="宋体"/>
          <w:color w:val="auto"/>
          <w:kern w:val="0"/>
          <w:sz w:val="24"/>
          <w:szCs w:val="24"/>
          <w:highlight w:val="none"/>
        </w:rPr>
      </w:pPr>
    </w:p>
    <w:tbl>
      <w:tblPr>
        <w:tblStyle w:val="18"/>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7659"/>
      </w:tblGrid>
      <w:tr w14:paraId="1794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7" w:type="dxa"/>
            <w:shd w:val="clear" w:color="000000" w:fill="FFFFFF"/>
            <w:vAlign w:val="center"/>
          </w:tcPr>
          <w:p w14:paraId="5669B01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709" w:type="dxa"/>
            <w:shd w:val="clear" w:color="000000" w:fill="FFFFFF"/>
            <w:vAlign w:val="center"/>
          </w:tcPr>
          <w:p w14:paraId="751CBDE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阶段</w:t>
            </w:r>
          </w:p>
        </w:tc>
        <w:tc>
          <w:tcPr>
            <w:tcW w:w="7659" w:type="dxa"/>
            <w:shd w:val="clear" w:color="000000" w:fill="FFFFFF"/>
            <w:vAlign w:val="center"/>
          </w:tcPr>
          <w:p w14:paraId="370EB77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工作内容</w:t>
            </w:r>
          </w:p>
        </w:tc>
      </w:tr>
      <w:tr w14:paraId="669A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restart"/>
            <w:shd w:val="clear" w:color="000000" w:fill="FFFFFF"/>
            <w:vAlign w:val="center"/>
          </w:tcPr>
          <w:p w14:paraId="44E01CBE">
            <w:pPr>
              <w:widowControl/>
              <w:spacing w:line="351" w:lineRule="auto"/>
              <w:ind w:firstLine="0" w:firstLineChars="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709" w:type="dxa"/>
            <w:vMerge w:val="restart"/>
            <w:shd w:val="clear" w:color="000000" w:fill="FFFFFF"/>
            <w:vAlign w:val="center"/>
          </w:tcPr>
          <w:p w14:paraId="569EEF9D">
            <w:pPr>
              <w:widowControl/>
              <w:spacing w:line="240" w:lineRule="auto"/>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前期阶段</w:t>
            </w:r>
          </w:p>
        </w:tc>
        <w:tc>
          <w:tcPr>
            <w:tcW w:w="7659" w:type="dxa"/>
            <w:shd w:val="clear" w:color="000000" w:fill="FFFFFF"/>
            <w:vAlign w:val="center"/>
          </w:tcPr>
          <w:p w14:paraId="7C151871">
            <w:pPr>
              <w:widowControl/>
              <w:spacing w:line="24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（1）协助甲方对工程概算文件进行内审，并出具审核意见书。</w:t>
            </w:r>
          </w:p>
        </w:tc>
      </w:tr>
      <w:tr w14:paraId="30F1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continue"/>
            <w:shd w:val="clear" w:color="000000" w:fill="FFFFFF"/>
            <w:vAlign w:val="center"/>
          </w:tcPr>
          <w:p w14:paraId="6DE98748">
            <w:pPr>
              <w:widowControl/>
              <w:spacing w:line="351" w:lineRule="auto"/>
              <w:ind w:firstLine="0" w:firstLineChars="0"/>
              <w:jc w:val="left"/>
              <w:rPr>
                <w:rFonts w:hint="eastAsia" w:ascii="宋体" w:hAnsi="宋体" w:cs="宋体"/>
                <w:color w:val="auto"/>
                <w:kern w:val="0"/>
                <w:sz w:val="24"/>
                <w:szCs w:val="24"/>
                <w:highlight w:val="none"/>
                <w:lang w:val="en-US" w:eastAsia="zh-CN"/>
              </w:rPr>
            </w:pPr>
          </w:p>
        </w:tc>
        <w:tc>
          <w:tcPr>
            <w:tcW w:w="709" w:type="dxa"/>
            <w:vMerge w:val="continue"/>
            <w:shd w:val="clear" w:color="000000" w:fill="FFFFFF"/>
            <w:vAlign w:val="center"/>
          </w:tcPr>
          <w:p w14:paraId="68E5CA9A">
            <w:pPr>
              <w:widowControl/>
              <w:spacing w:line="240" w:lineRule="auto"/>
              <w:jc w:val="left"/>
              <w:rPr>
                <w:rFonts w:hint="eastAsia" w:ascii="宋体" w:hAnsi="宋体" w:cs="宋体"/>
                <w:color w:val="auto"/>
                <w:kern w:val="0"/>
                <w:sz w:val="24"/>
                <w:szCs w:val="24"/>
                <w:highlight w:val="none"/>
              </w:rPr>
            </w:pPr>
          </w:p>
        </w:tc>
        <w:tc>
          <w:tcPr>
            <w:tcW w:w="7659" w:type="dxa"/>
            <w:shd w:val="clear" w:color="000000" w:fill="FFFFFF"/>
            <w:vAlign w:val="center"/>
          </w:tcPr>
          <w:p w14:paraId="0514E022">
            <w:pPr>
              <w:widowControl/>
              <w:spacing w:line="24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w:t>
            </w:r>
            <w:r>
              <w:rPr>
                <w:rFonts w:hint="eastAsia" w:ascii="宋体" w:hAnsi="宋体" w:cs="宋体"/>
                <w:color w:val="auto"/>
                <w:kern w:val="0"/>
                <w:sz w:val="24"/>
                <w:szCs w:val="24"/>
                <w:highlight w:val="none"/>
              </w:rPr>
              <w:t>）负责参加概算评审会议</w:t>
            </w:r>
            <w:r>
              <w:rPr>
                <w:rFonts w:hint="eastAsia" w:ascii="宋体" w:hAnsi="宋体" w:cs="宋体"/>
                <w:color w:val="auto"/>
                <w:kern w:val="0"/>
                <w:sz w:val="24"/>
                <w:szCs w:val="24"/>
                <w:highlight w:val="none"/>
                <w:lang w:val="en-US" w:eastAsia="zh-CN"/>
              </w:rPr>
              <w:t>等</w:t>
            </w:r>
            <w:r>
              <w:rPr>
                <w:rFonts w:hint="eastAsia" w:ascii="宋体" w:hAnsi="宋体" w:cs="宋体"/>
                <w:color w:val="auto"/>
                <w:kern w:val="0"/>
                <w:sz w:val="24"/>
                <w:szCs w:val="24"/>
                <w:highlight w:val="none"/>
              </w:rPr>
              <w:t>，提出造价专业意见。</w:t>
            </w:r>
          </w:p>
        </w:tc>
      </w:tr>
      <w:tr w14:paraId="6EFF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continue"/>
            <w:shd w:val="clear" w:color="000000" w:fill="FFFFFF"/>
            <w:vAlign w:val="center"/>
          </w:tcPr>
          <w:p w14:paraId="3C29B1FE">
            <w:pPr>
              <w:widowControl/>
              <w:spacing w:line="351" w:lineRule="auto"/>
              <w:ind w:firstLine="0" w:firstLineChars="0"/>
              <w:jc w:val="left"/>
              <w:rPr>
                <w:rFonts w:hint="eastAsia" w:ascii="宋体" w:hAnsi="宋体" w:cs="宋体"/>
                <w:color w:val="auto"/>
                <w:kern w:val="0"/>
                <w:sz w:val="24"/>
                <w:szCs w:val="24"/>
                <w:highlight w:val="none"/>
                <w:lang w:val="en-US" w:eastAsia="zh-CN"/>
              </w:rPr>
            </w:pPr>
          </w:p>
        </w:tc>
        <w:tc>
          <w:tcPr>
            <w:tcW w:w="709" w:type="dxa"/>
            <w:vMerge w:val="continue"/>
            <w:shd w:val="clear" w:color="000000" w:fill="FFFFFF"/>
            <w:vAlign w:val="center"/>
          </w:tcPr>
          <w:p w14:paraId="37813CEB">
            <w:pPr>
              <w:widowControl/>
              <w:spacing w:line="240" w:lineRule="auto"/>
              <w:jc w:val="left"/>
              <w:rPr>
                <w:rFonts w:hint="eastAsia" w:ascii="宋体" w:hAnsi="宋体" w:cs="宋体"/>
                <w:color w:val="auto"/>
                <w:kern w:val="0"/>
                <w:sz w:val="24"/>
                <w:szCs w:val="24"/>
                <w:highlight w:val="none"/>
              </w:rPr>
            </w:pPr>
          </w:p>
        </w:tc>
        <w:tc>
          <w:tcPr>
            <w:tcW w:w="7659" w:type="dxa"/>
            <w:shd w:val="clear" w:color="000000" w:fill="FFFFFF"/>
            <w:vAlign w:val="center"/>
          </w:tcPr>
          <w:p w14:paraId="26144565">
            <w:pPr>
              <w:widowControl/>
              <w:spacing w:line="24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3</w:t>
            </w:r>
            <w:r>
              <w:rPr>
                <w:rFonts w:hint="eastAsia" w:ascii="宋体" w:hAnsi="宋体" w:cs="宋体"/>
                <w:color w:val="auto"/>
                <w:kern w:val="0"/>
                <w:sz w:val="24"/>
                <w:szCs w:val="24"/>
                <w:highlight w:val="none"/>
              </w:rPr>
              <w:t>）协助甲方参与政府相关部门对工程概算审核的对数等工作</w:t>
            </w:r>
            <w:r>
              <w:rPr>
                <w:rFonts w:hint="eastAsia" w:ascii="宋体" w:hAnsi="宋体" w:cs="宋体"/>
                <w:color w:val="auto"/>
                <w:kern w:val="0"/>
                <w:sz w:val="24"/>
                <w:szCs w:val="24"/>
                <w:highlight w:val="none"/>
                <w:lang w:eastAsia="zh-CN"/>
              </w:rPr>
              <w:t>。</w:t>
            </w:r>
          </w:p>
        </w:tc>
      </w:tr>
      <w:tr w14:paraId="3EEA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restart"/>
            <w:shd w:val="clear" w:color="000000" w:fill="FFFFFF"/>
            <w:vAlign w:val="center"/>
          </w:tcPr>
          <w:p w14:paraId="10B38E4D">
            <w:pPr>
              <w:widowControl/>
              <w:spacing w:line="351" w:lineRule="auto"/>
              <w:ind w:firstLine="0" w:firstLineChars="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709" w:type="dxa"/>
            <w:vMerge w:val="restart"/>
            <w:shd w:val="clear" w:color="000000" w:fill="FFFFFF"/>
            <w:vAlign w:val="center"/>
          </w:tcPr>
          <w:p w14:paraId="35CE8F4C">
            <w:pPr>
              <w:widowControl/>
              <w:spacing w:line="240" w:lineRule="auto"/>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施工图预算阶段</w:t>
            </w:r>
          </w:p>
        </w:tc>
        <w:tc>
          <w:tcPr>
            <w:tcW w:w="7659" w:type="dxa"/>
            <w:shd w:val="clear" w:color="000000" w:fill="FFFFFF"/>
            <w:vAlign w:val="center"/>
          </w:tcPr>
          <w:p w14:paraId="65D6460F">
            <w:pPr>
              <w:widowControl/>
              <w:spacing w:line="24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（1）负责审核施工图预算（含设计图纸修改后调整相应预算），按甲方要求提交审核报告；如施工图预算需经政府相关部门审核，则协助甲方进行对数工作。</w:t>
            </w:r>
          </w:p>
        </w:tc>
      </w:tr>
      <w:tr w14:paraId="325E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continue"/>
            <w:shd w:val="clear" w:color="000000" w:fill="FFFFFF"/>
            <w:vAlign w:val="center"/>
          </w:tcPr>
          <w:p w14:paraId="1E2DA053">
            <w:pPr>
              <w:widowControl/>
              <w:spacing w:line="351" w:lineRule="auto"/>
              <w:jc w:val="left"/>
              <w:rPr>
                <w:rFonts w:hint="eastAsia" w:ascii="宋体" w:hAnsi="宋体" w:cs="宋体"/>
                <w:color w:val="auto"/>
                <w:kern w:val="0"/>
                <w:sz w:val="24"/>
                <w:szCs w:val="24"/>
                <w:highlight w:val="none"/>
                <w:lang w:val="en-US" w:eastAsia="zh-CN"/>
              </w:rPr>
            </w:pPr>
          </w:p>
        </w:tc>
        <w:tc>
          <w:tcPr>
            <w:tcW w:w="709" w:type="dxa"/>
            <w:vMerge w:val="continue"/>
            <w:shd w:val="clear" w:color="000000" w:fill="FFFFFF"/>
            <w:vAlign w:val="center"/>
          </w:tcPr>
          <w:p w14:paraId="1CBE150F">
            <w:pPr>
              <w:widowControl/>
              <w:jc w:val="left"/>
              <w:rPr>
                <w:rFonts w:hint="eastAsia" w:ascii="宋体" w:hAnsi="宋体" w:cs="宋体"/>
                <w:color w:val="auto"/>
                <w:kern w:val="0"/>
                <w:sz w:val="24"/>
                <w:szCs w:val="24"/>
                <w:highlight w:val="none"/>
                <w:lang w:val="en-US" w:eastAsia="zh-CN"/>
              </w:rPr>
            </w:pPr>
          </w:p>
        </w:tc>
        <w:tc>
          <w:tcPr>
            <w:tcW w:w="7659" w:type="dxa"/>
            <w:shd w:val="clear" w:color="000000" w:fill="FFFFFF"/>
            <w:vAlign w:val="center"/>
          </w:tcPr>
          <w:p w14:paraId="13367129">
            <w:pPr>
              <w:widowControl/>
              <w:spacing w:line="240" w:lineRule="auto"/>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（2）负责提交材料设备汇总表，对设计中采用的主材、设备等提供市场信息，提出优化建议。</w:t>
            </w:r>
          </w:p>
        </w:tc>
      </w:tr>
      <w:tr w14:paraId="599A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continue"/>
            <w:shd w:val="clear" w:color="000000" w:fill="FFFFFF"/>
            <w:vAlign w:val="center"/>
          </w:tcPr>
          <w:p w14:paraId="634584AE">
            <w:pPr>
              <w:widowControl/>
              <w:spacing w:line="351" w:lineRule="auto"/>
              <w:jc w:val="left"/>
              <w:rPr>
                <w:rFonts w:hint="eastAsia" w:ascii="宋体" w:hAnsi="宋体" w:cs="宋体"/>
                <w:color w:val="auto"/>
                <w:kern w:val="0"/>
                <w:sz w:val="24"/>
                <w:szCs w:val="24"/>
                <w:highlight w:val="none"/>
                <w:lang w:val="en-US" w:eastAsia="zh-CN"/>
              </w:rPr>
            </w:pPr>
          </w:p>
        </w:tc>
        <w:tc>
          <w:tcPr>
            <w:tcW w:w="709" w:type="dxa"/>
            <w:vMerge w:val="continue"/>
            <w:shd w:val="clear" w:color="000000" w:fill="FFFFFF"/>
            <w:vAlign w:val="center"/>
          </w:tcPr>
          <w:p w14:paraId="68A65D3D">
            <w:pPr>
              <w:widowControl/>
              <w:jc w:val="left"/>
              <w:rPr>
                <w:rFonts w:hint="eastAsia" w:ascii="宋体" w:hAnsi="宋体" w:cs="宋体"/>
                <w:color w:val="auto"/>
                <w:kern w:val="0"/>
                <w:sz w:val="24"/>
                <w:szCs w:val="24"/>
                <w:highlight w:val="none"/>
                <w:lang w:val="en-US" w:eastAsia="zh-CN"/>
              </w:rPr>
            </w:pPr>
          </w:p>
        </w:tc>
        <w:tc>
          <w:tcPr>
            <w:tcW w:w="7659" w:type="dxa"/>
            <w:shd w:val="clear" w:color="000000" w:fill="FFFFFF"/>
            <w:vAlign w:val="center"/>
          </w:tcPr>
          <w:p w14:paraId="48F76298">
            <w:pPr>
              <w:widowControl/>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根据</w:t>
            </w:r>
            <w:r>
              <w:rPr>
                <w:rFonts w:hint="eastAsia" w:ascii="宋体" w:hAnsi="宋体" w:cs="宋体"/>
                <w:color w:val="auto"/>
                <w:kern w:val="0"/>
                <w:sz w:val="24"/>
                <w:szCs w:val="24"/>
                <w:highlight w:val="none"/>
              </w:rPr>
              <w:t>批准的施工图预算，审核设计施工总承包项目（以下简称EPC项目）的合同价格清单，并协助完成EPC项目补充合同的签订工作</w:t>
            </w:r>
            <w:r>
              <w:rPr>
                <w:rFonts w:hint="eastAsia" w:ascii="宋体" w:hAnsi="宋体" w:cs="宋体"/>
                <w:color w:val="auto"/>
                <w:kern w:val="0"/>
                <w:sz w:val="24"/>
                <w:szCs w:val="24"/>
                <w:highlight w:val="none"/>
                <w:lang w:eastAsia="zh-CN"/>
              </w:rPr>
              <w:t>。</w:t>
            </w:r>
          </w:p>
        </w:tc>
      </w:tr>
      <w:tr w14:paraId="1D29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continue"/>
            <w:shd w:val="clear" w:color="000000" w:fill="FFFFFF"/>
            <w:vAlign w:val="center"/>
          </w:tcPr>
          <w:p w14:paraId="2956EB53">
            <w:pPr>
              <w:widowControl/>
              <w:spacing w:line="351" w:lineRule="auto"/>
              <w:jc w:val="left"/>
              <w:rPr>
                <w:rFonts w:hint="eastAsia" w:ascii="宋体" w:hAnsi="宋体" w:cs="宋体"/>
                <w:color w:val="auto"/>
                <w:kern w:val="0"/>
                <w:sz w:val="24"/>
                <w:szCs w:val="24"/>
                <w:highlight w:val="none"/>
                <w:lang w:val="en-US" w:eastAsia="zh-CN"/>
              </w:rPr>
            </w:pPr>
          </w:p>
        </w:tc>
        <w:tc>
          <w:tcPr>
            <w:tcW w:w="709" w:type="dxa"/>
            <w:vMerge w:val="continue"/>
            <w:shd w:val="clear" w:color="000000" w:fill="FFFFFF"/>
            <w:vAlign w:val="center"/>
          </w:tcPr>
          <w:p w14:paraId="4079F0CE">
            <w:pPr>
              <w:widowControl/>
              <w:jc w:val="left"/>
              <w:rPr>
                <w:rFonts w:hint="eastAsia" w:ascii="宋体" w:hAnsi="宋体" w:cs="宋体"/>
                <w:color w:val="auto"/>
                <w:kern w:val="0"/>
                <w:sz w:val="24"/>
                <w:szCs w:val="24"/>
                <w:highlight w:val="none"/>
                <w:lang w:val="en-US" w:eastAsia="zh-CN"/>
              </w:rPr>
            </w:pPr>
          </w:p>
        </w:tc>
        <w:tc>
          <w:tcPr>
            <w:tcW w:w="7659" w:type="dxa"/>
            <w:shd w:val="clear" w:color="000000" w:fill="FFFFFF"/>
            <w:vAlign w:val="center"/>
          </w:tcPr>
          <w:p w14:paraId="3F534C87">
            <w:pPr>
              <w:widowControl/>
              <w:spacing w:line="240" w:lineRule="auto"/>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（4）跟进预算审核的各阶段工作，及时反馈意见，对审核工作进行分解分析，给出专业意见及合理化建议。</w:t>
            </w:r>
          </w:p>
        </w:tc>
      </w:tr>
      <w:tr w14:paraId="2239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continue"/>
            <w:shd w:val="clear" w:color="000000" w:fill="FFFFFF"/>
            <w:vAlign w:val="center"/>
          </w:tcPr>
          <w:p w14:paraId="7A4760F3">
            <w:pPr>
              <w:widowControl/>
              <w:spacing w:line="351" w:lineRule="auto"/>
              <w:jc w:val="left"/>
              <w:rPr>
                <w:rFonts w:hint="eastAsia" w:ascii="宋体" w:hAnsi="宋体" w:cs="宋体"/>
                <w:color w:val="auto"/>
                <w:kern w:val="0"/>
                <w:sz w:val="24"/>
                <w:szCs w:val="24"/>
                <w:highlight w:val="none"/>
                <w:lang w:val="en-US" w:eastAsia="zh-CN"/>
              </w:rPr>
            </w:pPr>
          </w:p>
        </w:tc>
        <w:tc>
          <w:tcPr>
            <w:tcW w:w="709" w:type="dxa"/>
            <w:vMerge w:val="continue"/>
            <w:shd w:val="clear" w:color="000000" w:fill="FFFFFF"/>
            <w:vAlign w:val="center"/>
          </w:tcPr>
          <w:p w14:paraId="18705BAD">
            <w:pPr>
              <w:widowControl/>
              <w:jc w:val="left"/>
              <w:rPr>
                <w:rFonts w:hint="eastAsia" w:ascii="宋体" w:hAnsi="宋体" w:cs="宋体"/>
                <w:color w:val="auto"/>
                <w:kern w:val="0"/>
                <w:sz w:val="24"/>
                <w:szCs w:val="24"/>
                <w:highlight w:val="none"/>
                <w:lang w:val="en-US" w:eastAsia="zh-CN"/>
              </w:rPr>
            </w:pPr>
          </w:p>
        </w:tc>
        <w:tc>
          <w:tcPr>
            <w:tcW w:w="7659" w:type="dxa"/>
            <w:shd w:val="clear" w:color="000000" w:fill="FFFFFF"/>
            <w:vAlign w:val="center"/>
          </w:tcPr>
          <w:p w14:paraId="2B99BFF2">
            <w:pPr>
              <w:widowControl/>
              <w:spacing w:line="240" w:lineRule="auto"/>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）负责为BIM信息模型提供造价信息数据。</w:t>
            </w:r>
          </w:p>
        </w:tc>
      </w:tr>
      <w:tr w14:paraId="00B3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7" w:type="dxa"/>
            <w:vMerge w:val="restart"/>
            <w:shd w:val="clear" w:color="000000" w:fill="FFFFFF"/>
            <w:vAlign w:val="center"/>
          </w:tcPr>
          <w:p w14:paraId="34D6D208">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709" w:type="dxa"/>
            <w:vMerge w:val="restart"/>
            <w:shd w:val="clear" w:color="000000" w:fill="FFFFFF"/>
            <w:vAlign w:val="center"/>
          </w:tcPr>
          <w:p w14:paraId="255A8AD8">
            <w:pPr>
              <w:widowControl/>
              <w:rPr>
                <w:rFonts w:hint="eastAsia" w:ascii="宋体" w:hAnsi="宋体" w:cs="宋体"/>
                <w:color w:val="auto"/>
                <w:kern w:val="0"/>
                <w:sz w:val="24"/>
                <w:szCs w:val="24"/>
                <w:highlight w:val="none"/>
              </w:rPr>
            </w:pPr>
          </w:p>
          <w:p w14:paraId="30FF737B">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招标阶段</w:t>
            </w:r>
          </w:p>
        </w:tc>
        <w:tc>
          <w:tcPr>
            <w:tcW w:w="7659" w:type="dxa"/>
            <w:shd w:val="clear" w:color="000000" w:fill="FFFFFF"/>
            <w:vAlign w:val="center"/>
          </w:tcPr>
          <w:p w14:paraId="50BE05C3">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（1）负责按甲方要求编制招标工程量清单及招标控制价；负责进行市场调查、询价，在甲方指定地点进行工程量、定额、主材的对数等。</w:t>
            </w:r>
          </w:p>
        </w:tc>
      </w:tr>
      <w:tr w14:paraId="2518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7" w:type="dxa"/>
            <w:vMerge w:val="continue"/>
            <w:shd w:val="clear" w:color="auto" w:fill="auto"/>
            <w:vAlign w:val="center"/>
          </w:tcPr>
          <w:p w14:paraId="1A77CBBE">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2D6AA46D">
            <w:pPr>
              <w:widowControl/>
              <w:jc w:val="left"/>
              <w:rPr>
                <w:rFonts w:ascii="宋体" w:hAnsi="宋体" w:cs="宋体"/>
                <w:color w:val="auto"/>
                <w:kern w:val="0"/>
                <w:sz w:val="24"/>
                <w:szCs w:val="24"/>
                <w:highlight w:val="none"/>
              </w:rPr>
            </w:pPr>
          </w:p>
        </w:tc>
        <w:tc>
          <w:tcPr>
            <w:tcW w:w="7659" w:type="dxa"/>
            <w:shd w:val="clear" w:color="000000" w:fill="FFFFFF"/>
            <w:vAlign w:val="center"/>
          </w:tcPr>
          <w:p w14:paraId="312575BC">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（2）负责根据设计单位的图纸及技术规范、用户需求书，编制设备、材料询价或采购清单。</w:t>
            </w:r>
          </w:p>
        </w:tc>
      </w:tr>
      <w:tr w14:paraId="06E4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7" w:type="dxa"/>
            <w:vMerge w:val="continue"/>
            <w:shd w:val="clear" w:color="auto" w:fill="auto"/>
            <w:vAlign w:val="center"/>
          </w:tcPr>
          <w:p w14:paraId="4B212A5C">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7D94CB7C">
            <w:pPr>
              <w:widowControl/>
              <w:jc w:val="left"/>
              <w:rPr>
                <w:rFonts w:ascii="宋体" w:hAnsi="宋体" w:cs="宋体"/>
                <w:color w:val="auto"/>
                <w:kern w:val="0"/>
                <w:sz w:val="24"/>
                <w:szCs w:val="24"/>
                <w:highlight w:val="none"/>
              </w:rPr>
            </w:pPr>
          </w:p>
        </w:tc>
        <w:tc>
          <w:tcPr>
            <w:tcW w:w="7659" w:type="dxa"/>
            <w:shd w:val="clear" w:color="000000" w:fill="FFFFFF"/>
            <w:vAlign w:val="center"/>
          </w:tcPr>
          <w:p w14:paraId="73D2B98F">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（3）负责答疑阶段造价问题的解答。按广州市建设工程造价管理站招标控制价备案要求提供造价文件（含编制说明、招标控制价公布函、招标控制价软件版、EXCEL版、XML版、</w:t>
            </w:r>
            <w:r>
              <w:rPr>
                <w:rFonts w:hint="eastAsia" w:ascii="宋体" w:hAnsi="宋体" w:cs="宋体"/>
                <w:color w:val="auto"/>
                <w:kern w:val="0"/>
                <w:sz w:val="24"/>
                <w:szCs w:val="24"/>
                <w:highlight w:val="none"/>
                <w:lang w:val="en-US" w:eastAsia="zh-CN"/>
              </w:rPr>
              <w:t>COS版、</w:t>
            </w:r>
            <w:r>
              <w:rPr>
                <w:rFonts w:hint="eastAsia" w:ascii="宋体" w:hAnsi="宋体" w:cs="宋体"/>
                <w:color w:val="auto"/>
                <w:kern w:val="0"/>
                <w:sz w:val="24"/>
                <w:szCs w:val="24"/>
                <w:highlight w:val="none"/>
              </w:rPr>
              <w:t>指标分析表等），负责对投标人提出的工程量清单问题进行回复，并完成招标控制价备案工作。</w:t>
            </w:r>
          </w:p>
        </w:tc>
      </w:tr>
      <w:tr w14:paraId="3E0B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7" w:type="dxa"/>
            <w:vMerge w:val="continue"/>
            <w:shd w:val="clear" w:color="auto" w:fill="auto"/>
            <w:vAlign w:val="center"/>
          </w:tcPr>
          <w:p w14:paraId="6F1FC76A">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15BDCC7A">
            <w:pPr>
              <w:widowControl/>
              <w:jc w:val="left"/>
              <w:rPr>
                <w:rFonts w:ascii="宋体" w:hAnsi="宋体" w:cs="宋体"/>
                <w:color w:val="auto"/>
                <w:kern w:val="0"/>
                <w:sz w:val="24"/>
                <w:szCs w:val="24"/>
                <w:highlight w:val="none"/>
              </w:rPr>
            </w:pPr>
          </w:p>
        </w:tc>
        <w:tc>
          <w:tcPr>
            <w:tcW w:w="7659" w:type="dxa"/>
            <w:shd w:val="clear" w:color="000000" w:fill="FFFFFF"/>
            <w:vAlign w:val="center"/>
          </w:tcPr>
          <w:p w14:paraId="3A10B51A">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（4）负责对</w:t>
            </w:r>
            <w:r>
              <w:rPr>
                <w:rFonts w:hint="eastAsia" w:ascii="宋体" w:hAnsi="宋体" w:cs="宋体"/>
                <w:color w:val="auto"/>
                <w:kern w:val="0"/>
                <w:sz w:val="24"/>
                <w:szCs w:val="24"/>
                <w:highlight w:val="none"/>
                <w:lang w:val="en-US" w:eastAsia="zh-CN"/>
              </w:rPr>
              <w:t>投标人</w:t>
            </w:r>
            <w:r>
              <w:rPr>
                <w:rFonts w:hint="eastAsia" w:ascii="宋体" w:hAnsi="宋体" w:cs="宋体"/>
                <w:color w:val="auto"/>
                <w:kern w:val="0"/>
                <w:sz w:val="24"/>
                <w:szCs w:val="24"/>
                <w:highlight w:val="none"/>
              </w:rPr>
              <w:t>的经济标文件或报价书等进行分析和汇总，提出造价控制建议。</w:t>
            </w:r>
          </w:p>
        </w:tc>
      </w:tr>
      <w:tr w14:paraId="041A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67" w:type="dxa"/>
            <w:vMerge w:val="continue"/>
            <w:shd w:val="clear" w:color="auto" w:fill="auto"/>
            <w:vAlign w:val="center"/>
          </w:tcPr>
          <w:p w14:paraId="3DA94EDB">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5377E5D3">
            <w:pPr>
              <w:widowControl/>
              <w:jc w:val="left"/>
              <w:rPr>
                <w:rFonts w:ascii="宋体" w:hAnsi="宋体" w:cs="宋体"/>
                <w:color w:val="auto"/>
                <w:kern w:val="0"/>
                <w:sz w:val="24"/>
                <w:szCs w:val="24"/>
                <w:highlight w:val="none"/>
              </w:rPr>
            </w:pPr>
          </w:p>
        </w:tc>
        <w:tc>
          <w:tcPr>
            <w:tcW w:w="7659" w:type="dxa"/>
            <w:shd w:val="clear" w:color="000000" w:fill="FFFFFF"/>
            <w:vAlign w:val="center"/>
          </w:tcPr>
          <w:p w14:paraId="518D7926">
            <w:pPr>
              <w:widowControl/>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（5）负责对合同方式和可能存在的风险因素及解决办法等提出合理化建议，以供甲方参考。</w:t>
            </w:r>
          </w:p>
        </w:tc>
      </w:tr>
      <w:tr w14:paraId="61A0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7" w:type="dxa"/>
            <w:vMerge w:val="restart"/>
            <w:shd w:val="clear" w:color="000000" w:fill="FFFFFF"/>
            <w:vAlign w:val="center"/>
          </w:tcPr>
          <w:p w14:paraId="2D935F8B">
            <w:pPr>
              <w:widowControl/>
              <w:ind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709" w:type="dxa"/>
            <w:vMerge w:val="restart"/>
            <w:shd w:val="clear" w:color="000000" w:fill="FFFFFF"/>
            <w:vAlign w:val="center"/>
          </w:tcPr>
          <w:p w14:paraId="0F4E42C0">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施工阶段</w:t>
            </w:r>
          </w:p>
        </w:tc>
        <w:tc>
          <w:tcPr>
            <w:tcW w:w="7659" w:type="dxa"/>
            <w:shd w:val="clear" w:color="000000" w:fill="FFFFFF"/>
            <w:vAlign w:val="center"/>
          </w:tcPr>
          <w:p w14:paraId="21FAE882">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（1）负责主材单价、综合单价、变更签证等合同变更费用审核；检测监测费用编制或审核；图纸设计变更会签、材料设备看样定板会签。</w:t>
            </w:r>
          </w:p>
        </w:tc>
      </w:tr>
      <w:tr w14:paraId="608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7" w:type="dxa"/>
            <w:vMerge w:val="continue"/>
            <w:shd w:val="clear" w:color="auto" w:fill="auto"/>
            <w:vAlign w:val="center"/>
          </w:tcPr>
          <w:p w14:paraId="4BEE0756">
            <w:pPr>
              <w:widowControl/>
              <w:jc w:val="center"/>
              <w:rPr>
                <w:rFonts w:ascii="宋体" w:hAnsi="宋体" w:cs="宋体"/>
                <w:color w:val="auto"/>
                <w:kern w:val="0"/>
                <w:sz w:val="24"/>
                <w:szCs w:val="24"/>
                <w:highlight w:val="none"/>
              </w:rPr>
            </w:pPr>
          </w:p>
        </w:tc>
        <w:tc>
          <w:tcPr>
            <w:tcW w:w="709" w:type="dxa"/>
            <w:vMerge w:val="continue"/>
            <w:shd w:val="clear" w:color="auto" w:fill="auto"/>
            <w:vAlign w:val="center"/>
          </w:tcPr>
          <w:p w14:paraId="06358A06">
            <w:pPr>
              <w:widowControl/>
              <w:jc w:val="left"/>
              <w:rPr>
                <w:rFonts w:ascii="宋体" w:hAnsi="宋体" w:cs="宋体"/>
                <w:color w:val="auto"/>
                <w:kern w:val="0"/>
                <w:sz w:val="24"/>
                <w:szCs w:val="24"/>
                <w:highlight w:val="none"/>
              </w:rPr>
            </w:pPr>
          </w:p>
        </w:tc>
        <w:tc>
          <w:tcPr>
            <w:tcW w:w="7659" w:type="dxa"/>
            <w:shd w:val="clear" w:color="000000" w:fill="FFFFFF"/>
            <w:vAlign w:val="center"/>
          </w:tcPr>
          <w:p w14:paraId="4FE79AE8">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（2）负责施工过程造价控制（含编制方案及实施计划），审核工程量与进度款。</w:t>
            </w:r>
          </w:p>
        </w:tc>
      </w:tr>
      <w:tr w14:paraId="2CC7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67" w:type="dxa"/>
            <w:vMerge w:val="continue"/>
            <w:shd w:val="clear" w:color="auto" w:fill="auto"/>
            <w:vAlign w:val="center"/>
          </w:tcPr>
          <w:p w14:paraId="1D06B3FC">
            <w:pPr>
              <w:widowControl/>
              <w:jc w:val="center"/>
              <w:rPr>
                <w:rFonts w:ascii="宋体" w:hAnsi="宋体" w:cs="宋体"/>
                <w:color w:val="auto"/>
                <w:kern w:val="0"/>
                <w:sz w:val="24"/>
                <w:szCs w:val="24"/>
                <w:highlight w:val="none"/>
              </w:rPr>
            </w:pPr>
          </w:p>
        </w:tc>
        <w:tc>
          <w:tcPr>
            <w:tcW w:w="709" w:type="dxa"/>
            <w:vMerge w:val="continue"/>
            <w:shd w:val="clear" w:color="auto" w:fill="auto"/>
            <w:vAlign w:val="center"/>
          </w:tcPr>
          <w:p w14:paraId="464A2EB0">
            <w:pPr>
              <w:widowControl/>
              <w:jc w:val="left"/>
              <w:rPr>
                <w:rFonts w:ascii="宋体" w:hAnsi="宋体" w:cs="宋体"/>
                <w:color w:val="auto"/>
                <w:kern w:val="0"/>
                <w:sz w:val="24"/>
                <w:szCs w:val="24"/>
                <w:highlight w:val="none"/>
              </w:rPr>
            </w:pPr>
          </w:p>
        </w:tc>
        <w:tc>
          <w:tcPr>
            <w:tcW w:w="7659" w:type="dxa"/>
            <w:shd w:val="clear" w:color="000000" w:fill="FFFFFF"/>
            <w:vAlign w:val="center"/>
          </w:tcPr>
          <w:p w14:paraId="425F3A1F">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）负责建立合同台账、支付台账、变更台账（按变更原因分类）、签证台账、动态</w:t>
            </w:r>
            <w:r>
              <w:rPr>
                <w:rFonts w:hint="eastAsia" w:ascii="宋体" w:hAnsi="宋体" w:cs="宋体"/>
                <w:color w:val="auto"/>
                <w:kern w:val="0"/>
                <w:sz w:val="24"/>
                <w:szCs w:val="24"/>
                <w:highlight w:val="none"/>
                <w:lang w:val="en-US" w:eastAsia="zh-CN"/>
              </w:rPr>
              <w:t>成本</w:t>
            </w:r>
            <w:r>
              <w:rPr>
                <w:rFonts w:hint="eastAsia" w:ascii="宋体" w:hAnsi="宋体" w:cs="宋体"/>
                <w:color w:val="auto"/>
                <w:kern w:val="0"/>
                <w:sz w:val="24"/>
                <w:szCs w:val="24"/>
                <w:highlight w:val="none"/>
              </w:rPr>
              <w:t>台账；负责按要求提交</w:t>
            </w:r>
            <w:r>
              <w:rPr>
                <w:rFonts w:hint="eastAsia" w:ascii="宋体" w:hAnsi="宋体" w:cs="宋体"/>
                <w:color w:val="auto"/>
                <w:kern w:val="0"/>
                <w:sz w:val="24"/>
                <w:szCs w:val="24"/>
                <w:highlight w:val="none"/>
                <w:lang w:val="en-US" w:eastAsia="zh-CN"/>
              </w:rPr>
              <w:t>成本</w:t>
            </w:r>
            <w:r>
              <w:rPr>
                <w:rFonts w:hint="eastAsia" w:ascii="宋体" w:hAnsi="宋体" w:cs="宋体"/>
                <w:color w:val="auto"/>
                <w:kern w:val="0"/>
                <w:sz w:val="24"/>
                <w:szCs w:val="24"/>
                <w:highlight w:val="none"/>
              </w:rPr>
              <w:t>控制报告，含项目整体结算价预估分析、动态成本（须与</w:t>
            </w:r>
            <w:r>
              <w:rPr>
                <w:rFonts w:hint="eastAsia" w:ascii="宋体" w:hAnsi="宋体" w:cs="宋体"/>
                <w:color w:val="auto"/>
                <w:kern w:val="0"/>
                <w:sz w:val="24"/>
                <w:szCs w:val="24"/>
                <w:highlight w:val="none"/>
                <w:lang w:val="en-US" w:eastAsia="zh-CN"/>
              </w:rPr>
              <w:t>批复概算</w:t>
            </w:r>
            <w:r>
              <w:rPr>
                <w:rFonts w:hint="eastAsia" w:ascii="宋体" w:hAnsi="宋体" w:cs="宋体"/>
                <w:color w:val="auto"/>
                <w:kern w:val="0"/>
                <w:sz w:val="24"/>
                <w:szCs w:val="24"/>
                <w:highlight w:val="none"/>
              </w:rPr>
              <w:t>对比分析偏差原因及解决方案建议）等。</w:t>
            </w:r>
          </w:p>
        </w:tc>
      </w:tr>
      <w:tr w14:paraId="03CF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7" w:type="dxa"/>
            <w:vMerge w:val="continue"/>
            <w:shd w:val="clear" w:color="auto" w:fill="auto"/>
            <w:vAlign w:val="center"/>
          </w:tcPr>
          <w:p w14:paraId="06968F72">
            <w:pPr>
              <w:widowControl/>
              <w:jc w:val="center"/>
              <w:rPr>
                <w:rFonts w:ascii="宋体" w:hAnsi="宋体" w:cs="宋体"/>
                <w:color w:val="auto"/>
                <w:kern w:val="0"/>
                <w:sz w:val="24"/>
                <w:szCs w:val="24"/>
                <w:highlight w:val="none"/>
              </w:rPr>
            </w:pPr>
          </w:p>
        </w:tc>
        <w:tc>
          <w:tcPr>
            <w:tcW w:w="709" w:type="dxa"/>
            <w:vMerge w:val="continue"/>
            <w:shd w:val="clear" w:color="auto" w:fill="auto"/>
            <w:vAlign w:val="center"/>
          </w:tcPr>
          <w:p w14:paraId="60E68CC4">
            <w:pPr>
              <w:widowControl/>
              <w:jc w:val="left"/>
              <w:rPr>
                <w:rFonts w:ascii="宋体" w:hAnsi="宋体" w:cs="宋体"/>
                <w:color w:val="auto"/>
                <w:kern w:val="0"/>
                <w:sz w:val="24"/>
                <w:szCs w:val="24"/>
                <w:highlight w:val="none"/>
              </w:rPr>
            </w:pPr>
          </w:p>
        </w:tc>
        <w:tc>
          <w:tcPr>
            <w:tcW w:w="7659" w:type="dxa"/>
            <w:shd w:val="clear" w:color="000000" w:fill="FFFFFF"/>
            <w:vAlign w:val="center"/>
          </w:tcPr>
          <w:p w14:paraId="27F6ED95">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）负责定期收集和整理有关设备材料的市场价格动态信息，对施工方案、材料选用提供成本控制建议。按要求提交人工机械主材设备价格造价影响分析。</w:t>
            </w:r>
          </w:p>
        </w:tc>
      </w:tr>
      <w:tr w14:paraId="1E95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67" w:type="dxa"/>
            <w:vMerge w:val="continue"/>
            <w:tcBorders>
              <w:bottom w:val="single" w:color="auto" w:sz="4" w:space="0"/>
            </w:tcBorders>
            <w:shd w:val="clear" w:color="auto" w:fill="auto"/>
            <w:vAlign w:val="center"/>
          </w:tcPr>
          <w:p w14:paraId="6353D827">
            <w:pPr>
              <w:widowControl/>
              <w:jc w:val="center"/>
              <w:rPr>
                <w:rFonts w:ascii="宋体" w:hAnsi="宋体" w:cs="宋体"/>
                <w:color w:val="auto"/>
                <w:kern w:val="0"/>
                <w:sz w:val="24"/>
                <w:szCs w:val="24"/>
                <w:highlight w:val="none"/>
              </w:rPr>
            </w:pPr>
          </w:p>
        </w:tc>
        <w:tc>
          <w:tcPr>
            <w:tcW w:w="709" w:type="dxa"/>
            <w:vMerge w:val="continue"/>
            <w:tcBorders>
              <w:bottom w:val="single" w:color="auto" w:sz="4" w:space="0"/>
            </w:tcBorders>
            <w:shd w:val="clear" w:color="auto" w:fill="auto"/>
            <w:vAlign w:val="center"/>
          </w:tcPr>
          <w:p w14:paraId="6BF07AAC">
            <w:pPr>
              <w:widowControl/>
              <w:jc w:val="left"/>
              <w:rPr>
                <w:rFonts w:ascii="宋体" w:hAnsi="宋体" w:cs="宋体"/>
                <w:color w:val="auto"/>
                <w:kern w:val="0"/>
                <w:sz w:val="24"/>
                <w:szCs w:val="24"/>
                <w:highlight w:val="none"/>
              </w:rPr>
            </w:pPr>
          </w:p>
        </w:tc>
        <w:tc>
          <w:tcPr>
            <w:tcW w:w="7659" w:type="dxa"/>
            <w:tcBorders>
              <w:bottom w:val="single" w:color="auto" w:sz="4" w:space="0"/>
            </w:tcBorders>
            <w:shd w:val="clear" w:color="000000" w:fill="FFFFFF"/>
            <w:vAlign w:val="center"/>
          </w:tcPr>
          <w:p w14:paraId="1FE99755">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）负责协助第三方的合同索赔处理，参加合同变更谈判、处理合同变更，维护甲方的合法权益。</w:t>
            </w:r>
          </w:p>
        </w:tc>
      </w:tr>
      <w:tr w14:paraId="6B24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shd w:val="clear" w:color="000000" w:fill="FFFFFF"/>
            <w:vAlign w:val="center"/>
          </w:tcPr>
          <w:p w14:paraId="70A8C999">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709" w:type="dxa"/>
            <w:vMerge w:val="restart"/>
            <w:shd w:val="clear" w:color="000000" w:fill="FFFFFF"/>
            <w:vAlign w:val="center"/>
          </w:tcPr>
          <w:p w14:paraId="3FC9E52E">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结算阶段</w:t>
            </w:r>
          </w:p>
        </w:tc>
        <w:tc>
          <w:tcPr>
            <w:tcW w:w="7659" w:type="dxa"/>
            <w:shd w:val="clear" w:color="000000" w:fill="FFFFFF"/>
            <w:vAlign w:val="center"/>
          </w:tcPr>
          <w:p w14:paraId="076D9432">
            <w:pPr>
              <w:widowControl/>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（1）负责编制结算计划，建立结算台账</w:t>
            </w:r>
            <w:r>
              <w:rPr>
                <w:rFonts w:hint="eastAsia" w:ascii="宋体" w:hAnsi="宋体" w:cs="宋体"/>
                <w:color w:val="auto"/>
                <w:kern w:val="0"/>
                <w:sz w:val="24"/>
                <w:szCs w:val="24"/>
                <w:highlight w:val="none"/>
                <w:lang w:eastAsia="zh-CN"/>
              </w:rPr>
              <w:t>。</w:t>
            </w:r>
          </w:p>
        </w:tc>
      </w:tr>
      <w:tr w14:paraId="3AC1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shd w:val="clear" w:color="auto" w:fill="auto"/>
            <w:vAlign w:val="center"/>
          </w:tcPr>
          <w:p w14:paraId="2E2ABCE1">
            <w:pPr>
              <w:widowControl/>
              <w:jc w:val="center"/>
              <w:rPr>
                <w:rFonts w:ascii="宋体" w:hAnsi="宋体" w:cs="宋体"/>
                <w:color w:val="auto"/>
                <w:kern w:val="0"/>
                <w:sz w:val="24"/>
                <w:szCs w:val="24"/>
                <w:highlight w:val="none"/>
              </w:rPr>
            </w:pPr>
          </w:p>
        </w:tc>
        <w:tc>
          <w:tcPr>
            <w:tcW w:w="709" w:type="dxa"/>
            <w:vMerge w:val="continue"/>
            <w:shd w:val="clear" w:color="auto" w:fill="auto"/>
            <w:vAlign w:val="center"/>
          </w:tcPr>
          <w:p w14:paraId="1E44D2A0">
            <w:pPr>
              <w:widowControl/>
              <w:jc w:val="left"/>
              <w:rPr>
                <w:rFonts w:ascii="宋体" w:hAnsi="宋体" w:cs="宋体"/>
                <w:color w:val="auto"/>
                <w:kern w:val="0"/>
                <w:sz w:val="24"/>
                <w:szCs w:val="24"/>
                <w:highlight w:val="none"/>
              </w:rPr>
            </w:pPr>
          </w:p>
        </w:tc>
        <w:tc>
          <w:tcPr>
            <w:tcW w:w="7659" w:type="dxa"/>
            <w:shd w:val="clear" w:color="000000" w:fill="FFFFFF"/>
            <w:vAlign w:val="center"/>
          </w:tcPr>
          <w:p w14:paraId="475BBDB7">
            <w:pPr>
              <w:widowControl/>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）负责审核各类合同结算</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并出具结算审核报告</w:t>
            </w:r>
            <w:r>
              <w:rPr>
                <w:rFonts w:hint="eastAsia" w:ascii="宋体" w:hAnsi="宋体" w:cs="宋体"/>
                <w:color w:val="auto"/>
                <w:kern w:val="0"/>
                <w:sz w:val="24"/>
                <w:szCs w:val="24"/>
                <w:highlight w:val="none"/>
                <w:lang w:eastAsia="zh-CN"/>
              </w:rPr>
              <w:t>。</w:t>
            </w:r>
          </w:p>
        </w:tc>
      </w:tr>
      <w:tr w14:paraId="4812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7" w:type="dxa"/>
            <w:vMerge w:val="continue"/>
            <w:shd w:val="clear" w:color="auto" w:fill="auto"/>
            <w:vAlign w:val="center"/>
          </w:tcPr>
          <w:p w14:paraId="3B5B7176">
            <w:pPr>
              <w:widowControl/>
              <w:jc w:val="center"/>
              <w:rPr>
                <w:rFonts w:ascii="宋体" w:hAnsi="宋体" w:cs="宋体"/>
                <w:color w:val="auto"/>
                <w:kern w:val="0"/>
                <w:sz w:val="24"/>
                <w:szCs w:val="24"/>
                <w:highlight w:val="none"/>
              </w:rPr>
            </w:pPr>
          </w:p>
        </w:tc>
        <w:tc>
          <w:tcPr>
            <w:tcW w:w="709" w:type="dxa"/>
            <w:vMerge w:val="continue"/>
            <w:shd w:val="clear" w:color="auto" w:fill="auto"/>
            <w:vAlign w:val="center"/>
          </w:tcPr>
          <w:p w14:paraId="412306D1">
            <w:pPr>
              <w:widowControl/>
              <w:jc w:val="left"/>
              <w:rPr>
                <w:rFonts w:ascii="宋体" w:hAnsi="宋体" w:cs="宋体"/>
                <w:color w:val="auto"/>
                <w:kern w:val="0"/>
                <w:sz w:val="24"/>
                <w:szCs w:val="24"/>
                <w:highlight w:val="none"/>
              </w:rPr>
            </w:pPr>
          </w:p>
        </w:tc>
        <w:tc>
          <w:tcPr>
            <w:tcW w:w="7659" w:type="dxa"/>
            <w:shd w:val="clear" w:color="000000" w:fill="FFFFFF"/>
            <w:vAlign w:val="center"/>
          </w:tcPr>
          <w:p w14:paraId="58C6FAD1">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）配合结算评审工作。</w:t>
            </w:r>
          </w:p>
        </w:tc>
      </w:tr>
      <w:tr w14:paraId="6611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67" w:type="dxa"/>
            <w:vMerge w:val="restart"/>
            <w:shd w:val="clear" w:color="000000" w:fill="FFFFFF"/>
            <w:vAlign w:val="center"/>
          </w:tcPr>
          <w:p w14:paraId="7A206949">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709" w:type="dxa"/>
            <w:vMerge w:val="restart"/>
            <w:shd w:val="clear" w:color="000000" w:fill="FFFFFF"/>
            <w:vAlign w:val="center"/>
          </w:tcPr>
          <w:p w14:paraId="5C2C70FD">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7659" w:type="dxa"/>
            <w:shd w:val="clear" w:color="000000" w:fill="FFFFFF"/>
            <w:vAlign w:val="center"/>
          </w:tcPr>
          <w:p w14:paraId="430EA1F3">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（1）负责按甲方要求编制各类造价管理文件</w:t>
            </w:r>
            <w:r>
              <w:rPr>
                <w:rFonts w:hint="eastAsia" w:ascii="宋体" w:hAnsi="宋体" w:cs="宋体"/>
                <w:color w:val="auto"/>
                <w:kern w:val="0"/>
                <w:sz w:val="24"/>
                <w:szCs w:val="24"/>
                <w:highlight w:val="none"/>
                <w:lang w:eastAsia="zh-CN"/>
              </w:rPr>
              <w:t>。</w:t>
            </w:r>
          </w:p>
        </w:tc>
      </w:tr>
      <w:tr w14:paraId="49E0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7" w:type="dxa"/>
            <w:vMerge w:val="continue"/>
            <w:shd w:val="clear" w:color="auto" w:fill="auto"/>
            <w:vAlign w:val="center"/>
          </w:tcPr>
          <w:p w14:paraId="0DB61B5A">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2430FF3F">
            <w:pPr>
              <w:widowControl/>
              <w:jc w:val="left"/>
              <w:rPr>
                <w:rFonts w:ascii="宋体" w:hAnsi="宋体" w:cs="宋体"/>
                <w:color w:val="auto"/>
                <w:kern w:val="0"/>
                <w:sz w:val="24"/>
                <w:szCs w:val="24"/>
                <w:highlight w:val="none"/>
              </w:rPr>
            </w:pPr>
          </w:p>
        </w:tc>
        <w:tc>
          <w:tcPr>
            <w:tcW w:w="7659" w:type="dxa"/>
            <w:shd w:val="clear" w:color="000000" w:fill="FFFFFF"/>
            <w:vAlign w:val="center"/>
          </w:tcPr>
          <w:p w14:paraId="2C430E7D">
            <w:pPr>
              <w:widowControl/>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（2）负责</w:t>
            </w:r>
            <w:r>
              <w:rPr>
                <w:rFonts w:hint="eastAsia" w:ascii="宋体" w:hAnsi="宋体" w:cs="宋体"/>
                <w:color w:val="auto"/>
                <w:kern w:val="0"/>
                <w:sz w:val="24"/>
                <w:szCs w:val="24"/>
                <w:highlight w:val="none"/>
                <w:lang w:val="en-US" w:eastAsia="zh-CN"/>
              </w:rPr>
              <w:t>根据甲方要求完成本项目其他</w:t>
            </w:r>
            <w:r>
              <w:rPr>
                <w:rFonts w:hint="eastAsia" w:ascii="宋体" w:hAnsi="宋体" w:cs="宋体"/>
                <w:color w:val="auto"/>
                <w:kern w:val="0"/>
                <w:sz w:val="24"/>
                <w:szCs w:val="24"/>
                <w:highlight w:val="none"/>
              </w:rPr>
              <w:t>委托</w:t>
            </w:r>
            <w:r>
              <w:rPr>
                <w:rFonts w:hint="eastAsia" w:ascii="宋体" w:hAnsi="宋体" w:cs="宋体"/>
                <w:color w:val="auto"/>
                <w:kern w:val="0"/>
                <w:sz w:val="24"/>
                <w:szCs w:val="24"/>
                <w:highlight w:val="none"/>
                <w:lang w:val="en-US" w:eastAsia="zh-CN"/>
              </w:rPr>
              <w:t>事项</w:t>
            </w:r>
            <w:r>
              <w:rPr>
                <w:rFonts w:hint="eastAsia" w:ascii="宋体" w:hAnsi="宋体" w:cs="宋体"/>
                <w:color w:val="auto"/>
                <w:kern w:val="0"/>
                <w:sz w:val="24"/>
                <w:szCs w:val="24"/>
                <w:highlight w:val="none"/>
              </w:rPr>
              <w:t>的价格审核</w:t>
            </w:r>
            <w:r>
              <w:rPr>
                <w:rFonts w:hint="eastAsia" w:ascii="宋体" w:hAnsi="宋体" w:cs="宋体"/>
                <w:color w:val="auto"/>
                <w:kern w:val="0"/>
                <w:sz w:val="24"/>
                <w:szCs w:val="24"/>
                <w:highlight w:val="none"/>
                <w:lang w:eastAsia="zh-CN"/>
              </w:rPr>
              <w:t>。</w:t>
            </w:r>
          </w:p>
        </w:tc>
      </w:tr>
      <w:tr w14:paraId="53B0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7" w:type="dxa"/>
            <w:vMerge w:val="continue"/>
            <w:shd w:val="clear" w:color="auto" w:fill="auto"/>
            <w:vAlign w:val="center"/>
          </w:tcPr>
          <w:p w14:paraId="728A3E84">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530BFFE0">
            <w:pPr>
              <w:widowControl/>
              <w:jc w:val="left"/>
              <w:rPr>
                <w:rFonts w:ascii="宋体" w:hAnsi="宋体" w:cs="宋体"/>
                <w:color w:val="auto"/>
                <w:kern w:val="0"/>
                <w:sz w:val="24"/>
                <w:szCs w:val="24"/>
                <w:highlight w:val="none"/>
              </w:rPr>
            </w:pPr>
          </w:p>
        </w:tc>
        <w:tc>
          <w:tcPr>
            <w:tcW w:w="7659" w:type="dxa"/>
            <w:shd w:val="clear" w:color="000000" w:fill="FFFFFF"/>
            <w:vAlign w:val="center"/>
          </w:tcPr>
          <w:p w14:paraId="6148C900">
            <w:pPr>
              <w:widowControl/>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（3）参与设计方案论证会议、技术经济方案比选、工程图纸会审</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变更论证等专题会，提出造价专业意见；督促落实各阶段、各专业工程造价限额设计量化指标</w:t>
            </w:r>
            <w:r>
              <w:rPr>
                <w:rFonts w:hint="eastAsia" w:ascii="宋体" w:hAnsi="宋体" w:cs="宋体"/>
                <w:color w:val="auto"/>
                <w:kern w:val="0"/>
                <w:sz w:val="24"/>
                <w:szCs w:val="24"/>
                <w:highlight w:val="none"/>
                <w:lang w:eastAsia="zh-CN"/>
              </w:rPr>
              <w:t>。</w:t>
            </w:r>
          </w:p>
        </w:tc>
      </w:tr>
      <w:tr w14:paraId="248C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7" w:type="dxa"/>
            <w:vMerge w:val="continue"/>
            <w:shd w:val="clear" w:color="auto" w:fill="auto"/>
            <w:vAlign w:val="center"/>
          </w:tcPr>
          <w:p w14:paraId="5B88E87E">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6A79F685">
            <w:pPr>
              <w:widowControl/>
              <w:jc w:val="left"/>
              <w:rPr>
                <w:rFonts w:ascii="宋体" w:hAnsi="宋体" w:cs="宋体"/>
                <w:color w:val="auto"/>
                <w:kern w:val="0"/>
                <w:sz w:val="24"/>
                <w:szCs w:val="24"/>
                <w:highlight w:val="none"/>
              </w:rPr>
            </w:pPr>
          </w:p>
        </w:tc>
        <w:tc>
          <w:tcPr>
            <w:tcW w:w="7659" w:type="dxa"/>
            <w:shd w:val="clear" w:color="000000" w:fill="FFFFFF"/>
            <w:vAlign w:val="center"/>
          </w:tcPr>
          <w:p w14:paraId="4830E603">
            <w:pPr>
              <w:widowControl/>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en-US" w:eastAsia="zh-CN"/>
              </w:rPr>
              <w:t>根据甲方需求</w:t>
            </w:r>
            <w:r>
              <w:rPr>
                <w:rFonts w:hint="eastAsia" w:ascii="宋体" w:hAnsi="宋体" w:cs="宋体"/>
                <w:color w:val="auto"/>
                <w:kern w:val="0"/>
                <w:sz w:val="24"/>
                <w:szCs w:val="24"/>
                <w:highlight w:val="none"/>
              </w:rPr>
              <w:t>负责组织相关造价控制评审会议，包括邀请相应的经济专家，视情况邀请高级经济顾问对造价问题进行咨询把关</w:t>
            </w:r>
            <w:r>
              <w:rPr>
                <w:rFonts w:hint="eastAsia" w:ascii="宋体" w:hAnsi="宋体" w:cs="宋体"/>
                <w:color w:val="auto"/>
                <w:kern w:val="0"/>
                <w:sz w:val="24"/>
                <w:szCs w:val="24"/>
                <w:highlight w:val="none"/>
                <w:lang w:eastAsia="zh-CN"/>
              </w:rPr>
              <w:t>。</w:t>
            </w:r>
          </w:p>
        </w:tc>
      </w:tr>
      <w:tr w14:paraId="71E9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7" w:type="dxa"/>
            <w:vMerge w:val="continue"/>
            <w:shd w:val="clear" w:color="auto" w:fill="auto"/>
            <w:vAlign w:val="center"/>
          </w:tcPr>
          <w:p w14:paraId="70BBD2AA">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700669D5">
            <w:pPr>
              <w:widowControl/>
              <w:jc w:val="left"/>
              <w:rPr>
                <w:rFonts w:ascii="宋体" w:hAnsi="宋体" w:cs="宋体"/>
                <w:color w:val="auto"/>
                <w:kern w:val="0"/>
                <w:sz w:val="24"/>
                <w:szCs w:val="24"/>
                <w:highlight w:val="none"/>
              </w:rPr>
            </w:pPr>
          </w:p>
        </w:tc>
        <w:tc>
          <w:tcPr>
            <w:tcW w:w="7659" w:type="dxa"/>
            <w:shd w:val="clear" w:color="000000" w:fill="FFFFFF"/>
            <w:vAlign w:val="center"/>
          </w:tcPr>
          <w:p w14:paraId="5D956C19">
            <w:pPr>
              <w:widowControl/>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（5）配合甲方编制详细的工程成本预测，以作为进度和成本控制的目标；随设计的深入分析工程成本</w:t>
            </w:r>
            <w:r>
              <w:rPr>
                <w:rFonts w:hint="eastAsia" w:ascii="宋体" w:hAnsi="宋体" w:cs="宋体"/>
                <w:color w:val="auto"/>
                <w:kern w:val="0"/>
                <w:sz w:val="24"/>
                <w:szCs w:val="24"/>
                <w:highlight w:val="none"/>
                <w:lang w:eastAsia="zh-CN"/>
              </w:rPr>
              <w:t>。</w:t>
            </w:r>
          </w:p>
        </w:tc>
      </w:tr>
      <w:tr w14:paraId="0E76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7" w:type="dxa"/>
            <w:vMerge w:val="continue"/>
            <w:shd w:val="clear" w:color="auto" w:fill="auto"/>
            <w:vAlign w:val="center"/>
          </w:tcPr>
          <w:p w14:paraId="7CB9EA2A">
            <w:pPr>
              <w:widowControl/>
              <w:jc w:val="left"/>
              <w:rPr>
                <w:rFonts w:ascii="宋体" w:hAnsi="宋体" w:cs="宋体"/>
                <w:color w:val="auto"/>
                <w:kern w:val="0"/>
                <w:sz w:val="24"/>
                <w:szCs w:val="24"/>
                <w:highlight w:val="none"/>
              </w:rPr>
            </w:pPr>
          </w:p>
        </w:tc>
        <w:tc>
          <w:tcPr>
            <w:tcW w:w="709" w:type="dxa"/>
            <w:vMerge w:val="continue"/>
            <w:shd w:val="clear" w:color="auto" w:fill="auto"/>
            <w:vAlign w:val="center"/>
          </w:tcPr>
          <w:p w14:paraId="5E9F6078">
            <w:pPr>
              <w:widowControl/>
              <w:jc w:val="left"/>
              <w:rPr>
                <w:rFonts w:ascii="宋体" w:hAnsi="宋体" w:cs="宋体"/>
                <w:color w:val="auto"/>
                <w:kern w:val="0"/>
                <w:sz w:val="24"/>
                <w:szCs w:val="24"/>
                <w:highlight w:val="none"/>
              </w:rPr>
            </w:pPr>
          </w:p>
        </w:tc>
        <w:tc>
          <w:tcPr>
            <w:tcW w:w="7659" w:type="dxa"/>
            <w:shd w:val="clear" w:color="000000" w:fill="FFFFFF"/>
            <w:vAlign w:val="center"/>
          </w:tcPr>
          <w:p w14:paraId="71F9CCE5">
            <w:pPr>
              <w:widowControl/>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（6）甲方安排的其他造价管理工作。</w:t>
            </w:r>
          </w:p>
        </w:tc>
      </w:tr>
    </w:tbl>
    <w:p w14:paraId="3C28E132">
      <w:pPr>
        <w:pStyle w:val="32"/>
        <w:widowControl/>
        <w:numPr>
          <w:ilvl w:val="0"/>
          <w:numId w:val="1"/>
        </w:numPr>
        <w:tabs>
          <w:tab w:val="left" w:pos="709"/>
        </w:tabs>
        <w:adjustRightInd w:val="0"/>
        <w:snapToGrid w:val="0"/>
        <w:spacing w:before="312" w:beforeLines="100" w:after="312" w:afterLines="100" w:line="360" w:lineRule="auto"/>
        <w:ind w:left="776" w:hanging="776" w:hangingChars="322"/>
        <w:jc w:val="left"/>
        <w:rPr>
          <w:rFonts w:ascii="宋体" w:hAnsi="宋体"/>
          <w:color w:val="auto"/>
          <w:kern w:val="0"/>
          <w:sz w:val="24"/>
          <w:szCs w:val="24"/>
          <w:highlight w:val="none"/>
        </w:rPr>
      </w:pPr>
      <w:r>
        <w:rPr>
          <w:rFonts w:hint="eastAsia" w:ascii="宋体" w:hAnsi="宋体"/>
          <w:b/>
          <w:color w:val="auto"/>
          <w:kern w:val="0"/>
          <w:sz w:val="24"/>
          <w:szCs w:val="24"/>
          <w:highlight w:val="none"/>
        </w:rPr>
        <w:t>服务期限</w:t>
      </w:r>
    </w:p>
    <w:p w14:paraId="635D1E60">
      <w:pPr>
        <w:pStyle w:val="32"/>
        <w:widowControl/>
        <w:adjustRightInd w:val="0"/>
        <w:snapToGrid w:val="0"/>
        <w:spacing w:before="312" w:beforeLines="100" w:after="312" w:afterLines="100" w:line="360" w:lineRule="auto"/>
        <w:ind w:firstLine="705" w:firstLineChars="294"/>
        <w:jc w:val="left"/>
        <w:rPr>
          <w:rFonts w:hint="eastAsia" w:ascii="宋体" w:hAnsi="宋体"/>
          <w:bCs/>
          <w:color w:val="auto"/>
          <w:sz w:val="24"/>
          <w:szCs w:val="24"/>
          <w:highlight w:val="none"/>
        </w:rPr>
      </w:pPr>
      <w:r>
        <w:rPr>
          <w:rFonts w:hint="eastAsia" w:ascii="宋体" w:hAnsi="宋体"/>
          <w:bCs/>
          <w:color w:val="auto"/>
          <w:sz w:val="24"/>
          <w:szCs w:val="24"/>
          <w:highlight w:val="none"/>
        </w:rPr>
        <w:t>本合同服务期限自本</w:t>
      </w:r>
      <w:r>
        <w:rPr>
          <w:rFonts w:ascii="宋体" w:hAnsi="宋体"/>
          <w:bCs/>
          <w:color w:val="auto"/>
          <w:sz w:val="24"/>
          <w:szCs w:val="24"/>
          <w:highlight w:val="none"/>
        </w:rPr>
        <w:t>合同</w:t>
      </w:r>
      <w:r>
        <w:rPr>
          <w:rFonts w:hint="eastAsia" w:ascii="宋体" w:hAnsi="宋体"/>
          <w:bCs/>
          <w:color w:val="auto"/>
          <w:sz w:val="24"/>
          <w:szCs w:val="24"/>
          <w:highlight w:val="none"/>
          <w:lang w:val="en-US" w:eastAsia="zh-CN"/>
        </w:rPr>
        <w:t>经双方签订</w:t>
      </w:r>
      <w:r>
        <w:rPr>
          <w:rFonts w:ascii="宋体" w:hAnsi="宋体"/>
          <w:bCs/>
          <w:color w:val="auto"/>
          <w:sz w:val="24"/>
          <w:szCs w:val="24"/>
          <w:highlight w:val="none"/>
        </w:rPr>
        <w:t>生效</w:t>
      </w:r>
      <w:r>
        <w:rPr>
          <w:rFonts w:hint="eastAsia" w:ascii="宋体" w:hAnsi="宋体"/>
          <w:bCs/>
          <w:color w:val="auto"/>
          <w:sz w:val="24"/>
          <w:szCs w:val="24"/>
          <w:highlight w:val="none"/>
        </w:rPr>
        <w:t>之日起至本合同约定</w:t>
      </w:r>
      <w:r>
        <w:rPr>
          <w:rFonts w:hint="eastAsia" w:ascii="宋体" w:hAnsi="宋体"/>
          <w:bCs/>
          <w:color w:val="auto"/>
          <w:sz w:val="24"/>
          <w:szCs w:val="24"/>
          <w:highlight w:val="none"/>
          <w:lang w:val="en-US" w:eastAsia="zh-CN"/>
        </w:rPr>
        <w:t>工程</w:t>
      </w:r>
      <w:r>
        <w:rPr>
          <w:rFonts w:hint="eastAsia" w:ascii="宋体" w:hAnsi="宋体"/>
          <w:bCs/>
          <w:color w:val="auto"/>
          <w:sz w:val="24"/>
          <w:szCs w:val="24"/>
          <w:highlight w:val="none"/>
        </w:rPr>
        <w:t>造价咨询服务内容全部完成</w:t>
      </w:r>
      <w:r>
        <w:rPr>
          <w:rFonts w:hint="eastAsia" w:ascii="宋体" w:hAnsi="宋体"/>
          <w:bCs/>
          <w:color w:val="auto"/>
          <w:sz w:val="24"/>
          <w:szCs w:val="24"/>
          <w:highlight w:val="none"/>
          <w:lang w:val="en-US" w:eastAsia="zh-CN"/>
        </w:rPr>
        <w:t>之日</w:t>
      </w:r>
      <w:r>
        <w:rPr>
          <w:rFonts w:hint="eastAsia" w:ascii="宋体" w:hAnsi="宋体"/>
          <w:bCs/>
          <w:color w:val="auto"/>
          <w:sz w:val="24"/>
          <w:szCs w:val="24"/>
          <w:highlight w:val="none"/>
        </w:rPr>
        <w:t>止。</w:t>
      </w:r>
    </w:p>
    <w:p w14:paraId="329D94E0">
      <w:pPr>
        <w:pStyle w:val="32"/>
        <w:widowControl/>
        <w:numPr>
          <w:ilvl w:val="0"/>
          <w:numId w:val="1"/>
        </w:numPr>
        <w:tabs>
          <w:tab w:val="left" w:pos="709"/>
        </w:tabs>
        <w:adjustRightInd w:val="0"/>
        <w:snapToGrid w:val="0"/>
        <w:spacing w:before="312" w:beforeLines="100" w:after="312" w:afterLines="100" w:line="360" w:lineRule="auto"/>
        <w:ind w:left="776" w:hanging="776" w:hangingChars="322"/>
        <w:jc w:val="left"/>
        <w:rPr>
          <w:rFonts w:hint="eastAsia" w:ascii="宋体" w:hAnsi="宋体" w:eastAsia="宋体"/>
          <w:b/>
          <w:color w:val="auto"/>
          <w:kern w:val="0"/>
          <w:sz w:val="24"/>
          <w:szCs w:val="24"/>
          <w:highlight w:val="none"/>
          <w:lang w:eastAsia="zh-CN"/>
        </w:rPr>
      </w:pPr>
      <w:r>
        <w:rPr>
          <w:rFonts w:hint="eastAsia" w:ascii="宋体" w:hAnsi="宋体" w:eastAsia="宋体"/>
          <w:b/>
          <w:color w:val="auto"/>
          <w:kern w:val="0"/>
          <w:sz w:val="24"/>
          <w:szCs w:val="24"/>
          <w:highlight w:val="none"/>
          <w:lang w:eastAsia="zh-CN"/>
        </w:rPr>
        <w:t xml:space="preserve">质量标准 </w:t>
      </w:r>
    </w:p>
    <w:p w14:paraId="31DB1EA7">
      <w:pPr>
        <w:pStyle w:val="32"/>
        <w:widowControl/>
        <w:adjustRightInd w:val="0"/>
        <w:snapToGrid w:val="0"/>
        <w:spacing w:before="312" w:beforeLines="100" w:after="312" w:afterLines="100" w:line="240" w:lineRule="auto"/>
        <w:ind w:firstLine="705" w:firstLineChars="294"/>
        <w:jc w:val="left"/>
        <w:rPr>
          <w:rFonts w:hint="eastAsia" w:ascii="宋体" w:hAnsi="宋体"/>
          <w:bCs/>
          <w:color w:val="auto"/>
          <w:sz w:val="24"/>
          <w:szCs w:val="24"/>
          <w:highlight w:val="none"/>
        </w:rPr>
      </w:pPr>
      <w:r>
        <w:rPr>
          <w:rFonts w:hint="eastAsia" w:ascii="宋体" w:hAnsi="宋体" w:eastAsia="宋体"/>
          <w:bCs/>
          <w:color w:val="auto"/>
          <w:sz w:val="24"/>
          <w:szCs w:val="24"/>
          <w:highlight w:val="none"/>
          <w:lang w:eastAsia="zh-CN"/>
        </w:rPr>
        <w:t>工程造价咨询成果文件应符合：国家、广东省、广州市建设主管部门颁布的工程造价相关规范和规定执行，并结合本项目的相关造价管理文件及甲方的相关要求。</w:t>
      </w:r>
    </w:p>
    <w:p w14:paraId="6D55BBEF">
      <w:pPr>
        <w:pStyle w:val="32"/>
        <w:widowControl/>
        <w:numPr>
          <w:ilvl w:val="0"/>
          <w:numId w:val="1"/>
        </w:numPr>
        <w:tabs>
          <w:tab w:val="left" w:pos="709"/>
        </w:tabs>
        <w:adjustRightInd w:val="0"/>
        <w:snapToGrid w:val="0"/>
        <w:spacing w:before="312" w:beforeLines="100" w:after="312" w:afterLines="100" w:line="360" w:lineRule="auto"/>
        <w:ind w:left="776" w:hanging="776" w:hangingChars="322"/>
        <w:jc w:val="left"/>
        <w:rPr>
          <w:rFonts w:ascii="宋体" w:hAnsi="宋体"/>
          <w:b/>
          <w:color w:val="auto"/>
          <w:kern w:val="0"/>
          <w:sz w:val="24"/>
          <w:szCs w:val="24"/>
          <w:highlight w:val="none"/>
        </w:rPr>
      </w:pPr>
      <w:r>
        <w:rPr>
          <w:rFonts w:hint="eastAsia" w:ascii="宋体" w:hAnsi="宋体"/>
          <w:b/>
          <w:color w:val="auto"/>
          <w:kern w:val="0"/>
          <w:sz w:val="24"/>
          <w:szCs w:val="24"/>
          <w:highlight w:val="none"/>
        </w:rPr>
        <w:t>下列文件均为本合同的组成部分：</w:t>
      </w:r>
    </w:p>
    <w:p w14:paraId="1C7B521B">
      <w:pPr>
        <w:pStyle w:val="32"/>
        <w:widowControl/>
        <w:numPr>
          <w:ilvl w:val="1"/>
          <w:numId w:val="2"/>
        </w:numPr>
        <w:tabs>
          <w:tab w:val="left" w:pos="709"/>
        </w:tabs>
        <w:adjustRightInd w:val="0"/>
        <w:snapToGrid w:val="0"/>
        <w:spacing w:line="360" w:lineRule="auto"/>
        <w:ind w:left="773" w:hanging="772" w:hangingChars="322"/>
        <w:jc w:val="left"/>
        <w:rPr>
          <w:rFonts w:ascii="宋体" w:hAnsi="宋体"/>
          <w:color w:val="auto"/>
          <w:kern w:val="0"/>
          <w:sz w:val="24"/>
          <w:szCs w:val="24"/>
          <w:highlight w:val="none"/>
        </w:rPr>
      </w:pPr>
      <w:r>
        <w:rPr>
          <w:rFonts w:hint="eastAsia" w:ascii="宋体" w:hAnsi="宋体"/>
          <w:color w:val="auto"/>
          <w:kern w:val="0"/>
          <w:sz w:val="24"/>
          <w:szCs w:val="24"/>
          <w:highlight w:val="none"/>
        </w:rPr>
        <w:t>在实施过程中双方共同签署的补充与修正文件；</w:t>
      </w:r>
    </w:p>
    <w:p w14:paraId="13057325">
      <w:pPr>
        <w:pStyle w:val="32"/>
        <w:widowControl/>
        <w:numPr>
          <w:ilvl w:val="1"/>
          <w:numId w:val="2"/>
        </w:numPr>
        <w:tabs>
          <w:tab w:val="left" w:pos="709"/>
        </w:tabs>
        <w:adjustRightInd w:val="0"/>
        <w:snapToGrid w:val="0"/>
        <w:spacing w:line="360" w:lineRule="auto"/>
        <w:ind w:left="773" w:hanging="772" w:hangingChars="322"/>
        <w:jc w:val="left"/>
        <w:rPr>
          <w:rFonts w:ascii="宋体" w:hAnsi="宋体"/>
          <w:color w:val="auto"/>
          <w:kern w:val="0"/>
          <w:sz w:val="24"/>
          <w:szCs w:val="24"/>
          <w:highlight w:val="none"/>
        </w:rPr>
      </w:pPr>
      <w:r>
        <w:rPr>
          <w:rFonts w:ascii="宋体" w:hAnsi="宋体"/>
          <w:color w:val="auto"/>
          <w:kern w:val="0"/>
          <w:sz w:val="24"/>
          <w:szCs w:val="24"/>
          <w:highlight w:val="none"/>
        </w:rPr>
        <w:t>建设工程造价咨询协议书；</w:t>
      </w:r>
    </w:p>
    <w:p w14:paraId="008D4499">
      <w:pPr>
        <w:pStyle w:val="32"/>
        <w:widowControl/>
        <w:numPr>
          <w:ilvl w:val="1"/>
          <w:numId w:val="2"/>
        </w:numPr>
        <w:tabs>
          <w:tab w:val="left" w:pos="709"/>
        </w:tabs>
        <w:adjustRightInd w:val="0"/>
        <w:snapToGrid w:val="0"/>
        <w:spacing w:line="360" w:lineRule="auto"/>
        <w:ind w:left="773" w:hanging="772" w:hangingChars="322"/>
        <w:jc w:val="left"/>
        <w:rPr>
          <w:rFonts w:ascii="宋体" w:hAnsi="宋体"/>
          <w:color w:val="auto"/>
          <w:kern w:val="0"/>
          <w:sz w:val="24"/>
          <w:szCs w:val="24"/>
          <w:highlight w:val="none"/>
        </w:rPr>
      </w:pPr>
      <w:r>
        <w:rPr>
          <w:rFonts w:ascii="宋体" w:hAnsi="宋体"/>
          <w:color w:val="auto"/>
          <w:kern w:val="0"/>
          <w:sz w:val="24"/>
          <w:szCs w:val="24"/>
          <w:highlight w:val="none"/>
        </w:rPr>
        <w:t>建设工程造价咨询合同专用条款；</w:t>
      </w:r>
    </w:p>
    <w:p w14:paraId="7FD789C4">
      <w:pPr>
        <w:pStyle w:val="32"/>
        <w:widowControl/>
        <w:numPr>
          <w:ilvl w:val="1"/>
          <w:numId w:val="2"/>
        </w:numPr>
        <w:tabs>
          <w:tab w:val="left" w:pos="709"/>
        </w:tabs>
        <w:adjustRightInd w:val="0"/>
        <w:snapToGrid w:val="0"/>
        <w:spacing w:line="360" w:lineRule="auto"/>
        <w:ind w:left="773" w:hanging="772" w:hangingChars="322"/>
        <w:jc w:val="left"/>
        <w:rPr>
          <w:rFonts w:ascii="宋体" w:hAnsi="宋体"/>
          <w:color w:val="auto"/>
          <w:kern w:val="0"/>
          <w:sz w:val="24"/>
          <w:szCs w:val="24"/>
          <w:highlight w:val="none"/>
        </w:rPr>
      </w:pPr>
      <w:r>
        <w:rPr>
          <w:rFonts w:ascii="宋体" w:hAnsi="宋体"/>
          <w:color w:val="auto"/>
          <w:kern w:val="0"/>
          <w:sz w:val="24"/>
          <w:szCs w:val="24"/>
          <w:highlight w:val="none"/>
        </w:rPr>
        <w:t>建设工程造价咨询合同通用条款；</w:t>
      </w:r>
    </w:p>
    <w:p w14:paraId="2311924E">
      <w:pPr>
        <w:pStyle w:val="32"/>
        <w:widowControl/>
        <w:numPr>
          <w:ilvl w:val="1"/>
          <w:numId w:val="2"/>
        </w:numPr>
        <w:tabs>
          <w:tab w:val="left" w:pos="709"/>
        </w:tabs>
        <w:adjustRightInd w:val="0"/>
        <w:snapToGrid w:val="0"/>
        <w:spacing w:line="360" w:lineRule="auto"/>
        <w:ind w:left="773" w:hanging="772" w:hangingChars="322"/>
        <w:jc w:val="left"/>
        <w:rPr>
          <w:rFonts w:ascii="宋体" w:hAnsi="宋体"/>
          <w:color w:val="auto"/>
          <w:kern w:val="0"/>
          <w:sz w:val="24"/>
          <w:szCs w:val="24"/>
          <w:highlight w:val="none"/>
        </w:rPr>
      </w:pPr>
      <w:r>
        <w:rPr>
          <w:rFonts w:ascii="宋体" w:hAnsi="宋体"/>
          <w:color w:val="auto"/>
          <w:kern w:val="0"/>
          <w:sz w:val="24"/>
          <w:szCs w:val="24"/>
          <w:highlight w:val="none"/>
        </w:rPr>
        <w:t>建设工程造价咨询</w:t>
      </w:r>
      <w:r>
        <w:rPr>
          <w:rFonts w:hint="eastAsia" w:ascii="宋体" w:hAnsi="宋体"/>
          <w:color w:val="auto"/>
          <w:kern w:val="0"/>
          <w:sz w:val="24"/>
          <w:szCs w:val="24"/>
          <w:highlight w:val="none"/>
        </w:rPr>
        <w:t>工作的招标</w:t>
      </w:r>
      <w:r>
        <w:rPr>
          <w:rFonts w:ascii="宋体" w:hAnsi="宋体"/>
          <w:color w:val="auto"/>
          <w:kern w:val="0"/>
          <w:sz w:val="24"/>
          <w:szCs w:val="24"/>
          <w:highlight w:val="none"/>
        </w:rPr>
        <w:t>文件</w:t>
      </w:r>
      <w:r>
        <w:rPr>
          <w:rFonts w:hint="eastAsia" w:ascii="宋体" w:hAnsi="宋体"/>
          <w:color w:val="auto"/>
          <w:kern w:val="0"/>
          <w:sz w:val="24"/>
          <w:szCs w:val="24"/>
          <w:highlight w:val="none"/>
        </w:rPr>
        <w:t>；</w:t>
      </w:r>
    </w:p>
    <w:p w14:paraId="209C3BAA">
      <w:pPr>
        <w:pStyle w:val="32"/>
        <w:widowControl/>
        <w:numPr>
          <w:ilvl w:val="1"/>
          <w:numId w:val="2"/>
        </w:numPr>
        <w:tabs>
          <w:tab w:val="left" w:pos="709"/>
        </w:tabs>
        <w:adjustRightInd w:val="0"/>
        <w:snapToGrid w:val="0"/>
        <w:spacing w:line="360" w:lineRule="auto"/>
        <w:ind w:left="773" w:hanging="772" w:hangingChars="322"/>
        <w:jc w:val="left"/>
        <w:rPr>
          <w:rFonts w:ascii="宋体" w:hAnsi="宋体"/>
          <w:color w:val="auto"/>
          <w:kern w:val="0"/>
          <w:sz w:val="24"/>
          <w:szCs w:val="24"/>
          <w:highlight w:val="none"/>
        </w:rPr>
      </w:pPr>
      <w:r>
        <w:rPr>
          <w:rFonts w:hint="eastAsia" w:ascii="宋体" w:hAnsi="宋体"/>
          <w:color w:val="auto"/>
          <w:kern w:val="0"/>
          <w:sz w:val="24"/>
          <w:szCs w:val="24"/>
          <w:highlight w:val="none"/>
        </w:rPr>
        <w:t>相关法律法规、定额标准等</w:t>
      </w:r>
      <w:r>
        <w:rPr>
          <w:rFonts w:ascii="宋体" w:hAnsi="宋体"/>
          <w:color w:val="auto"/>
          <w:kern w:val="0"/>
          <w:sz w:val="24"/>
          <w:szCs w:val="24"/>
          <w:highlight w:val="none"/>
        </w:rPr>
        <w:t>。</w:t>
      </w:r>
    </w:p>
    <w:p w14:paraId="3D9D9A5C">
      <w:pPr>
        <w:pStyle w:val="32"/>
        <w:widowControl/>
        <w:tabs>
          <w:tab w:val="left" w:pos="567"/>
        </w:tabs>
        <w:adjustRightInd w:val="0"/>
        <w:snapToGrid w:val="0"/>
        <w:spacing w:before="312" w:beforeLines="100" w:after="312" w:afterLines="100" w:line="360" w:lineRule="auto"/>
        <w:ind w:left="708" w:leftChars="337" w:firstLine="0" w:firstLineChars="0"/>
        <w:jc w:val="left"/>
        <w:rPr>
          <w:rFonts w:ascii="宋体" w:hAnsi="宋体"/>
          <w:color w:val="auto"/>
          <w:kern w:val="0"/>
          <w:sz w:val="24"/>
          <w:szCs w:val="24"/>
          <w:highlight w:val="none"/>
        </w:rPr>
      </w:pPr>
      <w:r>
        <w:rPr>
          <w:rFonts w:ascii="宋体" w:hAnsi="宋体"/>
          <w:color w:val="auto"/>
          <w:kern w:val="0"/>
          <w:sz w:val="24"/>
          <w:szCs w:val="24"/>
          <w:highlight w:val="none"/>
        </w:rPr>
        <w:t>以上文件内容发生冲突时，按照以</w:t>
      </w:r>
      <w:r>
        <w:rPr>
          <w:rFonts w:hint="eastAsia" w:ascii="宋体" w:hAnsi="宋体"/>
          <w:color w:val="auto"/>
          <w:kern w:val="0"/>
          <w:sz w:val="24"/>
          <w:szCs w:val="24"/>
          <w:highlight w:val="none"/>
        </w:rPr>
        <w:t>上</w:t>
      </w:r>
      <w:r>
        <w:rPr>
          <w:rFonts w:ascii="宋体" w:hAnsi="宋体"/>
          <w:color w:val="auto"/>
          <w:kern w:val="0"/>
          <w:sz w:val="24"/>
          <w:szCs w:val="24"/>
          <w:highlight w:val="none"/>
        </w:rPr>
        <w:t>顺序优先解释适用。</w:t>
      </w:r>
    </w:p>
    <w:p w14:paraId="791F8DEA">
      <w:pPr>
        <w:pStyle w:val="32"/>
        <w:widowControl/>
        <w:numPr>
          <w:ilvl w:val="0"/>
          <w:numId w:val="1"/>
        </w:numPr>
        <w:tabs>
          <w:tab w:val="left" w:pos="709"/>
        </w:tabs>
        <w:adjustRightInd w:val="0"/>
        <w:snapToGrid w:val="0"/>
        <w:spacing w:before="312" w:beforeLines="100" w:after="312" w:afterLines="100" w:line="360" w:lineRule="auto"/>
        <w:ind w:left="776" w:hanging="776" w:hangingChars="322"/>
        <w:jc w:val="left"/>
        <w:rPr>
          <w:rFonts w:ascii="宋体" w:hAnsi="宋体"/>
          <w:b/>
          <w:color w:val="auto"/>
          <w:kern w:val="0"/>
          <w:sz w:val="24"/>
          <w:szCs w:val="24"/>
          <w:highlight w:val="none"/>
        </w:rPr>
      </w:pPr>
      <w:r>
        <w:rPr>
          <w:rFonts w:ascii="宋体" w:hAnsi="宋体"/>
          <w:b/>
          <w:color w:val="auto"/>
          <w:kern w:val="0"/>
          <w:sz w:val="24"/>
          <w:szCs w:val="24"/>
          <w:highlight w:val="none"/>
        </w:rPr>
        <w:t>乙方同意按照本合同的规定，承担本合同建设工程造价咨询业务。</w:t>
      </w:r>
    </w:p>
    <w:p w14:paraId="6218121C">
      <w:pPr>
        <w:pStyle w:val="32"/>
        <w:widowControl/>
        <w:numPr>
          <w:ilvl w:val="0"/>
          <w:numId w:val="1"/>
        </w:numPr>
        <w:tabs>
          <w:tab w:val="left" w:pos="709"/>
        </w:tabs>
        <w:adjustRightInd w:val="0"/>
        <w:snapToGrid w:val="0"/>
        <w:spacing w:before="312" w:beforeLines="100" w:after="312" w:afterLines="100" w:line="360" w:lineRule="auto"/>
        <w:ind w:left="776" w:hanging="776" w:hangingChars="322"/>
        <w:jc w:val="left"/>
        <w:rPr>
          <w:rFonts w:ascii="宋体" w:hAnsi="宋体"/>
          <w:b/>
          <w:color w:val="auto"/>
          <w:kern w:val="0"/>
          <w:sz w:val="24"/>
          <w:szCs w:val="24"/>
          <w:highlight w:val="none"/>
        </w:rPr>
      </w:pPr>
      <w:r>
        <w:rPr>
          <w:rFonts w:hint="eastAsia" w:ascii="宋体" w:hAnsi="宋体"/>
          <w:b/>
          <w:color w:val="auto"/>
          <w:kern w:val="0"/>
          <w:sz w:val="24"/>
          <w:szCs w:val="24"/>
          <w:highlight w:val="none"/>
        </w:rPr>
        <w:t>甲方</w:t>
      </w:r>
      <w:r>
        <w:rPr>
          <w:rFonts w:ascii="宋体" w:hAnsi="宋体"/>
          <w:b/>
          <w:color w:val="auto"/>
          <w:kern w:val="0"/>
          <w:sz w:val="24"/>
          <w:szCs w:val="24"/>
          <w:highlight w:val="none"/>
        </w:rPr>
        <w:t>同意按照本合同规定的期限、方式、币种、额度向乙方支付酬金。</w:t>
      </w:r>
    </w:p>
    <w:p w14:paraId="3E9CE45E">
      <w:pPr>
        <w:pStyle w:val="32"/>
        <w:widowControl/>
        <w:numPr>
          <w:ilvl w:val="0"/>
          <w:numId w:val="1"/>
        </w:numPr>
        <w:tabs>
          <w:tab w:val="left" w:pos="709"/>
        </w:tabs>
        <w:adjustRightInd w:val="0"/>
        <w:snapToGrid w:val="0"/>
        <w:spacing w:before="312" w:beforeLines="100" w:after="312" w:afterLines="100" w:line="360" w:lineRule="auto"/>
        <w:ind w:left="776" w:hanging="776" w:hangingChars="322"/>
        <w:jc w:val="left"/>
        <w:rPr>
          <w:rFonts w:ascii="宋体" w:hAnsi="宋体"/>
          <w:b/>
          <w:color w:val="auto"/>
          <w:kern w:val="0"/>
          <w:sz w:val="24"/>
          <w:szCs w:val="24"/>
          <w:highlight w:val="none"/>
        </w:rPr>
      </w:pPr>
      <w:r>
        <w:rPr>
          <w:rFonts w:ascii="宋体" w:hAnsi="宋体"/>
          <w:b/>
          <w:bCs w:val="0"/>
          <w:color w:val="auto"/>
          <w:kern w:val="0"/>
          <w:sz w:val="24"/>
          <w:szCs w:val="24"/>
          <w:highlight w:val="none"/>
          <w:lang w:eastAsia="zh-CN"/>
        </w:rPr>
        <w:t>本合同自</w:t>
      </w:r>
      <w:r>
        <w:rPr>
          <w:rFonts w:hint="default" w:ascii="宋体" w:hAnsi="宋体"/>
          <w:b/>
          <w:bCs w:val="0"/>
          <w:color w:val="auto"/>
          <w:kern w:val="0"/>
          <w:sz w:val="24"/>
          <w:szCs w:val="24"/>
          <w:highlight w:val="none"/>
          <w:lang w:val="en-US" w:eastAsia="zh-CN"/>
        </w:rPr>
        <w:t>甲、乙</w:t>
      </w:r>
      <w:r>
        <w:rPr>
          <w:rFonts w:hint="default" w:ascii="宋体" w:hAnsi="宋体"/>
          <w:b/>
          <w:bCs w:val="0"/>
          <w:color w:val="auto"/>
          <w:kern w:val="0"/>
          <w:sz w:val="24"/>
          <w:szCs w:val="24"/>
          <w:highlight w:val="none"/>
          <w:lang w:eastAsia="zh-CN"/>
        </w:rPr>
        <w:t>双方</w:t>
      </w:r>
      <w:r>
        <w:rPr>
          <w:rFonts w:hint="default" w:ascii="宋体" w:hAnsi="宋体"/>
          <w:b/>
          <w:bCs w:val="0"/>
          <w:color w:val="auto"/>
          <w:kern w:val="0"/>
          <w:sz w:val="24"/>
          <w:szCs w:val="24"/>
          <w:highlight w:val="none"/>
          <w:lang w:val="en-US" w:eastAsia="zh-CN"/>
        </w:rPr>
        <w:t>法</w:t>
      </w:r>
      <w:r>
        <w:rPr>
          <w:rFonts w:hint="default" w:ascii="宋体" w:hAnsi="宋体" w:eastAsia="宋体" w:cs="Times New Roman"/>
          <w:b/>
          <w:bCs w:val="0"/>
          <w:color w:val="auto"/>
          <w:kern w:val="0"/>
          <w:sz w:val="24"/>
          <w:szCs w:val="24"/>
          <w:highlight w:val="none"/>
          <w:lang w:val="en-US" w:eastAsia="zh-CN"/>
        </w:rPr>
        <w:t>定代表人或委托代理人</w:t>
      </w:r>
      <w:r>
        <w:rPr>
          <w:rFonts w:hint="default" w:ascii="宋体" w:hAnsi="宋体" w:eastAsia="宋体" w:cs="Times New Roman"/>
          <w:b/>
          <w:bCs w:val="0"/>
          <w:color w:val="auto"/>
          <w:kern w:val="0"/>
          <w:sz w:val="24"/>
          <w:szCs w:val="24"/>
          <w:highlight w:val="none"/>
          <w:lang w:eastAsia="zh-CN"/>
        </w:rPr>
        <w:t>签字</w:t>
      </w:r>
      <w:r>
        <w:rPr>
          <w:rFonts w:hint="default" w:ascii="宋体" w:hAnsi="宋体" w:eastAsia="宋体" w:cs="Times New Roman"/>
          <w:b/>
          <w:bCs w:val="0"/>
          <w:color w:val="auto"/>
          <w:kern w:val="0"/>
          <w:sz w:val="24"/>
          <w:szCs w:val="24"/>
          <w:highlight w:val="none"/>
          <w:lang w:val="en-US" w:eastAsia="zh-CN"/>
        </w:rPr>
        <w:t>并加</w:t>
      </w:r>
      <w:r>
        <w:rPr>
          <w:rFonts w:hint="default" w:ascii="宋体" w:hAnsi="宋体" w:eastAsia="宋体" w:cs="Times New Roman"/>
          <w:b/>
          <w:bCs w:val="0"/>
          <w:color w:val="auto"/>
          <w:kern w:val="0"/>
          <w:sz w:val="24"/>
          <w:szCs w:val="24"/>
          <w:highlight w:val="none"/>
          <w:lang w:eastAsia="zh-CN"/>
        </w:rPr>
        <w:t>盖</w:t>
      </w:r>
      <w:r>
        <w:rPr>
          <w:rFonts w:hint="default" w:ascii="宋体" w:hAnsi="宋体" w:eastAsia="宋体" w:cs="Times New Roman"/>
          <w:b/>
          <w:bCs w:val="0"/>
          <w:color w:val="auto"/>
          <w:kern w:val="0"/>
          <w:sz w:val="24"/>
          <w:szCs w:val="24"/>
          <w:highlight w:val="none"/>
          <w:lang w:val="en-US" w:eastAsia="zh-CN"/>
        </w:rPr>
        <w:t>公</w:t>
      </w:r>
      <w:r>
        <w:rPr>
          <w:rFonts w:hint="default" w:ascii="宋体" w:hAnsi="宋体" w:eastAsia="宋体" w:cs="Times New Roman"/>
          <w:b/>
          <w:bCs w:val="0"/>
          <w:color w:val="auto"/>
          <w:kern w:val="0"/>
          <w:sz w:val="24"/>
          <w:szCs w:val="24"/>
          <w:highlight w:val="none"/>
          <w:lang w:eastAsia="zh-CN"/>
        </w:rPr>
        <w:t>章</w:t>
      </w:r>
      <w:r>
        <w:rPr>
          <w:rFonts w:hint="default" w:ascii="宋体" w:hAnsi="宋体" w:eastAsia="宋体" w:cs="Times New Roman"/>
          <w:b/>
          <w:bCs w:val="0"/>
          <w:color w:val="auto"/>
          <w:kern w:val="0"/>
          <w:sz w:val="24"/>
          <w:szCs w:val="24"/>
          <w:highlight w:val="none"/>
          <w:lang w:val="en-US" w:eastAsia="zh-CN"/>
        </w:rPr>
        <w:t>之日</w:t>
      </w:r>
      <w:r>
        <w:rPr>
          <w:rFonts w:hint="default" w:ascii="宋体" w:hAnsi="宋体" w:eastAsia="宋体" w:cs="Times New Roman"/>
          <w:b/>
          <w:bCs w:val="0"/>
          <w:color w:val="auto"/>
          <w:kern w:val="0"/>
          <w:sz w:val="24"/>
          <w:szCs w:val="24"/>
          <w:highlight w:val="none"/>
          <w:lang w:eastAsia="zh-CN"/>
        </w:rPr>
        <w:t>起</w:t>
      </w:r>
      <w:r>
        <w:rPr>
          <w:rFonts w:hint="default" w:ascii="宋体" w:hAnsi="宋体" w:eastAsia="宋体" w:cs="Times New Roman"/>
          <w:b/>
          <w:bCs w:val="0"/>
          <w:color w:val="auto"/>
          <w:kern w:val="0"/>
          <w:sz w:val="24"/>
          <w:szCs w:val="24"/>
          <w:highlight w:val="none"/>
          <w:lang w:val="en-US" w:eastAsia="zh-CN"/>
        </w:rPr>
        <w:t>生效</w:t>
      </w:r>
      <w:r>
        <w:rPr>
          <w:rFonts w:hint="default" w:ascii="宋体" w:hAnsi="宋体" w:eastAsia="宋体" w:cs="Times New Roman"/>
          <w:b/>
          <w:bCs w:val="0"/>
          <w:color w:val="auto"/>
          <w:kern w:val="0"/>
          <w:sz w:val="24"/>
          <w:szCs w:val="24"/>
          <w:highlight w:val="none"/>
          <w:lang w:eastAsia="zh-CN"/>
        </w:rPr>
        <w:t>，</w:t>
      </w:r>
      <w:r>
        <w:rPr>
          <w:rFonts w:hint="default" w:ascii="宋体" w:hAnsi="宋体" w:eastAsia="宋体" w:cs="Times New Roman"/>
          <w:b/>
          <w:bCs w:val="0"/>
          <w:color w:val="auto"/>
          <w:kern w:val="0"/>
          <w:sz w:val="24"/>
          <w:szCs w:val="24"/>
          <w:highlight w:val="none"/>
          <w:lang w:eastAsia="zh-CN" w:bidi="ar"/>
        </w:rPr>
        <w:t>至本合同约定造价咨询服务工作全部完成时</w:t>
      </w:r>
      <w:r>
        <w:rPr>
          <w:rFonts w:hint="default" w:ascii="宋体" w:hAnsi="宋体" w:eastAsia="宋体" w:cs="Times New Roman"/>
          <w:b/>
          <w:bCs w:val="0"/>
          <w:color w:val="auto"/>
          <w:kern w:val="0"/>
          <w:sz w:val="24"/>
          <w:szCs w:val="24"/>
          <w:highlight w:val="none"/>
          <w:lang w:val="en-US" w:eastAsia="zh-CN"/>
        </w:rPr>
        <w:t>且</w:t>
      </w:r>
      <w:r>
        <w:rPr>
          <w:rFonts w:hint="default" w:ascii="宋体" w:hAnsi="宋体" w:eastAsia="宋体" w:cs="Times New Roman"/>
          <w:b/>
          <w:bCs w:val="0"/>
          <w:color w:val="auto"/>
          <w:kern w:val="0"/>
          <w:sz w:val="24"/>
          <w:szCs w:val="24"/>
          <w:highlight w:val="none"/>
          <w:lang w:eastAsia="zh-CN"/>
        </w:rPr>
        <w:t>双方合同义务履行完毕之日</w:t>
      </w:r>
      <w:r>
        <w:rPr>
          <w:rFonts w:hint="default" w:ascii="宋体" w:hAnsi="宋体" w:eastAsia="宋体" w:cs="Times New Roman"/>
          <w:b/>
          <w:bCs w:val="0"/>
          <w:color w:val="auto"/>
          <w:kern w:val="0"/>
          <w:sz w:val="24"/>
          <w:szCs w:val="24"/>
          <w:highlight w:val="none"/>
          <w:lang w:eastAsia="zh-CN" w:bidi="ar"/>
        </w:rPr>
        <w:t>止。</w:t>
      </w:r>
    </w:p>
    <w:p w14:paraId="7E0CC9C0">
      <w:pPr>
        <w:pStyle w:val="32"/>
        <w:widowControl/>
        <w:numPr>
          <w:ilvl w:val="0"/>
          <w:numId w:val="1"/>
        </w:numPr>
        <w:tabs>
          <w:tab w:val="left" w:pos="709"/>
        </w:tabs>
        <w:adjustRightInd w:val="0"/>
        <w:snapToGrid w:val="0"/>
        <w:spacing w:before="312" w:beforeLines="100" w:after="312" w:afterLines="100" w:line="360" w:lineRule="auto"/>
        <w:ind w:left="776" w:hanging="776" w:hangingChars="322"/>
        <w:jc w:val="left"/>
        <w:rPr>
          <w:rFonts w:ascii="宋体" w:hAnsi="宋体"/>
          <w:b/>
          <w:color w:val="auto"/>
          <w:kern w:val="0"/>
          <w:sz w:val="24"/>
          <w:szCs w:val="24"/>
          <w:highlight w:val="none"/>
        </w:rPr>
      </w:pPr>
      <w:r>
        <w:rPr>
          <w:rFonts w:hint="eastAsia" w:ascii="宋体" w:hAnsi="宋体"/>
          <w:b/>
          <w:color w:val="auto"/>
          <w:kern w:val="0"/>
          <w:sz w:val="24"/>
          <w:szCs w:val="24"/>
          <w:highlight w:val="none"/>
        </w:rPr>
        <w:t>本合同一式壹拾</w:t>
      </w:r>
      <w:r>
        <w:rPr>
          <w:rFonts w:ascii="宋体" w:hAnsi="宋体"/>
          <w:b/>
          <w:color w:val="auto"/>
          <w:kern w:val="0"/>
          <w:sz w:val="24"/>
          <w:szCs w:val="24"/>
          <w:highlight w:val="none"/>
        </w:rPr>
        <w:t>份，</w:t>
      </w:r>
      <w:r>
        <w:rPr>
          <w:rFonts w:hint="eastAsia" w:ascii="宋体" w:hAnsi="宋体"/>
          <w:b/>
          <w:color w:val="auto"/>
          <w:kern w:val="0"/>
          <w:sz w:val="24"/>
          <w:szCs w:val="24"/>
          <w:highlight w:val="none"/>
        </w:rPr>
        <w:t>甲方执</w:t>
      </w:r>
      <w:r>
        <w:rPr>
          <w:rFonts w:hint="eastAsia" w:ascii="宋体" w:hAnsi="宋体"/>
          <w:b/>
          <w:color w:val="auto"/>
          <w:kern w:val="0"/>
          <w:sz w:val="24"/>
          <w:szCs w:val="24"/>
          <w:highlight w:val="none"/>
          <w:lang w:val="en-US" w:eastAsia="zh-CN"/>
        </w:rPr>
        <w:t>伍</w:t>
      </w:r>
      <w:r>
        <w:rPr>
          <w:rFonts w:hint="eastAsia" w:ascii="宋体" w:hAnsi="宋体"/>
          <w:b/>
          <w:color w:val="auto"/>
          <w:kern w:val="0"/>
          <w:sz w:val="24"/>
          <w:szCs w:val="24"/>
          <w:highlight w:val="none"/>
        </w:rPr>
        <w:t>份，乙方</w:t>
      </w:r>
      <w:r>
        <w:rPr>
          <w:rFonts w:ascii="宋体" w:hAnsi="宋体"/>
          <w:b/>
          <w:color w:val="auto"/>
          <w:kern w:val="0"/>
          <w:sz w:val="24"/>
          <w:szCs w:val="24"/>
          <w:highlight w:val="none"/>
        </w:rPr>
        <w:t>执</w:t>
      </w:r>
      <w:r>
        <w:rPr>
          <w:rFonts w:hint="eastAsia" w:ascii="宋体" w:hAnsi="宋体"/>
          <w:b/>
          <w:color w:val="auto"/>
          <w:kern w:val="0"/>
          <w:sz w:val="24"/>
          <w:szCs w:val="24"/>
          <w:highlight w:val="none"/>
          <w:lang w:val="en-US" w:eastAsia="zh-CN"/>
        </w:rPr>
        <w:t>伍</w:t>
      </w:r>
      <w:r>
        <w:rPr>
          <w:rFonts w:ascii="宋体" w:hAnsi="宋体"/>
          <w:b/>
          <w:color w:val="auto"/>
          <w:kern w:val="0"/>
          <w:sz w:val="24"/>
          <w:szCs w:val="24"/>
          <w:highlight w:val="none"/>
        </w:rPr>
        <w:t>份</w:t>
      </w:r>
      <w:r>
        <w:rPr>
          <w:rFonts w:hint="eastAsia" w:ascii="宋体" w:hAnsi="宋体"/>
          <w:b/>
          <w:color w:val="auto"/>
          <w:kern w:val="0"/>
          <w:sz w:val="24"/>
          <w:szCs w:val="24"/>
          <w:highlight w:val="none"/>
          <w:lang w:eastAsia="zh-CN"/>
        </w:rPr>
        <w:t>，</w:t>
      </w:r>
      <w:r>
        <w:rPr>
          <w:rFonts w:hint="eastAsia" w:ascii="宋体" w:hAnsi="宋体"/>
          <w:b/>
          <w:color w:val="auto"/>
          <w:kern w:val="0"/>
          <w:sz w:val="24"/>
          <w:szCs w:val="24"/>
          <w:highlight w:val="none"/>
        </w:rPr>
        <w:t>均具有同等法律效力。</w:t>
      </w:r>
    </w:p>
    <w:p w14:paraId="0796C2A9">
      <w:pPr>
        <w:widowControl/>
        <w:tabs>
          <w:tab w:val="left" w:pos="2088"/>
          <w:tab w:val="left" w:pos="3413"/>
          <w:tab w:val="left" w:pos="4343"/>
          <w:tab w:val="left" w:pos="5868"/>
          <w:tab w:val="left" w:pos="7490"/>
        </w:tabs>
        <w:adjustRightInd w:val="0"/>
        <w:snapToGrid w:val="0"/>
        <w:spacing w:before="312" w:beforeLines="100" w:after="312" w:afterLines="100" w:line="360" w:lineRule="auto"/>
        <w:ind w:left="534"/>
        <w:jc w:val="left"/>
        <w:rPr>
          <w:rFonts w:ascii="宋体" w:hAnsi="宋体"/>
          <w:color w:val="auto"/>
          <w:kern w:val="0"/>
          <w:sz w:val="24"/>
          <w:szCs w:val="24"/>
          <w:highlight w:val="none"/>
        </w:rPr>
      </w:pPr>
      <w:r>
        <w:rPr>
          <w:rFonts w:hint="eastAsia" w:ascii="宋体" w:hAnsi="宋体"/>
          <w:color w:val="auto"/>
          <w:sz w:val="24"/>
          <w:szCs w:val="24"/>
          <w:highlight w:val="none"/>
        </w:rPr>
        <w:t>（本页</w:t>
      </w:r>
      <w:r>
        <w:rPr>
          <w:rFonts w:ascii="宋体" w:hAnsi="宋体"/>
          <w:color w:val="auto"/>
          <w:sz w:val="24"/>
          <w:szCs w:val="24"/>
          <w:highlight w:val="none"/>
        </w:rPr>
        <w:t>以下无正文</w:t>
      </w:r>
      <w:r>
        <w:rPr>
          <w:rFonts w:hint="eastAsia" w:ascii="宋体" w:hAnsi="宋体"/>
          <w:color w:val="auto"/>
          <w:sz w:val="24"/>
          <w:szCs w:val="24"/>
          <w:highlight w:val="none"/>
        </w:rPr>
        <w:t>）</w:t>
      </w:r>
    </w:p>
    <w:p w14:paraId="5F6C0346">
      <w:pPr>
        <w:spacing w:line="500" w:lineRule="exact"/>
        <w:ind w:firstLine="280" w:firstLineChars="100"/>
        <w:jc w:val="left"/>
        <w:rPr>
          <w:rFonts w:ascii="宋体" w:hAnsi="宋体" w:cs="Calibri"/>
          <w:color w:val="auto"/>
          <w:kern w:val="0"/>
          <w:sz w:val="28"/>
          <w:szCs w:val="28"/>
          <w:highlight w:val="none"/>
        </w:rPr>
      </w:pPr>
      <w:r>
        <w:rPr>
          <w:rFonts w:hint="eastAsia" w:ascii="宋体" w:hAnsi="宋体" w:cs="Calibri"/>
          <w:color w:val="auto"/>
          <w:kern w:val="0"/>
          <w:sz w:val="28"/>
          <w:szCs w:val="28"/>
          <w:highlight w:val="none"/>
        </w:rPr>
        <w:t>签约页</w:t>
      </w:r>
      <w:r>
        <w:rPr>
          <w:rFonts w:ascii="宋体" w:hAnsi="宋体" w:cs="Calibri"/>
          <w:color w:val="auto"/>
          <w:kern w:val="0"/>
          <w:sz w:val="28"/>
          <w:szCs w:val="28"/>
          <w:highlight w:val="none"/>
        </w:rPr>
        <w:t>：</w:t>
      </w:r>
    </w:p>
    <w:p w14:paraId="789C1682">
      <w:pPr>
        <w:spacing w:line="500" w:lineRule="exact"/>
        <w:ind w:firstLine="280" w:firstLineChars="100"/>
        <w:jc w:val="left"/>
        <w:rPr>
          <w:rFonts w:hint="default" w:ascii="宋体" w:hAnsi="宋体" w:eastAsia="宋体" w:cs="Calibri"/>
          <w:color w:val="auto"/>
          <w:sz w:val="28"/>
          <w:szCs w:val="28"/>
          <w:highlight w:val="none"/>
          <w:lang w:val="en-US" w:eastAsia="zh-CN"/>
        </w:rPr>
      </w:pPr>
      <w:bookmarkStart w:id="0" w:name="OLE_LINK4"/>
      <w:r>
        <w:rPr>
          <w:rFonts w:hint="eastAsia" w:ascii="宋体" w:hAnsi="宋体" w:cs="Calibri"/>
          <w:color w:val="auto"/>
          <w:sz w:val="28"/>
          <w:szCs w:val="28"/>
          <w:highlight w:val="none"/>
        </w:rPr>
        <w:t>甲方：</w:t>
      </w:r>
      <w:r>
        <w:rPr>
          <w:rFonts w:hint="eastAsia" w:ascii="宋体" w:hAnsi="宋体" w:cs="Calibri"/>
          <w:color w:val="auto"/>
          <w:sz w:val="28"/>
          <w:szCs w:val="28"/>
          <w:highlight w:val="none"/>
          <w:lang w:val="en-US" w:eastAsia="zh-CN"/>
        </w:rPr>
        <w:t>广州市天投城市更新有限公司</w:t>
      </w:r>
    </w:p>
    <w:p w14:paraId="257A1BB2">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rPr>
        <w:t>法定代表人：</w:t>
      </w:r>
    </w:p>
    <w:p w14:paraId="29C2D32B">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rPr>
        <w:t>或</w:t>
      </w:r>
    </w:p>
    <w:p w14:paraId="39DBD352">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rPr>
        <w:t>委托代理人：</w:t>
      </w:r>
    </w:p>
    <w:p w14:paraId="7EC29297">
      <w:pPr>
        <w:spacing w:line="500" w:lineRule="exact"/>
        <w:ind w:firstLine="280" w:firstLineChars="100"/>
        <w:jc w:val="left"/>
        <w:rPr>
          <w:rFonts w:ascii="宋体" w:hAnsi="宋体" w:cs="Calibri"/>
          <w:b/>
          <w:color w:val="auto"/>
          <w:sz w:val="28"/>
          <w:szCs w:val="28"/>
          <w:highlight w:val="none"/>
        </w:rPr>
      </w:pPr>
      <w:r>
        <w:rPr>
          <w:rFonts w:hint="eastAsia" w:ascii="宋体" w:hAnsi="宋体" w:cs="Calibri"/>
          <w:color w:val="auto"/>
          <w:sz w:val="28"/>
          <w:szCs w:val="28"/>
          <w:highlight w:val="none"/>
          <w:lang w:val="en-US" w:eastAsia="zh-CN"/>
        </w:rPr>
        <w:t>联系</w:t>
      </w:r>
      <w:r>
        <w:rPr>
          <w:rFonts w:hint="eastAsia" w:ascii="宋体" w:hAnsi="宋体" w:cs="Calibri"/>
          <w:color w:val="auto"/>
          <w:sz w:val="28"/>
          <w:szCs w:val="28"/>
          <w:highlight w:val="none"/>
        </w:rPr>
        <w:t>地址：广州市越秀区流花街道117号15号馆3楼</w:t>
      </w:r>
    </w:p>
    <w:p w14:paraId="5F423799">
      <w:pPr>
        <w:spacing w:line="500" w:lineRule="exact"/>
        <w:jc w:val="left"/>
        <w:rPr>
          <w:rFonts w:ascii="宋体" w:hAnsi="宋体" w:cs="Calibri"/>
          <w:color w:val="auto"/>
          <w:sz w:val="28"/>
          <w:szCs w:val="28"/>
          <w:highlight w:val="none"/>
        </w:rPr>
      </w:pPr>
    </w:p>
    <w:p w14:paraId="7B4BB433">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rPr>
        <w:t xml:space="preserve">乙方：                   </w:t>
      </w:r>
    </w:p>
    <w:p w14:paraId="58342074">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rPr>
        <w:t xml:space="preserve">法定代表人：                </w:t>
      </w:r>
    </w:p>
    <w:p w14:paraId="67CE87C6">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rPr>
        <w:t>或</w:t>
      </w:r>
    </w:p>
    <w:p w14:paraId="7424571E">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rPr>
        <w:t xml:space="preserve">委托代理人： </w:t>
      </w:r>
      <w:r>
        <w:rPr>
          <w:rFonts w:ascii="宋体" w:hAnsi="宋体" w:cs="Calibri"/>
          <w:color w:val="auto"/>
          <w:sz w:val="28"/>
          <w:szCs w:val="28"/>
          <w:highlight w:val="none"/>
        </w:rPr>
        <w:t xml:space="preserve">           </w:t>
      </w:r>
    </w:p>
    <w:p w14:paraId="4FA01C0D">
      <w:pPr>
        <w:spacing w:line="500" w:lineRule="exact"/>
        <w:ind w:firstLine="280" w:firstLineChars="100"/>
        <w:jc w:val="left"/>
        <w:rPr>
          <w:rFonts w:ascii="宋体" w:hAnsi="宋体" w:cs="Calibri"/>
          <w:color w:val="auto"/>
          <w:sz w:val="28"/>
          <w:szCs w:val="28"/>
          <w:highlight w:val="none"/>
        </w:rPr>
      </w:pPr>
      <w:r>
        <w:rPr>
          <w:rFonts w:hint="eastAsia" w:ascii="宋体" w:hAnsi="宋体" w:cs="Calibri"/>
          <w:color w:val="auto"/>
          <w:sz w:val="28"/>
          <w:szCs w:val="28"/>
          <w:highlight w:val="none"/>
          <w:lang w:val="en-US" w:eastAsia="zh-CN"/>
        </w:rPr>
        <w:t>联系</w:t>
      </w:r>
      <w:r>
        <w:rPr>
          <w:rFonts w:hint="eastAsia" w:ascii="宋体" w:hAnsi="宋体" w:cs="Calibri"/>
          <w:color w:val="auto"/>
          <w:sz w:val="28"/>
          <w:szCs w:val="28"/>
          <w:highlight w:val="none"/>
        </w:rPr>
        <w:t xml:space="preserve">地址：                       </w:t>
      </w:r>
    </w:p>
    <w:bookmarkEnd w:id="0"/>
    <w:p w14:paraId="5F758CDC">
      <w:pPr>
        <w:pStyle w:val="32"/>
        <w:widowControl/>
        <w:tabs>
          <w:tab w:val="left" w:pos="1274"/>
        </w:tabs>
        <w:adjustRightInd w:val="0"/>
        <w:snapToGrid w:val="0"/>
        <w:spacing w:before="312" w:beforeLines="100" w:after="312" w:afterLines="100" w:line="360" w:lineRule="auto"/>
        <w:ind w:firstLine="0" w:firstLineChars="0"/>
        <w:jc w:val="center"/>
        <w:rPr>
          <w:rFonts w:ascii="宋体" w:hAnsi="宋体"/>
          <w:b/>
          <w:bCs/>
          <w:smallCaps/>
          <w:color w:val="auto"/>
          <w:kern w:val="0"/>
          <w:sz w:val="32"/>
          <w:szCs w:val="32"/>
          <w:highlight w:val="none"/>
        </w:rPr>
      </w:pPr>
      <w:r>
        <w:rPr>
          <w:rFonts w:ascii="方正小标宋简体" w:hAnsi="宋体" w:eastAsia="方正小标宋简体"/>
          <w:b/>
          <w:bCs/>
          <w:smallCaps/>
          <w:color w:val="auto"/>
          <w:kern w:val="0"/>
          <w:sz w:val="36"/>
          <w:szCs w:val="36"/>
          <w:highlight w:val="none"/>
        </w:rPr>
        <w:br w:type="page"/>
      </w:r>
      <w:r>
        <w:rPr>
          <w:rFonts w:hint="eastAsia" w:ascii="宋体" w:hAnsi="宋体"/>
          <w:b/>
          <w:bCs/>
          <w:smallCaps/>
          <w:color w:val="auto"/>
          <w:kern w:val="0"/>
          <w:sz w:val="36"/>
          <w:szCs w:val="36"/>
          <w:highlight w:val="none"/>
        </w:rPr>
        <w:t xml:space="preserve">第二部分   </w:t>
      </w:r>
      <w:r>
        <w:rPr>
          <w:rFonts w:ascii="宋体" w:hAnsi="宋体"/>
          <w:b/>
          <w:bCs/>
          <w:smallCaps/>
          <w:color w:val="auto"/>
          <w:kern w:val="0"/>
          <w:sz w:val="36"/>
          <w:szCs w:val="36"/>
          <w:highlight w:val="none"/>
        </w:rPr>
        <w:t>建设工程造价咨询合同通用条款</w:t>
      </w:r>
    </w:p>
    <w:p w14:paraId="633FCB29">
      <w:pPr>
        <w:widowControl/>
        <w:numPr>
          <w:ilvl w:val="0"/>
          <w:numId w:val="3"/>
        </w:numPr>
        <w:tabs>
          <w:tab w:val="left" w:pos="1276"/>
        </w:tabs>
        <w:adjustRightInd w:val="0"/>
        <w:snapToGrid w:val="0"/>
        <w:spacing w:before="312" w:beforeLines="100" w:after="312" w:afterLines="100" w:line="360" w:lineRule="auto"/>
        <w:ind w:left="1392" w:hanging="1392" w:hangingChars="580"/>
        <w:jc w:val="center"/>
        <w:rPr>
          <w:rFonts w:ascii="宋体" w:hAnsi="宋体"/>
          <w:color w:val="auto"/>
          <w:kern w:val="0"/>
          <w:sz w:val="24"/>
          <w:szCs w:val="24"/>
          <w:highlight w:val="none"/>
        </w:rPr>
      </w:pPr>
      <w:r>
        <w:rPr>
          <w:rFonts w:hint="eastAsia" w:ascii="宋体" w:hAnsi="宋体"/>
          <w:color w:val="auto"/>
          <w:kern w:val="0"/>
          <w:sz w:val="24"/>
          <w:szCs w:val="24"/>
          <w:highlight w:val="none"/>
        </w:rPr>
        <w:t>词语定义、适用语言和法律、法规</w:t>
      </w:r>
    </w:p>
    <w:p w14:paraId="0CA99B82">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下列名词和用语，除上下文另有规定外具有如下含义。</w:t>
      </w:r>
    </w:p>
    <w:p w14:paraId="772D200F">
      <w:pPr>
        <w:pStyle w:val="32"/>
        <w:widowControl/>
        <w:numPr>
          <w:ilvl w:val="1"/>
          <w:numId w:val="5"/>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“甲方”是</w:t>
      </w:r>
      <w:r>
        <w:rPr>
          <w:rFonts w:hint="eastAsia" w:ascii="宋体" w:hAnsi="宋体" w:cs="仿宋"/>
          <w:color w:val="auto"/>
          <w:sz w:val="24"/>
          <w:szCs w:val="24"/>
          <w:highlight w:val="none"/>
        </w:rPr>
        <w:t>指本合同中委托造价咨询与其他服务的一方，受项目业主委托进行该工程建设管理的具有工程发包主体资格的当事人，以及取得该当事人资格的合法继承人。</w:t>
      </w:r>
    </w:p>
    <w:p w14:paraId="5201AFCA">
      <w:pPr>
        <w:pStyle w:val="32"/>
        <w:widowControl/>
        <w:numPr>
          <w:ilvl w:val="1"/>
          <w:numId w:val="5"/>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“乙方”是指依法具有工程造价咨询企业资质，承担建设工程造价咨询业务和工程造价咨询责任的一方，以及其合法继承人。</w:t>
      </w:r>
    </w:p>
    <w:p w14:paraId="68A8F85C">
      <w:pPr>
        <w:pStyle w:val="32"/>
        <w:widowControl/>
        <w:numPr>
          <w:ilvl w:val="1"/>
          <w:numId w:val="5"/>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“第三人”是指除甲方、乙方以外与本咨询业务有关的当事人。</w:t>
      </w:r>
    </w:p>
    <w:p w14:paraId="2F6D8324">
      <w:pPr>
        <w:pStyle w:val="32"/>
        <w:widowControl/>
        <w:numPr>
          <w:ilvl w:val="1"/>
          <w:numId w:val="5"/>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“日”是指任何一天零时至第二天零时的时间段。</w:t>
      </w:r>
    </w:p>
    <w:p w14:paraId="44D6D3A4">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建设工程造价咨询合同适用的是中国的法律、法规，以及专用条款中议定的部门规章、工程造价有关计价办法和规定或项目所在地的地方法规、地方规章。</w:t>
      </w:r>
    </w:p>
    <w:p w14:paraId="241149F9">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建设工程造价咨询合同的书写、解释和说明，以中文为主导语言。当不同语言文本发生不同解释时，以</w:t>
      </w:r>
      <w:r>
        <w:rPr>
          <w:rFonts w:hint="eastAsia" w:ascii="宋体" w:hAnsi="宋体"/>
          <w:color w:val="auto"/>
          <w:kern w:val="0"/>
          <w:sz w:val="24"/>
          <w:szCs w:val="24"/>
          <w:highlight w:val="none"/>
        </w:rPr>
        <w:t>中文</w:t>
      </w:r>
      <w:r>
        <w:rPr>
          <w:rFonts w:ascii="宋体" w:hAnsi="宋体"/>
          <w:color w:val="auto"/>
          <w:kern w:val="0"/>
          <w:sz w:val="24"/>
          <w:szCs w:val="24"/>
          <w:highlight w:val="none"/>
        </w:rPr>
        <w:t>合同文本为准。</w:t>
      </w:r>
    </w:p>
    <w:p w14:paraId="60798324">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hint="eastAsia" w:ascii="宋体" w:hAnsi="宋体"/>
          <w:b/>
          <w:bCs/>
          <w:smallCaps/>
          <w:color w:val="auto"/>
          <w:kern w:val="0"/>
          <w:sz w:val="24"/>
          <w:szCs w:val="24"/>
          <w:highlight w:val="none"/>
        </w:rPr>
        <w:t>乙方的义务</w:t>
      </w:r>
    </w:p>
    <w:p w14:paraId="79584DC7">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向甲方提供与工程造价咨询业务有关的资料，包括工程造价咨询的资质证书及承担本合同业务的专业人员名单、咨询工作计划等，并按合同专用条款中约定的范围实施咨询业务。乙方不得从事所承担过的项目造价文件编制和审核的咨询服务。</w:t>
      </w:r>
    </w:p>
    <w:p w14:paraId="32D58C27">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乙方在履行本合同义务期间，应运用合理科学技能，为甲方提供与其工程造价咨询资质水平相适应的咨询意见，客观公正的维护各方的合法权益。</w:t>
      </w:r>
    </w:p>
    <w:p w14:paraId="025119C5">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对于甲方提出的口头问题乙方应随时提供咨询服务，对于依照法律法规规定或本合同约定或应甲方要求需向甲方提交书面文件，乙方应按照甲方要求的时间提供。</w:t>
      </w:r>
    </w:p>
    <w:p w14:paraId="4263962D">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乙方在履行本合同期间，向甲方提供的服务包括正常服务、附加服务和额外服务。</w:t>
      </w:r>
    </w:p>
    <w:p w14:paraId="6E7CB704">
      <w:pPr>
        <w:pStyle w:val="32"/>
        <w:widowControl/>
        <w:numPr>
          <w:ilvl w:val="0"/>
          <w:numId w:val="6"/>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“正常服务”是指双方在专用条款中约定的工程造价咨询工作；</w:t>
      </w:r>
    </w:p>
    <w:p w14:paraId="4BF47B2F">
      <w:pPr>
        <w:pStyle w:val="32"/>
        <w:widowControl/>
        <w:numPr>
          <w:ilvl w:val="0"/>
          <w:numId w:val="6"/>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“附加服务”是指在“正常服务”以外，经双方书面协议确定的附加服务；</w:t>
      </w:r>
    </w:p>
    <w:p w14:paraId="0FE2C764">
      <w:pPr>
        <w:pStyle w:val="32"/>
        <w:widowControl/>
        <w:numPr>
          <w:ilvl w:val="0"/>
          <w:numId w:val="6"/>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“额外服务”是指不属于“正常服务”和“附加服务”，但根据合同通用条款的规定，乙方应增加的额外工作量。</w:t>
      </w:r>
    </w:p>
    <w:p w14:paraId="577E8272">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在合同履行期间和合同终止后，未征得有关方同意，不得泄露与本合同规定业务活动有关的保密资料。乙方应保护交付成果的知识产权，未经甲方同意不得将交付成果的全部或部分信息进行修改或向第三人提供。</w:t>
      </w:r>
    </w:p>
    <w:p w14:paraId="3D490BC1">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hint="eastAsia" w:ascii="宋体" w:hAnsi="宋体"/>
          <w:b/>
          <w:bCs/>
          <w:smallCaps/>
          <w:color w:val="auto"/>
          <w:kern w:val="0"/>
          <w:sz w:val="24"/>
          <w:szCs w:val="24"/>
          <w:highlight w:val="none"/>
        </w:rPr>
        <w:t>甲方的义务</w:t>
      </w:r>
    </w:p>
    <w:p w14:paraId="4CEB5480">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甲方应负责与本咨询业务有关的第三人的协调，为乙方工作提供外部条件。</w:t>
      </w:r>
    </w:p>
    <w:p w14:paraId="2EACB8DA">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甲方应当在约定的时间内，免费向乙方提供与本咨询业务有关的资料。</w:t>
      </w:r>
    </w:p>
    <w:p w14:paraId="3E026B90">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甲方应当在约定的时间内就乙方书面提交并要求做出答复的事宜做出书面答复。乙方要求第三人提供有关资料时，甲方应尽快转达，并负责资料转送。</w:t>
      </w:r>
    </w:p>
    <w:p w14:paraId="1BFA9BB9">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甲方应当授权熟悉本咨询业务情况并能迅速作出决定的代表，负责与乙方联系。</w:t>
      </w:r>
    </w:p>
    <w:p w14:paraId="47F8A2B9">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color w:val="auto"/>
          <w:kern w:val="0"/>
          <w:sz w:val="24"/>
          <w:szCs w:val="24"/>
          <w:highlight w:val="none"/>
        </w:rPr>
      </w:pPr>
      <w:r>
        <w:rPr>
          <w:rFonts w:hint="eastAsia" w:ascii="宋体" w:hAnsi="宋体"/>
          <w:b/>
          <w:color w:val="auto"/>
          <w:kern w:val="0"/>
          <w:sz w:val="24"/>
          <w:szCs w:val="24"/>
          <w:highlight w:val="none"/>
        </w:rPr>
        <w:t>乙方的权利</w:t>
      </w:r>
    </w:p>
    <w:p w14:paraId="335332FC">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甲方在委托的本咨询业务范围内，授予乙方以下权利：</w:t>
      </w:r>
    </w:p>
    <w:p w14:paraId="3D5495D4">
      <w:pPr>
        <w:pStyle w:val="32"/>
        <w:widowControl/>
        <w:numPr>
          <w:ilvl w:val="0"/>
          <w:numId w:val="7"/>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乙方在咨询过程中，可就甲方提供的资料不明确的问题提出书面报告。</w:t>
      </w:r>
    </w:p>
    <w:p w14:paraId="421221C0">
      <w:pPr>
        <w:pStyle w:val="32"/>
        <w:widowControl/>
        <w:numPr>
          <w:ilvl w:val="0"/>
          <w:numId w:val="7"/>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乙方在咨询过程中，有权对第三人提出与本咨询业务有关的问题进行核对或查问。</w:t>
      </w:r>
    </w:p>
    <w:p w14:paraId="2F64F6DE">
      <w:pPr>
        <w:pStyle w:val="32"/>
        <w:widowControl/>
        <w:numPr>
          <w:ilvl w:val="0"/>
          <w:numId w:val="7"/>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乙方在咨询过程中，有到工程现场勘察的权利。</w:t>
      </w:r>
    </w:p>
    <w:p w14:paraId="63AC125A">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hint="eastAsia" w:ascii="宋体" w:hAnsi="宋体"/>
          <w:b/>
          <w:bCs/>
          <w:smallCaps/>
          <w:color w:val="auto"/>
          <w:kern w:val="0"/>
          <w:sz w:val="24"/>
          <w:szCs w:val="24"/>
          <w:highlight w:val="none"/>
        </w:rPr>
        <w:t>甲方的权利</w:t>
      </w:r>
    </w:p>
    <w:p w14:paraId="3F7F43F8">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甲方有下列权利：</w:t>
      </w:r>
    </w:p>
    <w:p w14:paraId="26742224">
      <w:pPr>
        <w:pStyle w:val="32"/>
        <w:widowControl/>
        <w:numPr>
          <w:ilvl w:val="0"/>
          <w:numId w:val="8"/>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甲方有权向乙方询问工作进展情况及相关的内容。</w:t>
      </w:r>
    </w:p>
    <w:p w14:paraId="1DE05A05">
      <w:pPr>
        <w:pStyle w:val="32"/>
        <w:widowControl/>
        <w:numPr>
          <w:ilvl w:val="0"/>
          <w:numId w:val="8"/>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甲方有权阐述对具体问题的意见和建议。</w:t>
      </w:r>
    </w:p>
    <w:p w14:paraId="565022F4">
      <w:pPr>
        <w:pStyle w:val="32"/>
        <w:widowControl/>
        <w:numPr>
          <w:ilvl w:val="0"/>
          <w:numId w:val="8"/>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当甲方认定咨询专业人员不按咨询合同履行其职责，或与第三人串通给甲方造成经济损失的，甲方有权要求</w:t>
      </w:r>
      <w:r>
        <w:rPr>
          <w:rFonts w:hint="eastAsia" w:ascii="宋体" w:hAnsi="宋体"/>
          <w:color w:val="auto"/>
          <w:kern w:val="0"/>
          <w:sz w:val="24"/>
          <w:szCs w:val="24"/>
          <w:highlight w:val="none"/>
          <w:lang w:val="en-US" w:eastAsia="zh-CN"/>
        </w:rPr>
        <w:t>乙方</w:t>
      </w:r>
      <w:r>
        <w:rPr>
          <w:rFonts w:ascii="宋体" w:hAnsi="宋体"/>
          <w:color w:val="auto"/>
          <w:kern w:val="0"/>
          <w:sz w:val="24"/>
          <w:szCs w:val="24"/>
          <w:highlight w:val="none"/>
        </w:rPr>
        <w:t>更换咨询专业人员，并</w:t>
      </w:r>
      <w:r>
        <w:rPr>
          <w:rFonts w:hint="eastAsia" w:ascii="宋体" w:hAnsi="宋体"/>
          <w:color w:val="auto"/>
          <w:kern w:val="0"/>
          <w:sz w:val="24"/>
          <w:szCs w:val="24"/>
          <w:highlight w:val="none"/>
          <w:lang w:val="en-US" w:eastAsia="zh-CN"/>
        </w:rPr>
        <w:t>有权</w:t>
      </w:r>
      <w:r>
        <w:rPr>
          <w:rFonts w:ascii="宋体" w:hAnsi="宋体"/>
          <w:color w:val="auto"/>
          <w:kern w:val="0"/>
          <w:sz w:val="24"/>
          <w:szCs w:val="24"/>
          <w:highlight w:val="none"/>
        </w:rPr>
        <w:t>要求乙方承担相应的赔偿责任。</w:t>
      </w:r>
    </w:p>
    <w:p w14:paraId="50B40E74">
      <w:pPr>
        <w:pStyle w:val="32"/>
        <w:widowControl/>
        <w:numPr>
          <w:ilvl w:val="0"/>
          <w:numId w:val="8"/>
        </w:numPr>
        <w:tabs>
          <w:tab w:val="left" w:pos="1276"/>
        </w:tabs>
        <w:adjustRightInd w:val="0"/>
        <w:snapToGrid w:val="0"/>
        <w:spacing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甲方拥有乙方交付</w:t>
      </w:r>
      <w:r>
        <w:rPr>
          <w:rFonts w:hint="eastAsia" w:ascii="宋体" w:hAnsi="宋体"/>
          <w:snapToGrid w:val="0"/>
          <w:color w:val="auto"/>
          <w:kern w:val="0"/>
          <w:sz w:val="24"/>
          <w:highlight w:val="none"/>
          <w:lang w:val="en-US" w:eastAsia="zh-CN"/>
        </w:rPr>
        <w:t>工程造价咨询</w:t>
      </w:r>
      <w:r>
        <w:rPr>
          <w:rFonts w:ascii="宋体" w:hAnsi="宋体"/>
          <w:color w:val="auto"/>
          <w:kern w:val="0"/>
          <w:sz w:val="24"/>
          <w:szCs w:val="24"/>
          <w:highlight w:val="none"/>
        </w:rPr>
        <w:t>成果</w:t>
      </w:r>
      <w:r>
        <w:rPr>
          <w:rFonts w:hint="eastAsia" w:ascii="宋体" w:hAnsi="宋体" w:cs="宋体"/>
          <w:color w:val="auto"/>
          <w:kern w:val="0"/>
          <w:sz w:val="24"/>
          <w:szCs w:val="24"/>
          <w:highlight w:val="none"/>
          <w:lang w:val="en-US" w:eastAsia="zh-CN"/>
        </w:rPr>
        <w:t>文件</w:t>
      </w:r>
      <w:r>
        <w:rPr>
          <w:rFonts w:ascii="宋体" w:hAnsi="宋体"/>
          <w:color w:val="auto"/>
          <w:kern w:val="0"/>
          <w:sz w:val="24"/>
          <w:szCs w:val="24"/>
          <w:highlight w:val="none"/>
        </w:rPr>
        <w:t>及因履行本合同所产生的相关资料的所有权和知识产权。</w:t>
      </w:r>
    </w:p>
    <w:p w14:paraId="33C205AC">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ascii="宋体" w:hAnsi="宋体"/>
          <w:b/>
          <w:bCs/>
          <w:smallCaps/>
          <w:color w:val="auto"/>
          <w:kern w:val="0"/>
          <w:sz w:val="24"/>
          <w:szCs w:val="24"/>
          <w:highlight w:val="none"/>
        </w:rPr>
        <w:t>乙方的责任</w:t>
      </w:r>
    </w:p>
    <w:p w14:paraId="494F583F">
      <w:pPr>
        <w:pStyle w:val="32"/>
        <w:widowControl/>
        <w:numPr>
          <w:ilvl w:val="1"/>
          <w:numId w:val="4"/>
        </w:numPr>
        <w:tabs>
          <w:tab w:val="left" w:pos="1276"/>
        </w:tabs>
        <w:adjustRightInd w:val="0"/>
        <w:snapToGrid w:val="0"/>
        <w:spacing w:before="240" w:beforeLines="100" w:after="240"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乙方的责任期即建设工程造价咨询</w:t>
      </w:r>
      <w:r>
        <w:rPr>
          <w:rFonts w:hint="eastAsia" w:ascii="宋体" w:hAnsi="宋体"/>
          <w:snapToGrid w:val="0"/>
          <w:color w:val="auto"/>
          <w:kern w:val="0"/>
          <w:sz w:val="24"/>
          <w:highlight w:val="none"/>
        </w:rPr>
        <w:t>服务</w:t>
      </w:r>
      <w:r>
        <w:rPr>
          <w:rFonts w:hint="eastAsia" w:ascii="宋体" w:hAnsi="宋体"/>
          <w:snapToGrid w:val="0"/>
          <w:color w:val="auto"/>
          <w:kern w:val="0"/>
          <w:sz w:val="24"/>
          <w:highlight w:val="none"/>
          <w:lang w:val="en-US" w:eastAsia="zh-CN"/>
        </w:rPr>
        <w:t>期限</w:t>
      </w:r>
      <w:r>
        <w:rPr>
          <w:rFonts w:ascii="宋体" w:hAnsi="宋体"/>
          <w:color w:val="auto"/>
          <w:kern w:val="0"/>
          <w:sz w:val="24"/>
          <w:szCs w:val="24"/>
          <w:highlight w:val="none"/>
        </w:rPr>
        <w:t>。如因非乙方的责任造成进度的推迟或延误而超过约定的日期，双方应进一步约定相应延长</w:t>
      </w:r>
      <w:r>
        <w:rPr>
          <w:rFonts w:hint="eastAsia" w:ascii="宋体" w:hAnsi="宋体"/>
          <w:snapToGrid w:val="0"/>
          <w:color w:val="auto"/>
          <w:kern w:val="0"/>
          <w:sz w:val="24"/>
          <w:highlight w:val="none"/>
        </w:rPr>
        <w:t>咨询服务</w:t>
      </w:r>
      <w:r>
        <w:rPr>
          <w:rFonts w:hint="eastAsia" w:ascii="宋体" w:hAnsi="宋体"/>
          <w:snapToGrid w:val="0"/>
          <w:color w:val="auto"/>
          <w:kern w:val="0"/>
          <w:sz w:val="24"/>
          <w:highlight w:val="none"/>
          <w:lang w:val="en-US" w:eastAsia="zh-CN"/>
        </w:rPr>
        <w:t>期限</w:t>
      </w:r>
      <w:r>
        <w:rPr>
          <w:rFonts w:ascii="宋体" w:hAnsi="宋体"/>
          <w:color w:val="auto"/>
          <w:kern w:val="0"/>
          <w:sz w:val="24"/>
          <w:szCs w:val="24"/>
          <w:highlight w:val="none"/>
        </w:rPr>
        <w:t>。</w:t>
      </w:r>
      <w:r>
        <w:rPr>
          <w:rFonts w:hint="eastAsia" w:ascii="宋体" w:hAnsi="宋体"/>
          <w:color w:val="auto"/>
          <w:szCs w:val="24"/>
          <w:highlight w:val="none"/>
          <w:lang w:val="en-US" w:eastAsia="zh-CN"/>
        </w:rPr>
        <w:t>乙方</w:t>
      </w:r>
      <w:r>
        <w:rPr>
          <w:rFonts w:hint="eastAsia" w:ascii="宋体" w:hAnsi="宋体"/>
          <w:snapToGrid w:val="0"/>
          <w:color w:val="auto"/>
          <w:kern w:val="0"/>
          <w:sz w:val="24"/>
          <w:highlight w:val="none"/>
        </w:rPr>
        <w:t>应在责任期内完成咨询工作，并应向</w:t>
      </w:r>
      <w:r>
        <w:rPr>
          <w:rFonts w:hint="eastAsia" w:ascii="宋体" w:hAnsi="宋体"/>
          <w:snapToGrid w:val="0"/>
          <w:color w:val="auto"/>
          <w:kern w:val="0"/>
          <w:sz w:val="24"/>
          <w:highlight w:val="none"/>
          <w:lang w:val="en-US" w:eastAsia="zh-CN"/>
        </w:rPr>
        <w:t>甲方</w:t>
      </w:r>
      <w:r>
        <w:rPr>
          <w:rFonts w:hint="eastAsia" w:ascii="宋体" w:hAnsi="宋体"/>
          <w:snapToGrid w:val="0"/>
          <w:color w:val="auto"/>
          <w:kern w:val="0"/>
          <w:sz w:val="24"/>
          <w:highlight w:val="none"/>
        </w:rPr>
        <w:t>提交一式【】份的</w:t>
      </w:r>
      <w:r>
        <w:rPr>
          <w:rFonts w:hint="eastAsia" w:ascii="宋体" w:hAnsi="宋体"/>
          <w:snapToGrid w:val="0"/>
          <w:color w:val="auto"/>
          <w:kern w:val="0"/>
          <w:sz w:val="24"/>
          <w:highlight w:val="none"/>
          <w:lang w:val="en-US" w:eastAsia="zh-CN"/>
        </w:rPr>
        <w:t>工程造价咨询</w:t>
      </w:r>
      <w:r>
        <w:rPr>
          <w:rFonts w:hint="eastAsia" w:ascii="宋体" w:hAnsi="宋体" w:cs="宋体"/>
          <w:color w:val="auto"/>
          <w:kern w:val="0"/>
          <w:sz w:val="24"/>
          <w:szCs w:val="24"/>
          <w:highlight w:val="none"/>
          <w:lang w:val="en-US" w:eastAsia="zh-CN"/>
        </w:rPr>
        <w:t>成果文件</w:t>
      </w: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乙方</w:t>
      </w:r>
      <w:r>
        <w:rPr>
          <w:rFonts w:hint="eastAsia" w:ascii="宋体" w:hAnsi="宋体"/>
          <w:snapToGrid w:val="0"/>
          <w:color w:val="auto"/>
          <w:kern w:val="0"/>
          <w:sz w:val="24"/>
          <w:highlight w:val="none"/>
        </w:rPr>
        <w:t>完成委托书约定的咨询服务工作内容后，须无条件地归还</w:t>
      </w:r>
      <w:r>
        <w:rPr>
          <w:rFonts w:hint="eastAsia" w:ascii="宋体" w:hAnsi="宋体"/>
          <w:snapToGrid w:val="0"/>
          <w:color w:val="auto"/>
          <w:kern w:val="0"/>
          <w:sz w:val="24"/>
          <w:highlight w:val="none"/>
          <w:lang w:val="en-US" w:eastAsia="zh-CN"/>
        </w:rPr>
        <w:t>甲方</w:t>
      </w:r>
      <w:r>
        <w:rPr>
          <w:rFonts w:hint="eastAsia" w:ascii="宋体" w:hAnsi="宋体"/>
          <w:snapToGrid w:val="0"/>
          <w:color w:val="auto"/>
          <w:kern w:val="0"/>
          <w:sz w:val="24"/>
          <w:highlight w:val="none"/>
        </w:rPr>
        <w:t>提供的一切资料。</w:t>
      </w:r>
    </w:p>
    <w:p w14:paraId="5438EBF6">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责任期内，应当履行建设工程造价咨询合同中约定的义务，乙方及其工作人员在工程咨询过程中，不得与工程承包人进行不正当接触，不得收取不当利益。如因乙方的单方过失造成甲方的经济损失，应当向甲方进行赔偿。累计赔偿总额不应超过建设工程造价咨询酬金总额。</w:t>
      </w:r>
    </w:p>
    <w:p w14:paraId="0D1B88E3">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乙方对甲方或第三人所提出的问题不能及时核对</w:t>
      </w:r>
      <w:r>
        <w:rPr>
          <w:rFonts w:ascii="宋体" w:hAnsi="宋体" w:eastAsia="宋体"/>
          <w:color w:val="auto"/>
          <w:kern w:val="0"/>
          <w:sz w:val="24"/>
          <w:szCs w:val="24"/>
          <w:highlight w:val="none"/>
        </w:rPr>
        <w:t>或答复</w:t>
      </w:r>
      <w:r>
        <w:rPr>
          <w:rFonts w:hint="default" w:ascii="宋体" w:hAnsi="宋体" w:eastAsia="宋体"/>
          <w:color w:val="auto"/>
          <w:kern w:val="0"/>
          <w:sz w:val="24"/>
          <w:szCs w:val="24"/>
          <w:highlight w:val="none"/>
          <w:lang w:val="en-US" w:eastAsia="zh-CN"/>
        </w:rPr>
        <w:t>错误的</w:t>
      </w:r>
      <w:r>
        <w:rPr>
          <w:rFonts w:ascii="宋体" w:hAnsi="宋体" w:eastAsia="宋体"/>
          <w:color w:val="auto"/>
          <w:kern w:val="0"/>
          <w:sz w:val="24"/>
          <w:szCs w:val="24"/>
          <w:highlight w:val="none"/>
        </w:rPr>
        <w:t>，导致合</w:t>
      </w:r>
      <w:r>
        <w:rPr>
          <w:rFonts w:ascii="宋体" w:hAnsi="宋体"/>
          <w:color w:val="auto"/>
          <w:kern w:val="0"/>
          <w:sz w:val="24"/>
          <w:szCs w:val="24"/>
          <w:highlight w:val="none"/>
        </w:rPr>
        <w:t>同不能全部或部分履行，乙方应承担责任。</w:t>
      </w:r>
    </w:p>
    <w:p w14:paraId="5860CF0C">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乙方向甲方提出赔偿要求或其他要求不能成立时，则乙方应补偿甲方由于该赔偿或其他要求所支出的合理必要费用。</w:t>
      </w:r>
    </w:p>
    <w:p w14:paraId="21915566">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ascii="宋体" w:hAnsi="宋体"/>
          <w:b/>
          <w:bCs/>
          <w:smallCaps/>
          <w:color w:val="auto"/>
          <w:kern w:val="0"/>
          <w:sz w:val="24"/>
          <w:szCs w:val="24"/>
          <w:highlight w:val="none"/>
        </w:rPr>
        <w:t>甲方的责任</w:t>
      </w:r>
    </w:p>
    <w:p w14:paraId="5F8CD9BD">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甲方应当履行建设工程造价咨询合同约定的义务，如有违反则应当承担违约责任，赔偿给乙方造成的损失。</w:t>
      </w:r>
    </w:p>
    <w:p w14:paraId="23DADE79">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甲方如果向乙方提出赔偿或其他要求不能成立时，则甲方应补偿乙方由于该赔偿或其他要求所支出的合理必要费用。</w:t>
      </w:r>
    </w:p>
    <w:p w14:paraId="14E51C09">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ascii="宋体" w:hAnsi="宋体"/>
          <w:b/>
          <w:bCs/>
          <w:smallCaps/>
          <w:color w:val="auto"/>
          <w:kern w:val="0"/>
          <w:sz w:val="24"/>
          <w:szCs w:val="24"/>
          <w:highlight w:val="none"/>
        </w:rPr>
        <w:t>合同生效，变更与终止</w:t>
      </w:r>
    </w:p>
    <w:p w14:paraId="3CB92CB0">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本合同自</w:t>
      </w:r>
      <w:r>
        <w:rPr>
          <w:rFonts w:hint="eastAsia" w:ascii="宋体" w:hAnsi="宋体"/>
          <w:color w:val="auto"/>
          <w:kern w:val="0"/>
          <w:sz w:val="24"/>
          <w:szCs w:val="24"/>
          <w:highlight w:val="none"/>
        </w:rPr>
        <w:t>双方</w:t>
      </w:r>
      <w:r>
        <w:rPr>
          <w:rFonts w:hint="default" w:ascii="宋体" w:hAnsi="宋体"/>
          <w:color w:val="auto"/>
          <w:kern w:val="0"/>
          <w:sz w:val="24"/>
          <w:szCs w:val="24"/>
          <w:highlight w:val="none"/>
          <w:lang w:val="en-US" w:eastAsia="zh-CN"/>
        </w:rPr>
        <w:t>法定代表人或委托代理人</w:t>
      </w:r>
      <w:r>
        <w:rPr>
          <w:rFonts w:ascii="宋体" w:hAnsi="宋体"/>
          <w:color w:val="auto"/>
          <w:kern w:val="0"/>
          <w:sz w:val="24"/>
          <w:szCs w:val="24"/>
          <w:highlight w:val="none"/>
        </w:rPr>
        <w:t>签字</w:t>
      </w:r>
      <w:r>
        <w:rPr>
          <w:rFonts w:hint="eastAsia" w:ascii="宋体" w:hAnsi="宋体"/>
          <w:color w:val="auto"/>
          <w:kern w:val="0"/>
          <w:sz w:val="24"/>
          <w:szCs w:val="24"/>
          <w:highlight w:val="none"/>
          <w:lang w:val="en-US" w:eastAsia="zh-CN"/>
        </w:rPr>
        <w:t>并加</w:t>
      </w:r>
      <w:r>
        <w:rPr>
          <w:rFonts w:ascii="宋体" w:hAnsi="宋体"/>
          <w:color w:val="auto"/>
          <w:kern w:val="0"/>
          <w:sz w:val="24"/>
          <w:szCs w:val="24"/>
          <w:highlight w:val="none"/>
        </w:rPr>
        <w:t>盖</w:t>
      </w:r>
      <w:r>
        <w:rPr>
          <w:rFonts w:hint="eastAsia" w:ascii="宋体" w:hAnsi="宋体"/>
          <w:color w:val="auto"/>
          <w:kern w:val="0"/>
          <w:sz w:val="24"/>
          <w:szCs w:val="24"/>
          <w:highlight w:val="none"/>
          <w:lang w:val="en-US" w:eastAsia="zh-CN"/>
        </w:rPr>
        <w:t>公</w:t>
      </w:r>
      <w:r>
        <w:rPr>
          <w:rFonts w:ascii="宋体" w:hAnsi="宋体"/>
          <w:color w:val="auto"/>
          <w:kern w:val="0"/>
          <w:sz w:val="24"/>
          <w:szCs w:val="24"/>
          <w:highlight w:val="none"/>
        </w:rPr>
        <w:t>章之日起生效。</w:t>
      </w:r>
    </w:p>
    <w:p w14:paraId="29FC8D65">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由于非乙方原因使乙方工作受到阻碍或延误以致增加了工作量或持续时间，则乙方应当将此情况与可能产生的影响在发生后</w:t>
      </w:r>
      <w:r>
        <w:rPr>
          <w:rFonts w:hint="eastAsia" w:ascii="宋体" w:hAnsi="宋体"/>
          <w:color w:val="auto"/>
          <w:kern w:val="0"/>
          <w:sz w:val="24"/>
          <w:szCs w:val="24"/>
          <w:highlight w:val="none"/>
          <w:u w:val="single"/>
        </w:rPr>
        <w:t>7</w:t>
      </w:r>
      <w:r>
        <w:rPr>
          <w:rFonts w:ascii="宋体" w:hAnsi="宋体"/>
          <w:color w:val="auto"/>
          <w:kern w:val="0"/>
          <w:sz w:val="24"/>
          <w:szCs w:val="24"/>
          <w:highlight w:val="none"/>
        </w:rPr>
        <w:t>天内及时书面通知甲方。由此增加的工作量视为额外服务，完成建设工程造价咨询工作的时间应当相应延长，并得到额外的酬金。否则，视为乙方放弃增加的额外服务酬金。</w:t>
      </w:r>
    </w:p>
    <w:p w14:paraId="482D18A0">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当事人一方要求变更或解除合同时，则应当在14日前书面通知对方；因变更或解除合同使一方遭受损失的，应由责任方负责赔偿。</w:t>
      </w:r>
    </w:p>
    <w:p w14:paraId="5E19E08A">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乙方由于甲方原因暂停或终止执行本咨询业务，由此而增加的恢复执行本造价咨询业务的工作，应视为额外服务，有权得到额外的时间和酬金。</w:t>
      </w:r>
    </w:p>
    <w:p w14:paraId="2AF21C8B">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变更或解除合同的通知或协议应当采取书面形式，新的协议未达成之前，原合同仍然有效。</w:t>
      </w:r>
    </w:p>
    <w:p w14:paraId="2B3B294F">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ascii="宋体" w:hAnsi="宋体"/>
          <w:b/>
          <w:bCs/>
          <w:smallCaps/>
          <w:color w:val="auto"/>
          <w:kern w:val="0"/>
          <w:sz w:val="24"/>
          <w:szCs w:val="24"/>
          <w:highlight w:val="none"/>
        </w:rPr>
        <w:t>咨询业务的酬金</w:t>
      </w:r>
    </w:p>
    <w:p w14:paraId="1134CA0E">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本合同项下的咨询业务酬金，按照建设工程造价咨询合同专用条款约定的方法计取，并按约定的时间和数额支付。若乙方未按照本合同的约定履行相关义务或未能完全履行相关义务的，</w:t>
      </w:r>
      <w:r>
        <w:rPr>
          <w:rFonts w:hint="eastAsia" w:ascii="宋体" w:hAnsi="宋体"/>
          <w:color w:val="auto"/>
          <w:kern w:val="0"/>
          <w:sz w:val="24"/>
          <w:szCs w:val="24"/>
          <w:highlight w:val="none"/>
        </w:rPr>
        <w:t>甲方</w:t>
      </w:r>
      <w:r>
        <w:rPr>
          <w:rFonts w:ascii="宋体" w:hAnsi="宋体"/>
          <w:color w:val="auto"/>
          <w:kern w:val="0"/>
          <w:sz w:val="24"/>
          <w:szCs w:val="24"/>
          <w:highlight w:val="none"/>
        </w:rPr>
        <w:t>有权暂停支付或扣减相关酬金。</w:t>
      </w:r>
    </w:p>
    <w:p w14:paraId="7A5B4B78">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合同约定的酬金支付期限届满前</w:t>
      </w:r>
      <w:r>
        <w:rPr>
          <w:rFonts w:hint="eastAsia" w:ascii="宋体" w:hAnsi="宋体"/>
          <w:color w:val="auto"/>
          <w:kern w:val="0"/>
          <w:sz w:val="24"/>
          <w:szCs w:val="24"/>
          <w:highlight w:val="none"/>
          <w:u w:val="single"/>
        </w:rPr>
        <w:t>10 个</w:t>
      </w:r>
      <w:r>
        <w:rPr>
          <w:rFonts w:hint="eastAsia" w:ascii="宋体" w:hAnsi="宋体"/>
          <w:color w:val="auto"/>
          <w:kern w:val="0"/>
          <w:sz w:val="24"/>
          <w:szCs w:val="24"/>
          <w:highlight w:val="none"/>
        </w:rPr>
        <w:t>工作</w:t>
      </w:r>
      <w:r>
        <w:rPr>
          <w:rFonts w:ascii="宋体" w:hAnsi="宋体"/>
          <w:color w:val="auto"/>
          <w:kern w:val="0"/>
          <w:sz w:val="24"/>
          <w:szCs w:val="24"/>
          <w:highlight w:val="none"/>
        </w:rPr>
        <w:t>日，乙方应向甲方发出支付通知书并提供相应的合法发票。支付酬金前，乙方应向甲方提交支付申请，经甲方审核无误后支付；如对酬金或部分酬金有异议，甲方应在收到支付申请之日起7个工作日内通知乙方，但不得拖延其无异议酬金项目的支付；对有异议部分，接到甲方通知后，乙方应立即核实处理。</w:t>
      </w:r>
    </w:p>
    <w:p w14:paraId="6716DE62">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支付建设工程造价咨询酬金所采取的货币币种、汇率由合同专用条款约定。</w:t>
      </w:r>
    </w:p>
    <w:p w14:paraId="7E2029F5">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ascii="宋体" w:hAnsi="宋体"/>
          <w:b/>
          <w:bCs/>
          <w:smallCaps/>
          <w:color w:val="auto"/>
          <w:kern w:val="0"/>
          <w:sz w:val="24"/>
          <w:szCs w:val="24"/>
          <w:highlight w:val="none"/>
        </w:rPr>
        <w:t>其他</w:t>
      </w:r>
    </w:p>
    <w:p w14:paraId="35998B0E">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因本咨询业务的需要，乙方需在合同约定外的地方考察，经甲方书面同意，乙方在考察期间产生的合理的交通费、住宿费、餐饮费由甲方负责。</w:t>
      </w:r>
    </w:p>
    <w:p w14:paraId="00E06709">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乙方如需外聘专家协助，在委托的本咨询业务范围内其费用由乙方承担；在委托的本咨询业务范围以外，且经甲方书面同意后，产生的外聘专家费用由甲方承担。</w:t>
      </w:r>
    </w:p>
    <w:p w14:paraId="079FF95D">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未经对方的书面同意，各方均不得转让合同约定的权利和义务。</w:t>
      </w:r>
    </w:p>
    <w:p w14:paraId="74BAB09B">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除甲方书面同意外，乙方及咨询专业人员不应接受本咨询合同约定以外的与工程造价咨询项目有关的任何报酬。</w:t>
      </w:r>
    </w:p>
    <w:p w14:paraId="01A8906C">
      <w:pPr>
        <w:widowControl/>
        <w:adjustRightInd w:val="0"/>
        <w:snapToGrid w:val="0"/>
        <w:spacing w:before="312" w:beforeLines="100" w:after="312" w:afterLines="100" w:line="360" w:lineRule="auto"/>
        <w:ind w:left="1275" w:leftChars="607"/>
        <w:jc w:val="left"/>
        <w:rPr>
          <w:rFonts w:ascii="宋体" w:hAnsi="宋体"/>
          <w:color w:val="auto"/>
          <w:kern w:val="0"/>
          <w:sz w:val="24"/>
          <w:szCs w:val="24"/>
          <w:highlight w:val="none"/>
        </w:rPr>
      </w:pPr>
      <w:r>
        <w:rPr>
          <w:rFonts w:ascii="宋体" w:hAnsi="宋体"/>
          <w:color w:val="auto"/>
          <w:kern w:val="0"/>
          <w:sz w:val="24"/>
          <w:szCs w:val="24"/>
          <w:highlight w:val="none"/>
        </w:rPr>
        <w:t>乙方不得参与可能与合同规定的与甲方利益相冲突的任何活动。</w:t>
      </w:r>
    </w:p>
    <w:p w14:paraId="236A3F93">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工程造价咨询服务成果</w:t>
      </w:r>
      <w:r>
        <w:rPr>
          <w:rFonts w:hint="eastAsia" w:ascii="宋体" w:hAnsi="宋体"/>
          <w:color w:val="auto"/>
          <w:kern w:val="0"/>
          <w:sz w:val="24"/>
          <w:szCs w:val="24"/>
          <w:highlight w:val="none"/>
          <w:lang w:val="en-US" w:eastAsia="zh-CN"/>
        </w:rPr>
        <w:t>文件</w:t>
      </w:r>
      <w:r>
        <w:rPr>
          <w:rFonts w:ascii="宋体" w:hAnsi="宋体"/>
          <w:color w:val="auto"/>
          <w:kern w:val="0"/>
          <w:sz w:val="24"/>
          <w:szCs w:val="24"/>
          <w:highlight w:val="none"/>
        </w:rPr>
        <w:t>质量标准，由双方在专用条款中约定。</w:t>
      </w:r>
    </w:p>
    <w:p w14:paraId="016018AC">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造价咨询成果</w:t>
      </w:r>
      <w:r>
        <w:rPr>
          <w:rFonts w:hint="eastAsia" w:ascii="宋体" w:hAnsi="宋体"/>
          <w:color w:val="auto"/>
          <w:kern w:val="0"/>
          <w:sz w:val="24"/>
          <w:szCs w:val="24"/>
          <w:highlight w:val="none"/>
          <w:lang w:val="en-US" w:eastAsia="zh-CN"/>
        </w:rPr>
        <w:t>文件</w:t>
      </w:r>
      <w:r>
        <w:rPr>
          <w:rFonts w:ascii="宋体" w:hAnsi="宋体"/>
          <w:color w:val="auto"/>
          <w:kern w:val="0"/>
          <w:sz w:val="24"/>
          <w:szCs w:val="24"/>
          <w:highlight w:val="none"/>
        </w:rPr>
        <w:t>的验收及费用支付，由双方在专用条款中约定。</w:t>
      </w:r>
    </w:p>
    <w:p w14:paraId="1A5B7B23">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乙方在咨询过程中应坚守合法性原则，对工程签证或补充协议有违反法律禁止性规定的，应予排除。</w:t>
      </w:r>
    </w:p>
    <w:p w14:paraId="39AF2D01">
      <w:pPr>
        <w:widowControl/>
        <w:numPr>
          <w:ilvl w:val="0"/>
          <w:numId w:val="3"/>
        </w:numPr>
        <w:tabs>
          <w:tab w:val="left" w:pos="1276"/>
        </w:tabs>
        <w:adjustRightInd w:val="0"/>
        <w:snapToGrid w:val="0"/>
        <w:spacing w:before="312" w:beforeLines="100" w:after="312" w:afterLines="100" w:line="360" w:lineRule="auto"/>
        <w:ind w:left="0" w:firstLine="0"/>
        <w:jc w:val="left"/>
        <w:rPr>
          <w:rFonts w:ascii="宋体" w:hAnsi="宋体"/>
          <w:b/>
          <w:bCs/>
          <w:smallCaps/>
          <w:color w:val="auto"/>
          <w:kern w:val="0"/>
          <w:sz w:val="24"/>
          <w:szCs w:val="24"/>
          <w:highlight w:val="none"/>
        </w:rPr>
      </w:pPr>
      <w:r>
        <w:rPr>
          <w:rFonts w:ascii="宋体" w:hAnsi="宋体"/>
          <w:b/>
          <w:bCs/>
          <w:smallCaps/>
          <w:color w:val="auto"/>
          <w:kern w:val="0"/>
          <w:sz w:val="24"/>
          <w:szCs w:val="24"/>
          <w:highlight w:val="none"/>
        </w:rPr>
        <w:t>合同争议的解决</w:t>
      </w:r>
    </w:p>
    <w:p w14:paraId="356E139A">
      <w:pPr>
        <w:pStyle w:val="32"/>
        <w:widowControl/>
        <w:numPr>
          <w:ilvl w:val="1"/>
          <w:numId w:val="4"/>
        </w:numPr>
        <w:tabs>
          <w:tab w:val="left" w:pos="1276"/>
        </w:tabs>
        <w:adjustRightInd w:val="0"/>
        <w:snapToGrid w:val="0"/>
        <w:spacing w:before="312" w:beforeLines="100" w:after="312" w:afterLines="100" w:line="360" w:lineRule="auto"/>
        <w:ind w:left="1392" w:hanging="1392" w:hangingChars="580"/>
        <w:jc w:val="left"/>
        <w:rPr>
          <w:rFonts w:ascii="宋体" w:hAnsi="宋体"/>
          <w:color w:val="auto"/>
          <w:kern w:val="0"/>
          <w:sz w:val="24"/>
          <w:szCs w:val="24"/>
          <w:highlight w:val="none"/>
        </w:rPr>
      </w:pPr>
      <w:r>
        <w:rPr>
          <w:rFonts w:ascii="宋体" w:hAnsi="宋体"/>
          <w:color w:val="auto"/>
          <w:kern w:val="0"/>
          <w:sz w:val="24"/>
          <w:szCs w:val="24"/>
          <w:highlight w:val="none"/>
        </w:rPr>
        <w:t>因违约或终止合同而引起的损失和损害的赔偿，甲方与乙方之间应当协商解决；如未能达成一致，可提交有关主管部门调解；协商或调解不成的，由双方在专用条款中约定以下</w:t>
      </w:r>
      <w:r>
        <w:rPr>
          <w:rFonts w:hint="eastAsia" w:ascii="宋体" w:hAnsi="宋体"/>
          <w:color w:val="auto"/>
          <w:kern w:val="0"/>
          <w:sz w:val="24"/>
          <w:szCs w:val="24"/>
          <w:highlight w:val="none"/>
        </w:rPr>
        <w:t>第</w:t>
      </w:r>
      <w:r>
        <w:rPr>
          <w:rFonts w:hint="eastAsia" w:ascii="宋体" w:hAnsi="宋体"/>
          <w:color w:val="auto"/>
          <w:kern w:val="0"/>
          <w:sz w:val="24"/>
          <w:szCs w:val="24"/>
          <w:highlight w:val="none"/>
          <w:u w:val="single"/>
        </w:rPr>
        <w:t xml:space="preserve"> 2 </w:t>
      </w:r>
      <w:r>
        <w:rPr>
          <w:rFonts w:ascii="宋体" w:hAnsi="宋体"/>
          <w:color w:val="auto"/>
          <w:kern w:val="0"/>
          <w:sz w:val="24"/>
          <w:szCs w:val="24"/>
          <w:highlight w:val="none"/>
        </w:rPr>
        <w:t>种方式解决争议：</w:t>
      </w:r>
    </w:p>
    <w:p w14:paraId="6E3170B7">
      <w:pPr>
        <w:numPr>
          <w:ilvl w:val="0"/>
          <w:numId w:val="9"/>
        </w:numPr>
        <w:tabs>
          <w:tab w:val="left" w:pos="1276"/>
        </w:tabs>
        <w:autoSpaceDE w:val="0"/>
        <w:autoSpaceDN w:val="0"/>
        <w:adjustRightInd w:val="0"/>
        <w:snapToGrid w:val="0"/>
        <w:spacing w:line="360" w:lineRule="auto"/>
        <w:ind w:left="1390" w:leftChars="-1" w:hanging="1392" w:hangingChars="580"/>
        <w:jc w:val="left"/>
        <w:rPr>
          <w:rFonts w:ascii="宋体" w:hAnsi="宋体"/>
          <w:color w:val="auto"/>
          <w:sz w:val="24"/>
          <w:szCs w:val="24"/>
          <w:highlight w:val="none"/>
        </w:rPr>
      </w:pPr>
      <w:r>
        <w:rPr>
          <w:rFonts w:ascii="宋体" w:hAnsi="宋体"/>
          <w:color w:val="auto"/>
          <w:sz w:val="24"/>
          <w:szCs w:val="24"/>
          <w:highlight w:val="none"/>
        </w:rPr>
        <w:t>向广州仲裁委员会申请仲裁；</w:t>
      </w:r>
    </w:p>
    <w:p w14:paraId="1F9970C4">
      <w:pPr>
        <w:numPr>
          <w:ilvl w:val="0"/>
          <w:numId w:val="9"/>
        </w:numPr>
        <w:tabs>
          <w:tab w:val="left" w:pos="1276"/>
        </w:tabs>
        <w:autoSpaceDE w:val="0"/>
        <w:autoSpaceDN w:val="0"/>
        <w:adjustRightInd w:val="0"/>
        <w:snapToGrid w:val="0"/>
        <w:spacing w:line="360" w:lineRule="auto"/>
        <w:ind w:left="1390" w:leftChars="-1" w:hanging="1392" w:hangingChars="580"/>
        <w:jc w:val="left"/>
        <w:rPr>
          <w:rFonts w:ascii="宋体" w:hAnsi="宋体"/>
          <w:color w:val="auto"/>
          <w:sz w:val="24"/>
          <w:szCs w:val="24"/>
          <w:highlight w:val="none"/>
        </w:rPr>
      </w:pPr>
      <w:r>
        <w:rPr>
          <w:rFonts w:ascii="宋体" w:hAnsi="宋体"/>
          <w:color w:val="auto"/>
          <w:sz w:val="24"/>
          <w:szCs w:val="24"/>
          <w:highlight w:val="none"/>
        </w:rPr>
        <w:t>向</w:t>
      </w:r>
      <w:r>
        <w:rPr>
          <w:rFonts w:ascii="宋体" w:hAnsi="宋体"/>
          <w:color w:val="auto"/>
          <w:sz w:val="24"/>
          <w:szCs w:val="24"/>
          <w:highlight w:val="none"/>
          <w:u w:val="single"/>
        </w:rPr>
        <w:t>（项目所在地）</w:t>
      </w:r>
      <w:r>
        <w:rPr>
          <w:rFonts w:ascii="宋体" w:hAnsi="宋体"/>
          <w:color w:val="auto"/>
          <w:sz w:val="24"/>
          <w:szCs w:val="24"/>
          <w:highlight w:val="none"/>
        </w:rPr>
        <w:t>人民法院起诉。</w:t>
      </w:r>
    </w:p>
    <w:p w14:paraId="1410E999">
      <w:pPr>
        <w:pStyle w:val="32"/>
        <w:widowControl/>
        <w:tabs>
          <w:tab w:val="left" w:pos="1276"/>
        </w:tabs>
        <w:adjustRightInd w:val="0"/>
        <w:snapToGrid w:val="0"/>
        <w:spacing w:before="312" w:beforeLines="100" w:after="312" w:afterLines="100" w:line="360" w:lineRule="auto"/>
        <w:ind w:firstLine="0" w:firstLineChars="0"/>
        <w:jc w:val="left"/>
        <w:rPr>
          <w:rFonts w:ascii="Times New Roman" w:hAnsi="Times New Roman"/>
          <w:color w:val="auto"/>
          <w:kern w:val="0"/>
          <w:sz w:val="24"/>
          <w:szCs w:val="24"/>
          <w:highlight w:val="none"/>
        </w:rPr>
      </w:pPr>
    </w:p>
    <w:p w14:paraId="4B61F33E">
      <w:pPr>
        <w:pStyle w:val="32"/>
        <w:widowControl/>
        <w:tabs>
          <w:tab w:val="left" w:pos="1276"/>
        </w:tabs>
        <w:adjustRightInd w:val="0"/>
        <w:snapToGrid w:val="0"/>
        <w:spacing w:before="312" w:beforeLines="100" w:after="312" w:afterLines="100" w:line="360" w:lineRule="auto"/>
        <w:ind w:firstLine="0" w:firstLineChars="0"/>
        <w:jc w:val="left"/>
        <w:rPr>
          <w:rFonts w:ascii="Times New Roman" w:hAnsi="Times New Roman"/>
          <w:color w:val="auto"/>
          <w:kern w:val="0"/>
          <w:sz w:val="24"/>
          <w:szCs w:val="24"/>
          <w:highlight w:val="none"/>
        </w:rPr>
      </w:pPr>
    </w:p>
    <w:p w14:paraId="56D8FD74">
      <w:pPr>
        <w:pStyle w:val="32"/>
        <w:widowControl/>
        <w:tabs>
          <w:tab w:val="left" w:pos="1274"/>
        </w:tabs>
        <w:adjustRightInd w:val="0"/>
        <w:snapToGrid w:val="0"/>
        <w:spacing w:before="312" w:beforeLines="100" w:after="312" w:afterLines="100" w:line="360" w:lineRule="auto"/>
        <w:ind w:firstLine="0" w:firstLineChars="0"/>
        <w:jc w:val="center"/>
        <w:rPr>
          <w:rFonts w:ascii="宋体" w:hAnsi="宋体"/>
          <w:b/>
          <w:bCs/>
          <w:smallCaps/>
          <w:color w:val="auto"/>
          <w:kern w:val="0"/>
          <w:sz w:val="36"/>
          <w:szCs w:val="36"/>
          <w:highlight w:val="none"/>
        </w:rPr>
      </w:pPr>
      <w:r>
        <w:rPr>
          <w:rFonts w:ascii="Times New Roman" w:hAnsi="Times New Roman"/>
          <w:color w:val="auto"/>
          <w:kern w:val="0"/>
          <w:sz w:val="24"/>
          <w:szCs w:val="24"/>
          <w:highlight w:val="none"/>
        </w:rPr>
        <w:br w:type="page"/>
      </w:r>
      <w:r>
        <w:rPr>
          <w:rFonts w:hint="eastAsia" w:ascii="宋体" w:hAnsi="宋体"/>
          <w:b/>
          <w:color w:val="auto"/>
          <w:kern w:val="0"/>
          <w:sz w:val="36"/>
          <w:szCs w:val="36"/>
          <w:highlight w:val="none"/>
        </w:rPr>
        <w:t xml:space="preserve">第三部分   </w:t>
      </w:r>
      <w:r>
        <w:rPr>
          <w:rFonts w:hint="eastAsia" w:ascii="宋体" w:hAnsi="宋体"/>
          <w:b/>
          <w:bCs/>
          <w:smallCaps/>
          <w:color w:val="auto"/>
          <w:kern w:val="0"/>
          <w:sz w:val="36"/>
          <w:szCs w:val="36"/>
          <w:highlight w:val="none"/>
        </w:rPr>
        <w:t>建设工程造价咨询合同专用条款</w:t>
      </w:r>
    </w:p>
    <w:p w14:paraId="3B047C2B">
      <w:pPr>
        <w:widowControl/>
        <w:tabs>
          <w:tab w:val="left" w:pos="1276"/>
        </w:tabs>
        <w:adjustRightInd w:val="0"/>
        <w:snapToGrid w:val="0"/>
        <w:spacing w:before="312" w:beforeLines="100" w:after="312" w:afterLines="100" w:line="440" w:lineRule="exact"/>
        <w:ind w:firstLine="472" w:firstLineChars="196"/>
        <w:jc w:val="left"/>
        <w:rPr>
          <w:rFonts w:ascii="宋体" w:hAnsi="宋体"/>
          <w:color w:val="auto"/>
          <w:kern w:val="0"/>
          <w:sz w:val="24"/>
          <w:szCs w:val="24"/>
          <w:highlight w:val="none"/>
        </w:rPr>
      </w:pPr>
      <w:r>
        <w:rPr>
          <w:rFonts w:hint="eastAsia" w:ascii="宋体" w:hAnsi="宋体"/>
          <w:b/>
          <w:bCs/>
          <w:smallCaps/>
          <w:color w:val="auto"/>
          <w:kern w:val="0"/>
          <w:sz w:val="24"/>
          <w:szCs w:val="24"/>
          <w:highlight w:val="none"/>
        </w:rPr>
        <w:t xml:space="preserve">第一条  </w:t>
      </w:r>
      <w:r>
        <w:rPr>
          <w:rFonts w:ascii="宋体" w:hAnsi="宋体"/>
          <w:b/>
          <w:bCs/>
          <w:smallCaps/>
          <w:color w:val="auto"/>
          <w:kern w:val="0"/>
          <w:sz w:val="24"/>
          <w:szCs w:val="24"/>
          <w:highlight w:val="none"/>
        </w:rPr>
        <w:t>本合同适用的</w:t>
      </w:r>
      <w:r>
        <w:rPr>
          <w:rFonts w:hint="eastAsia" w:ascii="宋体" w:hAnsi="宋体"/>
          <w:b/>
          <w:bCs/>
          <w:smallCaps/>
          <w:color w:val="auto"/>
          <w:kern w:val="0"/>
          <w:sz w:val="24"/>
          <w:szCs w:val="24"/>
          <w:highlight w:val="none"/>
        </w:rPr>
        <w:t>法律、法规及</w:t>
      </w:r>
      <w:r>
        <w:rPr>
          <w:rFonts w:ascii="宋体" w:hAnsi="宋体"/>
          <w:b/>
          <w:bCs/>
          <w:smallCaps/>
          <w:color w:val="auto"/>
          <w:kern w:val="0"/>
          <w:sz w:val="24"/>
          <w:szCs w:val="24"/>
          <w:highlight w:val="none"/>
        </w:rPr>
        <w:t>工程造价计价办法和规定</w:t>
      </w:r>
      <w:r>
        <w:rPr>
          <w:rFonts w:hint="eastAsia" w:ascii="宋体" w:hAnsi="宋体"/>
          <w:b/>
          <w:bCs/>
          <w:smallCaps/>
          <w:color w:val="auto"/>
          <w:kern w:val="0"/>
          <w:sz w:val="24"/>
          <w:szCs w:val="24"/>
          <w:highlight w:val="none"/>
        </w:rPr>
        <w:t>：</w:t>
      </w:r>
      <w:r>
        <w:rPr>
          <w:rFonts w:hint="eastAsia" w:ascii="宋体" w:hAnsi="宋体"/>
          <w:color w:val="auto"/>
          <w:kern w:val="0"/>
          <w:sz w:val="24"/>
          <w:szCs w:val="24"/>
          <w:highlight w:val="none"/>
        </w:rPr>
        <w:t xml:space="preserve"> </w:t>
      </w:r>
    </w:p>
    <w:p w14:paraId="41B0C124">
      <w:pPr>
        <w:pStyle w:val="32"/>
        <w:widowControl/>
        <w:tabs>
          <w:tab w:val="left" w:pos="1276"/>
        </w:tabs>
        <w:adjustRightInd w:val="0"/>
        <w:snapToGrid w:val="0"/>
        <w:spacing w:before="312" w:beforeLines="100" w:after="312" w:afterLines="100" w:line="440" w:lineRule="exact"/>
        <w:ind w:firstLine="456" w:firstLineChars="190"/>
        <w:jc w:val="left"/>
        <w:rPr>
          <w:rFonts w:ascii="宋体" w:hAnsi="宋体"/>
          <w:color w:val="auto"/>
          <w:kern w:val="0"/>
          <w:sz w:val="24"/>
          <w:szCs w:val="24"/>
          <w:highlight w:val="none"/>
        </w:rPr>
      </w:pPr>
      <w:r>
        <w:rPr>
          <w:rFonts w:hint="eastAsia" w:ascii="宋体" w:hAnsi="宋体"/>
          <w:color w:val="auto"/>
          <w:kern w:val="0"/>
          <w:sz w:val="24"/>
          <w:szCs w:val="24"/>
          <w:highlight w:val="none"/>
        </w:rPr>
        <w:t>1.1本合同适用中华人民共和国法律、法规。</w:t>
      </w:r>
    </w:p>
    <w:p w14:paraId="4376F972">
      <w:pPr>
        <w:pStyle w:val="32"/>
        <w:widowControl/>
        <w:tabs>
          <w:tab w:val="left" w:pos="1276"/>
        </w:tabs>
        <w:adjustRightInd w:val="0"/>
        <w:snapToGrid w:val="0"/>
        <w:spacing w:before="312" w:beforeLines="100" w:after="312" w:afterLines="100" w:line="440" w:lineRule="exact"/>
        <w:ind w:firstLine="456" w:firstLineChars="190"/>
        <w:jc w:val="left"/>
        <w:rPr>
          <w:rFonts w:ascii="宋体" w:hAnsi="宋体"/>
          <w:color w:val="auto"/>
          <w:kern w:val="0"/>
          <w:sz w:val="24"/>
          <w:szCs w:val="24"/>
          <w:highlight w:val="none"/>
        </w:rPr>
      </w:pPr>
      <w:r>
        <w:rPr>
          <w:rFonts w:hint="eastAsia" w:ascii="宋体" w:hAnsi="宋体"/>
          <w:color w:val="auto"/>
          <w:kern w:val="0"/>
          <w:sz w:val="24"/>
          <w:szCs w:val="24"/>
          <w:highlight w:val="none"/>
        </w:rPr>
        <w:t>1.2本合同适用的工程造价计价办法和规定是：《广东省住房和城乡建设厅关于印发&lt;广东省建设工程计价依据（2018）&gt;的通知》（粤建市〔2019〕6号）及《建设工程工程量清单计价规范》（GB50500-2013）的相关规定。国家及广东省、广州市有最新规定的，从其规定。</w:t>
      </w:r>
    </w:p>
    <w:p w14:paraId="6326D1CA">
      <w:pPr>
        <w:pStyle w:val="32"/>
        <w:widowControl/>
        <w:tabs>
          <w:tab w:val="left" w:pos="1276"/>
        </w:tabs>
        <w:adjustRightInd w:val="0"/>
        <w:snapToGrid w:val="0"/>
        <w:spacing w:before="312" w:beforeLines="100" w:after="312" w:afterLines="100" w:line="440" w:lineRule="exact"/>
        <w:ind w:firstLine="456" w:firstLineChars="190"/>
        <w:jc w:val="left"/>
        <w:rPr>
          <w:rFonts w:ascii="宋体" w:hAnsi="宋体"/>
          <w:color w:val="auto"/>
          <w:kern w:val="0"/>
          <w:sz w:val="24"/>
          <w:szCs w:val="24"/>
          <w:highlight w:val="none"/>
        </w:rPr>
      </w:pPr>
      <w:r>
        <w:rPr>
          <w:rFonts w:hint="eastAsia" w:ascii="宋体" w:hAnsi="宋体"/>
          <w:color w:val="auto"/>
          <w:kern w:val="0"/>
          <w:sz w:val="24"/>
          <w:szCs w:val="24"/>
          <w:highlight w:val="none"/>
        </w:rPr>
        <w:t>1.3其它计价依据：甲方的要求、图纸、招标文件。</w:t>
      </w:r>
    </w:p>
    <w:p w14:paraId="3828F487">
      <w:pPr>
        <w:pStyle w:val="32"/>
        <w:widowControl/>
        <w:tabs>
          <w:tab w:val="left" w:pos="1276"/>
        </w:tabs>
        <w:adjustRightInd w:val="0"/>
        <w:snapToGrid w:val="0"/>
        <w:spacing w:before="312" w:beforeLines="100" w:after="312" w:afterLines="100" w:line="440" w:lineRule="exact"/>
        <w:ind w:firstLine="472" w:firstLineChars="196"/>
        <w:jc w:val="left"/>
        <w:rPr>
          <w:rFonts w:ascii="宋体" w:hAnsi="宋体"/>
          <w:color w:val="auto"/>
          <w:kern w:val="0"/>
          <w:sz w:val="24"/>
          <w:szCs w:val="24"/>
          <w:highlight w:val="none"/>
        </w:rPr>
      </w:pPr>
      <w:r>
        <w:rPr>
          <w:rFonts w:hint="eastAsia" w:ascii="宋体" w:hAnsi="宋体"/>
          <w:b/>
          <w:color w:val="auto"/>
          <w:kern w:val="0"/>
          <w:sz w:val="24"/>
          <w:szCs w:val="24"/>
          <w:highlight w:val="none"/>
        </w:rPr>
        <w:t xml:space="preserve">第四条 </w:t>
      </w:r>
      <w:r>
        <w:rPr>
          <w:rFonts w:hint="eastAsia" w:ascii="宋体" w:hAnsi="宋体"/>
          <w:color w:val="auto"/>
          <w:kern w:val="0"/>
          <w:sz w:val="24"/>
          <w:szCs w:val="24"/>
          <w:highlight w:val="none"/>
        </w:rPr>
        <w:t xml:space="preserve"> </w:t>
      </w:r>
      <w:r>
        <w:rPr>
          <w:rFonts w:hint="eastAsia" w:ascii="宋体" w:hAnsi="宋体"/>
          <w:b/>
          <w:color w:val="auto"/>
          <w:kern w:val="0"/>
          <w:sz w:val="24"/>
          <w:szCs w:val="24"/>
          <w:highlight w:val="none"/>
        </w:rPr>
        <w:t>建设工程造价咨询业务范围、服务内容和造价咨询服务专业人员：</w:t>
      </w:r>
    </w:p>
    <w:p w14:paraId="7C8C83E4">
      <w:pPr>
        <w:adjustRightInd w:val="0"/>
        <w:snapToGrid w:val="0"/>
        <w:spacing w:line="440" w:lineRule="exact"/>
        <w:ind w:firstLine="482" w:firstLineChars="200"/>
        <w:jc w:val="left"/>
        <w:rPr>
          <w:rFonts w:ascii="宋体" w:hAnsi="宋体"/>
          <w:b/>
          <w:color w:val="auto"/>
          <w:kern w:val="0"/>
          <w:sz w:val="24"/>
          <w:szCs w:val="24"/>
          <w:highlight w:val="none"/>
        </w:rPr>
      </w:pPr>
      <w:r>
        <w:rPr>
          <w:rFonts w:hint="eastAsia" w:ascii="宋体" w:hAnsi="宋体"/>
          <w:b/>
          <w:color w:val="auto"/>
          <w:kern w:val="0"/>
          <w:sz w:val="24"/>
          <w:szCs w:val="24"/>
          <w:highlight w:val="none"/>
        </w:rPr>
        <w:t xml:space="preserve">4.1  </w:t>
      </w:r>
      <w:r>
        <w:rPr>
          <w:rFonts w:ascii="宋体" w:hAnsi="宋体"/>
          <w:b/>
          <w:color w:val="auto"/>
          <w:kern w:val="0"/>
          <w:sz w:val="24"/>
          <w:szCs w:val="24"/>
          <w:highlight w:val="none"/>
        </w:rPr>
        <w:t>“建设工程造价咨询业务”是指以下服务类别的咨询业务</w:t>
      </w:r>
      <w:r>
        <w:rPr>
          <w:rFonts w:hint="eastAsia" w:ascii="宋体" w:hAnsi="宋体"/>
          <w:b/>
          <w:color w:val="auto"/>
          <w:kern w:val="0"/>
          <w:sz w:val="24"/>
          <w:szCs w:val="24"/>
          <w:highlight w:val="none"/>
        </w:rPr>
        <w:t>：</w:t>
      </w:r>
    </w:p>
    <w:p w14:paraId="0FF50CD0">
      <w:pPr>
        <w:adjustRightInd w:val="0"/>
        <w:snapToGrid w:val="0"/>
        <w:spacing w:line="44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(A类)建设项目可行性研究投资估算的编制、审核及项目经济评价</w:t>
      </w:r>
      <w:r>
        <w:rPr>
          <w:rFonts w:hint="eastAsia" w:ascii="宋体" w:hAnsi="宋体"/>
          <w:color w:val="auto"/>
          <w:kern w:val="0"/>
          <w:sz w:val="24"/>
          <w:szCs w:val="24"/>
          <w:highlight w:val="none"/>
        </w:rPr>
        <w:t>（若有）</w:t>
      </w:r>
      <w:r>
        <w:rPr>
          <w:rFonts w:ascii="宋体" w:hAnsi="宋体"/>
          <w:color w:val="auto"/>
          <w:kern w:val="0"/>
          <w:sz w:val="24"/>
          <w:szCs w:val="24"/>
          <w:highlight w:val="none"/>
        </w:rPr>
        <w:t>；</w:t>
      </w:r>
    </w:p>
    <w:p w14:paraId="1547B6BE">
      <w:pPr>
        <w:adjustRightInd w:val="0"/>
        <w:snapToGrid w:val="0"/>
        <w:spacing w:line="44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(B类)建设工程概算、预算、结算的编制、审核；</w:t>
      </w:r>
    </w:p>
    <w:p w14:paraId="5461B6C7">
      <w:pPr>
        <w:adjustRightInd w:val="0"/>
        <w:snapToGrid w:val="0"/>
        <w:spacing w:line="44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(C类)建设工程招标控制价、清单的编制、审核；</w:t>
      </w:r>
    </w:p>
    <w:p w14:paraId="28C6CCD4">
      <w:pPr>
        <w:adjustRightInd w:val="0"/>
        <w:snapToGrid w:val="0"/>
        <w:spacing w:line="44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(D类)工程洽商、变更及合同争议的鉴定与索赔；</w:t>
      </w:r>
    </w:p>
    <w:p w14:paraId="7D5CC5E8">
      <w:pPr>
        <w:adjustRightInd w:val="0"/>
        <w:snapToGrid w:val="0"/>
        <w:spacing w:line="44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(E类)编制工程造价计价依据及对工程造价进行监控和提供有关工程造价信息资料等。</w:t>
      </w:r>
    </w:p>
    <w:p w14:paraId="1EE128E0">
      <w:pPr>
        <w:tabs>
          <w:tab w:val="left" w:pos="7513"/>
        </w:tabs>
        <w:spacing w:line="440" w:lineRule="exact"/>
        <w:ind w:left="645" w:leftChars="250" w:hanging="120" w:hangingChars="50"/>
        <w:rPr>
          <w:rFonts w:ascii="宋体" w:hAnsi="宋体"/>
          <w:b/>
          <w:color w:val="auto"/>
          <w:kern w:val="0"/>
          <w:sz w:val="24"/>
          <w:szCs w:val="24"/>
          <w:highlight w:val="none"/>
        </w:rPr>
      </w:pPr>
      <w:r>
        <w:rPr>
          <w:rFonts w:hint="eastAsia" w:ascii="宋体" w:hAnsi="宋体"/>
          <w:b/>
          <w:color w:val="auto"/>
          <w:kern w:val="0"/>
          <w:sz w:val="24"/>
          <w:szCs w:val="24"/>
          <w:highlight w:val="none"/>
        </w:rPr>
        <w:t>4.2  建设工程造价咨询服务内容：</w:t>
      </w:r>
    </w:p>
    <w:p w14:paraId="03EE5A18">
      <w:pPr>
        <w:tabs>
          <w:tab w:val="left" w:pos="7513"/>
        </w:tabs>
        <w:spacing w:line="440" w:lineRule="exact"/>
        <w:ind w:left="630" w:leftChars="300" w:firstLine="360" w:firstLineChars="150"/>
        <w:rPr>
          <w:rFonts w:ascii="宋体" w:hAnsi="宋体"/>
          <w:color w:val="auto"/>
          <w:sz w:val="24"/>
          <w:szCs w:val="24"/>
          <w:highlight w:val="none"/>
        </w:rPr>
      </w:pPr>
      <w:r>
        <w:rPr>
          <w:rFonts w:hint="eastAsia" w:ascii="宋体" w:hAnsi="宋体"/>
          <w:color w:val="auto"/>
          <w:sz w:val="24"/>
          <w:szCs w:val="24"/>
          <w:highlight w:val="none"/>
        </w:rPr>
        <w:t>详见本合同第一部分协议书第一条第4款服务范围的约定。</w:t>
      </w:r>
    </w:p>
    <w:p w14:paraId="3EA359FD">
      <w:pPr>
        <w:adjustRightInd w:val="0"/>
        <w:snapToGrid w:val="0"/>
        <w:spacing w:line="44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 xml:space="preserve">4.3  </w:t>
      </w:r>
      <w:r>
        <w:rPr>
          <w:rFonts w:hint="eastAsia" w:ascii="宋体" w:hAnsi="宋体"/>
          <w:b/>
          <w:color w:val="auto"/>
          <w:kern w:val="0"/>
          <w:sz w:val="24"/>
          <w:szCs w:val="24"/>
          <w:highlight w:val="none"/>
        </w:rPr>
        <w:t>乙方承诺派出与</w:t>
      </w:r>
      <w:r>
        <w:rPr>
          <w:rFonts w:hint="default" w:ascii="宋体" w:hAnsi="宋体"/>
          <w:b/>
          <w:color w:val="auto"/>
          <w:kern w:val="0"/>
          <w:sz w:val="24"/>
          <w:szCs w:val="24"/>
          <w:highlight w:val="none"/>
          <w:lang w:val="en-US"/>
        </w:rPr>
        <w:t>投标文件中《拟投入本项目造价人员一览表》</w:t>
      </w:r>
      <w:r>
        <w:rPr>
          <w:rFonts w:ascii="宋体" w:hAnsi="宋体"/>
          <w:b/>
          <w:color w:val="auto"/>
          <w:kern w:val="0"/>
          <w:sz w:val="24"/>
          <w:szCs w:val="24"/>
          <w:highlight w:val="none"/>
        </w:rPr>
        <w:t>一致</w:t>
      </w:r>
      <w:r>
        <w:rPr>
          <w:rFonts w:hint="eastAsia" w:ascii="宋体" w:hAnsi="宋体"/>
          <w:b/>
          <w:color w:val="auto"/>
          <w:kern w:val="0"/>
          <w:sz w:val="24"/>
          <w:szCs w:val="24"/>
          <w:highlight w:val="none"/>
        </w:rPr>
        <w:t>的造价咨询服务团队。</w:t>
      </w:r>
      <w:r>
        <w:rPr>
          <w:rFonts w:ascii="宋体" w:hAnsi="宋体"/>
          <w:b/>
          <w:color w:val="auto"/>
          <w:kern w:val="0"/>
          <w:sz w:val="24"/>
          <w:szCs w:val="24"/>
          <w:highlight w:val="none"/>
        </w:rPr>
        <w:t xml:space="preserve"> </w:t>
      </w:r>
    </w:p>
    <w:p w14:paraId="063277CC">
      <w:pPr>
        <w:spacing w:line="440" w:lineRule="exact"/>
        <w:ind w:firstLine="480" w:firstLineChars="200"/>
        <w:rPr>
          <w:rFonts w:ascii="宋体" w:hAnsi="宋体"/>
          <w:color w:val="auto"/>
          <w:sz w:val="24"/>
          <w:szCs w:val="24"/>
          <w:highlight w:val="none"/>
          <w:lang w:val="zh-CN"/>
        </w:rPr>
      </w:pPr>
      <w:r>
        <w:rPr>
          <w:rFonts w:ascii="宋体" w:hAnsi="宋体"/>
          <w:color w:val="auto"/>
          <w:sz w:val="24"/>
          <w:szCs w:val="24"/>
          <w:highlight w:val="none"/>
          <w:lang w:val="zh-CN"/>
        </w:rPr>
        <w:t>4.4</w:t>
      </w:r>
      <w:r>
        <w:rPr>
          <w:rFonts w:hint="eastAsia" w:ascii="宋体" w:hAnsi="宋体"/>
          <w:color w:val="auto"/>
          <w:sz w:val="24"/>
          <w:szCs w:val="24"/>
          <w:highlight w:val="none"/>
          <w:lang w:val="zh-CN"/>
        </w:rPr>
        <w:t xml:space="preserve">未经甲方书面同意，乙方不得擅自更换本项目负责人或造价咨询服务团队其他人员。确因实际情况需更换相关人员的，必须书面向甲方提出申请，说明原因，且换入人员条件（指学历、职称、执业证书等）和经验（指过去5年内的业绩情况）要等于或优于换出人员的条件和经验（否则甲方有权拒绝接受申请），经甲方书面同意后方可更换。未经申请或申请后甲方未同意，乙方擅自更换本项目造价咨询服务团队相关人员的，视为乙方违约，甲方有权进行处罚；造成甲方经济损失的，甲方有权向乙方索赔。但乙方有合法理由（如服务人员因死亡、重大疾病、离职等原因导致不能履行职责）提出申请并经甲方批准更换相关人员的，乙方可不承担违约责任。 </w:t>
      </w:r>
    </w:p>
    <w:p w14:paraId="2EC06359">
      <w:pPr>
        <w:spacing w:line="440" w:lineRule="exact"/>
        <w:ind w:firstLine="482" w:firstLineChars="200"/>
        <w:rPr>
          <w:rFonts w:ascii="宋体" w:hAnsi="宋体"/>
          <w:color w:val="auto"/>
          <w:sz w:val="24"/>
          <w:szCs w:val="24"/>
          <w:highlight w:val="none"/>
          <w:lang w:val="zh-CN"/>
        </w:rPr>
      </w:pPr>
      <w:r>
        <w:rPr>
          <w:rFonts w:ascii="宋体" w:hAnsi="宋体"/>
          <w:b/>
          <w:color w:val="auto"/>
          <w:sz w:val="24"/>
          <w:szCs w:val="24"/>
          <w:highlight w:val="none"/>
        </w:rPr>
        <w:t>4.5</w:t>
      </w:r>
      <w:r>
        <w:rPr>
          <w:rFonts w:hint="eastAsia" w:ascii="宋体" w:hAnsi="宋体"/>
          <w:b/>
          <w:color w:val="auto"/>
          <w:sz w:val="24"/>
          <w:szCs w:val="24"/>
          <w:highlight w:val="none"/>
        </w:rPr>
        <w:t>驻场服务：</w:t>
      </w:r>
    </w:p>
    <w:p w14:paraId="015A6B9F">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4.5.1</w:t>
      </w:r>
      <w:r>
        <w:rPr>
          <w:rFonts w:hint="eastAsia" w:ascii="宋体" w:hAnsi="宋体"/>
          <w:color w:val="auto"/>
          <w:sz w:val="24"/>
          <w:szCs w:val="24"/>
          <w:highlight w:val="none"/>
        </w:rPr>
        <w:t>为便于甲方与乙方及时沟通及协调，乙方应根据甲方的要求，在指定的地点投入本合同约定的专业人员、设备及设施，实施本合同工程的造价咨询工作。</w:t>
      </w:r>
    </w:p>
    <w:p w14:paraId="4848BAF4">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4.5.2</w:t>
      </w:r>
      <w:r>
        <w:rPr>
          <w:rFonts w:hint="eastAsia" w:ascii="宋体" w:hAnsi="宋体"/>
          <w:color w:val="auto"/>
          <w:sz w:val="24"/>
          <w:szCs w:val="24"/>
          <w:highlight w:val="none"/>
        </w:rPr>
        <w:t>乙方驻场服务人员的名单须在进场前提交甲方审核，乙方驻场人员数量、专业水平、专业配套以及设备设施须满足设计质量与进度的需要。乙方驻场造价人员具体需求如下：</w:t>
      </w:r>
    </w:p>
    <w:p w14:paraId="7221CB41">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kern w:val="0"/>
          <w:sz w:val="24"/>
          <w:szCs w:val="24"/>
          <w:highlight w:val="none"/>
        </w:rPr>
        <w:t>乙方保证2名造价工程师驻场（土建专业1人、安装专业1人，从事造价管理超过5年），</w:t>
      </w:r>
      <w:r>
        <w:rPr>
          <w:rFonts w:hint="eastAsia" w:ascii="宋体" w:hAnsi="宋体"/>
          <w:color w:val="auto"/>
          <w:sz w:val="24"/>
          <w:szCs w:val="24"/>
          <w:highlight w:val="none"/>
        </w:rPr>
        <w:t>甲方有权根据实际情况在造价咨询服务实施的过程中对乙方的驻场人员进行适当调整。</w:t>
      </w:r>
    </w:p>
    <w:p w14:paraId="3A718EC2">
      <w:pPr>
        <w:spacing w:line="440" w:lineRule="exact"/>
        <w:ind w:firstLine="480" w:firstLineChars="200"/>
        <w:rPr>
          <w:rFonts w:ascii="宋体" w:hAnsi="宋体"/>
          <w:bCs/>
          <w:color w:val="auto"/>
          <w:sz w:val="24"/>
          <w:szCs w:val="24"/>
          <w:highlight w:val="none"/>
        </w:rPr>
      </w:pPr>
      <w:r>
        <w:rPr>
          <w:rFonts w:ascii="宋体" w:hAnsi="宋体"/>
          <w:color w:val="auto"/>
          <w:sz w:val="24"/>
          <w:szCs w:val="24"/>
          <w:highlight w:val="none"/>
        </w:rPr>
        <w:t>4.5.3</w:t>
      </w:r>
      <w:r>
        <w:rPr>
          <w:rFonts w:hint="eastAsia" w:ascii="宋体" w:hAnsi="宋体"/>
          <w:color w:val="auto"/>
          <w:sz w:val="24"/>
          <w:szCs w:val="24"/>
          <w:highlight w:val="none"/>
        </w:rPr>
        <w:t>乙方应保证驻场人员的稳定性，原则在驻场期间上不得更换，确须更换的</w:t>
      </w:r>
      <w:r>
        <w:rPr>
          <w:rFonts w:ascii="宋体" w:hAnsi="宋体"/>
          <w:bCs/>
          <w:color w:val="auto"/>
          <w:sz w:val="24"/>
          <w:szCs w:val="24"/>
          <w:highlight w:val="none"/>
        </w:rPr>
        <w:t>须提前7天</w:t>
      </w:r>
      <w:r>
        <w:rPr>
          <w:rFonts w:hint="eastAsia" w:ascii="宋体" w:hAnsi="宋体"/>
          <w:color w:val="auto"/>
          <w:sz w:val="24"/>
          <w:szCs w:val="24"/>
          <w:highlight w:val="none"/>
        </w:rPr>
        <w:t>向甲方提出</w:t>
      </w:r>
      <w:r>
        <w:rPr>
          <w:rFonts w:ascii="宋体" w:hAnsi="宋体"/>
          <w:bCs/>
          <w:color w:val="auto"/>
          <w:sz w:val="24"/>
          <w:szCs w:val="24"/>
          <w:highlight w:val="none"/>
        </w:rPr>
        <w:t>书面申请</w:t>
      </w:r>
      <w:r>
        <w:rPr>
          <w:rFonts w:hint="eastAsia" w:ascii="宋体" w:hAnsi="宋体"/>
          <w:color w:val="auto"/>
          <w:sz w:val="24"/>
          <w:szCs w:val="24"/>
          <w:highlight w:val="none"/>
        </w:rPr>
        <w:t>报告</w:t>
      </w:r>
      <w:r>
        <w:rPr>
          <w:rFonts w:ascii="宋体" w:hAnsi="宋体"/>
          <w:bCs/>
          <w:color w:val="auto"/>
          <w:sz w:val="24"/>
          <w:szCs w:val="24"/>
          <w:highlight w:val="none"/>
        </w:rPr>
        <w:t>，并</w:t>
      </w:r>
      <w:r>
        <w:rPr>
          <w:rFonts w:hint="eastAsia" w:ascii="宋体" w:hAnsi="宋体"/>
          <w:bCs/>
          <w:color w:val="auto"/>
          <w:sz w:val="24"/>
          <w:szCs w:val="24"/>
          <w:highlight w:val="none"/>
        </w:rPr>
        <w:t>按专用条款4.4款要求，</w:t>
      </w:r>
      <w:r>
        <w:rPr>
          <w:rFonts w:ascii="宋体" w:hAnsi="宋体"/>
          <w:bCs/>
          <w:color w:val="auto"/>
          <w:sz w:val="24"/>
          <w:szCs w:val="24"/>
          <w:highlight w:val="none"/>
        </w:rPr>
        <w:t>附拟更换人员的详细资料，待</w:t>
      </w:r>
      <w:r>
        <w:rPr>
          <w:rFonts w:hint="eastAsia" w:ascii="宋体" w:hAnsi="宋体"/>
          <w:color w:val="auto"/>
          <w:sz w:val="24"/>
          <w:szCs w:val="24"/>
          <w:highlight w:val="none"/>
        </w:rPr>
        <w:t>甲方</w:t>
      </w:r>
      <w:r>
        <w:rPr>
          <w:rFonts w:ascii="宋体" w:hAnsi="宋体"/>
          <w:bCs/>
          <w:color w:val="auto"/>
          <w:sz w:val="24"/>
          <w:szCs w:val="24"/>
          <w:highlight w:val="none"/>
        </w:rPr>
        <w:t>审核批准后才可更换。</w:t>
      </w:r>
    </w:p>
    <w:p w14:paraId="5B293C3A">
      <w:pPr>
        <w:spacing w:line="440" w:lineRule="exact"/>
        <w:ind w:firstLine="480" w:firstLineChars="200"/>
        <w:rPr>
          <w:rFonts w:ascii="宋体" w:hAnsi="宋体"/>
          <w:bCs/>
          <w:color w:val="auto"/>
          <w:sz w:val="24"/>
          <w:szCs w:val="24"/>
          <w:highlight w:val="none"/>
        </w:rPr>
      </w:pPr>
      <w:r>
        <w:rPr>
          <w:rFonts w:ascii="宋体" w:hAnsi="宋体"/>
          <w:color w:val="auto"/>
          <w:sz w:val="24"/>
          <w:szCs w:val="24"/>
          <w:highlight w:val="none"/>
        </w:rPr>
        <w:t>4.5.4</w:t>
      </w:r>
      <w:r>
        <w:rPr>
          <w:rFonts w:hint="eastAsia" w:ascii="宋体" w:hAnsi="宋体"/>
          <w:color w:val="auto"/>
          <w:sz w:val="24"/>
          <w:szCs w:val="24"/>
          <w:highlight w:val="none"/>
        </w:rPr>
        <w:t>乙方驻场服务人员应满足招标文件及合同条款的相关要求，并全部统一纳入甲方的统一管理，其出勤、休假等考勤由甲方负责。乙方驻场服务人员只为本合同工程服务，不得再参与其他工作。</w:t>
      </w:r>
      <w:r>
        <w:rPr>
          <w:rFonts w:ascii="宋体" w:hAnsi="宋体"/>
          <w:bCs/>
          <w:color w:val="auto"/>
          <w:sz w:val="24"/>
          <w:szCs w:val="24"/>
          <w:highlight w:val="none"/>
        </w:rPr>
        <w:t>如</w:t>
      </w:r>
      <w:r>
        <w:rPr>
          <w:rFonts w:hint="eastAsia" w:ascii="宋体" w:hAnsi="宋体"/>
          <w:color w:val="auto"/>
          <w:sz w:val="24"/>
          <w:szCs w:val="24"/>
          <w:highlight w:val="none"/>
        </w:rPr>
        <w:t>乙方驻场人员</w:t>
      </w:r>
      <w:r>
        <w:rPr>
          <w:rFonts w:ascii="宋体" w:hAnsi="宋体"/>
          <w:bCs/>
          <w:color w:val="auto"/>
          <w:sz w:val="24"/>
          <w:szCs w:val="24"/>
          <w:highlight w:val="none"/>
        </w:rPr>
        <w:t>因特殊情况须短暂离开的，</w:t>
      </w:r>
      <w:r>
        <w:rPr>
          <w:rFonts w:hint="eastAsia" w:ascii="宋体" w:hAnsi="宋体"/>
          <w:bCs/>
          <w:color w:val="auto"/>
          <w:sz w:val="24"/>
          <w:szCs w:val="24"/>
          <w:highlight w:val="none"/>
        </w:rPr>
        <w:t>需得到甲方同意，并</w:t>
      </w:r>
      <w:r>
        <w:rPr>
          <w:rFonts w:ascii="宋体" w:hAnsi="宋体"/>
          <w:bCs/>
          <w:color w:val="auto"/>
          <w:sz w:val="24"/>
          <w:szCs w:val="24"/>
          <w:highlight w:val="none"/>
        </w:rPr>
        <w:t>妥善安排工作交接，指定可以接替工作并能承担责任的临时负责人，并按以下规定执行：</w:t>
      </w:r>
    </w:p>
    <w:p w14:paraId="7D5932F1">
      <w:pPr>
        <w:spacing w:line="44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离场1天内，须将工作交接情况报告</w:t>
      </w:r>
      <w:r>
        <w:rPr>
          <w:rFonts w:hint="eastAsia" w:ascii="宋体" w:hAnsi="宋体"/>
          <w:bCs/>
          <w:color w:val="auto"/>
          <w:sz w:val="24"/>
          <w:szCs w:val="24"/>
          <w:highlight w:val="none"/>
        </w:rPr>
        <w:t>现场项目组</w:t>
      </w:r>
      <w:r>
        <w:rPr>
          <w:rFonts w:ascii="宋体" w:hAnsi="宋体"/>
          <w:bCs/>
          <w:color w:val="auto"/>
          <w:sz w:val="24"/>
          <w:szCs w:val="24"/>
          <w:highlight w:val="none"/>
        </w:rPr>
        <w:t>；离场2至</w:t>
      </w:r>
      <w:r>
        <w:rPr>
          <w:rFonts w:hint="eastAsia" w:ascii="宋体" w:hAnsi="宋体"/>
          <w:bCs/>
          <w:color w:val="auto"/>
          <w:sz w:val="24"/>
          <w:szCs w:val="24"/>
          <w:highlight w:val="none"/>
        </w:rPr>
        <w:t>4</w:t>
      </w:r>
      <w:r>
        <w:rPr>
          <w:rFonts w:ascii="宋体" w:hAnsi="宋体"/>
          <w:bCs/>
          <w:color w:val="auto"/>
          <w:sz w:val="24"/>
          <w:szCs w:val="24"/>
          <w:highlight w:val="none"/>
        </w:rPr>
        <w:t>天，须将工作交接情况报告</w:t>
      </w:r>
      <w:r>
        <w:rPr>
          <w:rFonts w:hint="eastAsia" w:ascii="宋体" w:hAnsi="宋体"/>
          <w:bCs/>
          <w:color w:val="auto"/>
          <w:sz w:val="24"/>
          <w:szCs w:val="24"/>
          <w:highlight w:val="none"/>
        </w:rPr>
        <w:t>甲方</w:t>
      </w:r>
      <w:r>
        <w:rPr>
          <w:rFonts w:ascii="宋体" w:hAnsi="宋体"/>
          <w:bCs/>
          <w:color w:val="auto"/>
          <w:sz w:val="24"/>
          <w:szCs w:val="24"/>
          <w:highlight w:val="none"/>
        </w:rPr>
        <w:t>。每月累计离场天数不得超过4天，</w:t>
      </w:r>
      <w:r>
        <w:rPr>
          <w:rFonts w:hint="eastAsia" w:ascii="宋体" w:hAnsi="宋体"/>
          <w:bCs/>
          <w:color w:val="auto"/>
          <w:sz w:val="24"/>
          <w:szCs w:val="24"/>
          <w:highlight w:val="none"/>
        </w:rPr>
        <w:t>因乙方原因（包括员工管理方面原因）</w:t>
      </w:r>
      <w:r>
        <w:rPr>
          <w:rFonts w:ascii="宋体" w:hAnsi="宋体"/>
          <w:bCs/>
          <w:color w:val="auto"/>
          <w:sz w:val="24"/>
          <w:szCs w:val="24"/>
          <w:highlight w:val="none"/>
        </w:rPr>
        <w:t>，</w:t>
      </w:r>
      <w:r>
        <w:rPr>
          <w:rFonts w:hint="eastAsia" w:ascii="宋体" w:hAnsi="宋体"/>
          <w:bCs/>
          <w:color w:val="auto"/>
          <w:sz w:val="24"/>
          <w:szCs w:val="24"/>
          <w:highlight w:val="none"/>
        </w:rPr>
        <w:t>每人每月累计离场天数超过4天的，从第5天起乙方按以下标准</w:t>
      </w:r>
      <w:r>
        <w:rPr>
          <w:rFonts w:ascii="宋体" w:hAnsi="宋体"/>
          <w:bCs/>
          <w:color w:val="auto"/>
          <w:sz w:val="24"/>
          <w:szCs w:val="24"/>
          <w:highlight w:val="none"/>
        </w:rPr>
        <w:t>向</w:t>
      </w:r>
      <w:r>
        <w:rPr>
          <w:rFonts w:hint="eastAsia" w:ascii="宋体" w:hAnsi="宋体"/>
          <w:bCs/>
          <w:color w:val="auto"/>
          <w:sz w:val="24"/>
          <w:szCs w:val="24"/>
          <w:highlight w:val="none"/>
        </w:rPr>
        <w:t>甲方</w:t>
      </w:r>
      <w:r>
        <w:rPr>
          <w:rFonts w:ascii="宋体" w:hAnsi="宋体"/>
          <w:bCs/>
          <w:color w:val="auto"/>
          <w:sz w:val="24"/>
          <w:szCs w:val="24"/>
          <w:highlight w:val="none"/>
        </w:rPr>
        <w:t>支付违约金</w:t>
      </w:r>
      <w:r>
        <w:rPr>
          <w:rFonts w:hint="eastAsia" w:ascii="宋体" w:hAnsi="宋体"/>
          <w:bCs/>
          <w:color w:val="auto"/>
          <w:sz w:val="24"/>
          <w:szCs w:val="24"/>
          <w:highlight w:val="none"/>
        </w:rPr>
        <w:t>：注册造价工程师1200元/人·天。每人每月累计离场天数超过7天的，</w:t>
      </w:r>
      <w:r>
        <w:rPr>
          <w:rFonts w:ascii="宋体" w:hAnsi="宋体"/>
          <w:bCs/>
          <w:color w:val="auto"/>
          <w:sz w:val="24"/>
          <w:szCs w:val="24"/>
          <w:highlight w:val="none"/>
        </w:rPr>
        <w:t>视为岗位空缺。</w:t>
      </w:r>
    </w:p>
    <w:p w14:paraId="2A44A7E1">
      <w:pPr>
        <w:spacing w:line="44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乙方</w:t>
      </w:r>
      <w:r>
        <w:rPr>
          <w:rFonts w:hint="eastAsia" w:ascii="宋体" w:hAnsi="宋体"/>
          <w:bCs/>
          <w:color w:val="auto"/>
          <w:sz w:val="24"/>
          <w:szCs w:val="24"/>
          <w:highlight w:val="none"/>
        </w:rPr>
        <w:t>驻场</w:t>
      </w:r>
      <w:r>
        <w:rPr>
          <w:rFonts w:ascii="宋体" w:hAnsi="宋体"/>
          <w:bCs/>
          <w:color w:val="auto"/>
          <w:sz w:val="24"/>
          <w:szCs w:val="24"/>
          <w:highlight w:val="none"/>
        </w:rPr>
        <w:t>人员</w:t>
      </w:r>
      <w:r>
        <w:rPr>
          <w:rFonts w:hint="eastAsia" w:ascii="宋体" w:hAnsi="宋体"/>
          <w:bCs/>
          <w:color w:val="auto"/>
          <w:sz w:val="24"/>
          <w:szCs w:val="24"/>
          <w:highlight w:val="none"/>
        </w:rPr>
        <w:t>按照甲方指令或处理本工作要求必须离开驻地情况除外。</w:t>
      </w:r>
    </w:p>
    <w:p w14:paraId="611764F6">
      <w:pPr>
        <w:spacing w:line="440" w:lineRule="exact"/>
        <w:ind w:firstLine="480" w:firstLineChars="200"/>
        <w:rPr>
          <w:rFonts w:ascii="宋体" w:hAnsi="宋体"/>
          <w:bCs/>
          <w:color w:val="auto"/>
          <w:sz w:val="24"/>
          <w:szCs w:val="24"/>
          <w:highlight w:val="none"/>
        </w:rPr>
      </w:pPr>
      <w:r>
        <w:rPr>
          <w:rFonts w:ascii="宋体" w:hAnsi="宋体"/>
          <w:color w:val="auto"/>
          <w:sz w:val="24"/>
          <w:szCs w:val="24"/>
          <w:highlight w:val="none"/>
        </w:rPr>
        <w:t>4.5.5</w:t>
      </w:r>
      <w:r>
        <w:rPr>
          <w:rFonts w:hint="eastAsia" w:ascii="宋体" w:hAnsi="宋体"/>
          <w:color w:val="auto"/>
          <w:sz w:val="24"/>
          <w:szCs w:val="24"/>
          <w:highlight w:val="none"/>
        </w:rPr>
        <w:t>乙方</w:t>
      </w:r>
      <w:r>
        <w:rPr>
          <w:rFonts w:hint="eastAsia" w:ascii="宋体" w:hAnsi="宋体"/>
          <w:bCs/>
          <w:color w:val="auto"/>
          <w:sz w:val="24"/>
          <w:szCs w:val="24"/>
          <w:highlight w:val="none"/>
        </w:rPr>
        <w:t>驻场</w:t>
      </w:r>
      <w:r>
        <w:rPr>
          <w:rFonts w:ascii="宋体" w:hAnsi="宋体"/>
          <w:bCs/>
          <w:color w:val="auto"/>
          <w:sz w:val="24"/>
          <w:szCs w:val="24"/>
          <w:highlight w:val="none"/>
        </w:rPr>
        <w:t>人员的工作能力、工作态度存在严重不足，不适应现场工作需要，</w:t>
      </w:r>
      <w:r>
        <w:rPr>
          <w:rFonts w:hint="eastAsia" w:ascii="宋体" w:hAnsi="宋体"/>
          <w:bCs/>
          <w:color w:val="auto"/>
          <w:sz w:val="24"/>
          <w:szCs w:val="24"/>
          <w:highlight w:val="none"/>
        </w:rPr>
        <w:t>甲方</w:t>
      </w:r>
      <w:r>
        <w:rPr>
          <w:rFonts w:ascii="宋体" w:hAnsi="宋体"/>
          <w:bCs/>
          <w:color w:val="auto"/>
          <w:sz w:val="24"/>
          <w:szCs w:val="24"/>
          <w:highlight w:val="none"/>
        </w:rPr>
        <w:t>有权要求</w:t>
      </w:r>
      <w:r>
        <w:rPr>
          <w:rFonts w:hint="eastAsia" w:ascii="宋体" w:hAnsi="宋体"/>
          <w:color w:val="auto"/>
          <w:sz w:val="24"/>
          <w:szCs w:val="24"/>
          <w:highlight w:val="none"/>
        </w:rPr>
        <w:t>乙方</w:t>
      </w:r>
      <w:r>
        <w:rPr>
          <w:rFonts w:ascii="宋体" w:hAnsi="宋体"/>
          <w:bCs/>
          <w:color w:val="auto"/>
          <w:sz w:val="24"/>
          <w:szCs w:val="24"/>
          <w:highlight w:val="none"/>
        </w:rPr>
        <w:t>撤换相应人员；</w:t>
      </w:r>
      <w:r>
        <w:rPr>
          <w:rFonts w:hint="eastAsia" w:ascii="宋体" w:hAnsi="宋体"/>
          <w:color w:val="auto"/>
          <w:sz w:val="24"/>
          <w:szCs w:val="24"/>
          <w:highlight w:val="none"/>
        </w:rPr>
        <w:t>乙方</w:t>
      </w:r>
      <w:r>
        <w:rPr>
          <w:rFonts w:ascii="宋体" w:hAnsi="宋体"/>
          <w:bCs/>
          <w:color w:val="auto"/>
          <w:sz w:val="24"/>
          <w:szCs w:val="24"/>
          <w:highlight w:val="none"/>
        </w:rPr>
        <w:t>可以提出整改意见，如</w:t>
      </w:r>
      <w:r>
        <w:rPr>
          <w:rFonts w:hint="eastAsia" w:ascii="宋体" w:hAnsi="宋体"/>
          <w:bCs/>
          <w:color w:val="auto"/>
          <w:sz w:val="24"/>
          <w:szCs w:val="24"/>
          <w:highlight w:val="none"/>
        </w:rPr>
        <w:t>甲方</w:t>
      </w:r>
      <w:r>
        <w:rPr>
          <w:rFonts w:ascii="宋体" w:hAnsi="宋体"/>
          <w:bCs/>
          <w:color w:val="auto"/>
          <w:sz w:val="24"/>
          <w:szCs w:val="24"/>
          <w:highlight w:val="none"/>
        </w:rPr>
        <w:t>不予接受，则</w:t>
      </w:r>
      <w:r>
        <w:rPr>
          <w:rFonts w:hint="eastAsia" w:ascii="宋体" w:hAnsi="宋体"/>
          <w:color w:val="auto"/>
          <w:sz w:val="24"/>
          <w:szCs w:val="24"/>
          <w:highlight w:val="none"/>
        </w:rPr>
        <w:t>乙方</w:t>
      </w:r>
      <w:r>
        <w:rPr>
          <w:rFonts w:ascii="宋体" w:hAnsi="宋体"/>
          <w:bCs/>
          <w:color w:val="auto"/>
          <w:sz w:val="24"/>
          <w:szCs w:val="24"/>
          <w:highlight w:val="none"/>
        </w:rPr>
        <w:t>必须在7天内无条件撤换</w:t>
      </w:r>
      <w:r>
        <w:rPr>
          <w:rFonts w:hint="eastAsia" w:ascii="宋体" w:hAnsi="宋体"/>
          <w:bCs/>
          <w:color w:val="auto"/>
          <w:sz w:val="24"/>
          <w:szCs w:val="24"/>
          <w:highlight w:val="none"/>
        </w:rPr>
        <w:t>，</w:t>
      </w:r>
      <w:r>
        <w:rPr>
          <w:rFonts w:hint="eastAsia" w:ascii="宋体" w:hAnsi="宋体"/>
          <w:color w:val="auto"/>
          <w:sz w:val="24"/>
          <w:szCs w:val="24"/>
          <w:highlight w:val="none"/>
        </w:rPr>
        <w:t>乙方</w:t>
      </w:r>
      <w:r>
        <w:rPr>
          <w:rFonts w:ascii="宋体" w:hAnsi="宋体"/>
          <w:bCs/>
          <w:color w:val="auto"/>
          <w:sz w:val="24"/>
          <w:szCs w:val="24"/>
          <w:highlight w:val="none"/>
        </w:rPr>
        <w:t>拒不执行，则自撤换通知下达7天后，可视为该岗位已空缺，</w:t>
      </w:r>
      <w:r>
        <w:rPr>
          <w:rFonts w:hint="eastAsia" w:ascii="宋体" w:hAnsi="宋体"/>
          <w:color w:val="auto"/>
          <w:sz w:val="24"/>
          <w:szCs w:val="24"/>
          <w:highlight w:val="none"/>
        </w:rPr>
        <w:t>乙方</w:t>
      </w:r>
      <w:r>
        <w:rPr>
          <w:rFonts w:ascii="宋体" w:hAnsi="宋体"/>
          <w:bCs/>
          <w:color w:val="auto"/>
          <w:sz w:val="24"/>
          <w:szCs w:val="24"/>
          <w:highlight w:val="none"/>
        </w:rPr>
        <w:t>承担相应违约责任。</w:t>
      </w:r>
    </w:p>
    <w:p w14:paraId="548A6926">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4.5.6</w:t>
      </w:r>
      <w:r>
        <w:rPr>
          <w:rFonts w:hint="eastAsia" w:ascii="宋体" w:hAnsi="宋体" w:cs="宋体"/>
          <w:color w:val="auto"/>
          <w:kern w:val="0"/>
          <w:sz w:val="24"/>
          <w:szCs w:val="24"/>
          <w:highlight w:val="none"/>
          <w:lang w:val="zh-CN"/>
        </w:rPr>
        <w:t>乙方</w:t>
      </w:r>
      <w:r>
        <w:rPr>
          <w:rFonts w:ascii="宋体" w:hAnsi="宋体"/>
          <w:bCs/>
          <w:color w:val="auto"/>
          <w:sz w:val="24"/>
          <w:szCs w:val="24"/>
          <w:highlight w:val="none"/>
        </w:rPr>
        <w:t>收到</w:t>
      </w:r>
      <w:r>
        <w:rPr>
          <w:rFonts w:hint="eastAsia" w:ascii="宋体" w:hAnsi="宋体"/>
          <w:bCs/>
          <w:color w:val="auto"/>
          <w:sz w:val="24"/>
          <w:szCs w:val="24"/>
          <w:highlight w:val="none"/>
        </w:rPr>
        <w:t>甲方</w:t>
      </w:r>
      <w:r>
        <w:rPr>
          <w:rFonts w:ascii="宋体" w:hAnsi="宋体"/>
          <w:bCs/>
          <w:color w:val="auto"/>
          <w:sz w:val="24"/>
          <w:szCs w:val="24"/>
          <w:highlight w:val="none"/>
        </w:rPr>
        <w:t>发出的人员</w:t>
      </w:r>
      <w:r>
        <w:rPr>
          <w:rFonts w:hint="eastAsia" w:ascii="宋体" w:hAnsi="宋体"/>
          <w:bCs/>
          <w:color w:val="auto"/>
          <w:sz w:val="24"/>
          <w:szCs w:val="24"/>
          <w:highlight w:val="none"/>
        </w:rPr>
        <w:t>驻场</w:t>
      </w:r>
      <w:r>
        <w:rPr>
          <w:rFonts w:ascii="宋体" w:hAnsi="宋体"/>
          <w:bCs/>
          <w:color w:val="auto"/>
          <w:sz w:val="24"/>
          <w:szCs w:val="24"/>
          <w:highlight w:val="none"/>
        </w:rPr>
        <w:t>通知后，</w:t>
      </w:r>
      <w:r>
        <w:rPr>
          <w:rFonts w:hint="eastAsia" w:ascii="宋体" w:hAnsi="宋体"/>
          <w:bCs/>
          <w:color w:val="auto"/>
          <w:sz w:val="24"/>
          <w:szCs w:val="24"/>
          <w:highlight w:val="none"/>
        </w:rPr>
        <w:t>乙方应按时组织驻场人员驻场开展工作。如</w:t>
      </w:r>
      <w:r>
        <w:rPr>
          <w:rFonts w:hint="eastAsia" w:ascii="宋体" w:hAnsi="宋体" w:cs="宋体"/>
          <w:color w:val="auto"/>
          <w:kern w:val="0"/>
          <w:sz w:val="24"/>
          <w:szCs w:val="24"/>
          <w:highlight w:val="none"/>
          <w:lang w:val="zh-CN"/>
        </w:rPr>
        <w:t>乙方</w:t>
      </w:r>
      <w:r>
        <w:rPr>
          <w:rFonts w:hint="eastAsia" w:ascii="宋体" w:hAnsi="宋体"/>
          <w:bCs/>
          <w:color w:val="auto"/>
          <w:sz w:val="24"/>
          <w:szCs w:val="24"/>
          <w:highlight w:val="none"/>
        </w:rPr>
        <w:t>驻场人员不</w:t>
      </w:r>
      <w:r>
        <w:rPr>
          <w:rFonts w:ascii="宋体" w:hAnsi="宋体"/>
          <w:bCs/>
          <w:color w:val="auto"/>
          <w:sz w:val="24"/>
          <w:szCs w:val="24"/>
          <w:highlight w:val="none"/>
        </w:rPr>
        <w:t>按通知要求时间到位</w:t>
      </w:r>
      <w:r>
        <w:rPr>
          <w:rFonts w:hint="eastAsia" w:ascii="宋体" w:hAnsi="宋体"/>
          <w:bCs/>
          <w:color w:val="auto"/>
          <w:sz w:val="24"/>
          <w:szCs w:val="24"/>
          <w:highlight w:val="none"/>
        </w:rPr>
        <w:t>且未经甲方</w:t>
      </w:r>
      <w:r>
        <w:rPr>
          <w:rFonts w:ascii="宋体" w:hAnsi="宋体"/>
          <w:bCs/>
          <w:color w:val="auto"/>
          <w:sz w:val="24"/>
          <w:szCs w:val="24"/>
          <w:highlight w:val="none"/>
        </w:rPr>
        <w:t>批准</w:t>
      </w:r>
      <w:r>
        <w:rPr>
          <w:rFonts w:hint="eastAsia" w:ascii="宋体" w:hAnsi="宋体"/>
          <w:bCs/>
          <w:color w:val="auto"/>
          <w:sz w:val="24"/>
          <w:szCs w:val="24"/>
          <w:highlight w:val="none"/>
        </w:rPr>
        <w:t>同意</w:t>
      </w:r>
      <w:r>
        <w:rPr>
          <w:rFonts w:ascii="宋体" w:hAnsi="宋体"/>
          <w:bCs/>
          <w:color w:val="auto"/>
          <w:sz w:val="24"/>
          <w:szCs w:val="24"/>
          <w:highlight w:val="none"/>
        </w:rPr>
        <w:t>的，每延迟1天，</w:t>
      </w:r>
      <w:r>
        <w:rPr>
          <w:rFonts w:hint="eastAsia" w:ascii="宋体" w:hAnsi="宋体" w:cs="宋体"/>
          <w:color w:val="auto"/>
          <w:kern w:val="0"/>
          <w:sz w:val="24"/>
          <w:szCs w:val="24"/>
          <w:highlight w:val="none"/>
          <w:lang w:val="zh-CN"/>
        </w:rPr>
        <w:t>乙方</w:t>
      </w:r>
      <w:r>
        <w:rPr>
          <w:rFonts w:ascii="宋体" w:hAnsi="宋体"/>
          <w:bCs/>
          <w:color w:val="auto"/>
          <w:sz w:val="24"/>
          <w:szCs w:val="24"/>
          <w:highlight w:val="none"/>
        </w:rPr>
        <w:t>按</w:t>
      </w:r>
      <w:r>
        <w:rPr>
          <w:rFonts w:hint="eastAsia" w:ascii="宋体" w:hAnsi="宋体"/>
          <w:bCs/>
          <w:color w:val="auto"/>
          <w:sz w:val="24"/>
          <w:szCs w:val="24"/>
          <w:highlight w:val="none"/>
        </w:rPr>
        <w:t>以下标准向甲方支付违约金</w:t>
      </w:r>
      <w:r>
        <w:rPr>
          <w:rFonts w:ascii="宋体" w:hAnsi="宋体"/>
          <w:bCs/>
          <w:color w:val="auto"/>
          <w:sz w:val="24"/>
          <w:szCs w:val="24"/>
          <w:highlight w:val="none"/>
        </w:rPr>
        <w:t>：</w:t>
      </w:r>
      <w:r>
        <w:rPr>
          <w:rFonts w:hint="eastAsia" w:ascii="宋体" w:hAnsi="宋体"/>
          <w:bCs/>
          <w:color w:val="auto"/>
          <w:sz w:val="24"/>
          <w:szCs w:val="24"/>
          <w:highlight w:val="none"/>
        </w:rPr>
        <w:t>注册造价工程师12</w:t>
      </w:r>
      <w:r>
        <w:rPr>
          <w:rFonts w:ascii="宋体" w:hAnsi="宋体"/>
          <w:bCs/>
          <w:color w:val="auto"/>
          <w:sz w:val="24"/>
          <w:szCs w:val="24"/>
          <w:highlight w:val="none"/>
        </w:rPr>
        <w:t>00元</w:t>
      </w:r>
      <w:r>
        <w:rPr>
          <w:rFonts w:hint="eastAsia" w:ascii="宋体" w:hAnsi="宋体"/>
          <w:bCs/>
          <w:color w:val="auto"/>
          <w:sz w:val="24"/>
          <w:szCs w:val="24"/>
          <w:highlight w:val="none"/>
        </w:rPr>
        <w:t>/人·天。</w:t>
      </w:r>
    </w:p>
    <w:p w14:paraId="5B961B09">
      <w:pPr>
        <w:spacing w:line="440" w:lineRule="exact"/>
        <w:ind w:firstLine="480" w:firstLineChars="200"/>
        <w:rPr>
          <w:rFonts w:ascii="宋体" w:hAnsi="宋体"/>
          <w:bCs/>
          <w:color w:val="auto"/>
          <w:sz w:val="24"/>
          <w:szCs w:val="24"/>
          <w:highlight w:val="none"/>
        </w:rPr>
      </w:pPr>
      <w:r>
        <w:rPr>
          <w:rFonts w:ascii="宋体" w:hAnsi="宋体"/>
          <w:color w:val="auto"/>
          <w:sz w:val="24"/>
          <w:szCs w:val="24"/>
          <w:highlight w:val="none"/>
        </w:rPr>
        <w:t>4.5.7</w:t>
      </w:r>
      <w:r>
        <w:rPr>
          <w:rFonts w:ascii="宋体" w:hAnsi="宋体"/>
          <w:bCs/>
          <w:color w:val="auto"/>
          <w:sz w:val="24"/>
          <w:szCs w:val="24"/>
          <w:highlight w:val="none"/>
        </w:rPr>
        <w:t>如</w:t>
      </w:r>
      <w:r>
        <w:rPr>
          <w:rFonts w:hint="eastAsia" w:ascii="宋体" w:hAnsi="宋体" w:cs="宋体"/>
          <w:color w:val="auto"/>
          <w:kern w:val="0"/>
          <w:sz w:val="24"/>
          <w:szCs w:val="24"/>
          <w:highlight w:val="none"/>
          <w:lang w:val="zh-CN"/>
        </w:rPr>
        <w:t>乙方</w:t>
      </w:r>
      <w:r>
        <w:rPr>
          <w:rFonts w:hint="eastAsia" w:ascii="宋体" w:hAnsi="宋体"/>
          <w:bCs/>
          <w:color w:val="auto"/>
          <w:sz w:val="24"/>
          <w:szCs w:val="24"/>
          <w:highlight w:val="none"/>
        </w:rPr>
        <w:t>驻场人员</w:t>
      </w:r>
      <w:r>
        <w:rPr>
          <w:rFonts w:ascii="宋体" w:hAnsi="宋体"/>
          <w:bCs/>
          <w:color w:val="auto"/>
          <w:sz w:val="24"/>
          <w:szCs w:val="24"/>
          <w:highlight w:val="none"/>
        </w:rPr>
        <w:t>因不适应现场工作需要而被</w:t>
      </w:r>
      <w:r>
        <w:rPr>
          <w:rFonts w:hint="eastAsia" w:ascii="宋体" w:hAnsi="宋体"/>
          <w:bCs/>
          <w:color w:val="auto"/>
          <w:sz w:val="24"/>
          <w:szCs w:val="24"/>
          <w:highlight w:val="none"/>
        </w:rPr>
        <w:t>甲方书面要求</w:t>
      </w:r>
      <w:r>
        <w:rPr>
          <w:rFonts w:ascii="宋体" w:hAnsi="宋体"/>
          <w:bCs/>
          <w:color w:val="auto"/>
          <w:sz w:val="24"/>
          <w:szCs w:val="24"/>
          <w:highlight w:val="none"/>
        </w:rPr>
        <w:t>撤换的，</w:t>
      </w:r>
      <w:r>
        <w:rPr>
          <w:rFonts w:hint="eastAsia" w:ascii="宋体" w:hAnsi="宋体"/>
          <w:bCs/>
          <w:color w:val="auto"/>
          <w:sz w:val="24"/>
          <w:szCs w:val="24"/>
          <w:highlight w:val="none"/>
        </w:rPr>
        <w:t>或者乙方</w:t>
      </w:r>
      <w:r>
        <w:rPr>
          <w:rFonts w:ascii="宋体" w:hAnsi="宋体"/>
          <w:bCs/>
          <w:color w:val="auto"/>
          <w:sz w:val="24"/>
          <w:szCs w:val="24"/>
          <w:highlight w:val="none"/>
        </w:rPr>
        <w:t>未经</w:t>
      </w:r>
      <w:r>
        <w:rPr>
          <w:rFonts w:hint="eastAsia" w:ascii="宋体" w:hAnsi="宋体"/>
          <w:bCs/>
          <w:color w:val="auto"/>
          <w:sz w:val="24"/>
          <w:szCs w:val="24"/>
          <w:highlight w:val="none"/>
        </w:rPr>
        <w:t>甲方</w:t>
      </w:r>
      <w:r>
        <w:rPr>
          <w:rFonts w:ascii="宋体" w:hAnsi="宋体"/>
          <w:bCs/>
          <w:color w:val="auto"/>
          <w:sz w:val="24"/>
          <w:szCs w:val="24"/>
          <w:highlight w:val="none"/>
        </w:rPr>
        <w:t>同意擅自更换</w:t>
      </w:r>
      <w:r>
        <w:rPr>
          <w:rFonts w:hint="eastAsia" w:ascii="宋体" w:hAnsi="宋体"/>
          <w:bCs/>
          <w:color w:val="auto"/>
          <w:sz w:val="24"/>
          <w:szCs w:val="24"/>
          <w:highlight w:val="none"/>
        </w:rPr>
        <w:t>驻场人员</w:t>
      </w:r>
      <w:r>
        <w:rPr>
          <w:rFonts w:ascii="宋体" w:hAnsi="宋体"/>
          <w:bCs/>
          <w:color w:val="auto"/>
          <w:sz w:val="24"/>
          <w:szCs w:val="24"/>
          <w:highlight w:val="none"/>
        </w:rPr>
        <w:t>，必须</w:t>
      </w:r>
      <w:r>
        <w:rPr>
          <w:rFonts w:hint="eastAsia" w:ascii="宋体" w:hAnsi="宋体"/>
          <w:bCs/>
          <w:color w:val="auto"/>
          <w:sz w:val="24"/>
          <w:szCs w:val="24"/>
          <w:highlight w:val="none"/>
        </w:rPr>
        <w:t>在7天内完成整改</w:t>
      </w:r>
      <w:r>
        <w:rPr>
          <w:rFonts w:ascii="宋体" w:hAnsi="宋体"/>
          <w:bCs/>
          <w:color w:val="auto"/>
          <w:sz w:val="24"/>
          <w:szCs w:val="24"/>
          <w:highlight w:val="none"/>
        </w:rPr>
        <w:t>，</w:t>
      </w:r>
      <w:r>
        <w:rPr>
          <w:rFonts w:hint="eastAsia" w:ascii="宋体" w:hAnsi="宋体"/>
          <w:bCs/>
          <w:color w:val="auto"/>
          <w:sz w:val="24"/>
          <w:szCs w:val="24"/>
          <w:highlight w:val="none"/>
        </w:rPr>
        <w:t>且乙方按以下标准向甲方支付违约金：注册造价工程师60</w:t>
      </w:r>
      <w:r>
        <w:rPr>
          <w:rFonts w:ascii="宋体" w:hAnsi="宋体"/>
          <w:bCs/>
          <w:color w:val="auto"/>
          <w:sz w:val="24"/>
          <w:szCs w:val="24"/>
          <w:highlight w:val="none"/>
        </w:rPr>
        <w:t>00元</w:t>
      </w:r>
      <w:r>
        <w:rPr>
          <w:rFonts w:hint="eastAsia" w:ascii="宋体" w:hAnsi="宋体"/>
          <w:bCs/>
          <w:color w:val="auto"/>
          <w:sz w:val="24"/>
          <w:szCs w:val="24"/>
          <w:highlight w:val="none"/>
        </w:rPr>
        <w:t>/人·次。</w:t>
      </w:r>
    </w:p>
    <w:p w14:paraId="435B00B5">
      <w:pPr>
        <w:spacing w:line="440" w:lineRule="exact"/>
        <w:ind w:firstLine="480" w:firstLineChars="200"/>
        <w:rPr>
          <w:rFonts w:ascii="宋体" w:hAnsi="宋体"/>
          <w:bCs/>
          <w:color w:val="auto"/>
          <w:sz w:val="24"/>
          <w:szCs w:val="24"/>
          <w:highlight w:val="none"/>
        </w:rPr>
      </w:pPr>
      <w:r>
        <w:rPr>
          <w:rFonts w:ascii="宋体" w:hAnsi="宋体"/>
          <w:color w:val="auto"/>
          <w:sz w:val="24"/>
          <w:szCs w:val="24"/>
          <w:highlight w:val="none"/>
        </w:rPr>
        <w:t>4.5.8</w:t>
      </w:r>
      <w:r>
        <w:rPr>
          <w:rFonts w:hint="eastAsia" w:ascii="宋体" w:hAnsi="宋体"/>
          <w:bCs/>
          <w:color w:val="auto"/>
          <w:sz w:val="24"/>
          <w:szCs w:val="24"/>
          <w:highlight w:val="none"/>
        </w:rPr>
        <w:t>驻场</w:t>
      </w:r>
      <w:r>
        <w:rPr>
          <w:rFonts w:ascii="宋体" w:hAnsi="宋体"/>
          <w:bCs/>
          <w:color w:val="auto"/>
          <w:sz w:val="24"/>
          <w:szCs w:val="24"/>
          <w:highlight w:val="none"/>
        </w:rPr>
        <w:t>过程中，</w:t>
      </w:r>
      <w:r>
        <w:rPr>
          <w:rFonts w:hint="eastAsia" w:ascii="宋体" w:hAnsi="宋体"/>
          <w:bCs/>
          <w:color w:val="auto"/>
          <w:sz w:val="24"/>
          <w:szCs w:val="24"/>
          <w:highlight w:val="none"/>
        </w:rPr>
        <w:t>驻场人员</w:t>
      </w:r>
      <w:r>
        <w:rPr>
          <w:rFonts w:ascii="宋体" w:hAnsi="宋体"/>
          <w:bCs/>
          <w:color w:val="auto"/>
          <w:sz w:val="24"/>
          <w:szCs w:val="24"/>
          <w:highlight w:val="none"/>
        </w:rPr>
        <w:t>擅自离场或岗位空缺</w:t>
      </w:r>
      <w:r>
        <w:rPr>
          <w:rFonts w:hint="eastAsia" w:ascii="宋体" w:hAnsi="宋体"/>
          <w:bCs/>
          <w:color w:val="auto"/>
          <w:sz w:val="24"/>
          <w:szCs w:val="24"/>
          <w:highlight w:val="none"/>
        </w:rPr>
        <w:t>的</w:t>
      </w:r>
      <w:r>
        <w:rPr>
          <w:rFonts w:ascii="宋体" w:hAnsi="宋体"/>
          <w:bCs/>
          <w:color w:val="auto"/>
          <w:sz w:val="24"/>
          <w:szCs w:val="24"/>
          <w:highlight w:val="none"/>
        </w:rPr>
        <w:t>，</w:t>
      </w:r>
      <w:r>
        <w:rPr>
          <w:rFonts w:hint="eastAsia" w:ascii="宋体" w:hAnsi="宋体"/>
          <w:bCs/>
          <w:color w:val="auto"/>
          <w:sz w:val="24"/>
          <w:szCs w:val="24"/>
          <w:highlight w:val="none"/>
        </w:rPr>
        <w:t>甲方</w:t>
      </w:r>
      <w:r>
        <w:rPr>
          <w:rFonts w:ascii="宋体" w:hAnsi="宋体"/>
          <w:bCs/>
          <w:color w:val="auto"/>
          <w:sz w:val="24"/>
          <w:szCs w:val="24"/>
          <w:highlight w:val="none"/>
        </w:rPr>
        <w:t>可以发出书面通知，</w:t>
      </w:r>
      <w:r>
        <w:rPr>
          <w:rFonts w:hint="eastAsia" w:ascii="宋体" w:hAnsi="宋体" w:cs="宋体"/>
          <w:color w:val="auto"/>
          <w:kern w:val="0"/>
          <w:sz w:val="24"/>
          <w:szCs w:val="24"/>
          <w:highlight w:val="none"/>
          <w:lang w:val="zh-CN"/>
        </w:rPr>
        <w:t>乙方</w:t>
      </w:r>
      <w:r>
        <w:rPr>
          <w:rFonts w:ascii="宋体" w:hAnsi="宋体"/>
          <w:bCs/>
          <w:color w:val="auto"/>
          <w:sz w:val="24"/>
          <w:szCs w:val="24"/>
          <w:highlight w:val="none"/>
        </w:rPr>
        <w:t>必须在24小时内纠正，并要求</w:t>
      </w:r>
      <w:r>
        <w:rPr>
          <w:rFonts w:hint="eastAsia" w:ascii="宋体" w:hAnsi="宋体" w:cs="宋体"/>
          <w:color w:val="auto"/>
          <w:kern w:val="0"/>
          <w:sz w:val="24"/>
          <w:szCs w:val="24"/>
          <w:highlight w:val="none"/>
          <w:lang w:val="zh-CN"/>
        </w:rPr>
        <w:t>乙方</w:t>
      </w:r>
      <w:r>
        <w:rPr>
          <w:rFonts w:ascii="宋体" w:hAnsi="宋体"/>
          <w:bCs/>
          <w:color w:val="auto"/>
          <w:sz w:val="24"/>
          <w:szCs w:val="24"/>
          <w:highlight w:val="none"/>
        </w:rPr>
        <w:t>作出书面解释和保证；此种情况每出现1次，</w:t>
      </w:r>
      <w:r>
        <w:rPr>
          <w:rFonts w:hint="eastAsia" w:ascii="宋体" w:hAnsi="宋体" w:cs="宋体"/>
          <w:color w:val="auto"/>
          <w:kern w:val="0"/>
          <w:sz w:val="24"/>
          <w:szCs w:val="24"/>
          <w:highlight w:val="none"/>
          <w:lang w:val="zh-CN"/>
        </w:rPr>
        <w:t>乙方按以下标准向甲方</w:t>
      </w:r>
      <w:r>
        <w:rPr>
          <w:rFonts w:ascii="宋体" w:hAnsi="宋体"/>
          <w:bCs/>
          <w:color w:val="auto"/>
          <w:sz w:val="24"/>
          <w:szCs w:val="24"/>
          <w:highlight w:val="none"/>
        </w:rPr>
        <w:t>支付违约金</w:t>
      </w:r>
      <w:r>
        <w:rPr>
          <w:rFonts w:hint="eastAsia" w:ascii="宋体" w:hAnsi="宋体"/>
          <w:bCs/>
          <w:color w:val="auto"/>
          <w:sz w:val="24"/>
          <w:szCs w:val="24"/>
          <w:highlight w:val="none"/>
        </w:rPr>
        <w:t>：注册造价工程师24</w:t>
      </w:r>
      <w:r>
        <w:rPr>
          <w:rFonts w:ascii="宋体" w:hAnsi="宋体"/>
          <w:bCs/>
          <w:color w:val="auto"/>
          <w:sz w:val="24"/>
          <w:szCs w:val="24"/>
          <w:highlight w:val="none"/>
        </w:rPr>
        <w:t>00元</w:t>
      </w:r>
      <w:r>
        <w:rPr>
          <w:rFonts w:hint="eastAsia" w:ascii="宋体" w:hAnsi="宋体"/>
          <w:bCs/>
          <w:color w:val="auto"/>
          <w:sz w:val="24"/>
          <w:szCs w:val="24"/>
          <w:highlight w:val="none"/>
        </w:rPr>
        <w:t>/人·次。</w:t>
      </w:r>
      <w:r>
        <w:rPr>
          <w:rFonts w:ascii="宋体" w:hAnsi="宋体"/>
          <w:bCs/>
          <w:color w:val="auto"/>
          <w:sz w:val="24"/>
          <w:szCs w:val="24"/>
          <w:highlight w:val="none"/>
        </w:rPr>
        <w:t>30天内出现2次，</w:t>
      </w:r>
      <w:r>
        <w:rPr>
          <w:rFonts w:hint="eastAsia" w:ascii="宋体" w:hAnsi="宋体" w:cs="宋体"/>
          <w:color w:val="auto"/>
          <w:kern w:val="0"/>
          <w:sz w:val="24"/>
          <w:szCs w:val="24"/>
          <w:highlight w:val="none"/>
          <w:lang w:val="zh-CN"/>
        </w:rPr>
        <w:t>乙方</w:t>
      </w:r>
      <w:r>
        <w:rPr>
          <w:rFonts w:ascii="宋体" w:hAnsi="宋体"/>
          <w:bCs/>
          <w:color w:val="auto"/>
          <w:sz w:val="24"/>
          <w:szCs w:val="24"/>
          <w:highlight w:val="none"/>
        </w:rPr>
        <w:t>必须承担限期改正责任1次。若</w:t>
      </w:r>
      <w:r>
        <w:rPr>
          <w:rFonts w:hint="eastAsia" w:ascii="宋体" w:hAnsi="宋体" w:cs="宋体"/>
          <w:color w:val="auto"/>
          <w:kern w:val="0"/>
          <w:sz w:val="24"/>
          <w:szCs w:val="24"/>
          <w:highlight w:val="none"/>
          <w:lang w:val="zh-CN"/>
        </w:rPr>
        <w:t>乙方</w:t>
      </w:r>
      <w:r>
        <w:rPr>
          <w:rFonts w:ascii="宋体" w:hAnsi="宋体"/>
          <w:bCs/>
          <w:color w:val="auto"/>
          <w:sz w:val="24"/>
          <w:szCs w:val="24"/>
          <w:highlight w:val="none"/>
        </w:rPr>
        <w:t>未能按要求及时纠正、或作出书面解释和保证，</w:t>
      </w:r>
      <w:r>
        <w:rPr>
          <w:rFonts w:hint="eastAsia" w:ascii="宋体" w:hAnsi="宋体"/>
          <w:bCs/>
          <w:color w:val="auto"/>
          <w:sz w:val="24"/>
          <w:szCs w:val="24"/>
          <w:highlight w:val="none"/>
        </w:rPr>
        <w:t>甲方</w:t>
      </w:r>
      <w:r>
        <w:rPr>
          <w:rFonts w:ascii="宋体" w:hAnsi="宋体"/>
          <w:bCs/>
          <w:color w:val="auto"/>
          <w:sz w:val="24"/>
          <w:szCs w:val="24"/>
          <w:highlight w:val="none"/>
        </w:rPr>
        <w:t>将再次发出书面通知，</w:t>
      </w:r>
      <w:r>
        <w:rPr>
          <w:rFonts w:hint="eastAsia" w:ascii="宋体" w:hAnsi="宋体" w:cs="宋体"/>
          <w:color w:val="auto"/>
          <w:kern w:val="0"/>
          <w:sz w:val="24"/>
          <w:szCs w:val="24"/>
          <w:highlight w:val="none"/>
          <w:lang w:val="zh-CN"/>
        </w:rPr>
        <w:t>乙方</w:t>
      </w:r>
      <w:r>
        <w:rPr>
          <w:rFonts w:ascii="宋体" w:hAnsi="宋体"/>
          <w:bCs/>
          <w:color w:val="auto"/>
          <w:sz w:val="24"/>
          <w:szCs w:val="24"/>
          <w:highlight w:val="none"/>
        </w:rPr>
        <w:t>必须承担限期改正责任1次</w:t>
      </w:r>
      <w:r>
        <w:rPr>
          <w:rFonts w:hint="eastAsia" w:ascii="宋体" w:hAnsi="宋体"/>
          <w:bCs/>
          <w:color w:val="auto"/>
          <w:sz w:val="24"/>
          <w:szCs w:val="24"/>
          <w:highlight w:val="none"/>
        </w:rPr>
        <w:t>。以</w:t>
      </w:r>
      <w:r>
        <w:rPr>
          <w:rFonts w:ascii="宋体" w:hAnsi="宋体"/>
          <w:bCs/>
          <w:color w:val="auto"/>
          <w:sz w:val="24"/>
          <w:szCs w:val="24"/>
          <w:highlight w:val="none"/>
        </w:rPr>
        <w:t>此类推</w:t>
      </w:r>
      <w:r>
        <w:rPr>
          <w:rFonts w:hint="eastAsia" w:ascii="宋体" w:hAnsi="宋体"/>
          <w:bCs/>
          <w:color w:val="auto"/>
          <w:sz w:val="24"/>
          <w:szCs w:val="24"/>
          <w:highlight w:val="none"/>
        </w:rPr>
        <w:t>，</w:t>
      </w:r>
      <w:r>
        <w:rPr>
          <w:rFonts w:hint="eastAsia" w:ascii="宋体" w:hAnsi="宋体"/>
          <w:color w:val="auto"/>
          <w:sz w:val="24"/>
          <w:szCs w:val="24"/>
          <w:highlight w:val="none"/>
        </w:rPr>
        <w:t>累计两次以上（含两次）限期改正责任的，</w:t>
      </w:r>
      <w:r>
        <w:rPr>
          <w:rFonts w:hint="eastAsia" w:ascii="宋体" w:hAnsi="宋体" w:cs="宋体"/>
          <w:color w:val="auto"/>
          <w:kern w:val="0"/>
          <w:sz w:val="24"/>
          <w:szCs w:val="24"/>
          <w:highlight w:val="none"/>
          <w:lang w:val="zh-CN"/>
        </w:rPr>
        <w:t>甲方</w:t>
      </w:r>
      <w:r>
        <w:rPr>
          <w:rFonts w:hint="eastAsia" w:ascii="宋体" w:hAnsi="宋体"/>
          <w:color w:val="auto"/>
          <w:sz w:val="24"/>
          <w:szCs w:val="24"/>
          <w:highlight w:val="none"/>
        </w:rPr>
        <w:t>有权要求撤换该</w:t>
      </w:r>
      <w:r>
        <w:rPr>
          <w:rFonts w:hint="eastAsia" w:ascii="宋体" w:hAnsi="宋体"/>
          <w:bCs/>
          <w:color w:val="auto"/>
          <w:sz w:val="24"/>
          <w:szCs w:val="24"/>
          <w:highlight w:val="none"/>
        </w:rPr>
        <w:t>驻场人员</w:t>
      </w:r>
      <w:r>
        <w:rPr>
          <w:rFonts w:hint="eastAsia" w:ascii="宋体" w:hAnsi="宋体"/>
          <w:color w:val="auto"/>
          <w:sz w:val="24"/>
          <w:szCs w:val="24"/>
          <w:highlight w:val="none"/>
        </w:rPr>
        <w:t>，并由</w:t>
      </w:r>
      <w:r>
        <w:rPr>
          <w:rFonts w:hint="eastAsia" w:ascii="宋体" w:hAnsi="宋体" w:cs="宋体"/>
          <w:color w:val="auto"/>
          <w:kern w:val="0"/>
          <w:sz w:val="24"/>
          <w:szCs w:val="24"/>
          <w:highlight w:val="none"/>
          <w:lang w:val="zh-CN"/>
        </w:rPr>
        <w:t>乙方</w:t>
      </w:r>
      <w:r>
        <w:rPr>
          <w:rFonts w:hint="eastAsia" w:ascii="宋体" w:hAnsi="宋体"/>
          <w:color w:val="auto"/>
          <w:sz w:val="24"/>
          <w:szCs w:val="24"/>
          <w:highlight w:val="none"/>
        </w:rPr>
        <w:t>按照前述第4.5.6款人员被撤换的情况承担违约责任。</w:t>
      </w:r>
    </w:p>
    <w:p w14:paraId="3BCF7F6B">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4.5.9</w:t>
      </w:r>
      <w:r>
        <w:rPr>
          <w:rFonts w:hint="eastAsia" w:ascii="宋体" w:hAnsi="宋体"/>
          <w:color w:val="auto"/>
          <w:sz w:val="24"/>
          <w:szCs w:val="24"/>
          <w:highlight w:val="none"/>
        </w:rPr>
        <w:t>乙方为完成本项目造价咨询工作的全部人工费用（工资、奖金、福利、保险）、办公条件（电脑、打印机、交通、通讯、食宿）等一切费用均由乙方自行承担。</w:t>
      </w:r>
    </w:p>
    <w:p w14:paraId="14A28337">
      <w:pPr>
        <w:tabs>
          <w:tab w:val="left" w:pos="9100"/>
        </w:tabs>
        <w:autoSpaceDE w:val="0"/>
        <w:autoSpaceDN w:val="0"/>
        <w:adjustRightInd w:val="0"/>
        <w:spacing w:line="440" w:lineRule="exact"/>
        <w:ind w:right="907"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ascii="宋体" w:hAnsi="宋体" w:cs="宋体"/>
          <w:b/>
          <w:color w:val="auto"/>
          <w:kern w:val="0"/>
          <w:sz w:val="24"/>
          <w:szCs w:val="24"/>
          <w:highlight w:val="none"/>
        </w:rPr>
        <w:t>6</w:t>
      </w:r>
      <w:r>
        <w:rPr>
          <w:rFonts w:hint="eastAsia" w:ascii="宋体" w:hAnsi="宋体" w:cs="宋体"/>
          <w:b/>
          <w:color w:val="auto"/>
          <w:kern w:val="0"/>
          <w:sz w:val="24"/>
          <w:szCs w:val="24"/>
          <w:highlight w:val="none"/>
        </w:rPr>
        <w:t xml:space="preserve"> 其它要求</w:t>
      </w:r>
    </w:p>
    <w:p w14:paraId="09887B6F">
      <w:pPr>
        <w:pStyle w:val="46"/>
        <w:spacing w:line="440" w:lineRule="exact"/>
        <w:ind w:left="57" w:leftChars="27" w:right="144" w:firstLine="516" w:firstLineChars="215"/>
        <w:jc w:val="left"/>
        <w:rPr>
          <w:color w:val="auto"/>
          <w:highlight w:val="none"/>
          <w:lang w:val="zh-CN"/>
        </w:rPr>
      </w:pPr>
      <w:r>
        <w:rPr>
          <w:rFonts w:hint="eastAsia"/>
          <w:color w:val="auto"/>
          <w:highlight w:val="none"/>
          <w:lang w:val="zh-CN"/>
        </w:rPr>
        <w:t>4.</w:t>
      </w:r>
      <w:r>
        <w:rPr>
          <w:color w:val="auto"/>
          <w:highlight w:val="none"/>
          <w:lang w:val="zh-CN"/>
        </w:rPr>
        <w:t>6</w:t>
      </w:r>
      <w:r>
        <w:rPr>
          <w:rFonts w:hint="eastAsia"/>
          <w:color w:val="auto"/>
          <w:highlight w:val="none"/>
          <w:lang w:val="zh-CN"/>
        </w:rPr>
        <w:t>.1乙方须遵守甲方各项规章制度和廉政纪律要求，无条件配合甲方的复核、复审和考核等工作。</w:t>
      </w:r>
    </w:p>
    <w:p w14:paraId="7B125A53">
      <w:pPr>
        <w:pStyle w:val="46"/>
        <w:spacing w:line="440" w:lineRule="exact"/>
        <w:ind w:left="57" w:leftChars="27" w:right="144" w:firstLine="516" w:firstLineChars="215"/>
        <w:jc w:val="left"/>
        <w:rPr>
          <w:color w:val="auto"/>
          <w:highlight w:val="none"/>
          <w:lang w:val="zh-CN"/>
        </w:rPr>
      </w:pPr>
      <w:r>
        <w:rPr>
          <w:rFonts w:hint="eastAsia"/>
          <w:color w:val="auto"/>
          <w:highlight w:val="none"/>
          <w:lang w:val="zh-CN"/>
        </w:rPr>
        <w:t>4.</w:t>
      </w:r>
      <w:r>
        <w:rPr>
          <w:color w:val="auto"/>
          <w:highlight w:val="none"/>
          <w:lang w:val="zh-CN"/>
        </w:rPr>
        <w:t>6</w:t>
      </w:r>
      <w:r>
        <w:rPr>
          <w:rFonts w:hint="eastAsia"/>
          <w:color w:val="auto"/>
          <w:highlight w:val="none"/>
          <w:lang w:val="zh-CN"/>
        </w:rPr>
        <w:t>.2乙方必须具有保证业务需要的交通工具、办公设备和造价审核管理软件等。</w:t>
      </w:r>
    </w:p>
    <w:p w14:paraId="05CDCD59">
      <w:pPr>
        <w:pStyle w:val="46"/>
        <w:spacing w:line="440" w:lineRule="exact"/>
        <w:ind w:left="57" w:leftChars="27" w:right="144" w:firstLine="516" w:firstLineChars="215"/>
        <w:jc w:val="left"/>
        <w:rPr>
          <w:color w:val="auto"/>
          <w:highlight w:val="none"/>
          <w:lang w:val="zh-CN"/>
        </w:rPr>
      </w:pPr>
      <w:r>
        <w:rPr>
          <w:rFonts w:hint="eastAsia"/>
          <w:color w:val="auto"/>
          <w:highlight w:val="none"/>
          <w:lang w:val="zh-CN"/>
        </w:rPr>
        <w:t>4.</w:t>
      </w:r>
      <w:r>
        <w:rPr>
          <w:color w:val="auto"/>
          <w:highlight w:val="none"/>
          <w:lang w:val="zh-CN"/>
        </w:rPr>
        <w:t>6</w:t>
      </w:r>
      <w:r>
        <w:rPr>
          <w:rFonts w:hint="eastAsia"/>
          <w:color w:val="auto"/>
          <w:highlight w:val="none"/>
          <w:lang w:val="zh-CN"/>
        </w:rPr>
        <w:t>.3乙方须独立完成造价咨询业务，未经甲方同意不得转让第三方负责；对有特殊技术要求的咨询项目，需聘请相关专家共同完成咨询业务的，需事先征得甲方同意。未经甲方同意，不得以任何形式向任何单位或个人披露审核项目有关的信息，不得对外提供、泄露审核有关情况。</w:t>
      </w:r>
    </w:p>
    <w:p w14:paraId="011BBE73">
      <w:pPr>
        <w:pStyle w:val="7"/>
        <w:spacing w:line="440" w:lineRule="exact"/>
        <w:ind w:left="105" w:leftChars="50" w:firstLine="360" w:firstLineChars="150"/>
        <w:rPr>
          <w:rFonts w:ascii="宋体" w:hAnsi="宋体"/>
          <w:b/>
          <w:color w:val="auto"/>
          <w:kern w:val="0"/>
          <w:sz w:val="24"/>
          <w:szCs w:val="24"/>
          <w:highlight w:val="none"/>
        </w:rPr>
      </w:pPr>
      <w:r>
        <w:rPr>
          <w:rFonts w:hint="eastAsia" w:ascii="宋体" w:hAnsi="宋体"/>
          <w:color w:val="auto"/>
          <w:sz w:val="24"/>
          <w:szCs w:val="24"/>
          <w:highlight w:val="none"/>
          <w:lang w:val="zh-CN"/>
        </w:rPr>
        <w:t>4.</w:t>
      </w:r>
      <w:r>
        <w:rPr>
          <w:rFonts w:ascii="宋体" w:hAnsi="宋体"/>
          <w:color w:val="auto"/>
          <w:sz w:val="24"/>
          <w:szCs w:val="24"/>
          <w:highlight w:val="none"/>
          <w:lang w:val="zh-CN"/>
        </w:rPr>
        <w:t>6</w:t>
      </w:r>
      <w:r>
        <w:rPr>
          <w:rFonts w:hint="eastAsia" w:ascii="宋体" w:hAnsi="宋体"/>
          <w:color w:val="auto"/>
          <w:sz w:val="24"/>
          <w:szCs w:val="24"/>
          <w:highlight w:val="none"/>
          <w:lang w:val="zh-CN"/>
        </w:rPr>
        <w:t>.4 乙方需为驻场人员购买商业保险，发生人身安全事故，由乙方承担相应责任。</w:t>
      </w:r>
    </w:p>
    <w:p w14:paraId="6B7A8F7F">
      <w:pPr>
        <w:spacing w:line="440" w:lineRule="exact"/>
        <w:ind w:firstLine="482" w:firstLineChars="200"/>
        <w:rPr>
          <w:rFonts w:ascii="宋体" w:hAnsi="宋体"/>
          <w:color w:val="auto"/>
          <w:sz w:val="24"/>
          <w:szCs w:val="24"/>
          <w:highlight w:val="none"/>
        </w:rPr>
      </w:pPr>
      <w:r>
        <w:rPr>
          <w:rFonts w:hint="eastAsia" w:ascii="宋体" w:hAnsi="宋体"/>
          <w:b/>
          <w:color w:val="auto"/>
          <w:kern w:val="0"/>
          <w:sz w:val="24"/>
          <w:szCs w:val="24"/>
          <w:highlight w:val="none"/>
        </w:rPr>
        <w:t xml:space="preserve">第六条 </w:t>
      </w:r>
      <w:r>
        <w:rPr>
          <w:rFonts w:hint="eastAsia" w:ascii="宋体" w:hAnsi="宋体"/>
          <w:color w:val="auto"/>
          <w:kern w:val="0"/>
          <w:sz w:val="24"/>
          <w:szCs w:val="24"/>
          <w:highlight w:val="none"/>
        </w:rPr>
        <w:t xml:space="preserve"> </w:t>
      </w:r>
      <w:r>
        <w:rPr>
          <w:rFonts w:hint="eastAsia" w:ascii="宋体" w:hAnsi="宋体"/>
          <w:b/>
          <w:color w:val="auto"/>
          <w:kern w:val="0"/>
          <w:sz w:val="24"/>
          <w:szCs w:val="24"/>
          <w:highlight w:val="none"/>
        </w:rPr>
        <w:t>工作要求</w:t>
      </w:r>
    </w:p>
    <w:p w14:paraId="0B98EB14">
      <w:pPr>
        <w:tabs>
          <w:tab w:val="left" w:pos="9100"/>
        </w:tabs>
        <w:autoSpaceDE w:val="0"/>
        <w:autoSpaceDN w:val="0"/>
        <w:adjustRightInd w:val="0"/>
        <w:spacing w:line="44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6.1 质量要求</w:t>
      </w:r>
    </w:p>
    <w:p w14:paraId="776FCA28">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6.1.1</w:t>
      </w:r>
      <w:r>
        <w:rPr>
          <w:rFonts w:hint="eastAsia" w:ascii="宋体" w:hAnsi="宋体" w:cs="宋体"/>
          <w:color w:val="auto"/>
          <w:kern w:val="0"/>
          <w:sz w:val="24"/>
          <w:szCs w:val="24"/>
          <w:highlight w:val="none"/>
        </w:rPr>
        <w:t>乙方应熟悉并严格按照国家、省、市有关财政、基建、工程造价方面的法律、法规，以及甲方工程造价管理业务制度要求，依据合同相关约定，本着有依有据、合法合规的原则，科学、客观、公正地开展造价咨询工作，乙方提供的工程造价咨询成果文件应合理体现甲方控制项目投资的要求。</w:t>
      </w:r>
    </w:p>
    <w:p w14:paraId="374CD508">
      <w:pPr>
        <w:tabs>
          <w:tab w:val="left" w:pos="9100"/>
        </w:tabs>
        <w:autoSpaceDE w:val="0"/>
        <w:autoSpaceDN w:val="0"/>
        <w:adjustRightInd w:val="0"/>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6.1.2乙方应对天河区</w:t>
      </w:r>
      <w:r>
        <w:rPr>
          <w:rFonts w:hint="eastAsia" w:ascii="宋体" w:hAnsi="宋体" w:cs="宋体"/>
          <w:color w:val="auto"/>
          <w:kern w:val="0"/>
          <w:sz w:val="24"/>
          <w:szCs w:val="24"/>
          <w:highlight w:val="none"/>
          <w:lang w:val="en-US" w:eastAsia="zh-CN"/>
        </w:rPr>
        <w:t>柯木塱</w:t>
      </w:r>
      <w:r>
        <w:rPr>
          <w:rFonts w:hint="eastAsia" w:ascii="宋体" w:hAnsi="宋体" w:cs="宋体"/>
          <w:color w:val="auto"/>
          <w:kern w:val="0"/>
          <w:sz w:val="24"/>
          <w:szCs w:val="24"/>
          <w:highlight w:val="none"/>
        </w:rPr>
        <w:t>村城中村改造项目-</w:t>
      </w:r>
      <w:r>
        <w:rPr>
          <w:rFonts w:hint="eastAsia" w:ascii="宋体" w:hAnsi="宋体" w:cs="宋体"/>
          <w:color w:val="auto"/>
          <w:kern w:val="0"/>
          <w:sz w:val="24"/>
          <w:szCs w:val="24"/>
          <w:highlight w:val="none"/>
          <w:lang w:val="en-US" w:eastAsia="zh-CN"/>
        </w:rPr>
        <w:t>首开区凤凰汇西侧</w:t>
      </w:r>
      <w:r>
        <w:rPr>
          <w:rFonts w:hint="eastAsia" w:ascii="宋体" w:hAnsi="宋体" w:cs="宋体"/>
          <w:color w:val="auto"/>
          <w:kern w:val="0"/>
          <w:sz w:val="24"/>
          <w:szCs w:val="24"/>
          <w:highlight w:val="none"/>
        </w:rPr>
        <w:t>地块复建安置房及配套设施工程建设实行全过程造价管理，确保项目成本得到有效管控。</w:t>
      </w:r>
    </w:p>
    <w:p w14:paraId="42B252DB">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6.1.3</w:t>
      </w:r>
      <w:r>
        <w:rPr>
          <w:rFonts w:hint="eastAsia" w:ascii="宋体" w:hAnsi="宋体" w:cs="宋体"/>
          <w:color w:val="auto"/>
          <w:kern w:val="0"/>
          <w:sz w:val="24"/>
          <w:szCs w:val="24"/>
          <w:highlight w:val="none"/>
        </w:rPr>
        <w:t>乙方应确保本</w:t>
      </w:r>
      <w:r>
        <w:rPr>
          <w:rFonts w:hint="eastAsia" w:ascii="宋体" w:hAnsi="宋体" w:cs="宋体"/>
          <w:color w:val="auto"/>
          <w:kern w:val="0"/>
          <w:sz w:val="24"/>
          <w:szCs w:val="24"/>
          <w:highlight w:val="none"/>
          <w:lang w:val="en-US" w:eastAsia="zh-CN"/>
        </w:rPr>
        <w:t>项目</w:t>
      </w:r>
      <w:r>
        <w:rPr>
          <w:rFonts w:hint="eastAsia" w:ascii="宋体" w:hAnsi="宋体" w:cs="宋体"/>
          <w:color w:val="auto"/>
          <w:kern w:val="0"/>
          <w:sz w:val="24"/>
          <w:szCs w:val="24"/>
          <w:highlight w:val="none"/>
        </w:rPr>
        <w:t>施工图预算文件、招标工程量清单、招标控制价</w:t>
      </w:r>
      <w:r>
        <w:rPr>
          <w:rFonts w:hint="eastAsia" w:ascii="宋体" w:hAnsi="宋体" w:cs="宋体"/>
          <w:color w:val="auto"/>
          <w:kern w:val="0"/>
          <w:sz w:val="24"/>
          <w:szCs w:val="24"/>
          <w:highlight w:val="none"/>
          <w:lang w:val="en-US" w:eastAsia="zh-CN"/>
        </w:rPr>
        <w:t>及</w:t>
      </w:r>
      <w:r>
        <w:rPr>
          <w:rFonts w:hint="eastAsia" w:ascii="宋体" w:hAnsi="宋体" w:cs="宋体"/>
          <w:color w:val="auto"/>
          <w:kern w:val="0"/>
          <w:sz w:val="24"/>
          <w:szCs w:val="24"/>
          <w:highlight w:val="none"/>
        </w:rPr>
        <w:t>其它造价成果文件</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编制（审核）工作质量，开项必须齐全、工程量必须准确、造价必须合理，并满足工程投资控制和合同的约定。</w:t>
      </w:r>
    </w:p>
    <w:p w14:paraId="5EA31259">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6.1.4</w:t>
      </w:r>
      <w:r>
        <w:rPr>
          <w:rFonts w:hint="eastAsia" w:ascii="宋体" w:hAnsi="宋体"/>
          <w:bCs/>
          <w:snapToGrid w:val="0"/>
          <w:color w:val="auto"/>
          <w:sz w:val="24"/>
          <w:szCs w:val="24"/>
          <w:highlight w:val="none"/>
        </w:rPr>
        <w:t>乙方</w:t>
      </w:r>
      <w:r>
        <w:rPr>
          <w:rFonts w:ascii="宋体" w:hAnsi="宋体"/>
          <w:bCs/>
          <w:snapToGrid w:val="0"/>
          <w:color w:val="auto"/>
          <w:sz w:val="24"/>
          <w:szCs w:val="24"/>
          <w:highlight w:val="none"/>
        </w:rPr>
        <w:t>提供的</w:t>
      </w:r>
      <w:r>
        <w:rPr>
          <w:rFonts w:ascii="宋体" w:hAnsi="宋体"/>
          <w:color w:val="auto"/>
          <w:kern w:val="0"/>
          <w:sz w:val="24"/>
          <w:szCs w:val="24"/>
          <w:highlight w:val="none"/>
        </w:rPr>
        <w:t>工程</w:t>
      </w:r>
      <w:r>
        <w:rPr>
          <w:rFonts w:hint="eastAsia" w:ascii="宋体" w:hAnsi="宋体" w:cs="宋体"/>
          <w:color w:val="auto"/>
          <w:kern w:val="0"/>
          <w:sz w:val="24"/>
          <w:szCs w:val="24"/>
          <w:highlight w:val="none"/>
        </w:rPr>
        <w:t>造价</w:t>
      </w:r>
      <w:r>
        <w:rPr>
          <w:rFonts w:ascii="宋体" w:hAnsi="宋体"/>
          <w:color w:val="auto"/>
          <w:kern w:val="0"/>
          <w:sz w:val="24"/>
          <w:szCs w:val="24"/>
          <w:highlight w:val="none"/>
        </w:rPr>
        <w:t>咨询</w:t>
      </w:r>
      <w:r>
        <w:rPr>
          <w:rFonts w:hint="eastAsia" w:ascii="宋体" w:hAnsi="宋体" w:cs="宋体"/>
          <w:color w:val="auto"/>
          <w:kern w:val="0"/>
          <w:sz w:val="24"/>
          <w:szCs w:val="24"/>
          <w:highlight w:val="none"/>
        </w:rPr>
        <w:t>成果</w:t>
      </w:r>
      <w:r>
        <w:rPr>
          <w:rFonts w:ascii="宋体" w:hAnsi="宋体"/>
          <w:bCs/>
          <w:snapToGrid w:val="0"/>
          <w:color w:val="auto"/>
          <w:sz w:val="24"/>
          <w:szCs w:val="24"/>
          <w:highlight w:val="none"/>
        </w:rPr>
        <w:t>文件应包括并不限于：编制说明、</w:t>
      </w:r>
      <w:r>
        <w:rPr>
          <w:rFonts w:hint="eastAsia" w:ascii="宋体" w:hAnsi="宋体"/>
          <w:bCs/>
          <w:snapToGrid w:val="0"/>
          <w:color w:val="auto"/>
          <w:sz w:val="24"/>
          <w:szCs w:val="24"/>
          <w:highlight w:val="none"/>
        </w:rPr>
        <w:t>根据甲方要求编制的造价文件及其软件版（含计价及图形算量成果文件）</w:t>
      </w:r>
      <w:r>
        <w:rPr>
          <w:rFonts w:ascii="宋体" w:hAnsi="宋体"/>
          <w:bCs/>
          <w:snapToGrid w:val="0"/>
          <w:color w:val="auto"/>
          <w:sz w:val="24"/>
          <w:szCs w:val="24"/>
          <w:highlight w:val="none"/>
        </w:rPr>
        <w:t>、工程量计算书、经济指标分析表、</w:t>
      </w:r>
      <w:r>
        <w:rPr>
          <w:rFonts w:hint="eastAsia" w:ascii="宋体" w:hAnsi="宋体" w:cs="宋体"/>
          <w:color w:val="auto"/>
          <w:kern w:val="0"/>
          <w:sz w:val="24"/>
          <w:szCs w:val="24"/>
          <w:highlight w:val="none"/>
        </w:rPr>
        <w:t>主要设备材料价格表、</w:t>
      </w:r>
      <w:r>
        <w:rPr>
          <w:rFonts w:ascii="宋体" w:hAnsi="宋体"/>
          <w:bCs/>
          <w:snapToGrid w:val="0"/>
          <w:color w:val="auto"/>
          <w:sz w:val="24"/>
          <w:szCs w:val="24"/>
          <w:highlight w:val="none"/>
        </w:rPr>
        <w:t>主要材料设备定价依据文件（含询价文件等，询价单位不得少于</w:t>
      </w:r>
      <w:r>
        <w:rPr>
          <w:rFonts w:hint="eastAsia" w:ascii="宋体" w:hAnsi="宋体"/>
          <w:bCs/>
          <w:snapToGrid w:val="0"/>
          <w:color w:val="auto"/>
          <w:sz w:val="24"/>
          <w:szCs w:val="24"/>
          <w:highlight w:val="none"/>
        </w:rPr>
        <w:t>3</w:t>
      </w:r>
      <w:r>
        <w:rPr>
          <w:rFonts w:ascii="宋体" w:hAnsi="宋体"/>
          <w:bCs/>
          <w:snapToGrid w:val="0"/>
          <w:color w:val="auto"/>
          <w:sz w:val="24"/>
          <w:szCs w:val="24"/>
          <w:highlight w:val="none"/>
        </w:rPr>
        <w:t>家）、审核意见落实情况说明和修改对比表</w:t>
      </w:r>
      <w:r>
        <w:rPr>
          <w:rFonts w:hint="eastAsia" w:ascii="宋体" w:hAnsi="宋体"/>
          <w:bCs/>
          <w:snapToGrid w:val="0"/>
          <w:color w:val="auto"/>
          <w:sz w:val="24"/>
          <w:szCs w:val="24"/>
          <w:highlight w:val="none"/>
        </w:rPr>
        <w:t>。根据甲方要求提供图形算量成果文件</w:t>
      </w:r>
      <w:r>
        <w:rPr>
          <w:rFonts w:ascii="宋体" w:hAnsi="宋体"/>
          <w:bCs/>
          <w:snapToGrid w:val="0"/>
          <w:color w:val="auto"/>
          <w:sz w:val="24"/>
          <w:szCs w:val="24"/>
          <w:highlight w:val="none"/>
        </w:rPr>
        <w:t>。</w:t>
      </w:r>
    </w:p>
    <w:p w14:paraId="5FA943CE">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6.1.5</w:t>
      </w:r>
      <w:r>
        <w:rPr>
          <w:rFonts w:hint="eastAsia" w:ascii="宋体" w:hAnsi="宋体" w:cs="宋体"/>
          <w:color w:val="auto"/>
          <w:kern w:val="0"/>
          <w:sz w:val="24"/>
          <w:szCs w:val="24"/>
          <w:highlight w:val="none"/>
        </w:rPr>
        <w:t>乙方应建立健全内部控制制度、质量保证体系和档案管理制度，保证工程造价咨询成果文件的质量，对其完整性、真实性、准确性、有效性负责，并负有保密责任。</w:t>
      </w:r>
    </w:p>
    <w:p w14:paraId="1BFFB8E6">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（1）确保工程造价咨询成果文件文字表达清晰、装订整齐。</w:t>
      </w:r>
    </w:p>
    <w:p w14:paraId="40E9B83D">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确保工程造价咨询成果文件均由专业造价师（造价员）编制，由专业负责人审核，由项目负责人审定的三级审查制度。工程造价咨询成果文件的编制人应具有注册造价工程师执业资格或造价员从业资格，工程造价咨询成果文件的审核人、审定人应具有注册造价工程师执业资格。工程造价咨询成果文件的编制人、审核人、审定人应在工程造价咨询的成果文件上签署执业(或从业)资格专用印章，最终的成果文件需经项目负责人签字并加盖公章。</w:t>
      </w:r>
    </w:p>
    <w:p w14:paraId="1DC80AD6">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编制人应认真阅读、复核甲方提供书面资料的有效性、合规性，并应对自身所收集的工程计价基础资料和编制依据的全面性、真实性和适用性负责，全面进行工程的计量与计价，按工程造价咨询服务合同的要求编制工程造价咨询成果文件，并整理好工作过程文件。</w:t>
      </w:r>
    </w:p>
    <w:p w14:paraId="65485DA0">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审核人应进一步审核甲方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14:paraId="38DEADE6">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审定人应再次审核甲方提供的书面资料的有效性、合规性，编制人使用工程计价基础资料和编制依据的全面性、真实性和有效性，并应依据工程经济指标进行工程造价的合理性分析，对工程造价咨询质量进行整体控制。</w:t>
      </w:r>
    </w:p>
    <w:p w14:paraId="2290D6D4">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（6）乙方应建立工程造价咨询项目档案，保证项目资料的完整，不得损坏、遗失项目资料。加强项目档案管理，及时做好已完成项目的资料移交和归档工作，妥善保管至报告出具之日起十年后。</w:t>
      </w:r>
    </w:p>
    <w:p w14:paraId="23E36193">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（7）加强信息系统管理，及时建立电子信息台账；保证本项目的工程造价相关电子信息及时、完整。</w:t>
      </w:r>
    </w:p>
    <w:p w14:paraId="1AF22988">
      <w:pPr>
        <w:tabs>
          <w:tab w:val="left" w:pos="9100"/>
        </w:tabs>
        <w:autoSpaceDE w:val="0"/>
        <w:autoSpaceDN w:val="0"/>
        <w:adjustRightInd w:val="0"/>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6.1.6</w:t>
      </w:r>
      <w:r>
        <w:rPr>
          <w:rFonts w:hint="eastAsia" w:ascii="宋体" w:hAnsi="宋体" w:cs="宋体"/>
          <w:color w:val="auto"/>
          <w:kern w:val="0"/>
          <w:sz w:val="24"/>
          <w:szCs w:val="24"/>
          <w:highlight w:val="none"/>
        </w:rPr>
        <w:t>审核的结算经财局评审后，核减率超过5%的（有明显争议的问题不在核减率考核范围），施工总承包类合同每项扣减造价咨询费5万元，专业施工承包类合同每项扣减造价咨询费3万元，服务类合同每项扣减造价咨询费1万元。</w:t>
      </w:r>
    </w:p>
    <w:p w14:paraId="0EF1F698">
      <w:pPr>
        <w:tabs>
          <w:tab w:val="left" w:pos="9100"/>
        </w:tabs>
        <w:autoSpaceDE w:val="0"/>
        <w:autoSpaceDN w:val="0"/>
        <w:adjustRightInd w:val="0"/>
        <w:spacing w:line="44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6.2进度要求</w:t>
      </w:r>
    </w:p>
    <w:p w14:paraId="6935C911">
      <w:pPr>
        <w:pStyle w:val="5"/>
        <w:spacing w:line="44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6.2.1</w:t>
      </w:r>
      <w:r>
        <w:rPr>
          <w:rFonts w:hint="eastAsia" w:ascii="宋体" w:hAnsi="宋体" w:cs="宋体"/>
          <w:color w:val="auto"/>
          <w:kern w:val="0"/>
          <w:sz w:val="24"/>
          <w:szCs w:val="24"/>
          <w:highlight w:val="none"/>
        </w:rPr>
        <w:t>乙方应对甲方提供资料的完整性、严谨性把关，对因范围不清晰、图纸不详导致基本工程量难以计算等情况，应在收到资料后2个工作日内向甲方提出资料补充要求。因乙方未能在上述时间内提出要求而造成编审进度延误或其他损失的均由乙方自行承担全部责任。</w:t>
      </w:r>
    </w:p>
    <w:p w14:paraId="199D81A5">
      <w:pPr>
        <w:pStyle w:val="5"/>
        <w:spacing w:line="44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6.2.2</w:t>
      </w:r>
      <w:r>
        <w:rPr>
          <w:rFonts w:hint="eastAsia" w:ascii="宋体" w:hAnsi="宋体" w:cs="宋体"/>
          <w:color w:val="auto"/>
          <w:kern w:val="0"/>
          <w:sz w:val="24"/>
          <w:szCs w:val="24"/>
          <w:highlight w:val="none"/>
        </w:rPr>
        <w:t>各项服务内容的工作时间要求（如有）（以下天数指日历天数）</w:t>
      </w:r>
    </w:p>
    <w:p w14:paraId="0B434486">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（1）施工图预算审核：自收到完整资料起，出具审核初步意见时间为：送审金额3000万元以内（含本数，下同）的审核</w:t>
      </w:r>
      <w:r>
        <w:rPr>
          <w:rFonts w:hint="default" w:ascii="宋体" w:hAnsi="宋体" w:cs="宋体"/>
          <w:color w:val="auto"/>
          <w:kern w:val="0"/>
          <w:sz w:val="24"/>
          <w:szCs w:val="24"/>
          <w:highlight w:val="none"/>
          <w:lang w:val="en-US"/>
        </w:rPr>
        <w:t>15</w:t>
      </w:r>
      <w:r>
        <w:rPr>
          <w:rFonts w:hint="eastAsia" w:ascii="宋体" w:hAnsi="宋体" w:cs="宋体"/>
          <w:color w:val="auto"/>
          <w:kern w:val="0"/>
          <w:sz w:val="24"/>
          <w:szCs w:val="24"/>
          <w:highlight w:val="none"/>
        </w:rPr>
        <w:t>天，送审金额3000万元-2亿元（含本数，下同）的审核</w:t>
      </w:r>
      <w:r>
        <w:rPr>
          <w:rFonts w:hint="default" w:ascii="宋体" w:hAnsi="宋体" w:cs="宋体"/>
          <w:color w:val="auto"/>
          <w:kern w:val="0"/>
          <w:sz w:val="24"/>
          <w:szCs w:val="24"/>
          <w:highlight w:val="none"/>
          <w:lang w:val="en-US"/>
        </w:rPr>
        <w:t>20</w:t>
      </w:r>
      <w:r>
        <w:rPr>
          <w:rFonts w:hint="eastAsia" w:ascii="宋体" w:hAnsi="宋体" w:cs="宋体"/>
          <w:color w:val="auto"/>
          <w:kern w:val="0"/>
          <w:sz w:val="24"/>
          <w:szCs w:val="24"/>
          <w:highlight w:val="none"/>
        </w:rPr>
        <w:t>天，送审金额2亿元-5亿元的审核</w:t>
      </w:r>
      <w:r>
        <w:rPr>
          <w:rFonts w:hint="default" w:ascii="宋体" w:hAnsi="宋体" w:cs="宋体"/>
          <w:color w:val="auto"/>
          <w:kern w:val="0"/>
          <w:sz w:val="24"/>
          <w:szCs w:val="24"/>
          <w:highlight w:val="none"/>
          <w:lang w:val="en-US"/>
        </w:rPr>
        <w:t>25</w:t>
      </w:r>
      <w:r>
        <w:rPr>
          <w:rFonts w:hint="eastAsia" w:ascii="宋体" w:hAnsi="宋体" w:cs="宋体"/>
          <w:color w:val="auto"/>
          <w:kern w:val="0"/>
          <w:sz w:val="24"/>
          <w:szCs w:val="24"/>
          <w:highlight w:val="none"/>
        </w:rPr>
        <w:t>天，送审金额5亿元-10亿元的审核</w:t>
      </w:r>
      <w:r>
        <w:rPr>
          <w:rFonts w:hint="default" w:ascii="宋体" w:hAnsi="宋体" w:cs="宋体"/>
          <w:color w:val="auto"/>
          <w:kern w:val="0"/>
          <w:sz w:val="24"/>
          <w:szCs w:val="24"/>
          <w:highlight w:val="none"/>
          <w:lang w:val="en-US"/>
        </w:rPr>
        <w:t>30</w:t>
      </w:r>
      <w:r>
        <w:rPr>
          <w:rFonts w:hint="eastAsia" w:ascii="宋体" w:hAnsi="宋体" w:cs="宋体"/>
          <w:color w:val="auto"/>
          <w:kern w:val="0"/>
          <w:sz w:val="24"/>
          <w:szCs w:val="24"/>
          <w:highlight w:val="none"/>
        </w:rPr>
        <w:t>天，送审金额10亿元及以上的审核</w:t>
      </w:r>
      <w:r>
        <w:rPr>
          <w:rFonts w:hint="default" w:ascii="宋体" w:hAnsi="宋体" w:cs="宋体"/>
          <w:color w:val="auto"/>
          <w:kern w:val="0"/>
          <w:sz w:val="24"/>
          <w:szCs w:val="24"/>
          <w:highlight w:val="none"/>
          <w:lang w:val="en-US"/>
        </w:rPr>
        <w:t>40</w:t>
      </w:r>
      <w:r>
        <w:rPr>
          <w:rFonts w:hint="eastAsia" w:ascii="宋体" w:hAnsi="宋体" w:cs="宋体"/>
          <w:color w:val="auto"/>
          <w:kern w:val="0"/>
          <w:sz w:val="24"/>
          <w:szCs w:val="24"/>
          <w:highlight w:val="none"/>
        </w:rPr>
        <w:t>天。特殊情况经批准后审核延长时间不超过</w:t>
      </w:r>
      <w:r>
        <w:rPr>
          <w:rFonts w:hint="default" w:ascii="宋体" w:hAnsi="宋体" w:cs="宋体"/>
          <w:color w:val="auto"/>
          <w:kern w:val="0"/>
          <w:sz w:val="24"/>
          <w:szCs w:val="24"/>
          <w:highlight w:val="none"/>
          <w:lang w:val="en-US"/>
        </w:rPr>
        <w:t>20</w:t>
      </w:r>
      <w:r>
        <w:rPr>
          <w:rFonts w:hint="eastAsia" w:ascii="宋体" w:hAnsi="宋体" w:cs="宋体"/>
          <w:color w:val="auto"/>
          <w:kern w:val="0"/>
          <w:sz w:val="24"/>
          <w:szCs w:val="24"/>
          <w:highlight w:val="none"/>
        </w:rPr>
        <w:t>天；对数时间不超过审核时间，争议问题由乙方项目负责人主持专题会议解决；对数完成后5天内出具最终审核报告。</w:t>
      </w:r>
    </w:p>
    <w:p w14:paraId="3BE09056">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（4）审核合同价格清单：自收到完整资料起5天内出具电子版审核说明。</w:t>
      </w:r>
    </w:p>
    <w:p w14:paraId="1D2DB387">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（5）招标工程量清单、招标控制价编制（</w:t>
      </w:r>
      <w:r>
        <w:rPr>
          <w:rFonts w:ascii="宋体" w:hAnsi="宋体" w:cs="宋体"/>
          <w:color w:val="auto"/>
          <w:kern w:val="0"/>
          <w:sz w:val="24"/>
          <w:szCs w:val="24"/>
          <w:highlight w:val="none"/>
        </w:rPr>
        <w:t>审核</w:t>
      </w:r>
      <w:r>
        <w:rPr>
          <w:rFonts w:hint="eastAsia" w:ascii="宋体" w:hAnsi="宋体" w:cs="宋体"/>
          <w:color w:val="auto"/>
          <w:kern w:val="0"/>
          <w:sz w:val="24"/>
          <w:szCs w:val="24"/>
          <w:highlight w:val="none"/>
        </w:rPr>
        <w:t>）：</w:t>
      </w:r>
      <w:r>
        <w:rPr>
          <w:rFonts w:hint="eastAsia" w:ascii="宋体" w:hAnsi="宋体" w:cs="宋体"/>
          <w:strike w:val="0"/>
          <w:color w:val="auto"/>
          <w:kern w:val="0"/>
          <w:sz w:val="24"/>
          <w:szCs w:val="24"/>
          <w:highlight w:val="none"/>
        </w:rPr>
        <w:t>自收到甲方通知起7日内出具，</w:t>
      </w:r>
      <w:r>
        <w:rPr>
          <w:rFonts w:hint="eastAsia" w:ascii="宋体" w:hAnsi="宋体" w:cs="宋体"/>
          <w:color w:val="auto"/>
          <w:kern w:val="0"/>
          <w:sz w:val="24"/>
          <w:szCs w:val="24"/>
          <w:highlight w:val="none"/>
        </w:rPr>
        <w:t>终版招标工程量清单、招标控制价自收到完整资料起完成时间为：招标控制价在3000万元以内的5天，3000万元-2亿元的10天，2亿元以上的20天，特殊情况经批准后延长时间不超过10天。</w:t>
      </w:r>
    </w:p>
    <w:p w14:paraId="5C6AFF79">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（6）招标文件（含澄清答疑）审核</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如需</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：自收到资料起2天内</w:t>
      </w:r>
      <w:r>
        <w:rPr>
          <w:rFonts w:hint="eastAsia" w:ascii="宋体" w:hAnsi="宋体" w:cs="宋体"/>
          <w:color w:val="auto"/>
          <w:kern w:val="0"/>
          <w:sz w:val="24"/>
          <w:szCs w:val="24"/>
          <w:highlight w:val="none"/>
          <w:lang w:val="en-US" w:eastAsia="zh-CN"/>
        </w:rPr>
        <w:t>反馈意见</w:t>
      </w:r>
      <w:r>
        <w:rPr>
          <w:rFonts w:hint="eastAsia" w:ascii="宋体" w:hAnsi="宋体" w:cs="宋体"/>
          <w:color w:val="auto"/>
          <w:kern w:val="0"/>
          <w:sz w:val="24"/>
          <w:szCs w:val="24"/>
          <w:highlight w:val="none"/>
        </w:rPr>
        <w:t>。</w:t>
      </w:r>
    </w:p>
    <w:p w14:paraId="2CE6638A">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（7）清标报告（如需）：开标后3天日内完成与</w:t>
      </w:r>
      <w:r>
        <w:rPr>
          <w:rFonts w:hint="eastAsia" w:ascii="宋体" w:hAnsi="宋体" w:cs="宋体"/>
          <w:color w:val="auto"/>
          <w:kern w:val="0"/>
          <w:sz w:val="24"/>
          <w:szCs w:val="24"/>
          <w:highlight w:val="none"/>
          <w:lang w:eastAsia="zh-CN"/>
        </w:rPr>
        <w:t>乙方</w:t>
      </w:r>
      <w:r>
        <w:rPr>
          <w:rFonts w:hint="eastAsia" w:ascii="宋体" w:hAnsi="宋体" w:cs="宋体"/>
          <w:color w:val="auto"/>
          <w:kern w:val="0"/>
          <w:sz w:val="24"/>
          <w:szCs w:val="24"/>
          <w:highlight w:val="none"/>
        </w:rPr>
        <w:t>的对数并出具清标报告。</w:t>
      </w:r>
    </w:p>
    <w:p w14:paraId="379B1CBC">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（8）主材单价、综合单价审核：自收到资料起完成时间为：主材3个以内</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天，4-15个</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天，16个以上10天；综合单价3个以内3天，4-15个5天，16个以上10天；特殊情况经批准后延长时间不超过10天；争议问题由乙方项目负责人主持专题会议解决。</w:t>
      </w:r>
    </w:p>
    <w:p w14:paraId="3810DA21">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（9）变更签证合同费用（含委托合同、检测费用）编制或审核：30万元以内的</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天，30万元以上的</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天，特殊情况经批准后延长时间不超过10天，电子版审核说明提前2天出具，争议问题由乙方项目负责人主持专题会议解决。</w:t>
      </w:r>
    </w:p>
    <w:p w14:paraId="59EFA34F">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（10）图纸设计变更会签、材料设备看样定板会签：自收到资料起</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天内完成。</w:t>
      </w:r>
    </w:p>
    <w:p w14:paraId="740B52C5">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（11）工程进度款审核：自接受完整资料起</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日完成。</w:t>
      </w:r>
    </w:p>
    <w:p w14:paraId="5C7257B7">
      <w:pPr>
        <w:pStyle w:val="5"/>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（12）结算文件：自收到结算文件起出具结算审核报告时间为：30万元以内的</w:t>
      </w:r>
      <w:r>
        <w:rPr>
          <w:rFonts w:hint="default" w:ascii="宋体" w:hAnsi="宋体" w:cs="宋体"/>
          <w:color w:val="auto"/>
          <w:kern w:val="0"/>
          <w:sz w:val="24"/>
          <w:szCs w:val="24"/>
          <w:highlight w:val="none"/>
          <w:lang w:val="en-US"/>
        </w:rPr>
        <w:t>5</w:t>
      </w:r>
      <w:r>
        <w:rPr>
          <w:rFonts w:hint="eastAsia" w:ascii="宋体" w:hAnsi="宋体" w:cs="宋体"/>
          <w:color w:val="auto"/>
          <w:kern w:val="0"/>
          <w:sz w:val="24"/>
          <w:szCs w:val="24"/>
          <w:highlight w:val="none"/>
        </w:rPr>
        <w:t>天，30万元-100万元的</w:t>
      </w:r>
      <w:r>
        <w:rPr>
          <w:rFonts w:hint="default" w:ascii="宋体" w:hAnsi="宋体" w:cs="宋体"/>
          <w:color w:val="auto"/>
          <w:kern w:val="0"/>
          <w:sz w:val="24"/>
          <w:szCs w:val="24"/>
          <w:highlight w:val="none"/>
          <w:lang w:val="en-US"/>
        </w:rPr>
        <w:t>15</w:t>
      </w:r>
      <w:r>
        <w:rPr>
          <w:rFonts w:hint="eastAsia" w:ascii="宋体" w:hAnsi="宋体" w:cs="宋体"/>
          <w:color w:val="auto"/>
          <w:kern w:val="0"/>
          <w:sz w:val="24"/>
          <w:szCs w:val="24"/>
          <w:highlight w:val="none"/>
        </w:rPr>
        <w:t>天，100万元-10000万元的</w:t>
      </w:r>
      <w:r>
        <w:rPr>
          <w:rFonts w:hint="default" w:ascii="宋体" w:hAnsi="宋体" w:cs="宋体"/>
          <w:color w:val="auto"/>
          <w:kern w:val="0"/>
          <w:sz w:val="24"/>
          <w:szCs w:val="24"/>
          <w:highlight w:val="none"/>
          <w:lang w:val="en-US"/>
        </w:rPr>
        <w:t>20</w:t>
      </w:r>
      <w:r>
        <w:rPr>
          <w:rFonts w:hint="eastAsia" w:ascii="宋体" w:hAnsi="宋体" w:cs="宋体"/>
          <w:color w:val="auto"/>
          <w:kern w:val="0"/>
          <w:sz w:val="24"/>
          <w:szCs w:val="24"/>
          <w:highlight w:val="none"/>
        </w:rPr>
        <w:t>天，10000万元以上最长不超过30天。</w:t>
      </w:r>
    </w:p>
    <w:p w14:paraId="68145244">
      <w:pPr>
        <w:pStyle w:val="5"/>
        <w:spacing w:line="440" w:lineRule="exact"/>
        <w:ind w:firstLine="480" w:firstLineChars="200"/>
        <w:rPr>
          <w:rFonts w:ascii="宋体" w:hAnsi="宋体"/>
          <w:b/>
          <w:color w:val="auto"/>
          <w:sz w:val="24"/>
          <w:szCs w:val="24"/>
          <w:highlight w:val="none"/>
        </w:rPr>
      </w:pPr>
      <w:r>
        <w:rPr>
          <w:rFonts w:ascii="宋体" w:hAnsi="宋体" w:cs="宋体"/>
          <w:color w:val="auto"/>
          <w:kern w:val="0"/>
          <w:sz w:val="24"/>
          <w:szCs w:val="24"/>
          <w:highlight w:val="none"/>
        </w:rPr>
        <w:t>6.2.3</w:t>
      </w:r>
      <w:r>
        <w:rPr>
          <w:rFonts w:hint="eastAsia" w:ascii="宋体" w:hAnsi="宋体" w:cs="宋体"/>
          <w:color w:val="auto"/>
          <w:kern w:val="0"/>
          <w:sz w:val="24"/>
          <w:szCs w:val="24"/>
          <w:highlight w:val="none"/>
        </w:rPr>
        <w:t>以上工作期限为正常的工作期限，特急项目的工作期限由甲方根据实际情况确定，但最短不少于1天；其他咨询服务工作由甲方视具体情况确定；对于甲方提出的疑问，乙方应在24小时内给予答复。以上工作时间要求，甲方人有权视工程进展情况进行调整。未提及的其他事项的工作时限可参考《建设工程造价咨询工期标准(房屋建筑工程)》CECA／GC 10-2014执行。</w:t>
      </w:r>
    </w:p>
    <w:p w14:paraId="58323A77">
      <w:pPr>
        <w:pStyle w:val="5"/>
        <w:spacing w:line="44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第十二条  甲乙双方联系人与联系方式：</w:t>
      </w:r>
    </w:p>
    <w:p w14:paraId="1089B09A">
      <w:pPr>
        <w:pStyle w:val="5"/>
        <w:spacing w:line="440" w:lineRule="exact"/>
        <w:ind w:firstLine="480" w:firstLineChars="200"/>
        <w:rPr>
          <w:rFonts w:hint="eastAsia" w:ascii="宋体" w:hAnsi="宋体" w:eastAsia="宋体"/>
          <w:color w:val="auto"/>
          <w:kern w:val="0"/>
          <w:sz w:val="24"/>
          <w:szCs w:val="24"/>
          <w:highlight w:val="none"/>
          <w:lang w:eastAsia="zh-CN"/>
        </w:rPr>
      </w:pPr>
      <w:r>
        <w:rPr>
          <w:rFonts w:hint="eastAsia" w:ascii="宋体" w:hAnsi="宋体"/>
          <w:color w:val="auto"/>
          <w:sz w:val="24"/>
          <w:szCs w:val="24"/>
          <w:highlight w:val="none"/>
        </w:rPr>
        <w:t xml:space="preserve">12.1  </w:t>
      </w:r>
      <w:r>
        <w:rPr>
          <w:rFonts w:ascii="宋体" w:hAnsi="宋体"/>
          <w:color w:val="auto"/>
          <w:kern w:val="0"/>
          <w:sz w:val="24"/>
          <w:szCs w:val="24"/>
          <w:highlight w:val="none"/>
        </w:rPr>
        <w:t>甲方业务代表：</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，职务：</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，电话：</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lang w:eastAsia="zh-CN"/>
        </w:rPr>
        <w:t>。</w:t>
      </w:r>
    </w:p>
    <w:p w14:paraId="69343875">
      <w:pPr>
        <w:pStyle w:val="5"/>
        <w:spacing w:line="440" w:lineRule="exact"/>
        <w:ind w:firstLine="480" w:firstLineChars="200"/>
        <w:rPr>
          <w:rFonts w:hint="eastAsia" w:ascii="宋体" w:hAnsi="宋体" w:eastAsia="宋体"/>
          <w:color w:val="auto"/>
          <w:kern w:val="0"/>
          <w:sz w:val="24"/>
          <w:szCs w:val="24"/>
          <w:highlight w:val="none"/>
          <w:u w:val="none"/>
          <w:lang w:eastAsia="zh-CN"/>
        </w:rPr>
      </w:pPr>
      <w:r>
        <w:rPr>
          <w:rFonts w:hint="eastAsia" w:ascii="宋体" w:hAnsi="宋体"/>
          <w:color w:val="auto"/>
          <w:sz w:val="24"/>
          <w:szCs w:val="24"/>
          <w:highlight w:val="none"/>
        </w:rPr>
        <w:t xml:space="preserve">12.2  </w:t>
      </w:r>
      <w:r>
        <w:rPr>
          <w:rFonts w:hint="eastAsia" w:ascii="宋体" w:hAnsi="宋体"/>
          <w:color w:val="auto"/>
          <w:kern w:val="0"/>
          <w:sz w:val="24"/>
          <w:szCs w:val="24"/>
          <w:highlight w:val="none"/>
        </w:rPr>
        <w:t>乙</w:t>
      </w:r>
      <w:r>
        <w:rPr>
          <w:rFonts w:ascii="宋体" w:hAnsi="宋体"/>
          <w:color w:val="auto"/>
          <w:kern w:val="0"/>
          <w:sz w:val="24"/>
          <w:szCs w:val="24"/>
          <w:highlight w:val="none"/>
        </w:rPr>
        <w:t>方业务代表：</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，职务：</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，电话：</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u w:val="none"/>
          <w:lang w:eastAsia="zh-CN"/>
        </w:rPr>
        <w:t>。</w:t>
      </w:r>
    </w:p>
    <w:p w14:paraId="3BF6048B">
      <w:pPr>
        <w:pStyle w:val="5"/>
        <w:spacing w:line="44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第十六条  乙方在其责任期内如果存在失职的，同意按以下办法承担违约责任：</w:t>
      </w:r>
    </w:p>
    <w:p w14:paraId="41FC27C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16.1乙方未能按约定的时间向甲方提交</w:t>
      </w:r>
      <w:r>
        <w:rPr>
          <w:rFonts w:ascii="宋体" w:hAnsi="宋体"/>
          <w:color w:val="auto"/>
          <w:kern w:val="0"/>
          <w:sz w:val="24"/>
          <w:szCs w:val="24"/>
          <w:highlight w:val="none"/>
        </w:rPr>
        <w:t>工程造价咨询</w:t>
      </w:r>
      <w:r>
        <w:rPr>
          <w:rFonts w:hint="eastAsia" w:ascii="宋体" w:hAnsi="宋体"/>
          <w:color w:val="auto"/>
          <w:sz w:val="24"/>
          <w:szCs w:val="24"/>
          <w:highlight w:val="none"/>
        </w:rPr>
        <w:t>成果</w:t>
      </w:r>
      <w:r>
        <w:rPr>
          <w:rFonts w:hint="eastAsia" w:ascii="宋体" w:hAnsi="宋体"/>
          <w:color w:val="auto"/>
          <w:sz w:val="24"/>
          <w:szCs w:val="24"/>
          <w:highlight w:val="none"/>
          <w:lang w:val="en-US" w:eastAsia="zh-CN"/>
        </w:rPr>
        <w:t>文件</w:t>
      </w:r>
      <w:r>
        <w:rPr>
          <w:rFonts w:hint="eastAsia" w:ascii="宋体" w:hAnsi="宋体"/>
          <w:color w:val="auto"/>
          <w:sz w:val="24"/>
          <w:szCs w:val="24"/>
          <w:highlight w:val="none"/>
        </w:rPr>
        <w:t>的，每逾期一日，乙方应向甲方支付违约金</w:t>
      </w:r>
      <w:r>
        <w:rPr>
          <w:rFonts w:ascii="宋体" w:hAnsi="宋体"/>
          <w:color w:val="auto"/>
          <w:sz w:val="24"/>
          <w:szCs w:val="24"/>
          <w:highlight w:val="none"/>
        </w:rPr>
        <w:t>3000</w:t>
      </w:r>
      <w:r>
        <w:rPr>
          <w:rFonts w:hint="eastAsia" w:ascii="宋体" w:hAnsi="宋体"/>
          <w:color w:val="auto"/>
          <w:sz w:val="24"/>
          <w:szCs w:val="24"/>
          <w:highlight w:val="none"/>
        </w:rPr>
        <w:t>元</w:t>
      </w:r>
      <w:r>
        <w:rPr>
          <w:rFonts w:ascii="宋体" w:hAnsi="宋体"/>
          <w:color w:val="auto"/>
          <w:sz w:val="24"/>
          <w:szCs w:val="24"/>
          <w:highlight w:val="none"/>
        </w:rPr>
        <w:t>/</w:t>
      </w:r>
      <w:r>
        <w:rPr>
          <w:rFonts w:hint="eastAsia" w:ascii="宋体" w:hAnsi="宋体"/>
          <w:color w:val="auto"/>
          <w:sz w:val="24"/>
          <w:szCs w:val="24"/>
          <w:highlight w:val="none"/>
        </w:rPr>
        <w:t>天；逾期超过</w:t>
      </w:r>
      <w:r>
        <w:rPr>
          <w:rFonts w:ascii="宋体" w:hAnsi="宋体"/>
          <w:color w:val="auto"/>
          <w:sz w:val="24"/>
          <w:szCs w:val="24"/>
          <w:highlight w:val="none"/>
        </w:rPr>
        <w:t>20</w:t>
      </w:r>
      <w:r>
        <w:rPr>
          <w:rFonts w:hint="eastAsia" w:ascii="宋体" w:hAnsi="宋体"/>
          <w:color w:val="auto"/>
          <w:sz w:val="24"/>
          <w:szCs w:val="24"/>
          <w:highlight w:val="none"/>
        </w:rPr>
        <w:t>日的，甲方有权单方终止合同，并要求乙方赔偿甲方由此遭受的全部损失。</w:t>
      </w:r>
    </w:p>
    <w:p w14:paraId="32DD659B">
      <w:pPr>
        <w:pStyle w:val="5"/>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16.2若出现因乙方原因工程量清单或招标控制价中有漏项或少计的项目导致造价增加超过中标价的</w:t>
      </w:r>
      <w:r>
        <w:rPr>
          <w:rFonts w:ascii="宋体" w:hAnsi="宋体"/>
          <w:color w:val="auto"/>
          <w:sz w:val="24"/>
          <w:szCs w:val="24"/>
          <w:highlight w:val="none"/>
        </w:rPr>
        <w:t>5%</w:t>
      </w:r>
      <w:r>
        <w:rPr>
          <w:rFonts w:hint="eastAsia" w:ascii="宋体" w:hAnsi="宋体"/>
          <w:color w:val="auto"/>
          <w:sz w:val="24"/>
          <w:szCs w:val="24"/>
          <w:highlight w:val="none"/>
        </w:rPr>
        <w:t>（含</w:t>
      </w:r>
      <w:r>
        <w:rPr>
          <w:rFonts w:ascii="宋体" w:hAnsi="宋体"/>
          <w:color w:val="auto"/>
          <w:sz w:val="24"/>
          <w:szCs w:val="24"/>
          <w:highlight w:val="none"/>
        </w:rPr>
        <w:t>5%</w:t>
      </w:r>
      <w:r>
        <w:rPr>
          <w:rFonts w:hint="eastAsia" w:ascii="宋体" w:hAnsi="宋体"/>
          <w:color w:val="auto"/>
          <w:sz w:val="24"/>
          <w:szCs w:val="24"/>
          <w:highlight w:val="none"/>
        </w:rPr>
        <w:t>）或以上，每发生一次，则由乙方每次向甲方支付</w:t>
      </w:r>
      <w:r>
        <w:rPr>
          <w:rFonts w:hint="eastAsia" w:ascii="宋体" w:hAnsi="宋体"/>
          <w:color w:val="auto"/>
          <w:sz w:val="24"/>
          <w:szCs w:val="24"/>
          <w:highlight w:val="none"/>
          <w:lang w:val="en-US" w:eastAsia="zh-CN"/>
        </w:rPr>
        <w:t>本合同</w:t>
      </w:r>
      <w:r>
        <w:rPr>
          <w:rFonts w:hint="eastAsia" w:ascii="宋体" w:hAnsi="宋体"/>
          <w:snapToGrid w:val="0"/>
          <w:color w:val="auto"/>
          <w:spacing w:val="4"/>
          <w:kern w:val="0"/>
          <w:sz w:val="24"/>
          <w:highlight w:val="none"/>
          <w:lang w:val="en-US" w:eastAsia="zh-CN"/>
        </w:rPr>
        <w:t>暂定总价</w:t>
      </w:r>
      <w:r>
        <w:rPr>
          <w:rFonts w:hint="eastAsia" w:ascii="宋体" w:hAnsi="宋体"/>
          <w:color w:val="auto"/>
          <w:sz w:val="24"/>
          <w:szCs w:val="24"/>
          <w:highlight w:val="none"/>
        </w:rPr>
        <w:t>的</w:t>
      </w:r>
      <w:r>
        <w:rPr>
          <w:rFonts w:ascii="宋体" w:hAnsi="宋体"/>
          <w:color w:val="auto"/>
          <w:sz w:val="24"/>
          <w:szCs w:val="24"/>
          <w:highlight w:val="none"/>
        </w:rPr>
        <w:t>10%</w:t>
      </w:r>
      <w:r>
        <w:rPr>
          <w:rFonts w:hint="eastAsia" w:ascii="宋体" w:hAnsi="宋体"/>
          <w:color w:val="auto"/>
          <w:sz w:val="24"/>
          <w:szCs w:val="24"/>
          <w:highlight w:val="none"/>
        </w:rPr>
        <w:t>作为违约金；</w:t>
      </w:r>
    </w:p>
    <w:p w14:paraId="7F6342F0">
      <w:pPr>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16.3因乙方过错造成甲方经济损失的，甲方有权向乙方索赔，并保留追究其法律责任的权利。违约金及赔偿金总额原则上不超过造价咨询酬金总额（除去税金）；但如果损失是由于乙方故意或严重渎职造成的，则乙方应赔偿甲方的全部经济损失。</w:t>
      </w:r>
    </w:p>
    <w:p w14:paraId="6B247957">
      <w:pPr>
        <w:pStyle w:val="5"/>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16.4因乙方违约导致费用扣减不足以弥补甲方损失的，甲方有权要求乙方予以赔偿；因乙方违反合同义务导致甲方按合同约定终止本合同的，甲方有权要求乙方返还委托已支付的费用，如费用不足以弥补甲方损失的，甲方有权要求乙方予以赔偿。</w:t>
      </w:r>
    </w:p>
    <w:p w14:paraId="7CC733F9">
      <w:pPr>
        <w:spacing w:line="440" w:lineRule="exact"/>
        <w:ind w:firstLine="560"/>
        <w:rPr>
          <w:rFonts w:ascii="宋体" w:hAnsi="宋体"/>
          <w:color w:val="auto"/>
          <w:sz w:val="24"/>
          <w:szCs w:val="24"/>
          <w:highlight w:val="none"/>
        </w:rPr>
      </w:pPr>
      <w:r>
        <w:rPr>
          <w:rFonts w:hint="eastAsia" w:ascii="宋体" w:hAnsi="宋体"/>
          <w:color w:val="auto"/>
          <w:sz w:val="24"/>
          <w:szCs w:val="24"/>
          <w:highlight w:val="none"/>
        </w:rPr>
        <w:t>16.5由于乙方在某次咨询服务过程中不遵守保密规定造成泄密事件发生，导致甲方经济损失的，一经查实，乙方需向甲方赔偿经济损失，并按</w:t>
      </w:r>
      <w:r>
        <w:rPr>
          <w:rFonts w:hint="eastAsia" w:ascii="宋体" w:hAnsi="宋体"/>
          <w:color w:val="auto"/>
          <w:sz w:val="24"/>
          <w:szCs w:val="24"/>
          <w:highlight w:val="none"/>
          <w:lang w:val="en-US" w:eastAsia="zh-CN"/>
        </w:rPr>
        <w:t>本合同</w:t>
      </w:r>
      <w:r>
        <w:rPr>
          <w:rFonts w:hint="eastAsia" w:ascii="宋体" w:hAnsi="宋体"/>
          <w:snapToGrid w:val="0"/>
          <w:color w:val="auto"/>
          <w:spacing w:val="4"/>
          <w:kern w:val="0"/>
          <w:sz w:val="24"/>
          <w:highlight w:val="none"/>
          <w:lang w:val="en-US" w:eastAsia="zh-CN"/>
        </w:rPr>
        <w:t>暂定总价</w:t>
      </w:r>
      <w:r>
        <w:rPr>
          <w:rFonts w:hint="eastAsia" w:ascii="宋体" w:hAnsi="宋体"/>
          <w:color w:val="auto"/>
          <w:sz w:val="24"/>
          <w:szCs w:val="24"/>
          <w:highlight w:val="none"/>
        </w:rPr>
        <w:t>的30%</w:t>
      </w:r>
      <w:r>
        <w:rPr>
          <w:rFonts w:hint="eastAsia" w:ascii="宋体" w:hAnsi="宋体"/>
          <w:color w:val="auto"/>
          <w:sz w:val="24"/>
          <w:szCs w:val="24"/>
          <w:highlight w:val="none"/>
          <w:lang w:val="en-US" w:eastAsia="zh-CN"/>
        </w:rPr>
        <w:t>向甲方支付</w:t>
      </w:r>
      <w:r>
        <w:rPr>
          <w:rFonts w:hint="eastAsia" w:ascii="宋体" w:hAnsi="宋体"/>
          <w:color w:val="auto"/>
          <w:sz w:val="24"/>
          <w:szCs w:val="24"/>
          <w:highlight w:val="none"/>
        </w:rPr>
        <w:t>违约</w:t>
      </w:r>
      <w:r>
        <w:rPr>
          <w:rFonts w:hint="eastAsia" w:ascii="宋体" w:hAnsi="宋体"/>
          <w:color w:val="auto"/>
          <w:sz w:val="24"/>
          <w:szCs w:val="24"/>
          <w:highlight w:val="none"/>
          <w:lang w:val="en-US" w:eastAsia="zh-CN"/>
        </w:rPr>
        <w:t>金</w:t>
      </w:r>
      <w:r>
        <w:rPr>
          <w:rFonts w:hint="eastAsia" w:ascii="宋体" w:hAnsi="宋体"/>
          <w:color w:val="auto"/>
          <w:sz w:val="24"/>
          <w:szCs w:val="24"/>
          <w:highlight w:val="none"/>
        </w:rPr>
        <w:t>。同时，甲方有权</w:t>
      </w:r>
      <w:r>
        <w:rPr>
          <w:rFonts w:hint="eastAsia" w:ascii="宋体" w:hAnsi="宋体"/>
          <w:color w:val="auto"/>
          <w:sz w:val="24"/>
          <w:szCs w:val="24"/>
          <w:highlight w:val="none"/>
          <w:lang w:val="en-US" w:eastAsia="zh-CN"/>
        </w:rPr>
        <w:t>解除</w:t>
      </w:r>
      <w:r>
        <w:rPr>
          <w:rFonts w:hint="eastAsia" w:ascii="宋体" w:hAnsi="宋体"/>
          <w:color w:val="auto"/>
          <w:sz w:val="24"/>
          <w:szCs w:val="24"/>
          <w:highlight w:val="none"/>
        </w:rPr>
        <w:t>合同，取消其服务资格。</w:t>
      </w:r>
    </w:p>
    <w:p w14:paraId="6F46DAE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16.6乙方在服务期内如被主管部门取消造价咨询资质或被降低资质等级不再适合甲方委托的咨询业务资质规定时，甲方有权</w:t>
      </w:r>
      <w:r>
        <w:rPr>
          <w:rFonts w:hint="eastAsia" w:ascii="宋体" w:hAnsi="宋体"/>
          <w:color w:val="auto"/>
          <w:sz w:val="24"/>
          <w:szCs w:val="24"/>
          <w:highlight w:val="none"/>
          <w:lang w:val="en-US" w:eastAsia="zh-CN"/>
        </w:rPr>
        <w:t>单方解除本</w:t>
      </w:r>
      <w:r>
        <w:rPr>
          <w:rFonts w:hint="eastAsia" w:ascii="宋体" w:hAnsi="宋体"/>
          <w:color w:val="auto"/>
          <w:sz w:val="24"/>
          <w:szCs w:val="24"/>
          <w:highlight w:val="none"/>
        </w:rPr>
        <w:t>合同</w:t>
      </w:r>
      <w:r>
        <w:rPr>
          <w:rFonts w:hint="eastAsia" w:ascii="宋体" w:hAnsi="宋体"/>
          <w:color w:val="auto"/>
          <w:sz w:val="24"/>
          <w:szCs w:val="24"/>
          <w:highlight w:val="none"/>
          <w:lang w:eastAsia="zh-CN"/>
        </w:rPr>
        <w:t>，并由乙方承担由此产生的一切责任</w:t>
      </w:r>
      <w:r>
        <w:rPr>
          <w:rFonts w:hint="eastAsia" w:ascii="宋体" w:hAnsi="宋体"/>
          <w:color w:val="auto"/>
          <w:sz w:val="24"/>
          <w:szCs w:val="24"/>
          <w:highlight w:val="none"/>
        </w:rPr>
        <w:t>。</w:t>
      </w:r>
    </w:p>
    <w:p w14:paraId="1460DED4">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16.7杜绝出现咨询项目施工进度款超付现象, 若出现超额支付工程款的情况，视超付金额，乙方必须按本合同</w:t>
      </w:r>
      <w:r>
        <w:rPr>
          <w:rFonts w:hint="eastAsia" w:ascii="宋体" w:hAnsi="宋体"/>
          <w:snapToGrid w:val="0"/>
          <w:color w:val="auto"/>
          <w:spacing w:val="4"/>
          <w:kern w:val="0"/>
          <w:sz w:val="24"/>
          <w:highlight w:val="none"/>
          <w:lang w:val="en-US" w:eastAsia="zh-CN"/>
        </w:rPr>
        <w:t>暂定总价</w:t>
      </w:r>
      <w:r>
        <w:rPr>
          <w:rFonts w:hint="eastAsia" w:ascii="宋体" w:hAnsi="宋体"/>
          <w:color w:val="auto"/>
          <w:sz w:val="24"/>
          <w:szCs w:val="24"/>
          <w:highlight w:val="none"/>
        </w:rPr>
        <w:t>的</w:t>
      </w:r>
      <w:r>
        <w:rPr>
          <w:rFonts w:ascii="宋体" w:hAnsi="宋体"/>
          <w:color w:val="auto"/>
          <w:sz w:val="24"/>
          <w:szCs w:val="24"/>
          <w:highlight w:val="none"/>
        </w:rPr>
        <w:t>15%~20%</w:t>
      </w:r>
      <w:r>
        <w:rPr>
          <w:rFonts w:hint="eastAsia" w:ascii="宋体" w:hAnsi="宋体"/>
          <w:color w:val="auto"/>
          <w:sz w:val="24"/>
          <w:szCs w:val="24"/>
          <w:highlight w:val="none"/>
        </w:rPr>
        <w:t>向甲方支付违约金，违约金不足以弥补甲方的损失时，甲方保留继续向乙方追偿的权利。</w:t>
      </w:r>
    </w:p>
    <w:p w14:paraId="1C449367">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16.8</w:t>
      </w:r>
      <w:r>
        <w:rPr>
          <w:rFonts w:hint="eastAsia" w:ascii="宋体" w:hAnsi="宋体" w:cs="宋体"/>
          <w:color w:val="auto"/>
          <w:kern w:val="0"/>
          <w:sz w:val="24"/>
          <w:szCs w:val="24"/>
          <w:highlight w:val="none"/>
          <w:lang w:val="zh-CN"/>
        </w:rPr>
        <w:t>乙方须按甲方要求和财政评审的需要使用计价软件，若乙方使用不当计价软件导致延误财政投资评审的，需马上按甲方要求整改并承担违约责任及赔偿</w:t>
      </w:r>
      <w:r>
        <w:rPr>
          <w:rFonts w:hint="eastAsia" w:ascii="宋体" w:hAnsi="宋体" w:cs="宋体"/>
          <w:color w:val="auto"/>
          <w:sz w:val="24"/>
          <w:szCs w:val="24"/>
          <w:highlight w:val="none"/>
          <w:lang w:val="en-US" w:eastAsia="zh-CN"/>
        </w:rPr>
        <w:t>本合同</w:t>
      </w:r>
      <w:r>
        <w:rPr>
          <w:rFonts w:hint="eastAsia" w:ascii="宋体" w:hAnsi="宋体"/>
          <w:snapToGrid w:val="0"/>
          <w:color w:val="auto"/>
          <w:spacing w:val="4"/>
          <w:kern w:val="0"/>
          <w:sz w:val="24"/>
          <w:highlight w:val="none"/>
          <w:lang w:val="en-US" w:eastAsia="zh-CN"/>
        </w:rPr>
        <w:t>暂定总价</w:t>
      </w:r>
      <w:r>
        <w:rPr>
          <w:rFonts w:hint="eastAsia" w:ascii="宋体" w:hAnsi="宋体" w:cs="宋体"/>
          <w:color w:val="auto"/>
          <w:kern w:val="0"/>
          <w:sz w:val="24"/>
          <w:szCs w:val="24"/>
          <w:highlight w:val="none"/>
          <w:lang w:val="zh-CN"/>
        </w:rPr>
        <w:t>的</w:t>
      </w:r>
      <w:r>
        <w:rPr>
          <w:rFonts w:ascii="宋体" w:hAnsi="宋体" w:cs="宋体"/>
          <w:color w:val="auto"/>
          <w:kern w:val="0"/>
          <w:sz w:val="24"/>
          <w:szCs w:val="24"/>
          <w:highlight w:val="none"/>
          <w:lang w:val="zh-CN"/>
        </w:rPr>
        <w:t>10%</w:t>
      </w:r>
      <w:r>
        <w:rPr>
          <w:rFonts w:hint="eastAsia" w:ascii="宋体" w:hAnsi="宋体" w:cs="宋体"/>
          <w:color w:val="auto"/>
          <w:kern w:val="0"/>
          <w:sz w:val="24"/>
          <w:szCs w:val="24"/>
          <w:highlight w:val="none"/>
          <w:lang w:val="zh-CN"/>
        </w:rPr>
        <w:t>违约金。</w:t>
      </w:r>
    </w:p>
    <w:p w14:paraId="4726C147">
      <w:pPr>
        <w:pStyle w:val="32"/>
        <w:widowControl/>
        <w:tabs>
          <w:tab w:val="left" w:pos="1276"/>
        </w:tabs>
        <w:adjustRightInd w:val="0"/>
        <w:snapToGrid w:val="0"/>
        <w:spacing w:before="312" w:beforeLines="100" w:after="312" w:afterLines="100" w:line="440" w:lineRule="exact"/>
        <w:ind w:firstLine="482"/>
        <w:jc w:val="left"/>
        <w:rPr>
          <w:rFonts w:ascii="宋体" w:hAnsi="宋体"/>
          <w:b/>
          <w:color w:val="auto"/>
          <w:kern w:val="0"/>
          <w:sz w:val="24"/>
          <w:szCs w:val="24"/>
          <w:highlight w:val="none"/>
        </w:rPr>
      </w:pPr>
      <w:r>
        <w:rPr>
          <w:rFonts w:hint="eastAsia" w:ascii="宋体" w:hAnsi="宋体"/>
          <w:b/>
          <w:color w:val="auto"/>
          <w:kern w:val="0"/>
          <w:sz w:val="24"/>
          <w:szCs w:val="24"/>
          <w:highlight w:val="none"/>
        </w:rPr>
        <w:t>第二十六条  合同价款及支付方式：</w:t>
      </w:r>
    </w:p>
    <w:p w14:paraId="179521BC">
      <w:pPr>
        <w:spacing w:line="44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26.1</w:t>
      </w:r>
      <w:r>
        <w:rPr>
          <w:rFonts w:hint="eastAsia" w:ascii="宋体" w:hAnsi="宋体"/>
          <w:bCs/>
          <w:color w:val="auto"/>
          <w:sz w:val="24"/>
          <w:szCs w:val="24"/>
          <w:highlight w:val="none"/>
          <w:lang w:val="en-US" w:eastAsia="zh-CN"/>
        </w:rPr>
        <w:t>合同价款</w:t>
      </w:r>
      <w:r>
        <w:rPr>
          <w:rFonts w:hint="eastAsia" w:ascii="宋体" w:hAnsi="宋体"/>
          <w:bCs/>
          <w:color w:val="auto"/>
          <w:sz w:val="24"/>
          <w:szCs w:val="24"/>
          <w:highlight w:val="none"/>
        </w:rPr>
        <w:t>：</w:t>
      </w:r>
    </w:p>
    <w:p w14:paraId="1C029F23">
      <w:pPr>
        <w:spacing w:line="440" w:lineRule="exact"/>
        <w:ind w:firstLine="480" w:firstLineChars="200"/>
        <w:rPr>
          <w:rFonts w:hint="eastAsia" w:ascii="宋体" w:hAnsi="宋体"/>
          <w:bCs/>
          <w:color w:val="auto"/>
          <w:kern w:val="2"/>
          <w:sz w:val="24"/>
          <w:szCs w:val="24"/>
          <w:highlight w:val="none"/>
        </w:rPr>
      </w:pPr>
      <w:r>
        <w:rPr>
          <w:rFonts w:hint="eastAsia" w:ascii="宋体" w:hAnsi="宋体"/>
          <w:bCs/>
          <w:color w:val="auto"/>
          <w:sz w:val="24"/>
          <w:szCs w:val="24"/>
          <w:highlight w:val="none"/>
          <w:lang w:val="en-US" w:eastAsia="zh-CN"/>
        </w:rPr>
        <w:t>26.1.1本合同</w:t>
      </w:r>
      <w:r>
        <w:rPr>
          <w:rFonts w:hint="eastAsia" w:ascii="宋体" w:hAnsi="宋体" w:eastAsia="宋体" w:cs="宋体"/>
          <w:color w:val="auto"/>
          <w:sz w:val="24"/>
          <w:szCs w:val="24"/>
          <w:highlight w:val="none"/>
        </w:rPr>
        <w:t>造价咨询服务</w:t>
      </w:r>
      <w:r>
        <w:rPr>
          <w:rFonts w:hint="default" w:ascii="宋体" w:hAnsi="宋体" w:eastAsia="宋体" w:cs="宋体"/>
          <w:color w:val="auto"/>
          <w:sz w:val="24"/>
          <w:szCs w:val="24"/>
          <w:highlight w:val="none"/>
          <w:lang w:val="en-US"/>
        </w:rPr>
        <w:t>报酬</w:t>
      </w:r>
      <w:r>
        <w:rPr>
          <w:rFonts w:hint="eastAsia" w:ascii="宋体" w:hAnsi="宋体" w:eastAsia="宋体" w:cs="宋体"/>
          <w:color w:val="auto"/>
          <w:sz w:val="24"/>
          <w:szCs w:val="24"/>
          <w:highlight w:val="none"/>
        </w:rPr>
        <w:t>（含税）</w:t>
      </w:r>
      <w:r>
        <w:rPr>
          <w:rFonts w:hint="eastAsia" w:ascii="宋体" w:hAnsi="宋体"/>
          <w:bCs/>
          <w:color w:val="auto"/>
          <w:sz w:val="24"/>
          <w:szCs w:val="24"/>
          <w:highlight w:val="none"/>
          <w:lang w:val="en-US" w:eastAsia="zh-CN"/>
        </w:rPr>
        <w:t>为暂定总价。</w:t>
      </w:r>
    </w:p>
    <w:p w14:paraId="2612953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合同含税总价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暂定总价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为大写</w:t>
      </w:r>
      <w:r>
        <w:rPr>
          <w:rFonts w:hint="eastAsia" w:ascii="宋体" w:hAnsi="宋体"/>
          <w:color w:val="auto"/>
          <w:sz w:val="24"/>
          <w:szCs w:val="24"/>
          <w:highlight w:val="none"/>
        </w:rPr>
        <w:t>人民币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ascii="宋体" w:hAnsi="宋体"/>
          <w:color w:val="auto"/>
          <w:sz w:val="24"/>
          <w:szCs w:val="24"/>
          <w:highlight w:val="none"/>
        </w:rPr>
        <w:t>不含税总价</w:t>
      </w:r>
      <w:r>
        <w:rPr>
          <w:rFonts w:hint="eastAsia" w:ascii="宋体" w:hAnsi="宋体"/>
          <w:color w:val="auto"/>
          <w:sz w:val="24"/>
          <w:szCs w:val="24"/>
          <w:highlight w:val="none"/>
          <w:lang w:val="en-US" w:eastAsia="zh-CN"/>
        </w:rPr>
        <w:t>为大写</w:t>
      </w:r>
      <w:r>
        <w:rPr>
          <w:rFonts w:hint="eastAsia" w:ascii="宋体" w:hAnsi="宋体"/>
          <w:color w:val="auto"/>
          <w:sz w:val="24"/>
          <w:szCs w:val="24"/>
          <w:highlight w:val="none"/>
        </w:rPr>
        <w:t>人民币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 xml:space="preserve">税金为大写人民币：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增值税税率为</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cs="宋体" w:asciiTheme="minorEastAsia" w:hAnsiTheme="minorEastAsia" w:eastAsiaTheme="minorEastAsia"/>
          <w:color w:val="auto"/>
          <w:sz w:val="24"/>
          <w:highlight w:val="none"/>
        </w:rPr>
        <w:t>本合同费率为</w:t>
      </w:r>
      <w:r>
        <w:rPr>
          <w:rFonts w:hint="eastAsia" w:cs="宋体" w:asciiTheme="minorEastAsia" w:hAnsiTheme="minorEastAsia" w:eastAsiaTheme="minorEastAsia"/>
          <w:color w:val="auto"/>
          <w:sz w:val="24"/>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即中标费率）</w:t>
      </w:r>
      <w:r>
        <w:rPr>
          <w:rFonts w:hint="eastAsia" w:asciiTheme="minorEastAsia" w:hAnsiTheme="minorEastAsia" w:eastAsiaTheme="minorEastAsia"/>
          <w:color w:val="auto"/>
          <w:sz w:val="24"/>
          <w:highlight w:val="none"/>
        </w:rPr>
        <w:t>。</w:t>
      </w:r>
    </w:p>
    <w:p w14:paraId="5735AE39">
      <w:pPr>
        <w:spacing w:line="440" w:lineRule="exact"/>
        <w:ind w:firstLine="480" w:firstLineChars="200"/>
        <w:rPr>
          <w:rFonts w:hint="eastAsia" w:ascii="宋体" w:hAnsi="宋体"/>
          <w:snapToGrid w:val="0"/>
          <w:color w:val="auto"/>
          <w:spacing w:val="4"/>
          <w:kern w:val="0"/>
          <w:sz w:val="24"/>
          <w:highlight w:val="none"/>
        </w:rPr>
      </w:pPr>
      <w:r>
        <w:rPr>
          <w:rFonts w:hint="eastAsia" w:ascii="宋体" w:hAnsi="宋体"/>
          <w:color w:val="auto"/>
          <w:sz w:val="24"/>
          <w:szCs w:val="24"/>
          <w:highlight w:val="none"/>
          <w:lang w:val="en-US" w:eastAsia="zh-CN"/>
        </w:rPr>
        <w:t>26.1.2合同实际金额</w:t>
      </w:r>
      <w:r>
        <w:rPr>
          <w:rFonts w:hint="eastAsia" w:ascii="宋体" w:hAnsi="宋体"/>
          <w:snapToGrid w:val="0"/>
          <w:color w:val="auto"/>
          <w:spacing w:val="4"/>
          <w:kern w:val="0"/>
          <w:sz w:val="24"/>
          <w:highlight w:val="none"/>
        </w:rPr>
        <w:t>以本项目</w:t>
      </w:r>
      <w:r>
        <w:rPr>
          <w:rFonts w:hint="eastAsia" w:ascii="宋体" w:hAnsi="宋体"/>
          <w:snapToGrid w:val="0"/>
          <w:color w:val="auto"/>
          <w:spacing w:val="4"/>
          <w:kern w:val="0"/>
          <w:sz w:val="24"/>
          <w:highlight w:val="none"/>
          <w:lang w:val="en-US" w:eastAsia="zh-CN"/>
        </w:rPr>
        <w:t>批复概算的建安工程费</w:t>
      </w:r>
      <w:r>
        <w:rPr>
          <w:rFonts w:hint="eastAsia" w:ascii="宋体" w:hAnsi="宋体"/>
          <w:snapToGrid w:val="0"/>
          <w:color w:val="auto"/>
          <w:spacing w:val="4"/>
          <w:kern w:val="0"/>
          <w:sz w:val="24"/>
          <w:highlight w:val="none"/>
        </w:rPr>
        <w:t>为基数乘以本合同</w:t>
      </w:r>
      <w:r>
        <w:rPr>
          <w:rFonts w:hint="eastAsia" w:ascii="宋体" w:hAnsi="宋体"/>
          <w:snapToGrid w:val="0"/>
          <w:color w:val="auto"/>
          <w:spacing w:val="4"/>
          <w:kern w:val="0"/>
          <w:sz w:val="24"/>
          <w:highlight w:val="none"/>
          <w:lang w:val="en-US" w:eastAsia="zh-CN"/>
        </w:rPr>
        <w:t>中标</w:t>
      </w:r>
      <w:r>
        <w:rPr>
          <w:rFonts w:hint="eastAsia" w:ascii="宋体" w:hAnsi="宋体"/>
          <w:snapToGrid w:val="0"/>
          <w:color w:val="auto"/>
          <w:spacing w:val="4"/>
          <w:kern w:val="0"/>
          <w:sz w:val="24"/>
          <w:highlight w:val="none"/>
        </w:rPr>
        <w:t>费率</w:t>
      </w:r>
      <w:r>
        <w:rPr>
          <w:rFonts w:hint="eastAsia" w:ascii="宋体" w:hAnsi="宋体"/>
          <w:snapToGrid w:val="0"/>
          <w:color w:val="auto"/>
          <w:spacing w:val="4"/>
          <w:kern w:val="0"/>
          <w:sz w:val="24"/>
          <w:highlight w:val="none"/>
          <w:lang w:eastAsia="zh-CN"/>
        </w:rPr>
        <w:t>（</w:t>
      </w:r>
      <w:r>
        <w:rPr>
          <w:rFonts w:hint="eastAsia" w:ascii="宋体" w:hAnsi="宋体"/>
          <w:snapToGrid w:val="0"/>
          <w:color w:val="auto"/>
          <w:spacing w:val="4"/>
          <w:kern w:val="0"/>
          <w:sz w:val="24"/>
          <w:highlight w:val="none"/>
          <w:lang w:val="en-US" w:eastAsia="zh-CN"/>
        </w:rPr>
        <w:t>合同中标价/本项目招标公告中的建安工程费）×100%</w:t>
      </w:r>
      <w:r>
        <w:rPr>
          <w:rFonts w:hint="eastAsia" w:ascii="宋体" w:hAnsi="宋体"/>
          <w:snapToGrid w:val="0"/>
          <w:color w:val="auto"/>
          <w:spacing w:val="4"/>
          <w:kern w:val="0"/>
          <w:sz w:val="24"/>
          <w:highlight w:val="none"/>
        </w:rPr>
        <w:t>计算</w:t>
      </w:r>
      <w:r>
        <w:rPr>
          <w:rFonts w:hint="eastAsia" w:ascii="宋体" w:hAnsi="宋体"/>
          <w:snapToGrid w:val="0"/>
          <w:color w:val="auto"/>
          <w:spacing w:val="4"/>
          <w:kern w:val="0"/>
          <w:sz w:val="24"/>
          <w:highlight w:val="none"/>
          <w:lang w:eastAsia="zh-CN"/>
        </w:rPr>
        <w:t>。</w:t>
      </w:r>
      <w:r>
        <w:rPr>
          <w:rFonts w:hint="eastAsia" w:ascii="宋体" w:hAnsi="宋体"/>
          <w:snapToGrid w:val="0"/>
          <w:color w:val="auto"/>
          <w:spacing w:val="4"/>
          <w:kern w:val="0"/>
          <w:sz w:val="24"/>
          <w:highlight w:val="none"/>
        </w:rPr>
        <w:t>最终</w:t>
      </w:r>
      <w:r>
        <w:rPr>
          <w:rFonts w:hint="eastAsia" w:ascii="宋体" w:hAnsi="宋体"/>
          <w:snapToGrid w:val="0"/>
          <w:color w:val="auto"/>
          <w:spacing w:val="4"/>
          <w:kern w:val="0"/>
          <w:sz w:val="24"/>
          <w:highlight w:val="none"/>
          <w:lang w:eastAsia="zh-CN"/>
        </w:rPr>
        <w:t>以</w:t>
      </w:r>
      <w:r>
        <w:rPr>
          <w:rFonts w:hint="eastAsia" w:ascii="宋体" w:hAnsi="宋体"/>
          <w:snapToGrid w:val="0"/>
          <w:color w:val="auto"/>
          <w:spacing w:val="4"/>
          <w:kern w:val="0"/>
          <w:sz w:val="24"/>
          <w:highlight w:val="none"/>
        </w:rPr>
        <w:t>有权</w:t>
      </w:r>
      <w:r>
        <w:rPr>
          <w:rFonts w:hint="eastAsia" w:ascii="宋体" w:hAnsi="宋体"/>
          <w:snapToGrid w:val="0"/>
          <w:color w:val="auto"/>
          <w:spacing w:val="4"/>
          <w:kern w:val="0"/>
          <w:sz w:val="24"/>
          <w:highlight w:val="none"/>
          <w:lang w:val="en-US" w:eastAsia="zh-CN"/>
        </w:rPr>
        <w:t>审核部门审定的本合同</w:t>
      </w:r>
      <w:r>
        <w:rPr>
          <w:rFonts w:hint="eastAsia" w:ascii="宋体" w:hAnsi="宋体"/>
          <w:snapToGrid w:val="0"/>
          <w:color w:val="auto"/>
          <w:spacing w:val="4"/>
          <w:kern w:val="0"/>
          <w:sz w:val="24"/>
          <w:highlight w:val="none"/>
        </w:rPr>
        <w:t>结算终审</w:t>
      </w:r>
      <w:r>
        <w:rPr>
          <w:rFonts w:hint="eastAsia" w:ascii="宋体" w:hAnsi="宋体"/>
          <w:snapToGrid w:val="0"/>
          <w:color w:val="auto"/>
          <w:spacing w:val="4"/>
          <w:kern w:val="0"/>
          <w:sz w:val="24"/>
          <w:highlight w:val="none"/>
          <w:lang w:val="en-US" w:eastAsia="zh-CN"/>
        </w:rPr>
        <w:t>金额为准</w:t>
      </w:r>
      <w:r>
        <w:rPr>
          <w:rFonts w:hint="eastAsia" w:ascii="宋体" w:hAnsi="宋体"/>
          <w:snapToGrid w:val="0"/>
          <w:color w:val="auto"/>
          <w:spacing w:val="4"/>
          <w:kern w:val="0"/>
          <w:sz w:val="24"/>
          <w:highlight w:val="none"/>
        </w:rPr>
        <w:t>。</w:t>
      </w:r>
    </w:p>
    <w:p w14:paraId="4B7346D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26.1.</w:t>
      </w:r>
      <w:r>
        <w:rPr>
          <w:rFonts w:ascii="宋体" w:hAnsi="宋体"/>
          <w:color w:val="auto"/>
          <w:sz w:val="24"/>
          <w:szCs w:val="24"/>
          <w:highlight w:val="none"/>
        </w:rPr>
        <w:t>1</w:t>
      </w:r>
      <w:r>
        <w:rPr>
          <w:rFonts w:hint="eastAsia" w:ascii="宋体" w:hAnsi="宋体"/>
          <w:color w:val="auto"/>
          <w:sz w:val="24"/>
          <w:szCs w:val="24"/>
          <w:highlight w:val="none"/>
        </w:rPr>
        <w:t>其他</w:t>
      </w:r>
      <w:r>
        <w:rPr>
          <w:rFonts w:ascii="宋体" w:hAnsi="宋体"/>
          <w:color w:val="auto"/>
          <w:sz w:val="24"/>
          <w:szCs w:val="24"/>
          <w:highlight w:val="none"/>
        </w:rPr>
        <w:t>说明</w:t>
      </w:r>
    </w:p>
    <w:p w14:paraId="6F0756DD">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①钢筋量及预埋件由造价咨询单位计算或复核，且其费用</w:t>
      </w:r>
      <w:r>
        <w:rPr>
          <w:rFonts w:hint="eastAsia" w:ascii="宋体" w:hAnsi="宋体"/>
          <w:color w:val="auto"/>
          <w:sz w:val="24"/>
          <w:szCs w:val="24"/>
          <w:highlight w:val="none"/>
          <w:lang w:val="en-US" w:eastAsia="zh-CN"/>
        </w:rPr>
        <w:t>含在合同价款中，甲方</w:t>
      </w:r>
      <w:r>
        <w:rPr>
          <w:rFonts w:hint="eastAsia" w:ascii="宋体" w:hAnsi="宋体"/>
          <w:color w:val="auto"/>
          <w:sz w:val="24"/>
          <w:szCs w:val="24"/>
          <w:highlight w:val="none"/>
        </w:rPr>
        <w:t>不另</w:t>
      </w:r>
      <w:r>
        <w:rPr>
          <w:rFonts w:hint="eastAsia" w:ascii="宋体" w:hAnsi="宋体"/>
          <w:color w:val="auto"/>
          <w:sz w:val="24"/>
          <w:szCs w:val="24"/>
          <w:highlight w:val="none"/>
          <w:lang w:val="en-US" w:eastAsia="zh-CN"/>
        </w:rPr>
        <w:t>行</w:t>
      </w:r>
      <w:r>
        <w:rPr>
          <w:rFonts w:hint="eastAsia" w:ascii="宋体" w:hAnsi="宋体"/>
          <w:color w:val="auto"/>
          <w:sz w:val="24"/>
          <w:szCs w:val="24"/>
          <w:highlight w:val="none"/>
        </w:rPr>
        <w:t>支付。</w:t>
      </w:r>
    </w:p>
    <w:p w14:paraId="02AD089B">
      <w:pPr>
        <w:spacing w:line="44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②上述费用包含投入本项目的管理、交通、食宿、文件制作以及包含所有税、费、款、金等一切费用，同时也包括在服务过程中出现特殊因素造价人员必须加班或甲方要求加班的费用以及产生的所有费用，并考虑应承担的风险。乙方工作范围内的配合甲方工程招投标、为甲方提供其他与造价控制有关的技术服务（如主要材料市场信息及经济指标的比较分析）等工作的相关费用包括在</w:t>
      </w:r>
      <w:r>
        <w:rPr>
          <w:rFonts w:hint="eastAsia" w:ascii="宋体" w:hAnsi="宋体"/>
          <w:color w:val="auto"/>
          <w:sz w:val="24"/>
          <w:szCs w:val="24"/>
          <w:highlight w:val="none"/>
          <w:lang w:val="en-US" w:eastAsia="zh-CN"/>
        </w:rPr>
        <w:t>合同价款中</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不另行计费。除本合同另有约定外，乙方不得再向甲方要求其它任何费用。</w:t>
      </w:r>
    </w:p>
    <w:p w14:paraId="21663CB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olor w:val="auto"/>
          <w:sz w:val="24"/>
          <w:szCs w:val="24"/>
          <w:highlight w:val="none"/>
          <w:lang w:val="en-US" w:eastAsia="zh-CN"/>
        </w:rPr>
        <w:t>26.2</w:t>
      </w:r>
      <w:r>
        <w:rPr>
          <w:rFonts w:hint="eastAsia" w:ascii="宋体" w:hAnsi="宋体"/>
          <w:color w:val="auto"/>
          <w:sz w:val="24"/>
          <w:szCs w:val="24"/>
          <w:highlight w:val="none"/>
        </w:rPr>
        <w:t>支付条件和支付方式：</w:t>
      </w:r>
    </w:p>
    <w:tbl>
      <w:tblPr>
        <w:tblStyle w:val="18"/>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851"/>
        <w:gridCol w:w="851"/>
        <w:gridCol w:w="6095"/>
      </w:tblGrid>
      <w:tr w14:paraId="1212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BC673B4">
            <w:pPr>
              <w:spacing w:line="440" w:lineRule="exact"/>
              <w:jc w:val="center"/>
              <w:rPr>
                <w:rFonts w:ascii="宋体" w:hAnsi="宋体"/>
                <w:bCs/>
                <w:color w:val="auto"/>
                <w:sz w:val="24"/>
                <w:szCs w:val="24"/>
                <w:highlight w:val="none"/>
                <w:u w:val="none"/>
              </w:rPr>
            </w:pPr>
            <w:r>
              <w:rPr>
                <w:rFonts w:hint="eastAsia" w:ascii="宋体" w:hAnsi="宋体"/>
                <w:bCs/>
                <w:color w:val="auto"/>
                <w:sz w:val="24"/>
                <w:szCs w:val="24"/>
                <w:highlight w:val="none"/>
                <w:u w:val="none"/>
              </w:rPr>
              <w:t>支付次序</w:t>
            </w:r>
          </w:p>
        </w:tc>
        <w:tc>
          <w:tcPr>
            <w:tcW w:w="1276" w:type="dxa"/>
            <w:vAlign w:val="center"/>
          </w:tcPr>
          <w:p w14:paraId="7D9AC088">
            <w:pPr>
              <w:spacing w:line="440" w:lineRule="exact"/>
              <w:jc w:val="center"/>
              <w:rPr>
                <w:rFonts w:ascii="宋体" w:hAnsi="宋体"/>
                <w:bCs/>
                <w:color w:val="auto"/>
                <w:sz w:val="24"/>
                <w:szCs w:val="24"/>
                <w:highlight w:val="none"/>
                <w:u w:val="none"/>
              </w:rPr>
            </w:pPr>
            <w:r>
              <w:rPr>
                <w:rFonts w:hint="eastAsia" w:ascii="宋体" w:hAnsi="宋体"/>
                <w:bCs/>
                <w:color w:val="auto"/>
                <w:sz w:val="24"/>
                <w:szCs w:val="24"/>
                <w:highlight w:val="none"/>
                <w:u w:val="none"/>
              </w:rPr>
              <w:t>工作阶段</w:t>
            </w:r>
          </w:p>
        </w:tc>
        <w:tc>
          <w:tcPr>
            <w:tcW w:w="851" w:type="dxa"/>
            <w:vAlign w:val="center"/>
          </w:tcPr>
          <w:p w14:paraId="57D176B1">
            <w:pPr>
              <w:spacing w:line="440" w:lineRule="exact"/>
              <w:jc w:val="center"/>
              <w:rPr>
                <w:rFonts w:hint="default" w:ascii="宋体" w:hAnsi="宋体" w:eastAsia="宋体"/>
                <w:bCs/>
                <w:color w:val="auto"/>
                <w:sz w:val="24"/>
                <w:szCs w:val="24"/>
                <w:highlight w:val="none"/>
                <w:u w:val="none"/>
                <w:lang w:val="en-US" w:eastAsia="zh-CN"/>
              </w:rPr>
            </w:pPr>
            <w:r>
              <w:rPr>
                <w:rFonts w:hint="eastAsia" w:ascii="宋体" w:hAnsi="宋体"/>
                <w:bCs/>
                <w:color w:val="auto"/>
                <w:sz w:val="24"/>
                <w:szCs w:val="24"/>
                <w:highlight w:val="none"/>
                <w:u w:val="none"/>
                <w:lang w:val="en-US" w:eastAsia="zh-CN"/>
              </w:rPr>
              <w:t>支付基数</w:t>
            </w:r>
          </w:p>
        </w:tc>
        <w:tc>
          <w:tcPr>
            <w:tcW w:w="851" w:type="dxa"/>
            <w:vAlign w:val="center"/>
          </w:tcPr>
          <w:p w14:paraId="1BBE21F3">
            <w:pPr>
              <w:spacing w:line="440" w:lineRule="exact"/>
              <w:jc w:val="center"/>
              <w:rPr>
                <w:rFonts w:ascii="宋体" w:hAnsi="宋体"/>
                <w:bCs/>
                <w:color w:val="auto"/>
                <w:sz w:val="24"/>
                <w:szCs w:val="24"/>
                <w:highlight w:val="none"/>
                <w:u w:val="none"/>
              </w:rPr>
            </w:pPr>
            <w:r>
              <w:rPr>
                <w:rFonts w:hint="eastAsia" w:ascii="宋体" w:hAnsi="宋体"/>
                <w:bCs/>
                <w:color w:val="auto"/>
                <w:sz w:val="24"/>
                <w:szCs w:val="24"/>
                <w:highlight w:val="none"/>
                <w:u w:val="none"/>
              </w:rPr>
              <w:t>支付比例</w:t>
            </w:r>
          </w:p>
        </w:tc>
        <w:tc>
          <w:tcPr>
            <w:tcW w:w="6095" w:type="dxa"/>
            <w:vAlign w:val="center"/>
          </w:tcPr>
          <w:p w14:paraId="753AB919">
            <w:pPr>
              <w:spacing w:line="440" w:lineRule="exact"/>
              <w:jc w:val="center"/>
              <w:rPr>
                <w:rFonts w:ascii="宋体" w:hAnsi="宋体"/>
                <w:bCs/>
                <w:color w:val="auto"/>
                <w:sz w:val="24"/>
                <w:szCs w:val="24"/>
                <w:highlight w:val="none"/>
                <w:u w:val="none"/>
              </w:rPr>
            </w:pPr>
            <w:r>
              <w:rPr>
                <w:rFonts w:hint="eastAsia" w:ascii="宋体" w:hAnsi="宋体"/>
                <w:bCs/>
                <w:color w:val="auto"/>
                <w:sz w:val="24"/>
                <w:szCs w:val="24"/>
                <w:highlight w:val="none"/>
                <w:u w:val="none"/>
              </w:rPr>
              <w:t>支付条件</w:t>
            </w:r>
          </w:p>
        </w:tc>
      </w:tr>
      <w:tr w14:paraId="4668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A5F44">
            <w:pPr>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rPr>
              <w:t>1</w:t>
            </w:r>
          </w:p>
        </w:tc>
        <w:tc>
          <w:tcPr>
            <w:tcW w:w="1276" w:type="dxa"/>
          </w:tcPr>
          <w:p w14:paraId="76ABA77D">
            <w:pPr>
              <w:spacing w:line="44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首期款</w:t>
            </w:r>
          </w:p>
        </w:tc>
        <w:tc>
          <w:tcPr>
            <w:tcW w:w="851" w:type="dxa"/>
          </w:tcPr>
          <w:p w14:paraId="60287DE3">
            <w:pPr>
              <w:spacing w:line="440" w:lineRule="exact"/>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合同暂定总价</w:t>
            </w:r>
          </w:p>
        </w:tc>
        <w:tc>
          <w:tcPr>
            <w:tcW w:w="851" w:type="dxa"/>
          </w:tcPr>
          <w:p w14:paraId="737F82AC">
            <w:pPr>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w:t>
            </w:r>
          </w:p>
        </w:tc>
        <w:tc>
          <w:tcPr>
            <w:tcW w:w="6095" w:type="dxa"/>
          </w:tcPr>
          <w:p w14:paraId="1BF786F5">
            <w:pPr>
              <w:spacing w:line="440" w:lineRule="exact"/>
              <w:rPr>
                <w:rFonts w:ascii="宋体" w:hAnsi="宋体"/>
                <w:bCs/>
                <w:color w:val="auto"/>
                <w:sz w:val="24"/>
                <w:szCs w:val="24"/>
                <w:highlight w:val="none"/>
              </w:rPr>
            </w:pPr>
            <w:r>
              <w:rPr>
                <w:rFonts w:hint="eastAsia" w:ascii="宋体" w:hAnsi="宋体"/>
                <w:bCs/>
                <w:color w:val="auto"/>
                <w:sz w:val="24"/>
                <w:szCs w:val="24"/>
                <w:highlight w:val="none"/>
              </w:rPr>
              <w:t>合同签订且本项目</w:t>
            </w:r>
            <w:r>
              <w:rPr>
                <w:rFonts w:hint="eastAsia" w:ascii="宋体" w:hAnsi="宋体"/>
                <w:bCs/>
                <w:color w:val="auto"/>
                <w:sz w:val="24"/>
                <w:szCs w:val="24"/>
                <w:highlight w:val="none"/>
                <w:lang w:val="en-US" w:eastAsia="zh-CN"/>
              </w:rPr>
              <w:t>取得</w:t>
            </w:r>
            <w:r>
              <w:rPr>
                <w:rFonts w:hint="eastAsia" w:ascii="宋体" w:hAnsi="宋体"/>
                <w:bCs/>
                <w:color w:val="auto"/>
                <w:sz w:val="24"/>
                <w:szCs w:val="24"/>
                <w:highlight w:val="none"/>
              </w:rPr>
              <w:t>可研</w:t>
            </w:r>
            <w:r>
              <w:rPr>
                <w:rFonts w:hint="eastAsia" w:ascii="宋体" w:hAnsi="宋体"/>
                <w:bCs/>
                <w:color w:val="auto"/>
                <w:sz w:val="24"/>
                <w:szCs w:val="24"/>
                <w:highlight w:val="none"/>
                <w:lang w:val="en-US" w:eastAsia="zh-CN"/>
              </w:rPr>
              <w:t>审查意见</w:t>
            </w:r>
            <w:r>
              <w:rPr>
                <w:rFonts w:hint="eastAsia" w:ascii="宋体" w:hAnsi="宋体"/>
                <w:bCs/>
                <w:color w:val="auto"/>
                <w:sz w:val="24"/>
                <w:szCs w:val="24"/>
                <w:highlight w:val="none"/>
              </w:rPr>
              <w:t>，乙方提出支付申请并</w:t>
            </w:r>
            <w:r>
              <w:rPr>
                <w:rFonts w:ascii="宋体" w:hAnsi="宋体"/>
                <w:bCs/>
                <w:color w:val="auto"/>
                <w:sz w:val="24"/>
                <w:szCs w:val="24"/>
                <w:highlight w:val="none"/>
              </w:rPr>
              <w:t>经甲</w:t>
            </w:r>
            <w:r>
              <w:rPr>
                <w:rFonts w:hint="eastAsia" w:ascii="宋体" w:hAnsi="宋体"/>
                <w:bCs/>
                <w:color w:val="auto"/>
                <w:sz w:val="24"/>
                <w:szCs w:val="24"/>
                <w:highlight w:val="none"/>
              </w:rPr>
              <w:t>方</w:t>
            </w:r>
            <w:r>
              <w:rPr>
                <w:rFonts w:ascii="宋体" w:hAnsi="宋体"/>
                <w:bCs/>
                <w:color w:val="auto"/>
                <w:sz w:val="24"/>
                <w:szCs w:val="24"/>
                <w:highlight w:val="none"/>
              </w:rPr>
              <w:t>审核后</w:t>
            </w:r>
            <w:r>
              <w:rPr>
                <w:rFonts w:hint="eastAsia" w:ascii="宋体" w:hAnsi="宋体"/>
                <w:bCs/>
                <w:color w:val="auto"/>
                <w:sz w:val="24"/>
                <w:szCs w:val="24"/>
                <w:highlight w:val="none"/>
                <w:lang w:eastAsia="zh-CN"/>
              </w:rPr>
              <w:t>；</w:t>
            </w:r>
          </w:p>
        </w:tc>
      </w:tr>
      <w:tr w14:paraId="5C2D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DD1A23F">
            <w:pPr>
              <w:spacing w:line="44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2</w:t>
            </w:r>
          </w:p>
        </w:tc>
        <w:tc>
          <w:tcPr>
            <w:tcW w:w="1276" w:type="dxa"/>
            <w:vMerge w:val="restart"/>
          </w:tcPr>
          <w:p w14:paraId="5A0B6633">
            <w:pPr>
              <w:spacing w:line="440" w:lineRule="exact"/>
              <w:rPr>
                <w:rFonts w:hint="eastAsia" w:ascii="宋体" w:hAnsi="宋体"/>
                <w:bCs/>
                <w:color w:val="auto"/>
                <w:sz w:val="24"/>
                <w:szCs w:val="24"/>
                <w:highlight w:val="none"/>
              </w:rPr>
            </w:pPr>
          </w:p>
          <w:p w14:paraId="3F24AB74">
            <w:pPr>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施工图预算阶段</w:t>
            </w:r>
          </w:p>
          <w:p w14:paraId="49EE2410">
            <w:pPr>
              <w:spacing w:line="440" w:lineRule="exact"/>
              <w:rPr>
                <w:rFonts w:ascii="宋体" w:hAnsi="宋体"/>
                <w:bCs/>
                <w:color w:val="auto"/>
                <w:sz w:val="24"/>
                <w:szCs w:val="24"/>
                <w:highlight w:val="none"/>
              </w:rPr>
            </w:pPr>
          </w:p>
        </w:tc>
        <w:tc>
          <w:tcPr>
            <w:tcW w:w="851" w:type="dxa"/>
            <w:vMerge w:val="restart"/>
          </w:tcPr>
          <w:p w14:paraId="69A94ECF">
            <w:pPr>
              <w:spacing w:line="440" w:lineRule="exact"/>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合同实际金额</w:t>
            </w:r>
          </w:p>
        </w:tc>
        <w:tc>
          <w:tcPr>
            <w:tcW w:w="851" w:type="dxa"/>
          </w:tcPr>
          <w:p w14:paraId="69CE3767">
            <w:pPr>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rPr>
              <w:t>5</w:t>
            </w:r>
            <w:r>
              <w:rPr>
                <w:rFonts w:ascii="宋体" w:hAnsi="宋体"/>
                <w:bCs/>
                <w:color w:val="auto"/>
                <w:sz w:val="24"/>
                <w:szCs w:val="24"/>
                <w:highlight w:val="none"/>
              </w:rPr>
              <w:t>%</w:t>
            </w:r>
          </w:p>
        </w:tc>
        <w:tc>
          <w:tcPr>
            <w:tcW w:w="6095" w:type="dxa"/>
          </w:tcPr>
          <w:p w14:paraId="6D430540">
            <w:pPr>
              <w:spacing w:line="44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完成项目±0.00以下工程施工图预算审核，根据甲方要求提交审核报告，乙方提出支付申请并经甲方审核后</w:t>
            </w:r>
            <w:r>
              <w:rPr>
                <w:rFonts w:hint="eastAsia" w:ascii="宋体" w:hAnsi="宋体"/>
                <w:bCs/>
                <w:color w:val="auto"/>
                <w:sz w:val="24"/>
                <w:szCs w:val="24"/>
                <w:highlight w:val="none"/>
                <w:lang w:eastAsia="zh-CN"/>
              </w:rPr>
              <w:t>；</w:t>
            </w:r>
          </w:p>
        </w:tc>
      </w:tr>
      <w:tr w14:paraId="2C20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E9A9E16">
            <w:pPr>
              <w:spacing w:line="440" w:lineRule="exact"/>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w:t>
            </w:r>
          </w:p>
        </w:tc>
        <w:tc>
          <w:tcPr>
            <w:tcW w:w="1276" w:type="dxa"/>
            <w:vMerge w:val="continue"/>
          </w:tcPr>
          <w:p w14:paraId="2E3A5898">
            <w:pPr>
              <w:spacing w:line="440" w:lineRule="exact"/>
              <w:rPr>
                <w:rFonts w:ascii="宋体" w:hAnsi="宋体"/>
                <w:bCs/>
                <w:color w:val="auto"/>
                <w:sz w:val="24"/>
                <w:szCs w:val="24"/>
                <w:highlight w:val="none"/>
              </w:rPr>
            </w:pPr>
          </w:p>
        </w:tc>
        <w:tc>
          <w:tcPr>
            <w:tcW w:w="851" w:type="dxa"/>
            <w:vMerge w:val="continue"/>
          </w:tcPr>
          <w:p w14:paraId="1169CE60">
            <w:pPr>
              <w:spacing w:line="440" w:lineRule="exact"/>
              <w:jc w:val="center"/>
              <w:rPr>
                <w:rFonts w:ascii="宋体" w:hAnsi="宋体"/>
                <w:bCs/>
                <w:color w:val="auto"/>
                <w:sz w:val="24"/>
                <w:szCs w:val="24"/>
                <w:highlight w:val="none"/>
              </w:rPr>
            </w:pPr>
          </w:p>
        </w:tc>
        <w:tc>
          <w:tcPr>
            <w:tcW w:w="851" w:type="dxa"/>
            <w:shd w:val="clear" w:color="auto" w:fill="auto"/>
            <w:vAlign w:val="top"/>
          </w:tcPr>
          <w:p w14:paraId="355D44E7">
            <w:pPr>
              <w:spacing w:line="440" w:lineRule="exact"/>
              <w:jc w:val="center"/>
              <w:rPr>
                <w:rFonts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lang w:val="en-US" w:eastAsia="zh-CN"/>
              </w:rPr>
              <w:t>20</w:t>
            </w:r>
            <w:r>
              <w:rPr>
                <w:rFonts w:ascii="宋体" w:hAnsi="宋体"/>
                <w:bCs/>
                <w:color w:val="auto"/>
                <w:sz w:val="24"/>
                <w:szCs w:val="24"/>
                <w:highlight w:val="none"/>
              </w:rPr>
              <w:t>%</w:t>
            </w:r>
          </w:p>
        </w:tc>
        <w:tc>
          <w:tcPr>
            <w:tcW w:w="6095" w:type="dxa"/>
            <w:shd w:val="clear" w:color="auto" w:fill="auto"/>
            <w:vAlign w:val="top"/>
          </w:tcPr>
          <w:p w14:paraId="0EB9D10A">
            <w:pPr>
              <w:spacing w:line="440" w:lineRule="exact"/>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完成施工图预算审核，根据</w:t>
            </w:r>
            <w:r>
              <w:rPr>
                <w:rFonts w:ascii="宋体" w:hAnsi="宋体"/>
                <w:bCs/>
                <w:color w:val="auto"/>
                <w:sz w:val="24"/>
                <w:szCs w:val="24"/>
                <w:highlight w:val="none"/>
              </w:rPr>
              <w:t>甲方要求</w:t>
            </w:r>
            <w:r>
              <w:rPr>
                <w:rFonts w:hint="eastAsia" w:ascii="宋体" w:hAnsi="宋体"/>
                <w:bCs/>
                <w:color w:val="auto"/>
                <w:sz w:val="24"/>
                <w:szCs w:val="24"/>
                <w:highlight w:val="none"/>
              </w:rPr>
              <w:t>提交审核报告</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施工图审核预算经政府相关部门审核（如需）</w:t>
            </w:r>
            <w:r>
              <w:rPr>
                <w:rFonts w:hint="eastAsia" w:ascii="宋体" w:hAnsi="宋体"/>
                <w:bCs/>
                <w:color w:val="auto"/>
                <w:sz w:val="24"/>
                <w:szCs w:val="24"/>
                <w:highlight w:val="none"/>
              </w:rPr>
              <w:t>，乙方提出支付申请并</w:t>
            </w:r>
            <w:r>
              <w:rPr>
                <w:rFonts w:ascii="宋体" w:hAnsi="宋体"/>
                <w:bCs/>
                <w:color w:val="auto"/>
                <w:sz w:val="24"/>
                <w:szCs w:val="24"/>
                <w:highlight w:val="none"/>
              </w:rPr>
              <w:t>经甲方审核后</w:t>
            </w:r>
            <w:r>
              <w:rPr>
                <w:rFonts w:hint="eastAsia" w:ascii="宋体" w:hAnsi="宋体"/>
                <w:bCs/>
                <w:color w:val="auto"/>
                <w:sz w:val="24"/>
                <w:szCs w:val="24"/>
                <w:highlight w:val="none"/>
              </w:rPr>
              <w:t>；</w:t>
            </w:r>
          </w:p>
        </w:tc>
      </w:tr>
      <w:tr w14:paraId="33BD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B472779">
            <w:pPr>
              <w:spacing w:line="440" w:lineRule="exact"/>
              <w:jc w:val="center"/>
              <w:rPr>
                <w:rFonts w:hint="eastAsia" w:ascii="宋体" w:hAnsi="宋体"/>
                <w:bCs/>
                <w:color w:val="auto"/>
                <w:sz w:val="24"/>
                <w:szCs w:val="24"/>
                <w:highlight w:val="none"/>
                <w:lang w:val="en-US" w:eastAsia="zh-CN"/>
              </w:rPr>
            </w:pPr>
          </w:p>
          <w:p w14:paraId="0123A8F5">
            <w:pPr>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4</w:t>
            </w:r>
          </w:p>
        </w:tc>
        <w:tc>
          <w:tcPr>
            <w:tcW w:w="1276" w:type="dxa"/>
            <w:vMerge w:val="continue"/>
          </w:tcPr>
          <w:p w14:paraId="61A61DDF">
            <w:pPr>
              <w:spacing w:line="440" w:lineRule="exact"/>
              <w:rPr>
                <w:rFonts w:ascii="宋体" w:hAnsi="宋体"/>
                <w:bCs/>
                <w:color w:val="auto"/>
                <w:sz w:val="24"/>
                <w:szCs w:val="24"/>
                <w:highlight w:val="none"/>
              </w:rPr>
            </w:pPr>
          </w:p>
        </w:tc>
        <w:tc>
          <w:tcPr>
            <w:tcW w:w="851" w:type="dxa"/>
            <w:vMerge w:val="continue"/>
          </w:tcPr>
          <w:p w14:paraId="247FF79F">
            <w:pPr>
              <w:spacing w:line="440" w:lineRule="exact"/>
              <w:jc w:val="center"/>
              <w:rPr>
                <w:rFonts w:ascii="宋体" w:hAnsi="宋体"/>
                <w:bCs/>
                <w:color w:val="auto"/>
                <w:sz w:val="24"/>
                <w:szCs w:val="24"/>
                <w:highlight w:val="none"/>
              </w:rPr>
            </w:pPr>
          </w:p>
        </w:tc>
        <w:tc>
          <w:tcPr>
            <w:tcW w:w="851" w:type="dxa"/>
          </w:tcPr>
          <w:p w14:paraId="5382CF13">
            <w:pPr>
              <w:spacing w:line="440" w:lineRule="exact"/>
              <w:jc w:val="center"/>
              <w:rPr>
                <w:rFonts w:ascii="宋体" w:hAnsi="宋体"/>
                <w:bCs/>
                <w:color w:val="auto"/>
                <w:sz w:val="24"/>
                <w:szCs w:val="24"/>
                <w:highlight w:val="none"/>
              </w:rPr>
            </w:pPr>
            <w:r>
              <w:rPr>
                <w:rFonts w:ascii="宋体" w:hAnsi="宋体"/>
                <w:bCs/>
                <w:color w:val="auto"/>
                <w:sz w:val="24"/>
                <w:szCs w:val="24"/>
                <w:highlight w:val="none"/>
              </w:rPr>
              <w:t>5%</w:t>
            </w:r>
          </w:p>
        </w:tc>
        <w:tc>
          <w:tcPr>
            <w:tcW w:w="6095" w:type="dxa"/>
          </w:tcPr>
          <w:p w14:paraId="45193538">
            <w:pPr>
              <w:spacing w:line="440" w:lineRule="exact"/>
              <w:rPr>
                <w:rFonts w:ascii="宋体" w:hAnsi="宋体"/>
                <w:bCs/>
                <w:color w:val="auto"/>
                <w:sz w:val="24"/>
                <w:szCs w:val="24"/>
                <w:highlight w:val="none"/>
              </w:rPr>
            </w:pPr>
            <w:r>
              <w:rPr>
                <w:rFonts w:hint="eastAsia" w:ascii="宋体" w:hAnsi="宋体"/>
                <w:bCs/>
                <w:color w:val="auto"/>
                <w:sz w:val="24"/>
                <w:szCs w:val="24"/>
                <w:highlight w:val="none"/>
              </w:rPr>
              <w:t>审核设计施工总承包项目（以下简称EPC项目）的合同价格清单，并协助完成EPC项目补充合同的签订工作，乙方提出支付申请并</w:t>
            </w:r>
            <w:r>
              <w:rPr>
                <w:rFonts w:ascii="宋体" w:hAnsi="宋体"/>
                <w:bCs/>
                <w:color w:val="auto"/>
                <w:sz w:val="24"/>
                <w:szCs w:val="24"/>
                <w:highlight w:val="none"/>
              </w:rPr>
              <w:t>经甲</w:t>
            </w:r>
            <w:r>
              <w:rPr>
                <w:rFonts w:hint="eastAsia" w:ascii="宋体" w:hAnsi="宋体"/>
                <w:bCs/>
                <w:color w:val="auto"/>
                <w:sz w:val="24"/>
                <w:szCs w:val="24"/>
                <w:highlight w:val="none"/>
              </w:rPr>
              <w:t>方</w:t>
            </w:r>
            <w:r>
              <w:rPr>
                <w:rFonts w:ascii="宋体" w:hAnsi="宋体"/>
                <w:bCs/>
                <w:color w:val="auto"/>
                <w:sz w:val="24"/>
                <w:szCs w:val="24"/>
                <w:highlight w:val="none"/>
              </w:rPr>
              <w:t>审核后</w:t>
            </w:r>
            <w:r>
              <w:rPr>
                <w:rFonts w:hint="eastAsia" w:ascii="宋体" w:hAnsi="宋体"/>
                <w:bCs/>
                <w:color w:val="auto"/>
                <w:sz w:val="24"/>
                <w:szCs w:val="24"/>
                <w:highlight w:val="none"/>
              </w:rPr>
              <w:t>；</w:t>
            </w:r>
          </w:p>
        </w:tc>
      </w:tr>
      <w:tr w14:paraId="3281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3679CA7">
            <w:pPr>
              <w:spacing w:line="44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5</w:t>
            </w:r>
          </w:p>
        </w:tc>
        <w:tc>
          <w:tcPr>
            <w:tcW w:w="1276" w:type="dxa"/>
          </w:tcPr>
          <w:p w14:paraId="3781FE60">
            <w:pPr>
              <w:spacing w:line="440" w:lineRule="exact"/>
              <w:rPr>
                <w:rFonts w:ascii="宋体" w:hAnsi="宋体"/>
                <w:bCs/>
                <w:color w:val="auto"/>
                <w:sz w:val="24"/>
                <w:szCs w:val="24"/>
                <w:highlight w:val="none"/>
              </w:rPr>
            </w:pPr>
            <w:r>
              <w:rPr>
                <w:rFonts w:hint="eastAsia" w:ascii="宋体" w:hAnsi="宋体"/>
                <w:bCs/>
                <w:color w:val="auto"/>
                <w:sz w:val="24"/>
                <w:szCs w:val="24"/>
                <w:highlight w:val="none"/>
              </w:rPr>
              <w:t>招标阶段、施工阶段及其他工作</w:t>
            </w:r>
          </w:p>
        </w:tc>
        <w:tc>
          <w:tcPr>
            <w:tcW w:w="851" w:type="dxa"/>
          </w:tcPr>
          <w:p w14:paraId="1D93FB5C">
            <w:pPr>
              <w:spacing w:line="44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合同实际金额</w:t>
            </w:r>
          </w:p>
        </w:tc>
        <w:tc>
          <w:tcPr>
            <w:tcW w:w="851" w:type="dxa"/>
          </w:tcPr>
          <w:p w14:paraId="434909FE">
            <w:pPr>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rPr>
              <w:t>40</w:t>
            </w:r>
            <w:r>
              <w:rPr>
                <w:rFonts w:ascii="宋体" w:hAnsi="宋体"/>
                <w:bCs/>
                <w:color w:val="auto"/>
                <w:sz w:val="24"/>
                <w:szCs w:val="24"/>
                <w:highlight w:val="none"/>
              </w:rPr>
              <w:t>%</w:t>
            </w:r>
          </w:p>
        </w:tc>
        <w:tc>
          <w:tcPr>
            <w:tcW w:w="6095" w:type="dxa"/>
          </w:tcPr>
          <w:p w14:paraId="232F56E6">
            <w:pPr>
              <w:spacing w:line="44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每季度计付一次</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乙方提出支付申请并</w:t>
            </w:r>
            <w:r>
              <w:rPr>
                <w:rFonts w:ascii="宋体" w:hAnsi="宋体"/>
                <w:bCs/>
                <w:color w:val="auto"/>
                <w:sz w:val="24"/>
                <w:szCs w:val="24"/>
                <w:highlight w:val="none"/>
              </w:rPr>
              <w:t>经甲方审核后</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计算公式如下：</w:t>
            </w:r>
          </w:p>
          <w:p w14:paraId="5668B3CD">
            <w:pPr>
              <w:spacing w:line="440" w:lineRule="exact"/>
              <w:rPr>
                <w:rFonts w:hint="eastAsia" w:ascii="宋体" w:hAnsi="宋体"/>
                <w:b w:val="0"/>
                <w:bCs/>
                <w:color w:val="auto"/>
                <w:sz w:val="24"/>
                <w:szCs w:val="24"/>
                <w:highlight w:val="none"/>
              </w:rPr>
            </w:pPr>
            <w:r>
              <w:rPr>
                <w:rFonts w:hint="eastAsia" w:ascii="宋体" w:hAnsi="宋体"/>
                <w:b w:val="0"/>
                <w:bCs/>
                <w:color w:val="auto"/>
                <w:sz w:val="24"/>
                <w:szCs w:val="24"/>
                <w:highlight w:val="none"/>
                <w:lang w:val="en-US" w:eastAsia="zh-CN"/>
              </w:rPr>
              <w:t>每期支付咨询费</w:t>
            </w:r>
            <w:r>
              <w:rPr>
                <w:rFonts w:hint="eastAsia" w:ascii="宋体" w:hAnsi="宋体"/>
                <w:b w:val="0"/>
                <w:bCs/>
                <w:color w:val="auto"/>
                <w:sz w:val="24"/>
                <w:szCs w:val="24"/>
                <w:highlight w:val="none"/>
              </w:rPr>
              <w:t>＝合同实际金额×本期</w:t>
            </w:r>
            <w:r>
              <w:rPr>
                <w:rFonts w:hint="eastAsia" w:ascii="宋体" w:hAnsi="宋体"/>
                <w:b w:val="0"/>
                <w:bCs/>
                <w:color w:val="auto"/>
                <w:sz w:val="24"/>
                <w:szCs w:val="24"/>
                <w:highlight w:val="none"/>
                <w:lang w:val="en-US" w:eastAsia="zh-CN"/>
              </w:rPr>
              <w:t>EPC项目</w:t>
            </w:r>
            <w:r>
              <w:rPr>
                <w:rFonts w:hint="eastAsia" w:ascii="宋体" w:hAnsi="宋体"/>
                <w:b w:val="0"/>
                <w:bCs/>
                <w:color w:val="auto"/>
                <w:sz w:val="24"/>
                <w:szCs w:val="24"/>
                <w:highlight w:val="none"/>
              </w:rPr>
              <w:t>合同实际已支付</w:t>
            </w:r>
            <w:r>
              <w:rPr>
                <w:rFonts w:hint="eastAsia" w:ascii="宋体" w:hAnsi="宋体"/>
                <w:b w:val="0"/>
                <w:bCs/>
                <w:color w:val="auto"/>
                <w:sz w:val="24"/>
                <w:szCs w:val="24"/>
                <w:highlight w:val="none"/>
                <w:lang w:val="en-US" w:eastAsia="zh-CN"/>
              </w:rPr>
              <w:t>施工费</w:t>
            </w:r>
            <w:r>
              <w:rPr>
                <w:rFonts w:hint="eastAsia" w:ascii="宋体" w:hAnsi="宋体"/>
                <w:b w:val="0"/>
                <w:bCs/>
                <w:color w:val="auto"/>
                <w:sz w:val="24"/>
                <w:szCs w:val="24"/>
                <w:highlight w:val="none"/>
              </w:rPr>
              <w:t>总额/</w:t>
            </w:r>
            <w:r>
              <w:rPr>
                <w:rFonts w:hint="eastAsia" w:ascii="宋体" w:hAnsi="宋体"/>
                <w:b w:val="0"/>
                <w:bCs/>
                <w:color w:val="auto"/>
                <w:sz w:val="24"/>
                <w:szCs w:val="24"/>
                <w:highlight w:val="none"/>
                <w:lang w:val="en-US" w:eastAsia="zh-CN"/>
              </w:rPr>
              <w:t>EPC项目</w:t>
            </w:r>
            <w:r>
              <w:rPr>
                <w:rFonts w:hint="eastAsia" w:ascii="宋体" w:hAnsi="宋体"/>
                <w:b w:val="0"/>
                <w:bCs/>
                <w:color w:val="auto"/>
                <w:sz w:val="24"/>
                <w:szCs w:val="24"/>
                <w:highlight w:val="none"/>
              </w:rPr>
              <w:t>合同施工费</w:t>
            </w:r>
            <w:r>
              <w:rPr>
                <w:rFonts w:hint="eastAsia" w:ascii="宋体" w:hAnsi="宋体"/>
                <w:b w:val="0"/>
                <w:bCs/>
                <w:color w:val="auto"/>
                <w:sz w:val="24"/>
                <w:szCs w:val="24"/>
                <w:highlight w:val="none"/>
                <w:lang w:val="en-US" w:eastAsia="zh-CN"/>
              </w:rPr>
              <w:t>总额</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40</w:t>
            </w:r>
            <w:r>
              <w:rPr>
                <w:rFonts w:hint="eastAsia" w:ascii="宋体" w:hAnsi="宋体"/>
                <w:b w:val="0"/>
                <w:bCs/>
                <w:color w:val="auto"/>
                <w:sz w:val="24"/>
                <w:szCs w:val="24"/>
                <w:highlight w:val="none"/>
              </w:rPr>
              <w:t>%。</w:t>
            </w:r>
          </w:p>
          <w:p w14:paraId="41B1927F">
            <w:pPr>
              <w:spacing w:line="440" w:lineRule="exact"/>
              <w:rPr>
                <w:rFonts w:hint="default" w:eastAsia="宋体"/>
                <w:color w:val="auto"/>
                <w:highlight w:val="none"/>
                <w:lang w:val="en-US" w:eastAsia="zh-CN"/>
              </w:rPr>
            </w:pPr>
            <w:r>
              <w:rPr>
                <w:rFonts w:hint="eastAsia" w:ascii="宋体" w:hAnsi="宋体"/>
                <w:bCs/>
                <w:color w:val="auto"/>
                <w:sz w:val="24"/>
                <w:szCs w:val="24"/>
                <w:highlight w:val="none"/>
              </w:rPr>
              <w:t>EPC项目补充合同</w:t>
            </w:r>
            <w:r>
              <w:rPr>
                <w:rFonts w:hint="eastAsia" w:ascii="宋体" w:hAnsi="宋体"/>
                <w:b w:val="0"/>
                <w:bCs/>
                <w:color w:val="auto"/>
                <w:sz w:val="24"/>
                <w:szCs w:val="24"/>
                <w:highlight w:val="none"/>
                <w:lang w:val="en-US" w:eastAsia="zh-CN"/>
              </w:rPr>
              <w:t>签订后，按</w:t>
            </w:r>
            <w:r>
              <w:rPr>
                <w:rFonts w:hint="eastAsia" w:ascii="宋体" w:hAnsi="宋体"/>
                <w:bCs/>
                <w:color w:val="auto"/>
                <w:sz w:val="24"/>
                <w:szCs w:val="24"/>
                <w:highlight w:val="none"/>
              </w:rPr>
              <w:t>补充合同</w:t>
            </w:r>
            <w:r>
              <w:rPr>
                <w:rFonts w:hint="eastAsia" w:ascii="宋体" w:hAnsi="宋体"/>
                <w:bCs/>
                <w:color w:val="auto"/>
                <w:sz w:val="24"/>
                <w:szCs w:val="24"/>
                <w:highlight w:val="none"/>
                <w:lang w:val="en-US" w:eastAsia="zh-CN"/>
              </w:rPr>
              <w:t>签订金额调整</w:t>
            </w:r>
            <w:r>
              <w:rPr>
                <w:rFonts w:hint="eastAsia" w:ascii="宋体" w:hAnsi="宋体"/>
                <w:b w:val="0"/>
                <w:bCs/>
                <w:color w:val="auto"/>
                <w:sz w:val="24"/>
                <w:szCs w:val="24"/>
                <w:highlight w:val="none"/>
                <w:lang w:val="en-US" w:eastAsia="zh-CN"/>
              </w:rPr>
              <w:t>相应占比</w:t>
            </w:r>
            <w:r>
              <w:rPr>
                <w:rFonts w:hint="eastAsia" w:ascii="宋体" w:hAnsi="宋体"/>
                <w:bCs/>
                <w:color w:val="auto"/>
                <w:sz w:val="24"/>
                <w:szCs w:val="24"/>
                <w:highlight w:val="none"/>
                <w:lang w:val="en-US" w:eastAsia="zh-CN"/>
              </w:rPr>
              <w:t>并支付。</w:t>
            </w:r>
            <w:r>
              <w:rPr>
                <w:rFonts w:hint="eastAsia" w:ascii="宋体" w:hAnsi="宋体"/>
                <w:bCs/>
                <w:color w:val="auto"/>
                <w:sz w:val="24"/>
                <w:szCs w:val="24"/>
                <w:highlight w:val="none"/>
              </w:rPr>
              <w:t>（第</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3、4、5工作阶段的</w:t>
            </w:r>
            <w:r>
              <w:rPr>
                <w:rFonts w:hint="eastAsia" w:ascii="宋体" w:hAnsi="宋体"/>
                <w:bCs/>
                <w:color w:val="auto"/>
                <w:sz w:val="24"/>
                <w:szCs w:val="24"/>
                <w:highlight w:val="none"/>
              </w:rPr>
              <w:t>付款次序，根据实际完成时序进行支付）</w:t>
            </w:r>
          </w:p>
        </w:tc>
      </w:tr>
      <w:tr w14:paraId="4AF3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20EF2F">
            <w:pPr>
              <w:spacing w:line="44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6</w:t>
            </w:r>
          </w:p>
        </w:tc>
        <w:tc>
          <w:tcPr>
            <w:tcW w:w="1276" w:type="dxa"/>
          </w:tcPr>
          <w:p w14:paraId="3066DDCE">
            <w:pPr>
              <w:spacing w:line="440" w:lineRule="exact"/>
              <w:rPr>
                <w:rFonts w:ascii="宋体" w:hAnsi="宋体"/>
                <w:bCs/>
                <w:color w:val="auto"/>
                <w:sz w:val="24"/>
                <w:szCs w:val="24"/>
                <w:highlight w:val="none"/>
              </w:rPr>
            </w:pPr>
            <w:r>
              <w:rPr>
                <w:rFonts w:hint="eastAsia" w:ascii="宋体" w:hAnsi="宋体"/>
                <w:bCs/>
                <w:color w:val="auto"/>
                <w:sz w:val="24"/>
                <w:szCs w:val="24"/>
                <w:highlight w:val="none"/>
              </w:rPr>
              <w:t>结算阶段</w:t>
            </w:r>
          </w:p>
        </w:tc>
        <w:tc>
          <w:tcPr>
            <w:tcW w:w="851" w:type="dxa"/>
          </w:tcPr>
          <w:p w14:paraId="13332E3A">
            <w:pPr>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合同实际金额</w:t>
            </w:r>
          </w:p>
        </w:tc>
        <w:tc>
          <w:tcPr>
            <w:tcW w:w="851" w:type="dxa"/>
          </w:tcPr>
          <w:p w14:paraId="08990CD8">
            <w:pPr>
              <w:spacing w:line="440" w:lineRule="exact"/>
              <w:jc w:val="center"/>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7</w:t>
            </w:r>
            <w:r>
              <w:rPr>
                <w:rFonts w:ascii="宋体" w:hAnsi="宋体"/>
                <w:bCs/>
                <w:color w:val="auto"/>
                <w:sz w:val="24"/>
                <w:szCs w:val="24"/>
                <w:highlight w:val="none"/>
              </w:rPr>
              <w:t>%</w:t>
            </w:r>
          </w:p>
        </w:tc>
        <w:tc>
          <w:tcPr>
            <w:tcW w:w="6095" w:type="dxa"/>
          </w:tcPr>
          <w:p w14:paraId="059F7D2D">
            <w:pPr>
              <w:spacing w:line="440" w:lineRule="exact"/>
              <w:rPr>
                <w:color w:val="auto"/>
                <w:highlight w:val="none"/>
              </w:rPr>
            </w:pPr>
            <w:r>
              <w:rPr>
                <w:rFonts w:hint="eastAsia" w:ascii="宋体" w:hAnsi="宋体"/>
                <w:bCs/>
                <w:color w:val="auto"/>
                <w:sz w:val="24"/>
                <w:szCs w:val="24"/>
                <w:highlight w:val="none"/>
                <w:lang w:val="en-US" w:eastAsia="zh-CN"/>
              </w:rPr>
              <w:t>以本项目各个合同（施工类及服务类）结算终审完成情况及金额占比，按季度支付相应合同款项。</w:t>
            </w:r>
            <w:r>
              <w:rPr>
                <w:rFonts w:hint="eastAsia" w:ascii="宋体" w:hAnsi="宋体"/>
                <w:bCs/>
                <w:color w:val="auto"/>
                <w:sz w:val="24"/>
                <w:szCs w:val="24"/>
                <w:highlight w:val="none"/>
              </w:rPr>
              <w:t>乙方提出支付申请并</w:t>
            </w:r>
            <w:r>
              <w:rPr>
                <w:rFonts w:ascii="宋体" w:hAnsi="宋体"/>
                <w:bCs/>
                <w:color w:val="auto"/>
                <w:sz w:val="24"/>
                <w:szCs w:val="24"/>
                <w:highlight w:val="none"/>
              </w:rPr>
              <w:t>经甲方审核后</w:t>
            </w:r>
            <w:r>
              <w:rPr>
                <w:rFonts w:hint="eastAsia" w:ascii="宋体" w:hAnsi="宋体"/>
                <w:bCs/>
                <w:color w:val="auto"/>
                <w:sz w:val="24"/>
                <w:szCs w:val="24"/>
                <w:highlight w:val="none"/>
                <w:lang w:val="en-US" w:eastAsia="zh-CN"/>
              </w:rPr>
              <w:t>。</w:t>
            </w:r>
          </w:p>
        </w:tc>
      </w:tr>
      <w:tr w14:paraId="4F3D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A4B294">
            <w:pPr>
              <w:spacing w:line="44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7</w:t>
            </w:r>
          </w:p>
        </w:tc>
        <w:tc>
          <w:tcPr>
            <w:tcW w:w="1276" w:type="dxa"/>
          </w:tcPr>
          <w:p w14:paraId="41AF955B">
            <w:pPr>
              <w:spacing w:line="440" w:lineRule="exact"/>
              <w:rPr>
                <w:rFonts w:ascii="宋体" w:hAnsi="宋体"/>
                <w:bCs/>
                <w:color w:val="auto"/>
                <w:sz w:val="24"/>
                <w:szCs w:val="24"/>
                <w:highlight w:val="none"/>
              </w:rPr>
            </w:pPr>
            <w:r>
              <w:rPr>
                <w:rFonts w:hint="eastAsia" w:ascii="宋体" w:hAnsi="宋体"/>
                <w:bCs/>
                <w:color w:val="auto"/>
                <w:sz w:val="24"/>
                <w:szCs w:val="24"/>
                <w:highlight w:val="none"/>
              </w:rPr>
              <w:t>尾款</w:t>
            </w:r>
          </w:p>
        </w:tc>
        <w:tc>
          <w:tcPr>
            <w:tcW w:w="851" w:type="dxa"/>
          </w:tcPr>
          <w:p w14:paraId="306107C0">
            <w:pPr>
              <w:spacing w:line="44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合同终审金额</w:t>
            </w:r>
          </w:p>
        </w:tc>
        <w:tc>
          <w:tcPr>
            <w:tcW w:w="851" w:type="dxa"/>
          </w:tcPr>
          <w:p w14:paraId="4404839A">
            <w:pPr>
              <w:spacing w:line="440" w:lineRule="exact"/>
              <w:jc w:val="center"/>
              <w:rPr>
                <w:rFonts w:ascii="宋体" w:hAnsi="宋体"/>
                <w:bCs/>
                <w:color w:val="auto"/>
                <w:sz w:val="24"/>
                <w:szCs w:val="24"/>
                <w:highlight w:val="none"/>
              </w:rPr>
            </w:pPr>
          </w:p>
        </w:tc>
        <w:tc>
          <w:tcPr>
            <w:tcW w:w="6095" w:type="dxa"/>
          </w:tcPr>
          <w:p w14:paraId="71F67657">
            <w:pPr>
              <w:spacing w:line="440" w:lineRule="exact"/>
              <w:rPr>
                <w:rFonts w:ascii="宋体" w:hAnsi="宋体"/>
                <w:bCs/>
                <w:color w:val="auto"/>
                <w:sz w:val="24"/>
                <w:szCs w:val="24"/>
                <w:highlight w:val="none"/>
              </w:rPr>
            </w:pPr>
            <w:r>
              <w:rPr>
                <w:rFonts w:hint="eastAsia" w:ascii="宋体" w:hAnsi="宋体"/>
                <w:bCs/>
                <w:color w:val="auto"/>
                <w:sz w:val="24"/>
                <w:szCs w:val="24"/>
                <w:highlight w:val="none"/>
              </w:rPr>
              <w:t>本合同结算经有权审核部门审定并获得结算批复文件后</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根据结算终审金额，一次性支付合同尾款。</w:t>
            </w:r>
            <w:r>
              <w:rPr>
                <w:rFonts w:hint="eastAsia" w:ascii="宋体" w:hAnsi="宋体"/>
                <w:bCs/>
                <w:color w:val="auto"/>
                <w:sz w:val="24"/>
                <w:szCs w:val="24"/>
                <w:highlight w:val="none"/>
              </w:rPr>
              <w:t>乙方提出支付申请并</w:t>
            </w:r>
            <w:r>
              <w:rPr>
                <w:rFonts w:ascii="宋体" w:hAnsi="宋体"/>
                <w:bCs/>
                <w:color w:val="auto"/>
                <w:sz w:val="24"/>
                <w:szCs w:val="24"/>
                <w:highlight w:val="none"/>
              </w:rPr>
              <w:t>经甲方审核后</w:t>
            </w:r>
            <w:r>
              <w:rPr>
                <w:rFonts w:hint="eastAsia" w:ascii="宋体" w:hAnsi="宋体"/>
                <w:bCs/>
                <w:color w:val="auto"/>
                <w:sz w:val="24"/>
                <w:szCs w:val="24"/>
                <w:highlight w:val="none"/>
              </w:rPr>
              <w:t>。</w:t>
            </w:r>
          </w:p>
        </w:tc>
      </w:tr>
    </w:tbl>
    <w:p w14:paraId="206AF545">
      <w:pPr>
        <w:spacing w:line="440" w:lineRule="exact"/>
        <w:ind w:firstLine="480" w:firstLineChars="200"/>
        <w:rPr>
          <w:rFonts w:hint="eastAsia" w:ascii="宋体" w:hAnsi="宋体" w:eastAsia="宋体"/>
          <w:snapToGrid w:val="0"/>
          <w:color w:val="auto"/>
          <w:sz w:val="24"/>
          <w:szCs w:val="24"/>
          <w:highlight w:val="none"/>
          <w:lang w:eastAsia="zh-CN"/>
        </w:rPr>
      </w:pPr>
      <w:r>
        <w:rPr>
          <w:rFonts w:ascii="宋体" w:hAnsi="宋体"/>
          <w:snapToGrid w:val="0"/>
          <w:color w:val="auto"/>
          <w:sz w:val="24"/>
          <w:szCs w:val="24"/>
          <w:highlight w:val="none"/>
        </w:rPr>
        <w:t>26</w:t>
      </w:r>
      <w:r>
        <w:rPr>
          <w:rFonts w:hint="eastAsia" w:ascii="宋体" w:hAnsi="宋体"/>
          <w:snapToGrid w:val="0"/>
          <w:color w:val="auto"/>
          <w:sz w:val="24"/>
          <w:szCs w:val="24"/>
          <w:highlight w:val="none"/>
        </w:rPr>
        <w:t>.4甲方付款前，乙方须提供合法有效、相应金额、相应内容的增值税</w:t>
      </w:r>
      <w:r>
        <w:rPr>
          <w:rFonts w:hint="eastAsia" w:ascii="宋体" w:hAnsi="宋体"/>
          <w:snapToGrid w:val="0"/>
          <w:color w:val="auto"/>
          <w:sz w:val="24"/>
          <w:szCs w:val="24"/>
          <w:highlight w:val="none"/>
          <w:lang w:val="en-US" w:eastAsia="zh-CN"/>
        </w:rPr>
        <w:t>专用</w:t>
      </w:r>
      <w:r>
        <w:rPr>
          <w:rFonts w:hint="eastAsia" w:ascii="宋体" w:hAnsi="宋体"/>
          <w:snapToGrid w:val="0"/>
          <w:color w:val="auto"/>
          <w:sz w:val="24"/>
          <w:szCs w:val="24"/>
          <w:highlight w:val="none"/>
        </w:rPr>
        <w:t>发票，发票抬头应填写甲方单位名称。因乙方未及时提供发票等原因致使甲方逾期付</w:t>
      </w:r>
      <w:bookmarkStart w:id="6" w:name="_GoBack"/>
      <w:bookmarkEnd w:id="6"/>
      <w:r>
        <w:rPr>
          <w:rFonts w:hint="eastAsia" w:ascii="宋体" w:hAnsi="宋体"/>
          <w:snapToGrid w:val="0"/>
          <w:color w:val="auto"/>
          <w:sz w:val="24"/>
          <w:szCs w:val="24"/>
          <w:highlight w:val="none"/>
        </w:rPr>
        <w:t>款的，责任由乙方承担；乙方未提供发票给甲方的，甲方可以顺延付款日期。</w:t>
      </w:r>
    </w:p>
    <w:p w14:paraId="15D1C7AB">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26.5支付附加服务酬金：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9123B72">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26.6支付额外服务酬金：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EE87FCA">
      <w:pPr>
        <w:spacing w:line="440" w:lineRule="exact"/>
        <w:ind w:firstLine="480" w:firstLineChars="200"/>
        <w:rPr>
          <w:rFonts w:ascii="宋体" w:hAnsi="宋体"/>
          <w:color w:val="auto"/>
          <w:sz w:val="24"/>
          <w:szCs w:val="24"/>
          <w:highlight w:val="none"/>
        </w:rPr>
      </w:pPr>
    </w:p>
    <w:p w14:paraId="35FAB609">
      <w:pPr>
        <w:spacing w:line="44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第三十四条  工程造价咨询成果</w:t>
      </w:r>
      <w:r>
        <w:rPr>
          <w:rFonts w:hint="eastAsia" w:ascii="宋体" w:hAnsi="宋体"/>
          <w:b/>
          <w:color w:val="auto"/>
          <w:sz w:val="24"/>
          <w:szCs w:val="24"/>
          <w:highlight w:val="none"/>
          <w:lang w:val="en-US" w:eastAsia="zh-CN"/>
        </w:rPr>
        <w:t>文件</w:t>
      </w:r>
      <w:r>
        <w:rPr>
          <w:rFonts w:hint="eastAsia" w:ascii="宋体" w:hAnsi="宋体"/>
          <w:b/>
          <w:color w:val="auto"/>
          <w:sz w:val="24"/>
          <w:szCs w:val="24"/>
          <w:highlight w:val="none"/>
        </w:rPr>
        <w:t>质量标准。</w:t>
      </w:r>
    </w:p>
    <w:p w14:paraId="04C6AFA3">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乙方必须按国家、省、市有关规定开展造价咨询工作，认真、准确、及时地提交</w:t>
      </w:r>
      <w:r>
        <w:rPr>
          <w:rFonts w:ascii="宋体" w:hAnsi="宋体"/>
          <w:color w:val="auto"/>
          <w:kern w:val="0"/>
          <w:sz w:val="24"/>
          <w:szCs w:val="24"/>
          <w:highlight w:val="none"/>
        </w:rPr>
        <w:t>工程造价</w:t>
      </w:r>
      <w:r>
        <w:rPr>
          <w:rFonts w:hint="eastAsia" w:ascii="宋体" w:hAnsi="宋体"/>
          <w:color w:val="auto"/>
          <w:sz w:val="24"/>
          <w:szCs w:val="24"/>
          <w:highlight w:val="none"/>
        </w:rPr>
        <w:t>咨询成果文件，具体质量要求如下：</w:t>
      </w:r>
    </w:p>
    <w:p w14:paraId="1E15835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34.1根据咨询任务的情况，提出必要的要求和建议。如列出所缺资料的清单等。</w:t>
      </w:r>
    </w:p>
    <w:p w14:paraId="7F3BEF93">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34.2根据咨询任务的性质，主动配合甲方，积极与工作相关的单位联系，取得有关数据、资料等，并将所得结果报甲方。</w:t>
      </w:r>
    </w:p>
    <w:p w14:paraId="7C0B4677">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34.3根据咨询任务的期限，及时向甲方提供工作计划</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包括各专业的人员配置情况和各专业完成阶段性工作的时间节点。</w:t>
      </w:r>
    </w:p>
    <w:p w14:paraId="2066F71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34.4乙方应对施工图预算、招标工程量清单及招标控制价的准确性负责。</w:t>
      </w:r>
    </w:p>
    <w:p w14:paraId="008B227D">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34.5乙方应对施工过程造价控制（工程量及进度款审核、工程变更的预算审核、签证文件及费用审核、新增综合单价预算审核等）及工程结算初步审核的准确性负责。</w:t>
      </w:r>
    </w:p>
    <w:p w14:paraId="634E77A0">
      <w:pPr>
        <w:spacing w:line="440" w:lineRule="exact"/>
        <w:ind w:firstLine="480" w:firstLineChars="200"/>
        <w:rPr>
          <w:rFonts w:ascii="宋体" w:hAnsi="宋体"/>
          <w:color w:val="auto"/>
          <w:sz w:val="24"/>
          <w:szCs w:val="24"/>
          <w:highlight w:val="none"/>
        </w:rPr>
      </w:pPr>
    </w:p>
    <w:p w14:paraId="5A8F7AEB">
      <w:pPr>
        <w:pStyle w:val="5"/>
        <w:spacing w:line="44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第三十五条  造价咨询成果及费用支付。</w:t>
      </w:r>
    </w:p>
    <w:p w14:paraId="444BC81D">
      <w:pPr>
        <w:pStyle w:val="5"/>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35.1</w:t>
      </w:r>
      <w:r>
        <w:rPr>
          <w:rFonts w:ascii="宋体" w:hAnsi="宋体"/>
          <w:color w:val="auto"/>
          <w:kern w:val="0"/>
          <w:sz w:val="24"/>
          <w:szCs w:val="24"/>
          <w:highlight w:val="none"/>
        </w:rPr>
        <w:t>乙方应</w:t>
      </w:r>
      <w:r>
        <w:rPr>
          <w:rFonts w:hint="eastAsia" w:ascii="宋体" w:hAnsi="宋体"/>
          <w:color w:val="auto"/>
          <w:kern w:val="0"/>
          <w:sz w:val="24"/>
          <w:szCs w:val="24"/>
          <w:highlight w:val="none"/>
        </w:rPr>
        <w:t>按专用条款第六条</w:t>
      </w:r>
      <w:r>
        <w:rPr>
          <w:rFonts w:ascii="宋体" w:hAnsi="宋体"/>
          <w:color w:val="auto"/>
          <w:kern w:val="0"/>
          <w:sz w:val="24"/>
          <w:szCs w:val="24"/>
          <w:highlight w:val="none"/>
        </w:rPr>
        <w:t>将工程造价咨询成果</w:t>
      </w:r>
      <w:r>
        <w:rPr>
          <w:rFonts w:hint="eastAsia" w:ascii="宋体" w:hAnsi="宋体"/>
          <w:color w:val="auto"/>
          <w:kern w:val="0"/>
          <w:sz w:val="24"/>
          <w:szCs w:val="24"/>
          <w:highlight w:val="none"/>
          <w:lang w:val="en-US" w:eastAsia="zh-CN"/>
        </w:rPr>
        <w:t>文件</w:t>
      </w:r>
      <w:r>
        <w:rPr>
          <w:rFonts w:ascii="宋体" w:hAnsi="宋体"/>
          <w:color w:val="auto"/>
          <w:kern w:val="0"/>
          <w:sz w:val="24"/>
          <w:szCs w:val="24"/>
          <w:highlight w:val="none"/>
        </w:rPr>
        <w:t>交付甲方。</w:t>
      </w:r>
    </w:p>
    <w:p w14:paraId="1BD4FE0B">
      <w:pPr>
        <w:pStyle w:val="5"/>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35.2无论因何原因造成的</w:t>
      </w:r>
      <w:r>
        <w:rPr>
          <w:rFonts w:hint="eastAsia" w:ascii="宋体" w:hAnsi="宋体"/>
          <w:color w:val="auto"/>
          <w:sz w:val="24"/>
          <w:szCs w:val="24"/>
          <w:highlight w:val="none"/>
          <w:lang w:val="en-US" w:eastAsia="zh-CN"/>
        </w:rPr>
        <w:t>项目变化</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乙方要无条件</w:t>
      </w:r>
      <w:r>
        <w:rPr>
          <w:rFonts w:hint="eastAsia" w:ascii="宋体" w:hAnsi="宋体"/>
          <w:color w:val="auto"/>
          <w:sz w:val="24"/>
          <w:szCs w:val="24"/>
          <w:highlight w:val="none"/>
          <w:lang w:val="en-US" w:eastAsia="zh-CN"/>
        </w:rPr>
        <w:t>配合甲方开展相关造价审核工作</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甲方均不再</w:t>
      </w:r>
      <w:r>
        <w:rPr>
          <w:rFonts w:hint="eastAsia" w:ascii="宋体" w:hAnsi="宋体"/>
          <w:color w:val="auto"/>
          <w:sz w:val="24"/>
          <w:szCs w:val="24"/>
          <w:highlight w:val="none"/>
          <w:lang w:val="en-US" w:eastAsia="zh-CN"/>
        </w:rPr>
        <w:t>另行</w:t>
      </w:r>
      <w:r>
        <w:rPr>
          <w:rFonts w:hint="eastAsia" w:ascii="宋体" w:hAnsi="宋体"/>
          <w:color w:val="auto"/>
          <w:sz w:val="24"/>
          <w:szCs w:val="24"/>
          <w:highlight w:val="none"/>
        </w:rPr>
        <w:t>支付任何费用。</w:t>
      </w:r>
    </w:p>
    <w:p w14:paraId="3F6501D8">
      <w:pPr>
        <w:pStyle w:val="32"/>
        <w:widowControl/>
        <w:tabs>
          <w:tab w:val="left" w:pos="1276"/>
        </w:tabs>
        <w:adjustRightInd w:val="0"/>
        <w:snapToGrid w:val="0"/>
        <w:spacing w:before="312" w:beforeLines="100" w:after="312" w:afterLines="100" w:line="440" w:lineRule="exact"/>
        <w:ind w:firstLine="482"/>
        <w:jc w:val="left"/>
        <w:rPr>
          <w:rFonts w:ascii="宋体" w:hAnsi="宋体"/>
          <w:color w:val="auto"/>
          <w:kern w:val="0"/>
          <w:sz w:val="24"/>
          <w:szCs w:val="24"/>
          <w:highlight w:val="none"/>
        </w:rPr>
      </w:pPr>
      <w:r>
        <w:rPr>
          <w:rFonts w:hint="eastAsia" w:ascii="宋体" w:hAnsi="宋体"/>
          <w:b/>
          <w:color w:val="auto"/>
          <w:kern w:val="0"/>
          <w:sz w:val="24"/>
          <w:szCs w:val="24"/>
          <w:highlight w:val="none"/>
        </w:rPr>
        <w:t>第三十七条</w:t>
      </w:r>
      <w:r>
        <w:rPr>
          <w:rFonts w:hint="eastAsia" w:ascii="宋体" w:hAnsi="宋体"/>
          <w:color w:val="auto"/>
          <w:kern w:val="0"/>
          <w:sz w:val="24"/>
          <w:szCs w:val="24"/>
          <w:highlight w:val="none"/>
        </w:rPr>
        <w:t xml:space="preserve">  </w:t>
      </w:r>
      <w:r>
        <w:rPr>
          <w:rFonts w:ascii="宋体" w:hAnsi="宋体"/>
          <w:color w:val="auto"/>
          <w:kern w:val="0"/>
          <w:sz w:val="24"/>
          <w:szCs w:val="24"/>
          <w:highlight w:val="none"/>
        </w:rPr>
        <w:t>建设工程造价咨询合同在履行过程中发生争议，甲方与乙方应及时协商解决；如未能达成一致，可提交有关主管部门调解；协商或调解不成的，依法向</w:t>
      </w:r>
      <w:r>
        <w:rPr>
          <w:rFonts w:hint="eastAsia" w:ascii="宋体" w:hAnsi="宋体"/>
          <w:color w:val="auto"/>
          <w:sz w:val="24"/>
          <w:szCs w:val="24"/>
          <w:highlight w:val="none"/>
        </w:rPr>
        <w:t>项目</w:t>
      </w:r>
      <w:r>
        <w:rPr>
          <w:rFonts w:ascii="宋体" w:hAnsi="宋体"/>
          <w:color w:val="auto"/>
          <w:sz w:val="24"/>
          <w:szCs w:val="24"/>
          <w:highlight w:val="none"/>
        </w:rPr>
        <w:t>所在地</w:t>
      </w:r>
      <w:r>
        <w:rPr>
          <w:rFonts w:ascii="宋体" w:hAnsi="宋体"/>
          <w:color w:val="auto"/>
          <w:kern w:val="0"/>
          <w:sz w:val="24"/>
          <w:szCs w:val="24"/>
          <w:highlight w:val="none"/>
        </w:rPr>
        <w:t>人民法院起诉。</w:t>
      </w:r>
    </w:p>
    <w:p w14:paraId="0F2393C9">
      <w:pPr>
        <w:pStyle w:val="32"/>
        <w:widowControl/>
        <w:numPr>
          <w:ilvl w:val="-1"/>
          <w:numId w:val="0"/>
        </w:numPr>
        <w:tabs>
          <w:tab w:val="left" w:pos="1276"/>
        </w:tabs>
        <w:adjustRightInd w:val="0"/>
        <w:snapToGrid w:val="0"/>
        <w:spacing w:before="312" w:beforeLines="100" w:after="312" w:afterLines="100" w:line="440" w:lineRule="exact"/>
        <w:ind w:firstLine="480" w:firstLineChars="0"/>
        <w:jc w:val="left"/>
        <w:rPr>
          <w:rFonts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中标通知书</w:t>
      </w:r>
    </w:p>
    <w:p w14:paraId="52EB9C1A">
      <w:pPr>
        <w:pStyle w:val="32"/>
        <w:widowControl/>
        <w:numPr>
          <w:ilvl w:val="0"/>
          <w:numId w:val="0"/>
        </w:numPr>
        <w:tabs>
          <w:tab w:val="left" w:pos="1276"/>
        </w:tabs>
        <w:adjustRightInd w:val="0"/>
        <w:snapToGrid w:val="0"/>
        <w:spacing w:before="0" w:beforeLines="0" w:after="0" w:afterLines="0" w:line="240" w:lineRule="auto"/>
        <w:ind w:firstLine="1200" w:firstLineChars="500"/>
        <w:jc w:val="left"/>
        <w:rPr>
          <w:rFonts w:ascii="宋体" w:hAnsi="宋体"/>
          <w:color w:val="auto"/>
          <w:sz w:val="24"/>
          <w:szCs w:val="24"/>
          <w:highlight w:val="none"/>
        </w:rPr>
      </w:pPr>
      <w:r>
        <w:rPr>
          <w:rFonts w:hint="eastAsia" w:ascii="宋体" w:hAnsi="宋体" w:cs="Times New Roman"/>
          <w:color w:val="auto"/>
          <w:kern w:val="2"/>
          <w:sz w:val="24"/>
          <w:szCs w:val="24"/>
          <w:highlight w:val="none"/>
          <w:lang w:val="en-US" w:eastAsia="zh-CN" w:bidi="ar-SA"/>
        </w:rPr>
        <w:t>2、</w:t>
      </w:r>
      <w:r>
        <w:rPr>
          <w:rFonts w:hint="eastAsia" w:ascii="宋体" w:hAnsi="宋体"/>
          <w:color w:val="auto"/>
          <w:sz w:val="24"/>
          <w:szCs w:val="24"/>
          <w:highlight w:val="none"/>
        </w:rPr>
        <w:t>廉洁协议书</w:t>
      </w:r>
    </w:p>
    <w:p w14:paraId="1B83B7A3">
      <w:pPr>
        <w:pStyle w:val="32"/>
        <w:widowControl/>
        <w:numPr>
          <w:ilvl w:val="0"/>
          <w:numId w:val="0"/>
        </w:numPr>
        <w:tabs>
          <w:tab w:val="left" w:pos="1276"/>
        </w:tabs>
        <w:adjustRightInd w:val="0"/>
        <w:snapToGrid w:val="0"/>
        <w:spacing w:before="312" w:beforeLines="100" w:after="312" w:afterLines="100" w:line="440" w:lineRule="exact"/>
        <w:ind w:firstLine="1200" w:firstLineChars="500"/>
        <w:jc w:val="left"/>
        <w:rPr>
          <w:rFonts w:ascii="宋体" w:hAnsi="宋体"/>
          <w:color w:val="auto"/>
          <w:sz w:val="24"/>
          <w:szCs w:val="24"/>
          <w:highlight w:val="none"/>
        </w:rPr>
      </w:pPr>
      <w:r>
        <w:rPr>
          <w:rFonts w:hint="eastAsia" w:ascii="宋体" w:hAnsi="宋体" w:cs="Times New Roman"/>
          <w:color w:val="auto"/>
          <w:kern w:val="2"/>
          <w:sz w:val="24"/>
          <w:szCs w:val="24"/>
          <w:highlight w:val="none"/>
          <w:lang w:val="en-US" w:eastAsia="zh-CN" w:bidi="ar-SA"/>
        </w:rPr>
        <w:t>3、</w:t>
      </w:r>
      <w:r>
        <w:rPr>
          <w:rFonts w:hint="eastAsia" w:ascii="宋体" w:hAnsi="宋体"/>
          <w:color w:val="auto"/>
          <w:sz w:val="24"/>
          <w:szCs w:val="24"/>
          <w:highlight w:val="none"/>
        </w:rPr>
        <w:t>保密协议</w:t>
      </w:r>
    </w:p>
    <w:p w14:paraId="7570D122">
      <w:pPr>
        <w:pStyle w:val="32"/>
        <w:widowControl/>
        <w:numPr>
          <w:ilvl w:val="0"/>
          <w:numId w:val="0"/>
        </w:numPr>
        <w:tabs>
          <w:tab w:val="left" w:pos="1276"/>
        </w:tabs>
        <w:adjustRightInd w:val="0"/>
        <w:snapToGrid w:val="0"/>
        <w:spacing w:before="312" w:beforeLines="100" w:after="312" w:afterLines="100" w:line="440" w:lineRule="exact"/>
        <w:ind w:firstLine="1200" w:firstLineChars="500"/>
        <w:jc w:val="lef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投标报价表</w:t>
      </w:r>
    </w:p>
    <w:p w14:paraId="1442CC28">
      <w:pPr>
        <w:pStyle w:val="32"/>
        <w:widowControl/>
        <w:numPr>
          <w:ilvl w:val="0"/>
          <w:numId w:val="0"/>
        </w:numPr>
        <w:tabs>
          <w:tab w:val="left" w:pos="1276"/>
        </w:tabs>
        <w:adjustRightInd w:val="0"/>
        <w:snapToGrid w:val="0"/>
        <w:spacing w:before="312" w:beforeLines="100" w:after="312" w:afterLines="100" w:line="440" w:lineRule="exact"/>
        <w:ind w:firstLine="1200" w:firstLineChars="500"/>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拟投入本项目造价人员一览表</w:t>
      </w:r>
    </w:p>
    <w:p w14:paraId="45536FAD">
      <w:pPr>
        <w:pStyle w:val="32"/>
        <w:widowControl/>
        <w:tabs>
          <w:tab w:val="left" w:pos="1276"/>
        </w:tabs>
        <w:adjustRightInd w:val="0"/>
        <w:snapToGrid w:val="0"/>
        <w:spacing w:before="312" w:beforeLines="100" w:after="312" w:afterLines="100"/>
        <w:ind w:firstLine="480"/>
        <w:jc w:val="left"/>
        <w:rPr>
          <w:rFonts w:ascii="宋体" w:hAnsi="宋体"/>
          <w:color w:val="auto"/>
          <w:sz w:val="24"/>
          <w:szCs w:val="24"/>
          <w:highlight w:val="none"/>
        </w:rPr>
      </w:pPr>
      <w:r>
        <w:rPr>
          <w:rFonts w:hint="eastAsia" w:ascii="宋体" w:hAnsi="宋体"/>
          <w:color w:val="auto"/>
          <w:sz w:val="24"/>
          <w:szCs w:val="24"/>
          <w:highlight w:val="none"/>
        </w:rPr>
        <w:t>（本页</w:t>
      </w:r>
      <w:r>
        <w:rPr>
          <w:rFonts w:ascii="宋体" w:hAnsi="宋体"/>
          <w:color w:val="auto"/>
          <w:sz w:val="24"/>
          <w:szCs w:val="24"/>
          <w:highlight w:val="none"/>
        </w:rPr>
        <w:t>以下无正文</w:t>
      </w:r>
      <w:r>
        <w:rPr>
          <w:rFonts w:hint="eastAsia" w:ascii="宋体" w:hAnsi="宋体"/>
          <w:color w:val="auto"/>
          <w:sz w:val="24"/>
          <w:szCs w:val="24"/>
          <w:highlight w:val="none"/>
        </w:rPr>
        <w:t>）</w:t>
      </w:r>
    </w:p>
    <w:p w14:paraId="1A98551B">
      <w:pPr>
        <w:spacing w:line="400" w:lineRule="exact"/>
        <w:ind w:left="141" w:leftChars="67" w:firstLine="660" w:firstLineChars="236"/>
        <w:rPr>
          <w:rFonts w:ascii="宋体" w:hAnsi="宋体" w:cs="仿宋"/>
          <w:color w:val="auto"/>
          <w:sz w:val="24"/>
          <w:szCs w:val="24"/>
          <w:highlight w:val="none"/>
        </w:rPr>
        <w:sectPr>
          <w:headerReference r:id="rId4" w:type="first"/>
          <w:footerReference r:id="rId6" w:type="first"/>
          <w:headerReference r:id="rId3" w:type="default"/>
          <w:footerReference r:id="rId5" w:type="default"/>
          <w:pgSz w:w="11906" w:h="16838"/>
          <w:pgMar w:top="1276" w:right="1274" w:bottom="1440" w:left="1276" w:header="851" w:footer="992" w:gutter="0"/>
          <w:pgNumType w:start="1"/>
          <w:cols w:space="720" w:num="1"/>
          <w:titlePg/>
          <w:docGrid w:type="lines" w:linePitch="312" w:charSpace="0"/>
        </w:sectPr>
      </w:pPr>
      <w:r>
        <w:rPr>
          <w:rFonts w:ascii="宋体" w:hAnsi="宋体" w:cs="Calibri"/>
          <w:color w:val="auto"/>
          <w:kern w:val="0"/>
          <w:sz w:val="28"/>
          <w:szCs w:val="28"/>
          <w:highlight w:val="none"/>
        </w:rPr>
        <w:br w:type="page"/>
      </w:r>
    </w:p>
    <w:p w14:paraId="2E5DC46A">
      <w:pPr>
        <w:rPr>
          <w:rFonts w:hAnsi="宋体"/>
          <w:color w:val="auto"/>
          <w:sz w:val="28"/>
          <w:highlight w:val="none"/>
        </w:rPr>
      </w:pPr>
      <w:r>
        <w:rPr>
          <w:rFonts w:hint="eastAsia" w:hAnsi="宋体"/>
          <w:color w:val="auto"/>
          <w:sz w:val="28"/>
          <w:highlight w:val="none"/>
        </w:rPr>
        <w:t>附件1：中标通知书</w:t>
      </w:r>
    </w:p>
    <w:p w14:paraId="48FCE534">
      <w:pPr>
        <w:rPr>
          <w:rFonts w:hAnsi="宋体"/>
          <w:color w:val="auto"/>
          <w:sz w:val="28"/>
          <w:szCs w:val="28"/>
          <w:highlight w:val="none"/>
        </w:rPr>
      </w:pPr>
    </w:p>
    <w:p w14:paraId="619E55D9">
      <w:pPr>
        <w:rPr>
          <w:rFonts w:hAnsi="宋体"/>
          <w:color w:val="auto"/>
          <w:sz w:val="28"/>
          <w:szCs w:val="28"/>
          <w:highlight w:val="none"/>
        </w:rPr>
      </w:pPr>
    </w:p>
    <w:p w14:paraId="63E9B509">
      <w:pPr>
        <w:rPr>
          <w:rFonts w:hAnsi="宋体"/>
          <w:color w:val="auto"/>
          <w:sz w:val="28"/>
          <w:szCs w:val="28"/>
          <w:highlight w:val="none"/>
        </w:rPr>
      </w:pPr>
    </w:p>
    <w:p w14:paraId="45741867">
      <w:pPr>
        <w:rPr>
          <w:rFonts w:hAnsi="宋体"/>
          <w:color w:val="auto"/>
          <w:sz w:val="28"/>
          <w:szCs w:val="28"/>
          <w:highlight w:val="none"/>
        </w:rPr>
      </w:pPr>
    </w:p>
    <w:p w14:paraId="5B8B3908">
      <w:pPr>
        <w:rPr>
          <w:rFonts w:hAnsi="宋体"/>
          <w:color w:val="auto"/>
          <w:sz w:val="28"/>
          <w:szCs w:val="28"/>
          <w:highlight w:val="none"/>
        </w:rPr>
      </w:pPr>
    </w:p>
    <w:p w14:paraId="360A96A1">
      <w:pPr>
        <w:rPr>
          <w:rFonts w:hAnsi="宋体"/>
          <w:color w:val="auto"/>
          <w:sz w:val="28"/>
          <w:szCs w:val="28"/>
          <w:highlight w:val="none"/>
        </w:rPr>
      </w:pPr>
    </w:p>
    <w:p w14:paraId="6D0F01DE">
      <w:pPr>
        <w:rPr>
          <w:rFonts w:hAnsi="宋体"/>
          <w:color w:val="auto"/>
          <w:sz w:val="28"/>
          <w:szCs w:val="28"/>
          <w:highlight w:val="none"/>
        </w:rPr>
      </w:pPr>
    </w:p>
    <w:p w14:paraId="6239AED9">
      <w:pPr>
        <w:rPr>
          <w:rFonts w:hAnsi="宋体"/>
          <w:color w:val="auto"/>
          <w:sz w:val="28"/>
          <w:szCs w:val="28"/>
          <w:highlight w:val="none"/>
        </w:rPr>
      </w:pPr>
    </w:p>
    <w:p w14:paraId="07256A57">
      <w:pPr>
        <w:rPr>
          <w:rFonts w:hAnsi="宋体"/>
          <w:color w:val="auto"/>
          <w:sz w:val="28"/>
          <w:szCs w:val="28"/>
          <w:highlight w:val="none"/>
        </w:rPr>
      </w:pPr>
    </w:p>
    <w:p w14:paraId="42C5CFEE">
      <w:pPr>
        <w:rPr>
          <w:rFonts w:hAnsi="宋体"/>
          <w:color w:val="auto"/>
          <w:highlight w:val="none"/>
        </w:rPr>
      </w:pPr>
    </w:p>
    <w:p w14:paraId="18A33F8F">
      <w:pPr>
        <w:rPr>
          <w:rFonts w:hAnsi="宋体"/>
          <w:color w:val="auto"/>
          <w:highlight w:val="none"/>
        </w:rPr>
      </w:pPr>
    </w:p>
    <w:p w14:paraId="1A505C82">
      <w:pPr>
        <w:rPr>
          <w:rFonts w:hAnsi="宋体"/>
          <w:color w:val="auto"/>
          <w:highlight w:val="none"/>
        </w:rPr>
      </w:pPr>
    </w:p>
    <w:p w14:paraId="73737421">
      <w:pPr>
        <w:snapToGrid w:val="0"/>
        <w:spacing w:line="300" w:lineRule="auto"/>
        <w:rPr>
          <w:rFonts w:ascii="宋体" w:hAnsi="宋体" w:cs="宋体"/>
          <w:bCs/>
          <w:color w:val="auto"/>
          <w:sz w:val="28"/>
          <w:szCs w:val="28"/>
          <w:highlight w:val="none"/>
        </w:rPr>
      </w:pPr>
      <w:r>
        <w:rPr>
          <w:rFonts w:ascii="宋体" w:hAnsi="宋体" w:cs="宋体"/>
          <w:bCs/>
          <w:color w:val="auto"/>
          <w:sz w:val="28"/>
          <w:szCs w:val="28"/>
          <w:highlight w:val="none"/>
        </w:rPr>
        <w:br w:type="page"/>
      </w:r>
      <w:r>
        <w:rPr>
          <w:rFonts w:hint="eastAsia" w:ascii="宋体" w:hAnsi="宋体" w:cs="宋体"/>
          <w:bCs/>
          <w:color w:val="auto"/>
          <w:sz w:val="28"/>
          <w:szCs w:val="28"/>
          <w:highlight w:val="none"/>
        </w:rPr>
        <w:t>附件2</w:t>
      </w:r>
    </w:p>
    <w:p w14:paraId="52D8729B">
      <w:pPr>
        <w:spacing w:line="560" w:lineRule="exact"/>
        <w:ind w:firstLine="880" w:firstLineChars="200"/>
        <w:rPr>
          <w:rFonts w:ascii="方正小标宋简体" w:eastAsia="方正小标宋简体"/>
          <w:color w:val="auto"/>
          <w:sz w:val="44"/>
          <w:szCs w:val="44"/>
          <w:highlight w:val="none"/>
        </w:rPr>
      </w:pPr>
    </w:p>
    <w:p w14:paraId="54B1923A">
      <w:pPr>
        <w:spacing w:line="560" w:lineRule="exact"/>
        <w:jc w:val="center"/>
        <w:rPr>
          <w:rFonts w:hint="eastAsia" w:ascii="宋体" w:hAnsi="宋体" w:eastAsia="宋体" w:cs="宋体"/>
          <w:color w:val="auto"/>
          <w:sz w:val="44"/>
          <w:szCs w:val="44"/>
          <w:highlight w:val="none"/>
        </w:rPr>
      </w:pPr>
      <w:bookmarkStart w:id="1" w:name="OLE_LINK5"/>
      <w:r>
        <w:rPr>
          <w:rFonts w:hint="eastAsia" w:ascii="宋体" w:hAnsi="宋体" w:eastAsia="宋体" w:cs="宋体"/>
          <w:color w:val="auto"/>
          <w:sz w:val="44"/>
          <w:szCs w:val="44"/>
          <w:highlight w:val="none"/>
        </w:rPr>
        <w:t>廉洁协议书</w:t>
      </w:r>
    </w:p>
    <w:bookmarkEnd w:id="1"/>
    <w:p w14:paraId="3B43A6D1">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广州市天投城市更新有限公司</w:t>
      </w:r>
    </w:p>
    <w:p w14:paraId="2D638169">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5D6858AF">
      <w:pPr>
        <w:spacing w:line="560" w:lineRule="exact"/>
        <w:ind w:firstLine="560" w:firstLineChars="200"/>
        <w:rPr>
          <w:rFonts w:hint="eastAsia" w:ascii="宋体" w:hAnsi="宋体" w:eastAsia="宋体" w:cs="宋体"/>
          <w:color w:val="auto"/>
          <w:sz w:val="28"/>
          <w:szCs w:val="28"/>
          <w:highlight w:val="none"/>
        </w:rPr>
      </w:pPr>
    </w:p>
    <w:p w14:paraId="071F0C9E">
      <w:pPr>
        <w:pStyle w:val="7"/>
        <w:spacing w:line="56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4D33B11C">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第一条 甲、乙双方的共同责任</w:t>
      </w:r>
    </w:p>
    <w:p w14:paraId="531E635A">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（一）严格遵守国家关于市场准入、招标投标、工程建设、物资采购、投资并购、国有资产处置等市场经济活动的法律法规制度以及廉洁建设规定。</w:t>
      </w:r>
    </w:p>
    <w:p w14:paraId="4FD647EA">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（二）严格履行合同约定，自觉承担合同义务。</w:t>
      </w:r>
    </w:p>
    <w:p w14:paraId="6A91BC23">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73EB8CA3">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（四）建立健全自我制约制度，开展廉洁教育，公布举报电话，监督并认真查处违法违纪行为。</w:t>
      </w:r>
    </w:p>
    <w:p w14:paraId="2E7F4812">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（五）发现对方在业务活动中有违规、违纪、违法行为的，应及时提醒对方，情节严重的，应向有关纪检监察部门举报。</w:t>
      </w:r>
    </w:p>
    <w:p w14:paraId="63FCA1F2">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第二条  甲方的责任：</w:t>
      </w:r>
    </w:p>
    <w:p w14:paraId="6DDD9EB9">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甲方相关工作人员，在与乙方业务活动的事前、事中、事后，应遵守以下规定：</w:t>
      </w:r>
    </w:p>
    <w:p w14:paraId="6A1F08EE">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（一）贯彻落实广州城投城市更新集团有限公司有关党风廉政建设责任制及廉洁从业的规定；</w:t>
      </w:r>
    </w:p>
    <w:p w14:paraId="43A677B0">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（二）按照公平、公正、公开和诚实守信的原则开展各项业务活动；</w:t>
      </w:r>
    </w:p>
    <w:p w14:paraId="644A83FC">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（三）不准向乙方泄漏涉及有关业务活动的秘密，不准以谋取非正当利益为目的，擅自与乙方工作人员就业务问题达成利益默契；</w:t>
      </w:r>
    </w:p>
    <w:p w14:paraId="19B64DB7">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（四）不准向乙方和相关单位索要或接受回扣、红包、礼金、购物卡、有价证券、贵重物品和好处费、感谢费等；</w:t>
      </w:r>
    </w:p>
    <w:p w14:paraId="01D01FEE">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（五）不准在乙方和相关单位报销任何应由甲方或个人支付的费用；</w:t>
      </w:r>
    </w:p>
    <w:p w14:paraId="286594A6">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（六）不准要求、暗示或接受乙方和相关单位为个人装修住房、婚丧嫁娶、配偶子女的工作安排以及境内外旅游等提供方便；</w:t>
      </w:r>
    </w:p>
    <w:p w14:paraId="5C047E12">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（七）不准向乙方介绍配偶、子女、亲属参与与甲方有关的经济活动，不得以任何理由向乙方和相关单位推荐第三方单位；</w:t>
      </w:r>
    </w:p>
    <w:p w14:paraId="33655A3F">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（八）不准参与影响相关工作正常和公正开展的其他活动；</w:t>
      </w:r>
    </w:p>
    <w:p w14:paraId="5243F755">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（九）不准违反《中共中央纪委关于严格禁止利用职务上的便利谋取不正当利益的若干规定》的内容。</w:t>
      </w:r>
    </w:p>
    <w:p w14:paraId="1474468E">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第三条 乙方的责任：</w:t>
      </w:r>
    </w:p>
    <w:p w14:paraId="4BC384C9">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在与甲方业务交往过程中，按照有关法律法规和程序开展工作，严格执行国家的有关方针、政策，并遵守以下规定：</w:t>
      </w:r>
    </w:p>
    <w:p w14:paraId="26C9ECA3">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（一）不准以任何理由为甲方和相关单位报销应由对方或个人支付的费用；</w:t>
      </w:r>
    </w:p>
    <w:p w14:paraId="2B87E5FC">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（二）不准以任何理由向甲方负责人及其工作人员赠送回扣、红包、礼金、购物卡、有价证券、贵重物品和好处费、感谢费等；</w:t>
      </w:r>
    </w:p>
    <w:p w14:paraId="178EB3F0">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（三）不准以任何理由为甲方、与甲方相关的单位或个人提供高消费宴请及娱乐活动；</w:t>
      </w:r>
    </w:p>
    <w:p w14:paraId="5899CB4A">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（四）不准以任何理由为甲方、与甲方相关的单位或个人购置或提供通讯工具、交通工具和高档办公用品；</w:t>
      </w:r>
    </w:p>
    <w:p w14:paraId="1F18AC34">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（五）不准接受或暗示为甲方、与甲方相关的单位或个人装修住房、婚丧嫁</w:t>
      </w:r>
      <w:r>
        <w:rPr>
          <w:rFonts w:hint="eastAsia" w:ascii="宋体" w:hAnsi="宋体" w:eastAsia="宋体" w:cs="宋体"/>
          <w:color w:val="auto"/>
          <w:sz w:val="28"/>
          <w:szCs w:val="28"/>
          <w:highlight w:val="none"/>
          <w:lang w:val="en-US" w:eastAsia="zh-CN"/>
        </w:rPr>
        <w:t>娶</w:t>
      </w:r>
      <w:r>
        <w:rPr>
          <w:rFonts w:hint="eastAsia" w:ascii="宋体" w:hAnsi="宋体" w:eastAsia="宋体" w:cs="宋体"/>
          <w:color w:val="auto"/>
          <w:sz w:val="28"/>
          <w:szCs w:val="28"/>
          <w:highlight w:val="none"/>
        </w:rPr>
        <w:t>、配偶子女的工作安排以及境内外旅游等提供方便；</w:t>
      </w:r>
    </w:p>
    <w:p w14:paraId="109303F6">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（六）不准以谋取非正当利益为目的，擅自与甲方工作人员就业务问题进行私下商谈或者达成利益默契；</w:t>
      </w:r>
    </w:p>
    <w:p w14:paraId="730BA944">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（七）发现甲方工作人员有违反本廉洁协议书规定的，应向甲方单位举报（反映）。广州城投城市更新集团有限公司受理部门：纪检室；举报邮箱：ctcgjtjjs@163.com。</w:t>
      </w:r>
    </w:p>
    <w:p w14:paraId="216978B0">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第四条 相关责任</w:t>
      </w:r>
    </w:p>
    <w:p w14:paraId="6647A977">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663D168A">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5096A3F1">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（三）乙方违反本廉洁协议书第一、三条规定，发生行贿行为，经有关执纪执法部门或甲方纪检机构查证属实，甲方对乙方实施3年的市场禁入。</w:t>
      </w:r>
    </w:p>
    <w:p w14:paraId="3E1C3F66">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第五条 协议书生效及法律效力</w:t>
      </w:r>
    </w:p>
    <w:p w14:paraId="5CB906A4">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（一）本廉洁协议书作为建设工程造价咨询合同的附件，与建设工程造价咨询合同具有同等法律效力，经双方法定代表人或委托代理人签字</w:t>
      </w:r>
      <w:r>
        <w:rPr>
          <w:rFonts w:hint="eastAsia" w:ascii="宋体" w:hAnsi="宋体" w:eastAsia="宋体" w:cs="宋体"/>
          <w:color w:val="auto"/>
          <w:sz w:val="28"/>
          <w:szCs w:val="28"/>
          <w:highlight w:val="none"/>
          <w:lang w:val="en-US" w:eastAsia="zh-CN"/>
        </w:rPr>
        <w:t>并</w:t>
      </w:r>
      <w:r>
        <w:rPr>
          <w:rFonts w:hint="eastAsia" w:ascii="宋体" w:hAnsi="宋体" w:eastAsia="宋体" w:cs="宋体"/>
          <w:color w:val="auto"/>
          <w:sz w:val="28"/>
          <w:szCs w:val="28"/>
          <w:highlight w:val="none"/>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rPr>
        <w:t>章后立即生效。</w:t>
      </w:r>
    </w:p>
    <w:p w14:paraId="4140B292">
      <w:pPr>
        <w:pStyle w:val="7"/>
        <w:spacing w:line="56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（二）除非甲乙双方另行签订新的廉洁协议书，否则本廉洁协议书在甲方与乙方存在业务关系期间均对双方产生约束力。</w:t>
      </w:r>
    </w:p>
    <w:p w14:paraId="6A0F6194">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第六条 协议书份数</w:t>
      </w:r>
    </w:p>
    <w:p w14:paraId="6B1F6319">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本廉洁协议书一式</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rPr>
        <w:t>份，甲方</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rPr>
        <w:t>份，乙方</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rPr>
        <w:t>份。</w:t>
      </w:r>
    </w:p>
    <w:p w14:paraId="2E29AB59">
      <w:pPr>
        <w:pStyle w:val="10"/>
        <w:spacing w:line="560" w:lineRule="exact"/>
        <w:rPr>
          <w:rFonts w:hint="eastAsia" w:ascii="宋体" w:hAnsi="宋体" w:eastAsia="宋体" w:cs="宋体"/>
          <w:color w:val="auto"/>
          <w:highlight w:val="none"/>
        </w:rPr>
      </w:pPr>
    </w:p>
    <w:p w14:paraId="0F9F3327">
      <w:pPr>
        <w:pStyle w:val="10"/>
        <w:spacing w:line="560" w:lineRule="exact"/>
        <w:rPr>
          <w:rFonts w:hint="eastAsia" w:ascii="仿宋" w:hAnsi="仿宋" w:eastAsia="仿宋" w:cs="仿宋"/>
          <w:color w:val="auto"/>
          <w:sz w:val="28"/>
          <w:szCs w:val="28"/>
          <w:highlight w:val="none"/>
        </w:rPr>
      </w:pPr>
      <w:r>
        <w:rPr>
          <w:rFonts w:hint="eastAsia" w:ascii="宋体" w:hAnsi="宋体" w:eastAsia="宋体" w:cs="宋体"/>
          <w:color w:val="auto"/>
          <w:sz w:val="28"/>
          <w:szCs w:val="28"/>
          <w:highlight w:val="none"/>
        </w:rPr>
        <w:t>甲乙双方确认在签订本廉洁协议书前已仔细阅读条款内容，甲乙双方对本廉洁协议书所产生的法律责任已清楚知悉并承诺遵守。</w:t>
      </w:r>
    </w:p>
    <w:p w14:paraId="697A0D06">
      <w:pPr>
        <w:spacing w:line="560" w:lineRule="exact"/>
        <w:rPr>
          <w:color w:val="auto"/>
          <w:sz w:val="28"/>
          <w:szCs w:val="28"/>
          <w:highlight w:val="none"/>
        </w:rPr>
      </w:pPr>
    </w:p>
    <w:p w14:paraId="0A527F51">
      <w:pPr>
        <w:spacing w:line="560" w:lineRule="exact"/>
        <w:rPr>
          <w:color w:val="auto"/>
          <w:sz w:val="28"/>
          <w:szCs w:val="28"/>
          <w:highlight w:val="none"/>
        </w:rPr>
      </w:pPr>
    </w:p>
    <w:p w14:paraId="2B3F3CE2">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甲方（盖章）：</w:t>
      </w:r>
      <w:r>
        <w:rPr>
          <w:rFonts w:hint="eastAsia" w:ascii="宋体" w:hAnsi="宋体" w:cs="宋体"/>
          <w:color w:val="auto"/>
          <w:sz w:val="28"/>
          <w:szCs w:val="28"/>
          <w:highlight w:val="none"/>
          <w:lang w:val="en-US" w:eastAsia="zh-CN"/>
        </w:rPr>
        <w:t xml:space="preserve">广州市天投城市更新有限公司           </w:t>
      </w:r>
      <w:r>
        <w:rPr>
          <w:rFonts w:hint="eastAsia" w:ascii="宋体" w:hAnsi="宋体" w:cs="宋体"/>
          <w:color w:val="auto"/>
          <w:sz w:val="28"/>
          <w:szCs w:val="28"/>
          <w:highlight w:val="none"/>
        </w:rPr>
        <w:t xml:space="preserve">                     </w:t>
      </w:r>
    </w:p>
    <w:p w14:paraId="340F6D03">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14:paraId="4ED5EDCC">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或</w:t>
      </w:r>
    </w:p>
    <w:p w14:paraId="00107F8F">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委托代理人：</w:t>
      </w:r>
    </w:p>
    <w:p w14:paraId="13FA3943">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01738E8B">
      <w:pPr>
        <w:spacing w:line="560" w:lineRule="exact"/>
        <w:rPr>
          <w:rFonts w:ascii="宋体" w:hAnsi="宋体" w:cs="宋体"/>
          <w:color w:val="auto"/>
          <w:sz w:val="28"/>
          <w:szCs w:val="28"/>
          <w:highlight w:val="none"/>
        </w:rPr>
      </w:pPr>
    </w:p>
    <w:p w14:paraId="49302B67">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乙方（盖章）： </w:t>
      </w:r>
    </w:p>
    <w:p w14:paraId="57FDEBF2">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14:paraId="43519ACD">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或</w:t>
      </w:r>
    </w:p>
    <w:p w14:paraId="2CAC75ED">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委托代理人：</w:t>
      </w:r>
    </w:p>
    <w:p w14:paraId="1E7F19C0">
      <w:pPr>
        <w:rPr>
          <w:rFonts w:hAnsi="宋体"/>
          <w:color w:val="auto"/>
          <w:sz w:val="28"/>
          <w:szCs w:val="28"/>
          <w:highlight w:val="none"/>
        </w:rPr>
      </w:pPr>
    </w:p>
    <w:p w14:paraId="6BC3077C">
      <w:pPr>
        <w:tabs>
          <w:tab w:val="left" w:pos="4395"/>
          <w:tab w:val="left" w:pos="4678"/>
        </w:tabs>
        <w:adjustRightInd w:val="0"/>
        <w:snapToGrid w:val="0"/>
        <w:spacing w:line="360" w:lineRule="auto"/>
        <w:ind w:right="0" w:rightChars="0"/>
        <w:jc w:val="left"/>
        <w:rPr>
          <w:rFonts w:ascii="宋体" w:hAnsi="宋体"/>
          <w:color w:val="auto"/>
          <w:sz w:val="24"/>
          <w:szCs w:val="24"/>
          <w:highlight w:val="none"/>
        </w:rPr>
      </w:pPr>
      <w:bookmarkStart w:id="2" w:name="OLE_LINK8"/>
      <w:bookmarkStart w:id="3" w:name="OLE_LINK9"/>
      <w:r>
        <w:rPr>
          <w:rFonts w:ascii="Times New Roman" w:hAnsi="Times New Roman"/>
          <w:color w:val="auto"/>
          <w:szCs w:val="21"/>
          <w:highlight w:val="none"/>
        </w:rPr>
        <w:br w:type="page"/>
      </w:r>
      <w:bookmarkEnd w:id="2"/>
      <w:bookmarkEnd w:id="3"/>
      <w:r>
        <w:rPr>
          <w:rFonts w:hint="eastAsia" w:ascii="宋体" w:hAnsi="宋体"/>
          <w:bCs/>
          <w:color w:val="auto"/>
          <w:sz w:val="28"/>
          <w:szCs w:val="28"/>
          <w:highlight w:val="none"/>
        </w:rPr>
        <w:t>附件3</w:t>
      </w:r>
    </w:p>
    <w:p w14:paraId="741C05F4">
      <w:pPr>
        <w:spacing w:line="360" w:lineRule="auto"/>
        <w:jc w:val="center"/>
        <w:rPr>
          <w:rFonts w:ascii="宋体" w:hAnsi="宋体" w:cs="长城行楷体"/>
          <w:color w:val="auto"/>
          <w:sz w:val="44"/>
          <w:szCs w:val="44"/>
          <w:highlight w:val="none"/>
        </w:rPr>
      </w:pPr>
      <w:r>
        <w:rPr>
          <w:rFonts w:hint="eastAsia" w:ascii="宋体" w:hAnsi="宋体" w:cs="长城行楷体"/>
          <w:color w:val="auto"/>
          <w:sz w:val="44"/>
          <w:szCs w:val="44"/>
          <w:highlight w:val="none"/>
        </w:rPr>
        <w:t>保密协议</w:t>
      </w:r>
    </w:p>
    <w:p w14:paraId="6DB9EE28">
      <w:pPr>
        <w:autoSpaceDE w:val="0"/>
        <w:autoSpaceDN w:val="0"/>
        <w:spacing w:line="360" w:lineRule="auto"/>
        <w:ind w:firstLine="540" w:firstLineChars="225"/>
        <w:rPr>
          <w:rFonts w:ascii="宋体" w:hAnsi="宋体" w:cs="长城行楷体"/>
          <w:color w:val="auto"/>
          <w:sz w:val="24"/>
          <w:szCs w:val="24"/>
          <w:highlight w:val="none"/>
        </w:rPr>
      </w:pPr>
      <w:r>
        <w:rPr>
          <w:rFonts w:hint="eastAsia" w:ascii="宋体" w:hAnsi="宋体" w:cs="长城行楷体"/>
          <w:color w:val="auto"/>
          <w:sz w:val="24"/>
          <w:szCs w:val="24"/>
          <w:highlight w:val="none"/>
        </w:rPr>
        <w:t>乙方作为甲方服务单位，乙方同意遵守甲方下列保密条款：</w:t>
      </w:r>
    </w:p>
    <w:p w14:paraId="3D0EF5BD">
      <w:pPr>
        <w:autoSpaceDE w:val="0"/>
        <w:autoSpaceDN w:val="0"/>
        <w:spacing w:line="360" w:lineRule="auto"/>
        <w:ind w:firstLine="540"/>
        <w:outlineLvl w:val="0"/>
        <w:rPr>
          <w:rFonts w:ascii="宋体" w:hAnsi="宋体" w:cs="长城行楷体"/>
          <w:color w:val="auto"/>
          <w:sz w:val="24"/>
          <w:szCs w:val="24"/>
          <w:highlight w:val="none"/>
        </w:rPr>
      </w:pPr>
      <w:r>
        <w:rPr>
          <w:rFonts w:hint="eastAsia" w:ascii="宋体" w:hAnsi="宋体" w:cs="长城行楷体"/>
          <w:color w:val="auto"/>
          <w:sz w:val="24"/>
          <w:szCs w:val="24"/>
          <w:highlight w:val="none"/>
        </w:rPr>
        <w:t>一、保密信息的范围</w:t>
      </w:r>
    </w:p>
    <w:p w14:paraId="59CEDF85">
      <w:pPr>
        <w:autoSpaceDE w:val="0"/>
        <w:autoSpaceDN w:val="0"/>
        <w:spacing w:line="360" w:lineRule="auto"/>
        <w:ind w:firstLine="540"/>
        <w:rPr>
          <w:rFonts w:ascii="宋体" w:hAnsi="宋体"/>
          <w:color w:val="auto"/>
          <w:sz w:val="24"/>
          <w:szCs w:val="24"/>
          <w:highlight w:val="none"/>
          <w:lang w:val="zh-CN"/>
        </w:rPr>
      </w:pPr>
      <w:r>
        <w:rPr>
          <w:rFonts w:hint="eastAsia" w:ascii="宋体" w:hAnsi="宋体" w:cs="长城行楷体"/>
          <w:color w:val="auto"/>
          <w:sz w:val="24"/>
          <w:szCs w:val="24"/>
          <w:highlight w:val="none"/>
        </w:rPr>
        <w:t>“保密信息”在本保密协议中是指乙方在为甲方提供服务工作的过程中所获取的重要工作信息。</w:t>
      </w:r>
      <w:r>
        <w:rPr>
          <w:rFonts w:hint="eastAsia" w:ascii="宋体" w:hAnsi="宋体"/>
          <w:color w:val="auto"/>
          <w:sz w:val="24"/>
          <w:szCs w:val="24"/>
          <w:highlight w:val="none"/>
          <w:lang w:val="zh-CN"/>
        </w:rPr>
        <w:t>该保密信息包括但不限于投资计划、项目规模、项目计划、项目相关数据和图纸、招标文件资料及信息、合同、价格、成本、研究报告、会议资料和文件。</w:t>
      </w:r>
    </w:p>
    <w:p w14:paraId="5D84DE64">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不论以何种形式或载于何种载体，无论在披露时是否以口头、图像或以书面方式表明其具有保密性，都视为甲方的保密信息。</w:t>
      </w:r>
    </w:p>
    <w:p w14:paraId="1B3AA072">
      <w:pPr>
        <w:autoSpaceDE w:val="0"/>
        <w:autoSpaceDN w:val="0"/>
        <w:spacing w:line="360" w:lineRule="auto"/>
        <w:ind w:firstLine="540"/>
        <w:outlineLvl w:val="0"/>
        <w:rPr>
          <w:rFonts w:ascii="宋体" w:hAnsi="宋体" w:cs="长城行楷体"/>
          <w:color w:val="auto"/>
          <w:sz w:val="24"/>
          <w:szCs w:val="24"/>
          <w:highlight w:val="none"/>
        </w:rPr>
      </w:pPr>
      <w:r>
        <w:rPr>
          <w:rFonts w:hint="eastAsia" w:ascii="宋体" w:hAnsi="宋体" w:cs="长城行楷体"/>
          <w:color w:val="auto"/>
          <w:sz w:val="24"/>
          <w:szCs w:val="24"/>
          <w:highlight w:val="none"/>
        </w:rPr>
        <w:t>二、乙方的保密义务</w:t>
      </w:r>
    </w:p>
    <w:p w14:paraId="1C6E920B">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乙方对已知悉的甲方保密信息，在此同意：</w:t>
      </w:r>
    </w:p>
    <w:p w14:paraId="6CCC20B2">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（一）未经甲方事前书面批准，不论服务期间或以后，乙方及其工作人员不得以任何方式泄漏甲方的保密信息。</w:t>
      </w:r>
    </w:p>
    <w:p w14:paraId="6CAA5971">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（二）一旦服务工作终止，乙方及其工作人员将退还保存的属于甲方的所有保密信息及资料，如方案、制度、报告、合同等。</w:t>
      </w:r>
    </w:p>
    <w:p w14:paraId="523AFFD4">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三、保密期限</w:t>
      </w:r>
    </w:p>
    <w:p w14:paraId="570BFA1C">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保密期限包括但不限于：从获知甲方保密信息时起，至保密信息已由甲方通过合法途径让普通公众知悉时止。</w:t>
      </w:r>
    </w:p>
    <w:p w14:paraId="180DB701">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四、违约责任</w:t>
      </w:r>
    </w:p>
    <w:p w14:paraId="345FA51D">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乙方违反本保密协议约定，甲方有权追究乙方的</w:t>
      </w:r>
      <w:r>
        <w:rPr>
          <w:rFonts w:hint="eastAsia" w:ascii="宋体" w:hAnsi="宋体" w:cs="长城行楷体"/>
          <w:color w:val="auto"/>
          <w:sz w:val="24"/>
          <w:szCs w:val="24"/>
          <w:highlight w:val="none"/>
          <w:lang w:val="en-US" w:eastAsia="zh-CN"/>
        </w:rPr>
        <w:t>违约</w:t>
      </w:r>
      <w:r>
        <w:rPr>
          <w:rFonts w:hint="eastAsia" w:ascii="宋体" w:hAnsi="宋体" w:cs="长城行楷体"/>
          <w:color w:val="auto"/>
          <w:sz w:val="24"/>
          <w:szCs w:val="24"/>
          <w:highlight w:val="none"/>
        </w:rPr>
        <w:t>责任并</w:t>
      </w:r>
      <w:r>
        <w:rPr>
          <w:rFonts w:hint="eastAsia" w:ascii="宋体" w:hAnsi="宋体" w:cs="长城行楷体"/>
          <w:color w:val="auto"/>
          <w:sz w:val="24"/>
          <w:szCs w:val="24"/>
          <w:highlight w:val="none"/>
          <w:lang w:val="en-US" w:eastAsia="zh-CN"/>
        </w:rPr>
        <w:t>单方解除</w:t>
      </w:r>
      <w:r>
        <w:rPr>
          <w:rFonts w:hint="eastAsia" w:ascii="宋体" w:hAnsi="宋体"/>
          <w:color w:val="auto"/>
          <w:sz w:val="24"/>
          <w:szCs w:val="24"/>
          <w:highlight w:val="none"/>
          <w:lang w:val="zh-CN"/>
        </w:rPr>
        <w:t>建设工程造价咨询</w:t>
      </w:r>
      <w:r>
        <w:rPr>
          <w:rFonts w:hint="eastAsia" w:ascii="宋体" w:hAnsi="宋体" w:cs="长城行楷体"/>
          <w:color w:val="auto"/>
          <w:sz w:val="24"/>
          <w:szCs w:val="24"/>
          <w:highlight w:val="none"/>
        </w:rPr>
        <w:t>合同。造成</w:t>
      </w:r>
      <w:r>
        <w:rPr>
          <w:rFonts w:hint="eastAsia" w:ascii="宋体" w:hAnsi="宋体" w:cs="长城行楷体"/>
          <w:color w:val="auto"/>
          <w:sz w:val="24"/>
          <w:szCs w:val="24"/>
          <w:highlight w:val="none"/>
          <w:lang w:val="en-US" w:eastAsia="zh-CN"/>
        </w:rPr>
        <w:t>甲方</w:t>
      </w:r>
      <w:r>
        <w:rPr>
          <w:rFonts w:hint="eastAsia" w:ascii="宋体" w:hAnsi="宋体" w:cs="长城行楷体"/>
          <w:color w:val="auto"/>
          <w:sz w:val="24"/>
          <w:szCs w:val="24"/>
          <w:highlight w:val="none"/>
        </w:rPr>
        <w:t>损失的，甲方有权要求乙方进行赔偿并追究乙方其他的法律责任。</w:t>
      </w:r>
    </w:p>
    <w:p w14:paraId="4F30F202">
      <w:pPr>
        <w:autoSpaceDE w:val="0"/>
        <w:autoSpaceDN w:val="0"/>
        <w:spacing w:line="360" w:lineRule="auto"/>
        <w:ind w:firstLine="540"/>
        <w:rPr>
          <w:rFonts w:ascii="宋体" w:hAnsi="宋体" w:cs="长城行楷体"/>
          <w:color w:val="auto"/>
          <w:sz w:val="24"/>
          <w:szCs w:val="24"/>
          <w:highlight w:val="none"/>
        </w:rPr>
      </w:pPr>
      <w:r>
        <w:rPr>
          <w:rFonts w:hint="eastAsia" w:ascii="宋体" w:hAnsi="宋体" w:cs="长城行楷体"/>
          <w:color w:val="auto"/>
          <w:sz w:val="24"/>
          <w:szCs w:val="24"/>
          <w:highlight w:val="none"/>
        </w:rPr>
        <w:t>五、其他约定</w:t>
      </w:r>
    </w:p>
    <w:p w14:paraId="7FDAB286">
      <w:pPr>
        <w:autoSpaceDE w:val="0"/>
        <w:autoSpaceDN w:val="0"/>
        <w:spacing w:line="360" w:lineRule="auto"/>
        <w:ind w:firstLine="54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zh-CN" w:eastAsia="zh-CN"/>
        </w:rPr>
        <w:t>本</w:t>
      </w:r>
      <w:r>
        <w:rPr>
          <w:rFonts w:hint="eastAsia" w:ascii="宋体" w:hAnsi="宋体"/>
          <w:color w:val="auto"/>
          <w:sz w:val="24"/>
          <w:szCs w:val="24"/>
          <w:highlight w:val="none"/>
          <w:lang w:val="en-US" w:eastAsia="zh-CN"/>
        </w:rPr>
        <w:t>保密协议</w:t>
      </w:r>
      <w:r>
        <w:rPr>
          <w:rFonts w:hint="eastAsia" w:ascii="宋体" w:hAnsi="宋体"/>
          <w:color w:val="auto"/>
          <w:sz w:val="24"/>
          <w:szCs w:val="24"/>
          <w:highlight w:val="none"/>
          <w:lang w:val="zh-CN" w:eastAsia="zh-CN"/>
        </w:rPr>
        <w:t>作为</w:t>
      </w:r>
      <w:r>
        <w:rPr>
          <w:rFonts w:hint="eastAsia" w:ascii="宋体" w:hAnsi="宋体"/>
          <w:color w:val="auto"/>
          <w:sz w:val="24"/>
          <w:szCs w:val="24"/>
          <w:highlight w:val="none"/>
          <w:lang w:val="zh-CN"/>
        </w:rPr>
        <w:t>建设工程造价咨询合同</w:t>
      </w:r>
      <w:r>
        <w:rPr>
          <w:rFonts w:hint="eastAsia" w:ascii="宋体" w:hAnsi="宋体"/>
          <w:color w:val="auto"/>
          <w:sz w:val="24"/>
          <w:szCs w:val="24"/>
          <w:highlight w:val="none"/>
          <w:lang w:val="zh-CN" w:eastAsia="zh-CN"/>
        </w:rPr>
        <w:t>的附件，与该合同具有同等的法律效力，经合同双方</w:t>
      </w:r>
      <w:r>
        <w:rPr>
          <w:rFonts w:hint="eastAsia" w:ascii="宋体" w:hAnsi="宋体"/>
          <w:color w:val="auto"/>
          <w:sz w:val="24"/>
          <w:szCs w:val="24"/>
          <w:highlight w:val="none"/>
          <w:lang w:val="en-US" w:eastAsia="zh-CN"/>
        </w:rPr>
        <w:t>法定代表人或委托代理人签名并加盖公章之日起</w:t>
      </w:r>
      <w:r>
        <w:rPr>
          <w:rFonts w:hint="eastAsia" w:ascii="宋体" w:hAnsi="宋体"/>
          <w:color w:val="auto"/>
          <w:sz w:val="24"/>
          <w:szCs w:val="24"/>
          <w:highlight w:val="none"/>
          <w:lang w:val="zh-CN" w:eastAsia="zh-CN"/>
        </w:rPr>
        <w:t>生效。</w:t>
      </w:r>
    </w:p>
    <w:p w14:paraId="734C8895">
      <w:pPr>
        <w:autoSpaceDE w:val="0"/>
        <w:autoSpaceDN w:val="0"/>
        <w:spacing w:line="360" w:lineRule="auto"/>
        <w:ind w:firstLine="540"/>
        <w:rPr>
          <w:rFonts w:ascii="宋体" w:hAnsi="宋体"/>
          <w:color w:val="auto"/>
          <w:sz w:val="24"/>
          <w:szCs w:val="24"/>
          <w:highlight w:val="none"/>
        </w:rPr>
      </w:pPr>
      <w:r>
        <w:rPr>
          <w:rFonts w:hint="eastAsia" w:ascii="宋体" w:hAnsi="宋体" w:cs="长城行楷体"/>
          <w:color w:val="auto"/>
          <w:sz w:val="24"/>
          <w:szCs w:val="24"/>
          <w:highlight w:val="none"/>
        </w:rPr>
        <w:t>本保密协议一式拾</w:t>
      </w:r>
      <w:r>
        <w:rPr>
          <w:rFonts w:ascii="宋体" w:hAnsi="宋体" w:cs="长城行楷体"/>
          <w:color w:val="auto"/>
          <w:sz w:val="24"/>
          <w:szCs w:val="24"/>
          <w:highlight w:val="none"/>
        </w:rPr>
        <w:t>份，</w:t>
      </w:r>
      <w:r>
        <w:rPr>
          <w:rFonts w:hint="eastAsia" w:ascii="宋体" w:hAnsi="宋体" w:cs="长城行楷体"/>
          <w:color w:val="auto"/>
          <w:sz w:val="24"/>
          <w:szCs w:val="24"/>
          <w:highlight w:val="none"/>
        </w:rPr>
        <w:t>甲方执</w:t>
      </w:r>
      <w:r>
        <w:rPr>
          <w:rFonts w:hint="eastAsia" w:ascii="宋体" w:hAnsi="宋体" w:cs="长城行楷体"/>
          <w:color w:val="auto"/>
          <w:sz w:val="24"/>
          <w:szCs w:val="24"/>
          <w:highlight w:val="none"/>
          <w:lang w:val="en-US" w:eastAsia="zh-CN"/>
        </w:rPr>
        <w:t>伍</w:t>
      </w:r>
      <w:r>
        <w:rPr>
          <w:rFonts w:hint="eastAsia" w:ascii="宋体" w:hAnsi="宋体" w:cs="长城行楷体"/>
          <w:color w:val="auto"/>
          <w:sz w:val="24"/>
          <w:szCs w:val="24"/>
          <w:highlight w:val="none"/>
        </w:rPr>
        <w:t>份，乙方</w:t>
      </w:r>
      <w:r>
        <w:rPr>
          <w:rFonts w:ascii="宋体" w:hAnsi="宋体" w:cs="长城行楷体"/>
          <w:color w:val="auto"/>
          <w:sz w:val="24"/>
          <w:szCs w:val="24"/>
          <w:highlight w:val="none"/>
        </w:rPr>
        <w:t>执</w:t>
      </w:r>
      <w:r>
        <w:rPr>
          <w:rFonts w:hint="eastAsia" w:ascii="宋体" w:hAnsi="宋体" w:cs="长城行楷体"/>
          <w:color w:val="auto"/>
          <w:sz w:val="24"/>
          <w:szCs w:val="24"/>
          <w:highlight w:val="none"/>
          <w:lang w:val="en-US" w:eastAsia="zh-CN"/>
        </w:rPr>
        <w:t>伍</w:t>
      </w:r>
      <w:r>
        <w:rPr>
          <w:rFonts w:hint="eastAsia" w:ascii="宋体" w:hAnsi="宋体" w:cs="长城行楷体"/>
          <w:color w:val="auto"/>
          <w:sz w:val="24"/>
          <w:szCs w:val="24"/>
          <w:highlight w:val="none"/>
        </w:rPr>
        <w:t>份</w:t>
      </w:r>
      <w:r>
        <w:rPr>
          <w:rFonts w:ascii="宋体" w:hAnsi="宋体" w:cs="长城行楷体"/>
          <w:color w:val="auto"/>
          <w:sz w:val="24"/>
          <w:szCs w:val="24"/>
          <w:highlight w:val="none"/>
        </w:rPr>
        <w:t>。</w:t>
      </w:r>
      <w:r>
        <w:rPr>
          <w:rFonts w:hint="eastAsia" w:ascii="宋体" w:hAnsi="宋体" w:cs="长城行楷体"/>
          <w:color w:val="auto"/>
          <w:sz w:val="24"/>
          <w:szCs w:val="24"/>
          <w:highlight w:val="none"/>
        </w:rPr>
        <w:t>均具有同等法律效力。</w:t>
      </w:r>
    </w:p>
    <w:p w14:paraId="00A0E858">
      <w:pPr>
        <w:spacing w:line="560" w:lineRule="exact"/>
        <w:rPr>
          <w:color w:val="auto"/>
          <w:sz w:val="28"/>
          <w:szCs w:val="28"/>
          <w:highlight w:val="none"/>
        </w:rPr>
      </w:pPr>
    </w:p>
    <w:p w14:paraId="04272BAD">
      <w:pPr>
        <w:pStyle w:val="54"/>
        <w:adjustRightInd w:val="0"/>
        <w:snapToGrid w:val="0"/>
        <w:spacing w:after="0" w:line="440" w:lineRule="exact"/>
        <w:jc w:val="left"/>
        <w:rPr>
          <w:rFonts w:hint="eastAsia" w:ascii="宋体" w:hAnsi="宋体" w:cs="宋体"/>
          <w:color w:val="auto"/>
          <w:sz w:val="28"/>
          <w:szCs w:val="28"/>
          <w:highlight w:val="none"/>
        </w:rPr>
      </w:pPr>
    </w:p>
    <w:p w14:paraId="406E6B0F">
      <w:pPr>
        <w:pStyle w:val="54"/>
        <w:adjustRightInd w:val="0"/>
        <w:snapToGrid w:val="0"/>
        <w:spacing w:after="0" w:line="440" w:lineRule="exact"/>
        <w:jc w:val="left"/>
        <w:rPr>
          <w:rFonts w:hint="eastAsia" w:ascii="宋体" w:hAnsi="宋体" w:cs="宋体"/>
          <w:color w:val="auto"/>
          <w:sz w:val="28"/>
          <w:szCs w:val="28"/>
          <w:highlight w:val="none"/>
        </w:rPr>
      </w:pPr>
    </w:p>
    <w:p w14:paraId="5E514340">
      <w:pPr>
        <w:pStyle w:val="54"/>
        <w:adjustRightInd w:val="0"/>
        <w:snapToGrid w:val="0"/>
        <w:spacing w:after="0" w:line="440" w:lineRule="exact"/>
        <w:jc w:val="left"/>
        <w:rPr>
          <w:rFonts w:hint="eastAsia" w:ascii="宋体" w:hAnsi="宋体" w:cs="宋体"/>
          <w:color w:val="auto"/>
          <w:sz w:val="28"/>
          <w:szCs w:val="28"/>
          <w:highlight w:val="none"/>
        </w:rPr>
      </w:pPr>
    </w:p>
    <w:p w14:paraId="37FE2AB2">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甲方（盖章）：</w:t>
      </w:r>
      <w:r>
        <w:rPr>
          <w:rFonts w:hint="eastAsia" w:ascii="宋体" w:hAnsi="宋体" w:cs="宋体"/>
          <w:color w:val="auto"/>
          <w:sz w:val="28"/>
          <w:szCs w:val="28"/>
          <w:highlight w:val="none"/>
          <w:lang w:val="en-US" w:eastAsia="zh-CN"/>
        </w:rPr>
        <w:t>广州市天投城市更新有限公司</w:t>
      </w:r>
      <w:r>
        <w:rPr>
          <w:rFonts w:hint="eastAsia" w:ascii="宋体" w:hAnsi="宋体" w:cs="宋体"/>
          <w:color w:val="auto"/>
          <w:sz w:val="28"/>
          <w:szCs w:val="28"/>
          <w:highlight w:val="none"/>
        </w:rPr>
        <w:t xml:space="preserve">                      </w:t>
      </w:r>
    </w:p>
    <w:p w14:paraId="2CB8C762">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14:paraId="47C5BBF0">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或</w:t>
      </w:r>
    </w:p>
    <w:p w14:paraId="07C7CF04">
      <w:pPr>
        <w:pStyle w:val="54"/>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委托代理人：</w:t>
      </w:r>
    </w:p>
    <w:p w14:paraId="175D845A">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79AB3780">
      <w:pPr>
        <w:spacing w:line="560" w:lineRule="exact"/>
        <w:rPr>
          <w:rFonts w:ascii="宋体" w:hAnsi="宋体" w:cs="宋体"/>
          <w:color w:val="auto"/>
          <w:sz w:val="28"/>
          <w:szCs w:val="28"/>
          <w:highlight w:val="none"/>
        </w:rPr>
      </w:pPr>
    </w:p>
    <w:p w14:paraId="387D1C4A">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乙方（盖章）： </w:t>
      </w:r>
    </w:p>
    <w:p w14:paraId="32B32737">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14:paraId="1DF424C7">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或</w:t>
      </w:r>
    </w:p>
    <w:p w14:paraId="3A3397D2">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委托代理人：</w:t>
      </w:r>
    </w:p>
    <w:p w14:paraId="5860B847">
      <w:pPr>
        <w:spacing w:line="540" w:lineRule="exact"/>
        <w:rPr>
          <w:rFonts w:ascii="宋体" w:hAnsi="宋体"/>
          <w:color w:val="auto"/>
          <w:sz w:val="24"/>
          <w:szCs w:val="24"/>
          <w:highlight w:val="none"/>
        </w:rPr>
      </w:pPr>
    </w:p>
    <w:p w14:paraId="2EFAFF35">
      <w:pPr>
        <w:spacing w:line="540" w:lineRule="exact"/>
        <w:rPr>
          <w:rFonts w:ascii="宋体" w:hAnsi="宋体"/>
          <w:color w:val="auto"/>
          <w:sz w:val="24"/>
          <w:szCs w:val="24"/>
          <w:highlight w:val="none"/>
        </w:rPr>
      </w:pPr>
    </w:p>
    <w:p w14:paraId="4D932922">
      <w:pPr>
        <w:spacing w:line="540" w:lineRule="exact"/>
        <w:rPr>
          <w:rFonts w:ascii="宋体" w:hAnsi="宋体"/>
          <w:color w:val="auto"/>
          <w:sz w:val="24"/>
          <w:szCs w:val="24"/>
          <w:highlight w:val="none"/>
        </w:rPr>
      </w:pPr>
    </w:p>
    <w:p w14:paraId="2FBD1C6C">
      <w:pPr>
        <w:spacing w:line="540" w:lineRule="exact"/>
        <w:rPr>
          <w:rFonts w:ascii="宋体" w:hAnsi="宋体"/>
          <w:color w:val="auto"/>
          <w:sz w:val="24"/>
          <w:szCs w:val="24"/>
          <w:highlight w:val="none"/>
        </w:rPr>
      </w:pPr>
    </w:p>
    <w:p w14:paraId="5E2780E9">
      <w:pPr>
        <w:spacing w:line="540" w:lineRule="exact"/>
        <w:rPr>
          <w:rFonts w:ascii="宋体" w:hAnsi="宋体"/>
          <w:color w:val="auto"/>
          <w:sz w:val="24"/>
          <w:szCs w:val="24"/>
          <w:highlight w:val="none"/>
        </w:rPr>
      </w:pPr>
    </w:p>
    <w:p w14:paraId="668CA8EC">
      <w:pPr>
        <w:spacing w:line="540" w:lineRule="exact"/>
        <w:rPr>
          <w:rFonts w:ascii="宋体" w:hAnsi="宋体"/>
          <w:color w:val="auto"/>
          <w:sz w:val="24"/>
          <w:szCs w:val="24"/>
          <w:highlight w:val="none"/>
        </w:rPr>
      </w:pPr>
    </w:p>
    <w:p w14:paraId="5AC335E0">
      <w:pPr>
        <w:spacing w:line="540" w:lineRule="exact"/>
        <w:rPr>
          <w:rFonts w:ascii="宋体" w:hAnsi="宋体"/>
          <w:color w:val="auto"/>
          <w:sz w:val="24"/>
          <w:szCs w:val="24"/>
          <w:highlight w:val="none"/>
        </w:rPr>
      </w:pPr>
    </w:p>
    <w:p w14:paraId="26E23CAB">
      <w:pPr>
        <w:spacing w:line="540" w:lineRule="exact"/>
        <w:rPr>
          <w:rFonts w:ascii="宋体" w:hAnsi="宋体"/>
          <w:color w:val="auto"/>
          <w:sz w:val="24"/>
          <w:szCs w:val="24"/>
          <w:highlight w:val="none"/>
        </w:rPr>
      </w:pPr>
    </w:p>
    <w:p w14:paraId="2CD0E376">
      <w:pPr>
        <w:spacing w:line="540" w:lineRule="exact"/>
        <w:rPr>
          <w:rFonts w:ascii="宋体" w:hAnsi="宋体"/>
          <w:color w:val="auto"/>
          <w:sz w:val="24"/>
          <w:szCs w:val="24"/>
          <w:highlight w:val="none"/>
        </w:rPr>
      </w:pPr>
    </w:p>
    <w:p w14:paraId="6D06C0AA">
      <w:pPr>
        <w:spacing w:line="540" w:lineRule="exact"/>
        <w:rPr>
          <w:rFonts w:ascii="宋体" w:hAnsi="宋体"/>
          <w:color w:val="auto"/>
          <w:sz w:val="24"/>
          <w:szCs w:val="24"/>
          <w:highlight w:val="none"/>
        </w:rPr>
      </w:pPr>
    </w:p>
    <w:p w14:paraId="7895D186">
      <w:pPr>
        <w:spacing w:line="540" w:lineRule="exact"/>
        <w:rPr>
          <w:rFonts w:ascii="宋体" w:hAnsi="宋体"/>
          <w:color w:val="auto"/>
          <w:sz w:val="24"/>
          <w:szCs w:val="24"/>
          <w:highlight w:val="none"/>
        </w:rPr>
      </w:pPr>
    </w:p>
    <w:p w14:paraId="3CA630A7">
      <w:pPr>
        <w:rPr>
          <w:rFonts w:hAnsi="宋体"/>
          <w:color w:val="auto"/>
          <w:sz w:val="28"/>
          <w:highlight w:val="none"/>
        </w:rPr>
      </w:pPr>
      <w:r>
        <w:rPr>
          <w:rFonts w:ascii="Times New Roman" w:hAnsi="Times New Roman"/>
          <w:color w:val="auto"/>
          <w:szCs w:val="21"/>
          <w:highlight w:val="none"/>
        </w:rPr>
        <w:br w:type="page"/>
      </w:r>
      <w:bookmarkStart w:id="4" w:name="OLE_LINK11"/>
      <w:bookmarkStart w:id="5" w:name="OLE_LINK10"/>
      <w:r>
        <w:rPr>
          <w:rFonts w:hint="eastAsia" w:hAnsi="宋体"/>
          <w:color w:val="auto"/>
          <w:sz w:val="28"/>
          <w:highlight w:val="none"/>
        </w:rPr>
        <w:t>附件</w:t>
      </w:r>
      <w:r>
        <w:rPr>
          <w:rFonts w:hAnsi="宋体"/>
          <w:color w:val="auto"/>
          <w:sz w:val="28"/>
          <w:highlight w:val="none"/>
        </w:rPr>
        <w:t>4</w:t>
      </w:r>
      <w:r>
        <w:rPr>
          <w:rFonts w:hint="eastAsia" w:hAnsi="宋体"/>
          <w:color w:val="auto"/>
          <w:sz w:val="28"/>
          <w:highlight w:val="none"/>
        </w:rPr>
        <w:t>：投标报价表</w:t>
      </w:r>
      <w:bookmarkEnd w:id="4"/>
      <w:bookmarkEnd w:id="5"/>
    </w:p>
    <w:p w14:paraId="6232BC55">
      <w:pPr>
        <w:spacing w:line="540" w:lineRule="exact"/>
        <w:rPr>
          <w:rFonts w:ascii="宋体" w:hAnsi="宋体"/>
          <w:color w:val="auto"/>
          <w:sz w:val="24"/>
          <w:szCs w:val="24"/>
          <w:highlight w:val="none"/>
        </w:rPr>
      </w:pPr>
    </w:p>
    <w:p w14:paraId="40FFFF7B">
      <w:pPr>
        <w:spacing w:line="540" w:lineRule="exact"/>
        <w:rPr>
          <w:rFonts w:ascii="宋体" w:hAnsi="宋体"/>
          <w:color w:val="auto"/>
          <w:sz w:val="24"/>
          <w:szCs w:val="24"/>
          <w:highlight w:val="none"/>
        </w:rPr>
      </w:pPr>
    </w:p>
    <w:p w14:paraId="372BFACD">
      <w:pPr>
        <w:spacing w:line="540" w:lineRule="exact"/>
        <w:rPr>
          <w:rFonts w:ascii="宋体" w:hAnsi="宋体"/>
          <w:color w:val="auto"/>
          <w:sz w:val="24"/>
          <w:szCs w:val="24"/>
          <w:highlight w:val="none"/>
        </w:rPr>
      </w:pPr>
    </w:p>
    <w:p w14:paraId="3888E6E9">
      <w:pPr>
        <w:spacing w:line="540" w:lineRule="exact"/>
        <w:rPr>
          <w:rFonts w:ascii="宋体" w:hAnsi="宋体"/>
          <w:color w:val="auto"/>
          <w:sz w:val="24"/>
          <w:szCs w:val="24"/>
          <w:highlight w:val="none"/>
        </w:rPr>
      </w:pPr>
    </w:p>
    <w:p w14:paraId="68E23D49">
      <w:pPr>
        <w:spacing w:line="540" w:lineRule="exact"/>
        <w:rPr>
          <w:rFonts w:ascii="宋体" w:hAnsi="宋体"/>
          <w:color w:val="auto"/>
          <w:sz w:val="24"/>
          <w:szCs w:val="24"/>
          <w:highlight w:val="none"/>
        </w:rPr>
      </w:pPr>
    </w:p>
    <w:p w14:paraId="0233F6C4">
      <w:pPr>
        <w:spacing w:line="540" w:lineRule="exact"/>
        <w:rPr>
          <w:rFonts w:ascii="宋体" w:hAnsi="宋体"/>
          <w:color w:val="auto"/>
          <w:sz w:val="24"/>
          <w:szCs w:val="24"/>
          <w:highlight w:val="none"/>
        </w:rPr>
      </w:pPr>
    </w:p>
    <w:p w14:paraId="61E04A95">
      <w:pPr>
        <w:spacing w:line="540" w:lineRule="exact"/>
        <w:rPr>
          <w:rFonts w:ascii="宋体" w:hAnsi="宋体"/>
          <w:color w:val="auto"/>
          <w:sz w:val="24"/>
          <w:szCs w:val="24"/>
          <w:highlight w:val="none"/>
        </w:rPr>
      </w:pPr>
    </w:p>
    <w:p w14:paraId="30EA7AEB">
      <w:pPr>
        <w:spacing w:line="540" w:lineRule="exact"/>
        <w:rPr>
          <w:rFonts w:ascii="宋体" w:hAnsi="宋体"/>
          <w:color w:val="auto"/>
          <w:sz w:val="24"/>
          <w:szCs w:val="24"/>
          <w:highlight w:val="none"/>
        </w:rPr>
      </w:pPr>
    </w:p>
    <w:p w14:paraId="1D1589E9">
      <w:pPr>
        <w:spacing w:line="540" w:lineRule="exact"/>
        <w:rPr>
          <w:rFonts w:ascii="Times New Roman" w:hAnsi="Times New Roman"/>
          <w:color w:val="auto"/>
          <w:szCs w:val="21"/>
          <w:highlight w:val="none"/>
        </w:rPr>
      </w:pPr>
      <w:r>
        <w:rPr>
          <w:rFonts w:ascii="Times New Roman" w:hAnsi="Times New Roman"/>
          <w:color w:val="auto"/>
          <w:szCs w:val="21"/>
          <w:highlight w:val="none"/>
        </w:rPr>
        <w:br w:type="page"/>
      </w:r>
    </w:p>
    <w:p w14:paraId="43E56BF3">
      <w:pPr>
        <w:spacing w:line="540" w:lineRule="exact"/>
        <w:rPr>
          <w:rFonts w:ascii="Times New Roman" w:hAnsi="Times New Roman"/>
          <w:color w:val="auto"/>
          <w:szCs w:val="21"/>
          <w:highlight w:val="none"/>
        </w:rPr>
      </w:pPr>
      <w:r>
        <w:rPr>
          <w:rFonts w:hint="eastAsia" w:hAnsi="宋体"/>
          <w:color w:val="auto"/>
          <w:sz w:val="28"/>
          <w:highlight w:val="none"/>
        </w:rPr>
        <w:t>附件</w:t>
      </w:r>
      <w:r>
        <w:rPr>
          <w:rFonts w:hAnsi="宋体"/>
          <w:color w:val="auto"/>
          <w:sz w:val="28"/>
          <w:highlight w:val="none"/>
        </w:rPr>
        <w:t>5</w:t>
      </w:r>
      <w:r>
        <w:rPr>
          <w:rFonts w:hint="eastAsia" w:hAnsi="宋体"/>
          <w:color w:val="auto"/>
          <w:sz w:val="28"/>
          <w:highlight w:val="none"/>
        </w:rPr>
        <w:t>：拟投入本项目造价人员一览表</w:t>
      </w:r>
    </w:p>
    <w:p w14:paraId="6043C8DC">
      <w:pPr>
        <w:spacing w:line="540" w:lineRule="exact"/>
        <w:rPr>
          <w:rFonts w:ascii="Times New Roman" w:hAnsi="Times New Roman"/>
          <w:color w:val="auto"/>
          <w:szCs w:val="21"/>
          <w:highlight w:val="none"/>
        </w:rPr>
      </w:pPr>
    </w:p>
    <w:p w14:paraId="0A9002A6">
      <w:pPr>
        <w:spacing w:line="540" w:lineRule="exact"/>
        <w:rPr>
          <w:rFonts w:ascii="Times New Roman" w:hAnsi="Times New Roman"/>
          <w:color w:val="auto"/>
          <w:szCs w:val="21"/>
          <w:highlight w:val="none"/>
        </w:rPr>
      </w:pPr>
    </w:p>
    <w:p w14:paraId="760740FB">
      <w:pPr>
        <w:spacing w:line="540" w:lineRule="exact"/>
        <w:rPr>
          <w:rFonts w:ascii="宋体" w:hAnsi="宋体"/>
          <w:color w:val="auto"/>
          <w:sz w:val="24"/>
          <w:szCs w:val="24"/>
          <w:highlight w:val="none"/>
        </w:rPr>
      </w:pPr>
    </w:p>
    <w:sectPr>
      <w:headerReference r:id="rId7" w:type="default"/>
      <w:footerReference r:id="rId8" w:type="default"/>
      <w:pgSz w:w="11906" w:h="16838"/>
      <w:pgMar w:top="1440" w:right="991"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BEFEA48-3E1B-456D-A939-FB099D143D38}"/>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60DBA435-5E64-481E-9637-70A66DCAF35D}"/>
  </w:font>
  <w:font w:name="华文中宋">
    <w:panose1 w:val="02010600040101010101"/>
    <w:charset w:val="86"/>
    <w:family w:val="auto"/>
    <w:pitch w:val="default"/>
    <w:sig w:usb0="00000287" w:usb1="080F0000" w:usb2="00000000" w:usb3="00000000" w:csb0="0004009F" w:csb1="DFD70000"/>
    <w:embedRegular r:id="rId3" w:fontKey="{EC0DA000-2388-473F-89EE-33ABC944FEEE}"/>
  </w:font>
  <w:font w:name="仿宋">
    <w:panose1 w:val="02010609060101010101"/>
    <w:charset w:val="86"/>
    <w:family w:val="modern"/>
    <w:pitch w:val="default"/>
    <w:sig w:usb0="800002BF" w:usb1="38CF7CFA" w:usb2="00000016" w:usb3="00000000" w:csb0="00040001" w:csb1="00000000"/>
    <w:embedRegular r:id="rId4" w:fontKey="{E0F9B543-CB9F-47DA-ACFD-C8DF5CF0FE96}"/>
  </w:font>
  <w:font w:name="长城行楷体">
    <w:altName w:val="宋体"/>
    <w:panose1 w:val="00000000000000000000"/>
    <w:charset w:val="86"/>
    <w:family w:val="modern"/>
    <w:pitch w:val="default"/>
    <w:sig w:usb0="00000000" w:usb1="00000000" w:usb2="00000010" w:usb3="00000000" w:csb0="00040000" w:csb1="00000000"/>
    <w:embedRegular r:id="rId5" w:fontKey="{48AE2ADD-1EB7-40F4-9982-D900B7AF1E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C89A">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3</w:t>
    </w:r>
    <w:r>
      <w:fldChar w:fldCharType="end"/>
    </w:r>
  </w:p>
  <w:p w14:paraId="13B01FD3">
    <w:pPr>
      <w:pStyle w:val="12"/>
      <w:jc w:val="center"/>
    </w:pPr>
  </w:p>
  <w:p w14:paraId="2989E35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0FB78">
    <w:pPr>
      <w:pStyle w:val="12"/>
      <w:jc w:val="center"/>
    </w:pPr>
    <w:r>
      <w:t>1</w:t>
    </w:r>
  </w:p>
  <w:p w14:paraId="508CD31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EDFF">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37</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4C53">
    <w:pPr>
      <w:pStyle w:val="13"/>
    </w:pPr>
    <w:r>
      <w:rPr>
        <w:rFonts w:hint="eastAsia"/>
      </w:rPr>
      <w:t>天河区柯木塱村城中村改造项目—首开区</w:t>
    </w:r>
    <w:r>
      <w:rPr>
        <w:rFonts w:hint="eastAsia"/>
        <w:lang w:val="en-US" w:eastAsia="zh-CN"/>
      </w:rPr>
      <w:t>凤凰汇西侧</w:t>
    </w:r>
    <w:r>
      <w:rPr>
        <w:rFonts w:hint="eastAsia"/>
      </w:rPr>
      <w:t>地块复建安置房及配套设施工程造价咨询服务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BCAC">
    <w:pPr>
      <w:pStyle w:val="13"/>
      <w:rPr>
        <w:highlight w:val="none"/>
      </w:rPr>
    </w:pPr>
    <w:r>
      <w:rPr>
        <w:rFonts w:hint="eastAsia"/>
        <w:highlight w:val="none"/>
      </w:rPr>
      <w:t>天河区柯木塱村城中村改造项目—首开区凤凰汇</w:t>
    </w:r>
    <w:r>
      <w:rPr>
        <w:rFonts w:hint="eastAsia"/>
        <w:highlight w:val="none"/>
        <w:lang w:val="en-US" w:eastAsia="zh-CN"/>
      </w:rPr>
      <w:t>西</w:t>
    </w:r>
    <w:r>
      <w:rPr>
        <w:rFonts w:hint="eastAsia"/>
        <w:highlight w:val="none"/>
      </w:rPr>
      <w:t>侧地块复建安置房及配套</w:t>
    </w:r>
    <w:r>
      <w:rPr>
        <w:rFonts w:hint="eastAsia"/>
        <w:highlight w:val="none"/>
        <w:lang w:val="en-US" w:eastAsia="zh-CN"/>
      </w:rPr>
      <w:t>设施</w:t>
    </w:r>
    <w:r>
      <w:rPr>
        <w:rFonts w:hint="eastAsia"/>
        <w:highlight w:val="none"/>
      </w:rPr>
      <w:t>工程造价咨询服务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DBC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chineseCountingThousand"/>
      <w:lvlText w:val="%1、"/>
      <w:lvlJc w:val="left"/>
      <w:pPr>
        <w:ind w:left="780" w:hanging="420"/>
      </w:pPr>
      <w:rPr>
        <w:rFonts w:hint="eastAsia"/>
      </w:rPr>
    </w:lvl>
    <w:lvl w:ilvl="1" w:tentative="0">
      <w:start w:val="1"/>
      <w:numFmt w:val="decimal"/>
      <w:lvlText w:val="%2．"/>
      <w:lvlJc w:val="left"/>
      <w:pPr>
        <w:ind w:left="1140" w:hanging="36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000000F"/>
    <w:multiLevelType w:val="multilevel"/>
    <w:tmpl w:val="000000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0"/>
    <w:multiLevelType w:val="multilevel"/>
    <w:tmpl w:val="0000001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1"/>
    <w:multiLevelType w:val="multilevel"/>
    <w:tmpl w:val="0000001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12"/>
    <w:multiLevelType w:val="multilevel"/>
    <w:tmpl w:val="00000012"/>
    <w:lvl w:ilvl="0" w:tentative="0">
      <w:start w:val="1"/>
      <w:numFmt w:val="decimal"/>
      <w:lvlText w:val="%1."/>
      <w:lvlJc w:val="left"/>
      <w:pPr>
        <w:ind w:left="84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6"/>
    <w:multiLevelType w:val="multilevel"/>
    <w:tmpl w:val="00000016"/>
    <w:lvl w:ilvl="0" w:tentative="0">
      <w:start w:val="1"/>
      <w:numFmt w:val="chineseCountingThousand"/>
      <w:lvlText w:val="第%1章"/>
      <w:lvlJc w:val="left"/>
      <w:pPr>
        <w:ind w:left="1694" w:hanging="420"/>
      </w:pPr>
      <w:rPr>
        <w:rFonts w:hint="eastAsia"/>
      </w:rPr>
    </w:lvl>
    <w:lvl w:ilvl="1" w:tentative="0">
      <w:start w:val="1"/>
      <w:numFmt w:val="lowerLetter"/>
      <w:lvlText w:val="%2)"/>
      <w:lvlJc w:val="left"/>
      <w:pPr>
        <w:ind w:left="2114" w:hanging="420"/>
      </w:pPr>
    </w:lvl>
    <w:lvl w:ilvl="2" w:tentative="0">
      <w:start w:val="1"/>
      <w:numFmt w:val="lowerRoman"/>
      <w:lvlText w:val="%3."/>
      <w:lvlJc w:val="right"/>
      <w:pPr>
        <w:ind w:left="2534" w:hanging="420"/>
      </w:pPr>
    </w:lvl>
    <w:lvl w:ilvl="3" w:tentative="0">
      <w:start w:val="1"/>
      <w:numFmt w:val="decimal"/>
      <w:lvlText w:val="%4."/>
      <w:lvlJc w:val="left"/>
      <w:pPr>
        <w:ind w:left="2954" w:hanging="420"/>
      </w:pPr>
    </w:lvl>
    <w:lvl w:ilvl="4" w:tentative="0">
      <w:start w:val="1"/>
      <w:numFmt w:val="lowerLetter"/>
      <w:lvlText w:val="%5)"/>
      <w:lvlJc w:val="left"/>
      <w:pPr>
        <w:ind w:left="3374" w:hanging="420"/>
      </w:pPr>
    </w:lvl>
    <w:lvl w:ilvl="5" w:tentative="0">
      <w:start w:val="1"/>
      <w:numFmt w:val="lowerRoman"/>
      <w:lvlText w:val="%6."/>
      <w:lvlJc w:val="right"/>
      <w:pPr>
        <w:ind w:left="3794" w:hanging="420"/>
      </w:pPr>
    </w:lvl>
    <w:lvl w:ilvl="6" w:tentative="0">
      <w:start w:val="1"/>
      <w:numFmt w:val="decimal"/>
      <w:lvlText w:val="%7."/>
      <w:lvlJc w:val="left"/>
      <w:pPr>
        <w:ind w:left="4214" w:hanging="420"/>
      </w:pPr>
    </w:lvl>
    <w:lvl w:ilvl="7" w:tentative="0">
      <w:start w:val="1"/>
      <w:numFmt w:val="lowerLetter"/>
      <w:lvlText w:val="%8)"/>
      <w:lvlJc w:val="left"/>
      <w:pPr>
        <w:ind w:left="4634" w:hanging="420"/>
      </w:pPr>
    </w:lvl>
    <w:lvl w:ilvl="8" w:tentative="0">
      <w:start w:val="1"/>
      <w:numFmt w:val="lowerRoman"/>
      <w:lvlText w:val="%9."/>
      <w:lvlJc w:val="right"/>
      <w:pPr>
        <w:ind w:left="5054" w:hanging="420"/>
      </w:pPr>
    </w:lvl>
  </w:abstractNum>
  <w:abstractNum w:abstractNumId="6">
    <w:nsid w:val="00000018"/>
    <w:multiLevelType w:val="multilevel"/>
    <w:tmpl w:val="0000001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19"/>
    <w:multiLevelType w:val="multilevel"/>
    <w:tmpl w:val="00000019"/>
    <w:lvl w:ilvl="0" w:tentative="0">
      <w:start w:val="1"/>
      <w:numFmt w:val="chineseCountingThousand"/>
      <w:lvlText w:val="第%1条、"/>
      <w:lvlJc w:val="left"/>
      <w:pPr>
        <w:ind w:left="420" w:hanging="420"/>
      </w:pPr>
      <w:rPr>
        <w:rFonts w:hint="eastAsia"/>
      </w:rPr>
    </w:lvl>
    <w:lvl w:ilvl="1" w:tentative="0">
      <w:start w:val="1"/>
      <w:numFmt w:val="chineseCountingThousand"/>
      <w:lvlText w:val="第%2条"/>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C"/>
    <w:multiLevelType w:val="multilevel"/>
    <w:tmpl w:val="0000001C"/>
    <w:lvl w:ilvl="0" w:tentative="0">
      <w:start w:val="1"/>
      <w:numFmt w:val="decimal"/>
      <w:lvlText w:val="%1."/>
      <w:lvlJc w:val="right"/>
      <w:pPr>
        <w:ind w:left="78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5"/>
  </w:num>
  <w:num w:numId="4">
    <w:abstractNumId w:val="7"/>
  </w:num>
  <w:num w:numId="5">
    <w:abstractNumId w:val="4"/>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8F6"/>
    <w:rsid w:val="00055E41"/>
    <w:rsid w:val="00056344"/>
    <w:rsid w:val="000605D5"/>
    <w:rsid w:val="000629CC"/>
    <w:rsid w:val="000630CE"/>
    <w:rsid w:val="00063E37"/>
    <w:rsid w:val="00064F5B"/>
    <w:rsid w:val="00070345"/>
    <w:rsid w:val="000735F7"/>
    <w:rsid w:val="000738AB"/>
    <w:rsid w:val="0007624A"/>
    <w:rsid w:val="0007791A"/>
    <w:rsid w:val="0008310C"/>
    <w:rsid w:val="000837DF"/>
    <w:rsid w:val="00083C78"/>
    <w:rsid w:val="00092981"/>
    <w:rsid w:val="00094707"/>
    <w:rsid w:val="000A27ED"/>
    <w:rsid w:val="000A2C26"/>
    <w:rsid w:val="000A59F1"/>
    <w:rsid w:val="000A60F6"/>
    <w:rsid w:val="000A7008"/>
    <w:rsid w:val="000B3011"/>
    <w:rsid w:val="000B4052"/>
    <w:rsid w:val="000B45BB"/>
    <w:rsid w:val="000B74E0"/>
    <w:rsid w:val="000C34DC"/>
    <w:rsid w:val="000C483C"/>
    <w:rsid w:val="000C4C8A"/>
    <w:rsid w:val="000C5266"/>
    <w:rsid w:val="000C6E7D"/>
    <w:rsid w:val="000D014B"/>
    <w:rsid w:val="000D66F6"/>
    <w:rsid w:val="000F0AB8"/>
    <w:rsid w:val="000F25D1"/>
    <w:rsid w:val="000F63A0"/>
    <w:rsid w:val="000F6FB5"/>
    <w:rsid w:val="000F73EE"/>
    <w:rsid w:val="000F7887"/>
    <w:rsid w:val="00101CE2"/>
    <w:rsid w:val="0010281E"/>
    <w:rsid w:val="00102ACA"/>
    <w:rsid w:val="00102B8C"/>
    <w:rsid w:val="00115E44"/>
    <w:rsid w:val="00115EE9"/>
    <w:rsid w:val="001259AE"/>
    <w:rsid w:val="00133129"/>
    <w:rsid w:val="00145ADD"/>
    <w:rsid w:val="00147338"/>
    <w:rsid w:val="00157797"/>
    <w:rsid w:val="00162258"/>
    <w:rsid w:val="00164F67"/>
    <w:rsid w:val="00170766"/>
    <w:rsid w:val="001710C4"/>
    <w:rsid w:val="00171286"/>
    <w:rsid w:val="0017206E"/>
    <w:rsid w:val="00172A27"/>
    <w:rsid w:val="00176184"/>
    <w:rsid w:val="001803FF"/>
    <w:rsid w:val="001844B4"/>
    <w:rsid w:val="001847A2"/>
    <w:rsid w:val="00187A9C"/>
    <w:rsid w:val="00190F61"/>
    <w:rsid w:val="00191C5C"/>
    <w:rsid w:val="001965AB"/>
    <w:rsid w:val="00196944"/>
    <w:rsid w:val="001A223B"/>
    <w:rsid w:val="001A638A"/>
    <w:rsid w:val="001A75F8"/>
    <w:rsid w:val="001C0ACD"/>
    <w:rsid w:val="001C153A"/>
    <w:rsid w:val="001D0677"/>
    <w:rsid w:val="001D179E"/>
    <w:rsid w:val="001D34B3"/>
    <w:rsid w:val="001E098C"/>
    <w:rsid w:val="001E4D6E"/>
    <w:rsid w:val="001F12C1"/>
    <w:rsid w:val="001F5035"/>
    <w:rsid w:val="002007D2"/>
    <w:rsid w:val="0020650A"/>
    <w:rsid w:val="00210F09"/>
    <w:rsid w:val="002116D2"/>
    <w:rsid w:val="0021413E"/>
    <w:rsid w:val="00214393"/>
    <w:rsid w:val="00215D30"/>
    <w:rsid w:val="00220524"/>
    <w:rsid w:val="0022250B"/>
    <w:rsid w:val="002226C2"/>
    <w:rsid w:val="002232D6"/>
    <w:rsid w:val="00223701"/>
    <w:rsid w:val="00230A67"/>
    <w:rsid w:val="00231454"/>
    <w:rsid w:val="00235897"/>
    <w:rsid w:val="002373B9"/>
    <w:rsid w:val="00237D1B"/>
    <w:rsid w:val="002464DC"/>
    <w:rsid w:val="002476DD"/>
    <w:rsid w:val="00251FB2"/>
    <w:rsid w:val="00252902"/>
    <w:rsid w:val="002539EA"/>
    <w:rsid w:val="00254305"/>
    <w:rsid w:val="00254B56"/>
    <w:rsid w:val="0026241D"/>
    <w:rsid w:val="0026300F"/>
    <w:rsid w:val="00264DAD"/>
    <w:rsid w:val="00264F59"/>
    <w:rsid w:val="0026653F"/>
    <w:rsid w:val="00267107"/>
    <w:rsid w:val="00272037"/>
    <w:rsid w:val="00280552"/>
    <w:rsid w:val="00281953"/>
    <w:rsid w:val="00287FDD"/>
    <w:rsid w:val="00291552"/>
    <w:rsid w:val="00294999"/>
    <w:rsid w:val="002A5ED8"/>
    <w:rsid w:val="002B0C00"/>
    <w:rsid w:val="002B0ED2"/>
    <w:rsid w:val="002B0F5A"/>
    <w:rsid w:val="002B1078"/>
    <w:rsid w:val="002B1499"/>
    <w:rsid w:val="002C3882"/>
    <w:rsid w:val="002D12B8"/>
    <w:rsid w:val="002D1341"/>
    <w:rsid w:val="002D48B0"/>
    <w:rsid w:val="002D59DA"/>
    <w:rsid w:val="002D6ABA"/>
    <w:rsid w:val="002D6E67"/>
    <w:rsid w:val="002D6EA8"/>
    <w:rsid w:val="002D7E93"/>
    <w:rsid w:val="002E5CDB"/>
    <w:rsid w:val="002F68AE"/>
    <w:rsid w:val="00302A49"/>
    <w:rsid w:val="00305E1D"/>
    <w:rsid w:val="00321B88"/>
    <w:rsid w:val="003232C3"/>
    <w:rsid w:val="00324A2B"/>
    <w:rsid w:val="00324C1B"/>
    <w:rsid w:val="00325BB2"/>
    <w:rsid w:val="00331DE9"/>
    <w:rsid w:val="00332254"/>
    <w:rsid w:val="003324C6"/>
    <w:rsid w:val="003432AD"/>
    <w:rsid w:val="0034382B"/>
    <w:rsid w:val="00343D56"/>
    <w:rsid w:val="003467D7"/>
    <w:rsid w:val="00351DFC"/>
    <w:rsid w:val="0035516D"/>
    <w:rsid w:val="00355CAF"/>
    <w:rsid w:val="00357FD0"/>
    <w:rsid w:val="0037065B"/>
    <w:rsid w:val="0037545D"/>
    <w:rsid w:val="00382755"/>
    <w:rsid w:val="00382B53"/>
    <w:rsid w:val="00384F35"/>
    <w:rsid w:val="00386FF0"/>
    <w:rsid w:val="00395EF1"/>
    <w:rsid w:val="003A4265"/>
    <w:rsid w:val="003B3CF0"/>
    <w:rsid w:val="003B5A50"/>
    <w:rsid w:val="003C14E3"/>
    <w:rsid w:val="003C52E8"/>
    <w:rsid w:val="003C7A80"/>
    <w:rsid w:val="003D03E1"/>
    <w:rsid w:val="003D4104"/>
    <w:rsid w:val="003E20FA"/>
    <w:rsid w:val="003E2AB4"/>
    <w:rsid w:val="003E6CAA"/>
    <w:rsid w:val="003E7C77"/>
    <w:rsid w:val="00405445"/>
    <w:rsid w:val="00405E67"/>
    <w:rsid w:val="0040782B"/>
    <w:rsid w:val="004121E7"/>
    <w:rsid w:val="00416406"/>
    <w:rsid w:val="00421EBC"/>
    <w:rsid w:val="004226CF"/>
    <w:rsid w:val="00426289"/>
    <w:rsid w:val="00432D45"/>
    <w:rsid w:val="0043566C"/>
    <w:rsid w:val="004433E3"/>
    <w:rsid w:val="004464D9"/>
    <w:rsid w:val="00446514"/>
    <w:rsid w:val="00454720"/>
    <w:rsid w:val="004619F6"/>
    <w:rsid w:val="00462068"/>
    <w:rsid w:val="004679BB"/>
    <w:rsid w:val="00470695"/>
    <w:rsid w:val="00474041"/>
    <w:rsid w:val="00476F9F"/>
    <w:rsid w:val="00480696"/>
    <w:rsid w:val="004845E3"/>
    <w:rsid w:val="00486374"/>
    <w:rsid w:val="0049737D"/>
    <w:rsid w:val="004A1A45"/>
    <w:rsid w:val="004A5D6A"/>
    <w:rsid w:val="004B6098"/>
    <w:rsid w:val="004B6ED4"/>
    <w:rsid w:val="004C0DA3"/>
    <w:rsid w:val="004C1FF9"/>
    <w:rsid w:val="004C20A2"/>
    <w:rsid w:val="004D203F"/>
    <w:rsid w:val="004D469F"/>
    <w:rsid w:val="004D6900"/>
    <w:rsid w:val="004E7C2B"/>
    <w:rsid w:val="00501775"/>
    <w:rsid w:val="00504227"/>
    <w:rsid w:val="00505A22"/>
    <w:rsid w:val="0052087F"/>
    <w:rsid w:val="00520EDB"/>
    <w:rsid w:val="005220AA"/>
    <w:rsid w:val="00534FE3"/>
    <w:rsid w:val="00540AEC"/>
    <w:rsid w:val="0054493C"/>
    <w:rsid w:val="005452C1"/>
    <w:rsid w:val="00546F76"/>
    <w:rsid w:val="0055245E"/>
    <w:rsid w:val="005577B0"/>
    <w:rsid w:val="0056293F"/>
    <w:rsid w:val="00562B70"/>
    <w:rsid w:val="00570887"/>
    <w:rsid w:val="0058789D"/>
    <w:rsid w:val="005914ED"/>
    <w:rsid w:val="005918B7"/>
    <w:rsid w:val="00595E96"/>
    <w:rsid w:val="005A37E8"/>
    <w:rsid w:val="005A3AE9"/>
    <w:rsid w:val="005A44C8"/>
    <w:rsid w:val="005A44F2"/>
    <w:rsid w:val="005A5A21"/>
    <w:rsid w:val="005A5AA9"/>
    <w:rsid w:val="005A78C4"/>
    <w:rsid w:val="005B124C"/>
    <w:rsid w:val="005B26EB"/>
    <w:rsid w:val="005C03C2"/>
    <w:rsid w:val="005C08A3"/>
    <w:rsid w:val="005C36B6"/>
    <w:rsid w:val="005D3DD7"/>
    <w:rsid w:val="005E1E02"/>
    <w:rsid w:val="005F2F29"/>
    <w:rsid w:val="005F373B"/>
    <w:rsid w:val="005F3C38"/>
    <w:rsid w:val="005F3E79"/>
    <w:rsid w:val="005F6133"/>
    <w:rsid w:val="005F6FC1"/>
    <w:rsid w:val="00605C0A"/>
    <w:rsid w:val="00612F8E"/>
    <w:rsid w:val="006210F8"/>
    <w:rsid w:val="006253C0"/>
    <w:rsid w:val="006268D7"/>
    <w:rsid w:val="006412B4"/>
    <w:rsid w:val="00645F07"/>
    <w:rsid w:val="006531BD"/>
    <w:rsid w:val="00654BC5"/>
    <w:rsid w:val="00655BF0"/>
    <w:rsid w:val="00661E16"/>
    <w:rsid w:val="0066517C"/>
    <w:rsid w:val="0066558D"/>
    <w:rsid w:val="0067015A"/>
    <w:rsid w:val="0068134B"/>
    <w:rsid w:val="006874EF"/>
    <w:rsid w:val="006A017A"/>
    <w:rsid w:val="006A080A"/>
    <w:rsid w:val="006A3C72"/>
    <w:rsid w:val="006B79C9"/>
    <w:rsid w:val="006C4453"/>
    <w:rsid w:val="006C594A"/>
    <w:rsid w:val="006D3132"/>
    <w:rsid w:val="006D5390"/>
    <w:rsid w:val="006E0FF6"/>
    <w:rsid w:val="006E5E47"/>
    <w:rsid w:val="006E7284"/>
    <w:rsid w:val="006F271D"/>
    <w:rsid w:val="006F4935"/>
    <w:rsid w:val="006F4E83"/>
    <w:rsid w:val="006F650A"/>
    <w:rsid w:val="00702733"/>
    <w:rsid w:val="00703052"/>
    <w:rsid w:val="00703B50"/>
    <w:rsid w:val="00704450"/>
    <w:rsid w:val="00704890"/>
    <w:rsid w:val="00705ACC"/>
    <w:rsid w:val="00710360"/>
    <w:rsid w:val="00710C67"/>
    <w:rsid w:val="00711DBD"/>
    <w:rsid w:val="0071247A"/>
    <w:rsid w:val="007129AA"/>
    <w:rsid w:val="007137BA"/>
    <w:rsid w:val="00714909"/>
    <w:rsid w:val="00716FA6"/>
    <w:rsid w:val="00721322"/>
    <w:rsid w:val="00730B28"/>
    <w:rsid w:val="00731408"/>
    <w:rsid w:val="0073228F"/>
    <w:rsid w:val="00736BF2"/>
    <w:rsid w:val="00736ECC"/>
    <w:rsid w:val="00742095"/>
    <w:rsid w:val="00744719"/>
    <w:rsid w:val="007454BE"/>
    <w:rsid w:val="00750CFC"/>
    <w:rsid w:val="00754936"/>
    <w:rsid w:val="00755B59"/>
    <w:rsid w:val="007571D6"/>
    <w:rsid w:val="0075791F"/>
    <w:rsid w:val="0076099F"/>
    <w:rsid w:val="00762992"/>
    <w:rsid w:val="00780F0F"/>
    <w:rsid w:val="0078221D"/>
    <w:rsid w:val="00792A8F"/>
    <w:rsid w:val="00796CC8"/>
    <w:rsid w:val="007A040B"/>
    <w:rsid w:val="007A1030"/>
    <w:rsid w:val="007A36E8"/>
    <w:rsid w:val="007B15F4"/>
    <w:rsid w:val="007B1FBC"/>
    <w:rsid w:val="007C06EB"/>
    <w:rsid w:val="007C5CAF"/>
    <w:rsid w:val="007D2A7A"/>
    <w:rsid w:val="007D507B"/>
    <w:rsid w:val="007D587D"/>
    <w:rsid w:val="007D7B40"/>
    <w:rsid w:val="007E4A1B"/>
    <w:rsid w:val="007E5243"/>
    <w:rsid w:val="007F2935"/>
    <w:rsid w:val="007F33F4"/>
    <w:rsid w:val="007F3679"/>
    <w:rsid w:val="007F6B79"/>
    <w:rsid w:val="00801E5B"/>
    <w:rsid w:val="008141F3"/>
    <w:rsid w:val="00816218"/>
    <w:rsid w:val="0081730B"/>
    <w:rsid w:val="008208D8"/>
    <w:rsid w:val="00820A6C"/>
    <w:rsid w:val="00824567"/>
    <w:rsid w:val="00826D53"/>
    <w:rsid w:val="008361AF"/>
    <w:rsid w:val="0084148D"/>
    <w:rsid w:val="0084261C"/>
    <w:rsid w:val="0084371C"/>
    <w:rsid w:val="00846565"/>
    <w:rsid w:val="00846DC0"/>
    <w:rsid w:val="00847BEB"/>
    <w:rsid w:val="00851EA8"/>
    <w:rsid w:val="00854B25"/>
    <w:rsid w:val="00854D43"/>
    <w:rsid w:val="008561A3"/>
    <w:rsid w:val="0086077F"/>
    <w:rsid w:val="00863EA3"/>
    <w:rsid w:val="00866A3F"/>
    <w:rsid w:val="00872129"/>
    <w:rsid w:val="00872500"/>
    <w:rsid w:val="00876EFC"/>
    <w:rsid w:val="00881561"/>
    <w:rsid w:val="00883342"/>
    <w:rsid w:val="00885003"/>
    <w:rsid w:val="008941F3"/>
    <w:rsid w:val="008A307D"/>
    <w:rsid w:val="008A3103"/>
    <w:rsid w:val="008A365C"/>
    <w:rsid w:val="008A5D4A"/>
    <w:rsid w:val="008A6CEC"/>
    <w:rsid w:val="008A6E34"/>
    <w:rsid w:val="008A7066"/>
    <w:rsid w:val="008A7BA2"/>
    <w:rsid w:val="008B59CE"/>
    <w:rsid w:val="008B5C19"/>
    <w:rsid w:val="008C4327"/>
    <w:rsid w:val="008C6246"/>
    <w:rsid w:val="008C7961"/>
    <w:rsid w:val="008C7C5D"/>
    <w:rsid w:val="008D002C"/>
    <w:rsid w:val="008D2805"/>
    <w:rsid w:val="008E149A"/>
    <w:rsid w:val="008E298D"/>
    <w:rsid w:val="008E4137"/>
    <w:rsid w:val="008F0A55"/>
    <w:rsid w:val="008F12B5"/>
    <w:rsid w:val="008F3C32"/>
    <w:rsid w:val="008F5F87"/>
    <w:rsid w:val="009014F0"/>
    <w:rsid w:val="00914A56"/>
    <w:rsid w:val="00921D1B"/>
    <w:rsid w:val="00923780"/>
    <w:rsid w:val="00931945"/>
    <w:rsid w:val="00934836"/>
    <w:rsid w:val="00943A1C"/>
    <w:rsid w:val="0094407C"/>
    <w:rsid w:val="00945402"/>
    <w:rsid w:val="009528F0"/>
    <w:rsid w:val="009534FB"/>
    <w:rsid w:val="009557AC"/>
    <w:rsid w:val="0096007C"/>
    <w:rsid w:val="00963725"/>
    <w:rsid w:val="009666FF"/>
    <w:rsid w:val="009674B6"/>
    <w:rsid w:val="00971F7F"/>
    <w:rsid w:val="00974D05"/>
    <w:rsid w:val="00986058"/>
    <w:rsid w:val="009863FA"/>
    <w:rsid w:val="0099056A"/>
    <w:rsid w:val="00990C5F"/>
    <w:rsid w:val="009924C4"/>
    <w:rsid w:val="00996AF9"/>
    <w:rsid w:val="009A3B08"/>
    <w:rsid w:val="009A3F39"/>
    <w:rsid w:val="009A3FEE"/>
    <w:rsid w:val="009A46DB"/>
    <w:rsid w:val="009A735B"/>
    <w:rsid w:val="009A7BB6"/>
    <w:rsid w:val="009B6546"/>
    <w:rsid w:val="009C1D03"/>
    <w:rsid w:val="009C2E40"/>
    <w:rsid w:val="009D2938"/>
    <w:rsid w:val="009D460F"/>
    <w:rsid w:val="009E28B1"/>
    <w:rsid w:val="009E6855"/>
    <w:rsid w:val="009F4F1D"/>
    <w:rsid w:val="009F67C1"/>
    <w:rsid w:val="00A00A54"/>
    <w:rsid w:val="00A00FEA"/>
    <w:rsid w:val="00A02E32"/>
    <w:rsid w:val="00A06F7B"/>
    <w:rsid w:val="00A07567"/>
    <w:rsid w:val="00A15E86"/>
    <w:rsid w:val="00A1612B"/>
    <w:rsid w:val="00A226B5"/>
    <w:rsid w:val="00A27040"/>
    <w:rsid w:val="00A334CA"/>
    <w:rsid w:val="00A34EA0"/>
    <w:rsid w:val="00A36538"/>
    <w:rsid w:val="00A40981"/>
    <w:rsid w:val="00A55AD5"/>
    <w:rsid w:val="00A57381"/>
    <w:rsid w:val="00A61DA5"/>
    <w:rsid w:val="00A65A90"/>
    <w:rsid w:val="00A66FB3"/>
    <w:rsid w:val="00A671AA"/>
    <w:rsid w:val="00A70890"/>
    <w:rsid w:val="00A71206"/>
    <w:rsid w:val="00A8035A"/>
    <w:rsid w:val="00A80C93"/>
    <w:rsid w:val="00A847C9"/>
    <w:rsid w:val="00A85BB9"/>
    <w:rsid w:val="00A924C0"/>
    <w:rsid w:val="00AA3FE5"/>
    <w:rsid w:val="00AB10FE"/>
    <w:rsid w:val="00AB4625"/>
    <w:rsid w:val="00AC56BF"/>
    <w:rsid w:val="00AC57FB"/>
    <w:rsid w:val="00AD2777"/>
    <w:rsid w:val="00AD42D2"/>
    <w:rsid w:val="00AD45A3"/>
    <w:rsid w:val="00AE258B"/>
    <w:rsid w:val="00AE5D31"/>
    <w:rsid w:val="00AE7812"/>
    <w:rsid w:val="00AF1BAB"/>
    <w:rsid w:val="00AF3F97"/>
    <w:rsid w:val="00AF4637"/>
    <w:rsid w:val="00AF7068"/>
    <w:rsid w:val="00B1133A"/>
    <w:rsid w:val="00B11F49"/>
    <w:rsid w:val="00B144CF"/>
    <w:rsid w:val="00B21B84"/>
    <w:rsid w:val="00B21BF4"/>
    <w:rsid w:val="00B239FA"/>
    <w:rsid w:val="00B240AC"/>
    <w:rsid w:val="00B25AB3"/>
    <w:rsid w:val="00B31B60"/>
    <w:rsid w:val="00B364C7"/>
    <w:rsid w:val="00B41B0F"/>
    <w:rsid w:val="00B43738"/>
    <w:rsid w:val="00B51107"/>
    <w:rsid w:val="00B53FDD"/>
    <w:rsid w:val="00B554AA"/>
    <w:rsid w:val="00B57CC8"/>
    <w:rsid w:val="00B61486"/>
    <w:rsid w:val="00B6649D"/>
    <w:rsid w:val="00B716C0"/>
    <w:rsid w:val="00B73903"/>
    <w:rsid w:val="00B76D01"/>
    <w:rsid w:val="00B80F69"/>
    <w:rsid w:val="00B8637A"/>
    <w:rsid w:val="00B90547"/>
    <w:rsid w:val="00B9144F"/>
    <w:rsid w:val="00B95113"/>
    <w:rsid w:val="00BA0742"/>
    <w:rsid w:val="00BA3D1F"/>
    <w:rsid w:val="00BA5B6E"/>
    <w:rsid w:val="00BA6AE3"/>
    <w:rsid w:val="00BB2D73"/>
    <w:rsid w:val="00BB38DF"/>
    <w:rsid w:val="00BB3D72"/>
    <w:rsid w:val="00BB5882"/>
    <w:rsid w:val="00BB5ABD"/>
    <w:rsid w:val="00BB604E"/>
    <w:rsid w:val="00BC2C05"/>
    <w:rsid w:val="00BC407B"/>
    <w:rsid w:val="00BC5B1F"/>
    <w:rsid w:val="00BC61A5"/>
    <w:rsid w:val="00BC6E78"/>
    <w:rsid w:val="00BD05BC"/>
    <w:rsid w:val="00BD2759"/>
    <w:rsid w:val="00BD2A37"/>
    <w:rsid w:val="00BD3915"/>
    <w:rsid w:val="00BD41CA"/>
    <w:rsid w:val="00BD6513"/>
    <w:rsid w:val="00BD685D"/>
    <w:rsid w:val="00BE076E"/>
    <w:rsid w:val="00BE7FB2"/>
    <w:rsid w:val="00BF083A"/>
    <w:rsid w:val="00BF2A51"/>
    <w:rsid w:val="00BF38C4"/>
    <w:rsid w:val="00C00849"/>
    <w:rsid w:val="00C04AD0"/>
    <w:rsid w:val="00C10452"/>
    <w:rsid w:val="00C1737B"/>
    <w:rsid w:val="00C20317"/>
    <w:rsid w:val="00C22B56"/>
    <w:rsid w:val="00C23AF4"/>
    <w:rsid w:val="00C2592C"/>
    <w:rsid w:val="00C43CF8"/>
    <w:rsid w:val="00C515AE"/>
    <w:rsid w:val="00C5233F"/>
    <w:rsid w:val="00C57001"/>
    <w:rsid w:val="00C575BD"/>
    <w:rsid w:val="00C6602A"/>
    <w:rsid w:val="00C666E0"/>
    <w:rsid w:val="00C679D5"/>
    <w:rsid w:val="00C70549"/>
    <w:rsid w:val="00C80E35"/>
    <w:rsid w:val="00C829CF"/>
    <w:rsid w:val="00C848B7"/>
    <w:rsid w:val="00C94C34"/>
    <w:rsid w:val="00CA07C8"/>
    <w:rsid w:val="00CA2D97"/>
    <w:rsid w:val="00CA6F93"/>
    <w:rsid w:val="00CB202B"/>
    <w:rsid w:val="00CB28A8"/>
    <w:rsid w:val="00CC09CC"/>
    <w:rsid w:val="00CD04FF"/>
    <w:rsid w:val="00CE1B39"/>
    <w:rsid w:val="00CE4B97"/>
    <w:rsid w:val="00CF304A"/>
    <w:rsid w:val="00CF3DB0"/>
    <w:rsid w:val="00CF78AD"/>
    <w:rsid w:val="00D0299D"/>
    <w:rsid w:val="00D05335"/>
    <w:rsid w:val="00D06E69"/>
    <w:rsid w:val="00D12F14"/>
    <w:rsid w:val="00D142D4"/>
    <w:rsid w:val="00D211B2"/>
    <w:rsid w:val="00D24D87"/>
    <w:rsid w:val="00D31BD1"/>
    <w:rsid w:val="00D32C13"/>
    <w:rsid w:val="00D443C7"/>
    <w:rsid w:val="00D444A3"/>
    <w:rsid w:val="00D46B68"/>
    <w:rsid w:val="00D50C98"/>
    <w:rsid w:val="00D53BF2"/>
    <w:rsid w:val="00D60788"/>
    <w:rsid w:val="00D6128E"/>
    <w:rsid w:val="00D61478"/>
    <w:rsid w:val="00D706B1"/>
    <w:rsid w:val="00D71223"/>
    <w:rsid w:val="00D71604"/>
    <w:rsid w:val="00D73BF8"/>
    <w:rsid w:val="00D7481D"/>
    <w:rsid w:val="00D74E05"/>
    <w:rsid w:val="00D75971"/>
    <w:rsid w:val="00D766C0"/>
    <w:rsid w:val="00D7689C"/>
    <w:rsid w:val="00D77714"/>
    <w:rsid w:val="00D806E6"/>
    <w:rsid w:val="00D82F65"/>
    <w:rsid w:val="00D9132C"/>
    <w:rsid w:val="00D914A1"/>
    <w:rsid w:val="00DA34F6"/>
    <w:rsid w:val="00DA4469"/>
    <w:rsid w:val="00DC0E32"/>
    <w:rsid w:val="00DC28EE"/>
    <w:rsid w:val="00DC639E"/>
    <w:rsid w:val="00DC7704"/>
    <w:rsid w:val="00DD1DC0"/>
    <w:rsid w:val="00DD761D"/>
    <w:rsid w:val="00DE62A6"/>
    <w:rsid w:val="00DE62C0"/>
    <w:rsid w:val="00DE7C7D"/>
    <w:rsid w:val="00DF6384"/>
    <w:rsid w:val="00E00916"/>
    <w:rsid w:val="00E01D50"/>
    <w:rsid w:val="00E02454"/>
    <w:rsid w:val="00E05B32"/>
    <w:rsid w:val="00E06E77"/>
    <w:rsid w:val="00E123ED"/>
    <w:rsid w:val="00E13C5D"/>
    <w:rsid w:val="00E15FF9"/>
    <w:rsid w:val="00E16137"/>
    <w:rsid w:val="00E163C2"/>
    <w:rsid w:val="00E1701B"/>
    <w:rsid w:val="00E20C6D"/>
    <w:rsid w:val="00E2375C"/>
    <w:rsid w:val="00E25BCD"/>
    <w:rsid w:val="00E27677"/>
    <w:rsid w:val="00E315A3"/>
    <w:rsid w:val="00E4581E"/>
    <w:rsid w:val="00E46BD9"/>
    <w:rsid w:val="00E4756B"/>
    <w:rsid w:val="00E4774D"/>
    <w:rsid w:val="00E5127A"/>
    <w:rsid w:val="00E51FD7"/>
    <w:rsid w:val="00E6088F"/>
    <w:rsid w:val="00E67CBB"/>
    <w:rsid w:val="00E71D8A"/>
    <w:rsid w:val="00E73381"/>
    <w:rsid w:val="00E74C55"/>
    <w:rsid w:val="00E82CDA"/>
    <w:rsid w:val="00E85D99"/>
    <w:rsid w:val="00E86AF6"/>
    <w:rsid w:val="00E907EE"/>
    <w:rsid w:val="00E95882"/>
    <w:rsid w:val="00E97D5B"/>
    <w:rsid w:val="00EA034D"/>
    <w:rsid w:val="00EA0454"/>
    <w:rsid w:val="00EA665B"/>
    <w:rsid w:val="00EA72C7"/>
    <w:rsid w:val="00EA77C8"/>
    <w:rsid w:val="00EB29A3"/>
    <w:rsid w:val="00EC03E1"/>
    <w:rsid w:val="00EC03FC"/>
    <w:rsid w:val="00EC140F"/>
    <w:rsid w:val="00EC2E19"/>
    <w:rsid w:val="00EC3839"/>
    <w:rsid w:val="00EC4E5A"/>
    <w:rsid w:val="00ED1019"/>
    <w:rsid w:val="00ED6FCB"/>
    <w:rsid w:val="00EE0737"/>
    <w:rsid w:val="00EE4430"/>
    <w:rsid w:val="00EE4564"/>
    <w:rsid w:val="00F00F08"/>
    <w:rsid w:val="00F01243"/>
    <w:rsid w:val="00F01818"/>
    <w:rsid w:val="00F01AFA"/>
    <w:rsid w:val="00F03896"/>
    <w:rsid w:val="00F154DA"/>
    <w:rsid w:val="00F15D05"/>
    <w:rsid w:val="00F22351"/>
    <w:rsid w:val="00F233CF"/>
    <w:rsid w:val="00F25BB3"/>
    <w:rsid w:val="00F25F88"/>
    <w:rsid w:val="00F274F4"/>
    <w:rsid w:val="00F321CE"/>
    <w:rsid w:val="00F32E77"/>
    <w:rsid w:val="00F3691E"/>
    <w:rsid w:val="00F378AE"/>
    <w:rsid w:val="00F46A8C"/>
    <w:rsid w:val="00F47B96"/>
    <w:rsid w:val="00F5226C"/>
    <w:rsid w:val="00F650C4"/>
    <w:rsid w:val="00F655BE"/>
    <w:rsid w:val="00F65E6C"/>
    <w:rsid w:val="00F7357A"/>
    <w:rsid w:val="00F75377"/>
    <w:rsid w:val="00F774E4"/>
    <w:rsid w:val="00F8050E"/>
    <w:rsid w:val="00F85A75"/>
    <w:rsid w:val="00F860C9"/>
    <w:rsid w:val="00F8658D"/>
    <w:rsid w:val="00F929C9"/>
    <w:rsid w:val="00F92B71"/>
    <w:rsid w:val="00F947F1"/>
    <w:rsid w:val="00F96055"/>
    <w:rsid w:val="00FA38D5"/>
    <w:rsid w:val="00FA4439"/>
    <w:rsid w:val="00FA690C"/>
    <w:rsid w:val="00FB74A5"/>
    <w:rsid w:val="00FC3CD4"/>
    <w:rsid w:val="00FD0268"/>
    <w:rsid w:val="00FD2DED"/>
    <w:rsid w:val="00FE4557"/>
    <w:rsid w:val="00FF1B09"/>
    <w:rsid w:val="00FF554F"/>
    <w:rsid w:val="00FF65C7"/>
    <w:rsid w:val="01D134FA"/>
    <w:rsid w:val="02B62AFF"/>
    <w:rsid w:val="02E336A6"/>
    <w:rsid w:val="032543C3"/>
    <w:rsid w:val="043A3747"/>
    <w:rsid w:val="05145C6D"/>
    <w:rsid w:val="05A30A30"/>
    <w:rsid w:val="07AD40C1"/>
    <w:rsid w:val="08314CF2"/>
    <w:rsid w:val="08554B30"/>
    <w:rsid w:val="0C6079D8"/>
    <w:rsid w:val="0DBA4C90"/>
    <w:rsid w:val="0DF261D4"/>
    <w:rsid w:val="0E5C4BAB"/>
    <w:rsid w:val="0E6331E7"/>
    <w:rsid w:val="0EF53BC4"/>
    <w:rsid w:val="0FAF054E"/>
    <w:rsid w:val="103E7FAD"/>
    <w:rsid w:val="10433298"/>
    <w:rsid w:val="11520737"/>
    <w:rsid w:val="12610AFB"/>
    <w:rsid w:val="13070B2A"/>
    <w:rsid w:val="131274CE"/>
    <w:rsid w:val="1355202B"/>
    <w:rsid w:val="136E7CFB"/>
    <w:rsid w:val="13BA6ECD"/>
    <w:rsid w:val="14DC5FE6"/>
    <w:rsid w:val="15C416E2"/>
    <w:rsid w:val="16B105AC"/>
    <w:rsid w:val="16BD3DD9"/>
    <w:rsid w:val="1716408D"/>
    <w:rsid w:val="17A138BF"/>
    <w:rsid w:val="180B680D"/>
    <w:rsid w:val="181628F9"/>
    <w:rsid w:val="189270E7"/>
    <w:rsid w:val="1B896D16"/>
    <w:rsid w:val="1C872CDB"/>
    <w:rsid w:val="1C964336"/>
    <w:rsid w:val="1D663E3C"/>
    <w:rsid w:val="1D9A7CDD"/>
    <w:rsid w:val="1E346D17"/>
    <w:rsid w:val="1EA3148E"/>
    <w:rsid w:val="1F9000F9"/>
    <w:rsid w:val="1FD60202"/>
    <w:rsid w:val="201605FE"/>
    <w:rsid w:val="20985E0B"/>
    <w:rsid w:val="20F052F3"/>
    <w:rsid w:val="210F75CC"/>
    <w:rsid w:val="212D52BF"/>
    <w:rsid w:val="22450ABA"/>
    <w:rsid w:val="22530344"/>
    <w:rsid w:val="225B3E34"/>
    <w:rsid w:val="234B2E7A"/>
    <w:rsid w:val="239D2DE4"/>
    <w:rsid w:val="23F81D22"/>
    <w:rsid w:val="241052FE"/>
    <w:rsid w:val="245B565F"/>
    <w:rsid w:val="25A0381A"/>
    <w:rsid w:val="26846160"/>
    <w:rsid w:val="27465883"/>
    <w:rsid w:val="27587B28"/>
    <w:rsid w:val="276F1207"/>
    <w:rsid w:val="277E0B37"/>
    <w:rsid w:val="29594129"/>
    <w:rsid w:val="297A286D"/>
    <w:rsid w:val="29F37C02"/>
    <w:rsid w:val="29FC2A03"/>
    <w:rsid w:val="2A4828F5"/>
    <w:rsid w:val="2B4F03BE"/>
    <w:rsid w:val="2C197925"/>
    <w:rsid w:val="2C1C26F1"/>
    <w:rsid w:val="2CCE2C31"/>
    <w:rsid w:val="2CFD758E"/>
    <w:rsid w:val="2D0068BE"/>
    <w:rsid w:val="2EF15A00"/>
    <w:rsid w:val="2F3458B1"/>
    <w:rsid w:val="2FB05F21"/>
    <w:rsid w:val="30446AC1"/>
    <w:rsid w:val="30D00948"/>
    <w:rsid w:val="311D1A88"/>
    <w:rsid w:val="31860436"/>
    <w:rsid w:val="31CD2150"/>
    <w:rsid w:val="320A3D3B"/>
    <w:rsid w:val="33473195"/>
    <w:rsid w:val="33E34664"/>
    <w:rsid w:val="34213390"/>
    <w:rsid w:val="35407D26"/>
    <w:rsid w:val="354E655F"/>
    <w:rsid w:val="35B37FAF"/>
    <w:rsid w:val="362A675A"/>
    <w:rsid w:val="36CB6E86"/>
    <w:rsid w:val="38170D74"/>
    <w:rsid w:val="38591265"/>
    <w:rsid w:val="3B5C5B21"/>
    <w:rsid w:val="3BF9539A"/>
    <w:rsid w:val="3C447E49"/>
    <w:rsid w:val="3D941711"/>
    <w:rsid w:val="405C142D"/>
    <w:rsid w:val="40AC0798"/>
    <w:rsid w:val="4150298D"/>
    <w:rsid w:val="41CB669E"/>
    <w:rsid w:val="42481EEE"/>
    <w:rsid w:val="42CB3072"/>
    <w:rsid w:val="42FE0D65"/>
    <w:rsid w:val="45016903"/>
    <w:rsid w:val="463A50D8"/>
    <w:rsid w:val="46E97498"/>
    <w:rsid w:val="47154B28"/>
    <w:rsid w:val="483E74AC"/>
    <w:rsid w:val="48750891"/>
    <w:rsid w:val="4A4A0D02"/>
    <w:rsid w:val="4A867F1F"/>
    <w:rsid w:val="4B95030D"/>
    <w:rsid w:val="4C5C2F8D"/>
    <w:rsid w:val="4C6D60C5"/>
    <w:rsid w:val="4CA010CC"/>
    <w:rsid w:val="4CFB24FB"/>
    <w:rsid w:val="4D700107"/>
    <w:rsid w:val="4DC04C80"/>
    <w:rsid w:val="4E393F94"/>
    <w:rsid w:val="4E3E294A"/>
    <w:rsid w:val="4EB8375D"/>
    <w:rsid w:val="4F33280F"/>
    <w:rsid w:val="4F7B77BF"/>
    <w:rsid w:val="50244E82"/>
    <w:rsid w:val="50AD3DB7"/>
    <w:rsid w:val="538F3C48"/>
    <w:rsid w:val="539F032F"/>
    <w:rsid w:val="540B3A65"/>
    <w:rsid w:val="54831FE9"/>
    <w:rsid w:val="55497245"/>
    <w:rsid w:val="55722772"/>
    <w:rsid w:val="56CB4600"/>
    <w:rsid w:val="56D26326"/>
    <w:rsid w:val="56ED4269"/>
    <w:rsid w:val="57452F9B"/>
    <w:rsid w:val="578329AB"/>
    <w:rsid w:val="57842AAA"/>
    <w:rsid w:val="588A0FB2"/>
    <w:rsid w:val="59617DBC"/>
    <w:rsid w:val="59B91A1F"/>
    <w:rsid w:val="59BD1AED"/>
    <w:rsid w:val="5A3B6389"/>
    <w:rsid w:val="5AC71F19"/>
    <w:rsid w:val="5B8322E4"/>
    <w:rsid w:val="5BE508A9"/>
    <w:rsid w:val="5C3747E5"/>
    <w:rsid w:val="5CFA4828"/>
    <w:rsid w:val="5D7874FB"/>
    <w:rsid w:val="5E524F12"/>
    <w:rsid w:val="5E575EAB"/>
    <w:rsid w:val="5E696E63"/>
    <w:rsid w:val="5F31180B"/>
    <w:rsid w:val="5FF17AF7"/>
    <w:rsid w:val="606F72DB"/>
    <w:rsid w:val="61612C83"/>
    <w:rsid w:val="616F2239"/>
    <w:rsid w:val="61C5391B"/>
    <w:rsid w:val="63471E49"/>
    <w:rsid w:val="63C6093E"/>
    <w:rsid w:val="63F21DB5"/>
    <w:rsid w:val="64B450F5"/>
    <w:rsid w:val="65660807"/>
    <w:rsid w:val="65925D94"/>
    <w:rsid w:val="65B31A18"/>
    <w:rsid w:val="6617798C"/>
    <w:rsid w:val="66C043ED"/>
    <w:rsid w:val="67136C12"/>
    <w:rsid w:val="67167800"/>
    <w:rsid w:val="67191D4F"/>
    <w:rsid w:val="67A3376A"/>
    <w:rsid w:val="67FA5148"/>
    <w:rsid w:val="69660D76"/>
    <w:rsid w:val="69A073C8"/>
    <w:rsid w:val="6A3824EC"/>
    <w:rsid w:val="6A510CF2"/>
    <w:rsid w:val="6A923599"/>
    <w:rsid w:val="6BA01CC0"/>
    <w:rsid w:val="6BF52CBB"/>
    <w:rsid w:val="6D29027F"/>
    <w:rsid w:val="6DD62748"/>
    <w:rsid w:val="6E16292A"/>
    <w:rsid w:val="6EEC1160"/>
    <w:rsid w:val="6F173018"/>
    <w:rsid w:val="6F187B60"/>
    <w:rsid w:val="6F435BBB"/>
    <w:rsid w:val="6F4446A3"/>
    <w:rsid w:val="70DB74A5"/>
    <w:rsid w:val="71002299"/>
    <w:rsid w:val="71573514"/>
    <w:rsid w:val="718117FC"/>
    <w:rsid w:val="71CC25BE"/>
    <w:rsid w:val="725345E8"/>
    <w:rsid w:val="726241D7"/>
    <w:rsid w:val="72861B25"/>
    <w:rsid w:val="72FC56B6"/>
    <w:rsid w:val="73773A7A"/>
    <w:rsid w:val="74470B0B"/>
    <w:rsid w:val="74475954"/>
    <w:rsid w:val="751D0C5C"/>
    <w:rsid w:val="75C573A4"/>
    <w:rsid w:val="7614205F"/>
    <w:rsid w:val="76171CE3"/>
    <w:rsid w:val="767E4D94"/>
    <w:rsid w:val="76B92C06"/>
    <w:rsid w:val="78297377"/>
    <w:rsid w:val="78A92684"/>
    <w:rsid w:val="78E92F32"/>
    <w:rsid w:val="798679EA"/>
    <w:rsid w:val="79B82EBF"/>
    <w:rsid w:val="7A30625E"/>
    <w:rsid w:val="7A790531"/>
    <w:rsid w:val="7AD91DAC"/>
    <w:rsid w:val="7B0C77A9"/>
    <w:rsid w:val="7B690757"/>
    <w:rsid w:val="7B7706C9"/>
    <w:rsid w:val="7BAF59EF"/>
    <w:rsid w:val="7C130823"/>
    <w:rsid w:val="7D016B7E"/>
    <w:rsid w:val="7D1E3617"/>
    <w:rsid w:val="7F71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0"/>
    <w:pPr>
      <w:keepNext/>
      <w:keepLines/>
      <w:spacing w:before="340" w:after="330" w:line="576" w:lineRule="auto"/>
      <w:outlineLvl w:val="0"/>
    </w:pPr>
    <w:rPr>
      <w:rFonts w:ascii="Times New Roman" w:hAnsi="Times New Roman"/>
      <w:b/>
      <w:kern w:val="44"/>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1"/>
    <w:pPr>
      <w:spacing w:before="157"/>
      <w:ind w:left="120"/>
    </w:pPr>
    <w:rPr>
      <w:rFonts w:ascii="宋体" w:hAnsi="宋体" w:eastAsia="宋体"/>
      <w:b/>
      <w:bCs/>
      <w:sz w:val="24"/>
      <w:szCs w:val="24"/>
    </w:rPr>
  </w:style>
  <w:style w:type="paragraph" w:styleId="4">
    <w:name w:val="Document Map"/>
    <w:basedOn w:val="1"/>
    <w:link w:val="26"/>
    <w:qFormat/>
    <w:uiPriority w:val="0"/>
    <w:rPr>
      <w:rFonts w:ascii="宋体"/>
      <w:sz w:val="18"/>
      <w:szCs w:val="18"/>
    </w:rPr>
  </w:style>
  <w:style w:type="paragraph" w:styleId="5">
    <w:name w:val="annotation text"/>
    <w:basedOn w:val="1"/>
    <w:link w:val="24"/>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Plain Text"/>
    <w:basedOn w:val="1"/>
    <w:link w:val="28"/>
    <w:qFormat/>
    <w:uiPriority w:val="0"/>
    <w:pPr>
      <w:spacing w:line="580" w:lineRule="exact"/>
      <w:ind w:right="-197" w:firstLine="560" w:firstLineChars="200"/>
    </w:pPr>
    <w:rPr>
      <w:rFonts w:ascii="黑体" w:hAnsi="Courier New" w:eastAsia="黑体"/>
      <w:sz w:val="28"/>
      <w:szCs w:val="20"/>
    </w:rPr>
  </w:style>
  <w:style w:type="paragraph" w:styleId="9">
    <w:name w:val="Date"/>
    <w:basedOn w:val="1"/>
    <w:next w:val="1"/>
    <w:link w:val="49"/>
    <w:qFormat/>
    <w:uiPriority w:val="99"/>
    <w:pPr>
      <w:ind w:left="100" w:leftChars="2500"/>
    </w:pPr>
    <w:rPr>
      <w:rFonts w:ascii="仿宋_GB2312" w:hAnsi="Times New Roman" w:eastAsia="仿宋_GB2312" w:cs="仿宋_GB2312"/>
      <w:b/>
      <w:bCs/>
      <w:kern w:val="0"/>
      <w:sz w:val="24"/>
      <w:szCs w:val="24"/>
    </w:rPr>
  </w:style>
  <w:style w:type="paragraph" w:styleId="10">
    <w:name w:val="Body Text Indent 2"/>
    <w:basedOn w:val="1"/>
    <w:link w:val="53"/>
    <w:qFormat/>
    <w:uiPriority w:val="0"/>
    <w:pPr>
      <w:spacing w:after="120" w:line="480" w:lineRule="auto"/>
      <w:ind w:left="420" w:leftChars="200"/>
    </w:pPr>
  </w:style>
  <w:style w:type="paragraph" w:styleId="11">
    <w:name w:val="Balloon Text"/>
    <w:basedOn w:val="1"/>
    <w:link w:val="27"/>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kern w:val="0"/>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qFormat/>
    <w:uiPriority w:val="0"/>
    <w:pPr>
      <w:spacing w:after="120" w:line="480" w:lineRule="auto"/>
    </w:pPr>
    <w:rPr>
      <w:rFonts w:ascii="Times New Roman" w:hAnsi="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5"/>
    <w:next w:val="5"/>
    <w:link w:val="30"/>
    <w:qFormat/>
    <w:uiPriority w:val="0"/>
    <w:rPr>
      <w:b/>
      <w:bCs/>
    </w:rPr>
  </w:style>
  <w:style w:type="paragraph" w:styleId="17">
    <w:name w:val="Body Text First Indent"/>
    <w:basedOn w:val="6"/>
    <w:link w:val="39"/>
    <w:qFormat/>
    <w:uiPriority w:val="0"/>
    <w:pPr>
      <w:ind w:firstLine="420"/>
    </w:pPr>
    <w:rPr>
      <w:rFonts w:ascii="Times New Roman" w:hAnsi="Times New Roman"/>
      <w:szCs w:val="20"/>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99"/>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批注文字 字符"/>
    <w:link w:val="5"/>
    <w:qFormat/>
    <w:uiPriority w:val="0"/>
    <w:rPr>
      <w:kern w:val="2"/>
      <w:sz w:val="21"/>
      <w:szCs w:val="22"/>
    </w:rPr>
  </w:style>
  <w:style w:type="character" w:customStyle="1" w:styleId="25">
    <w:name w:val="页脚 字符"/>
    <w:link w:val="12"/>
    <w:qFormat/>
    <w:uiPriority w:val="0"/>
    <w:rPr>
      <w:sz w:val="18"/>
      <w:szCs w:val="18"/>
    </w:rPr>
  </w:style>
  <w:style w:type="character" w:customStyle="1" w:styleId="26">
    <w:name w:val="文档结构图 字符"/>
    <w:link w:val="4"/>
    <w:qFormat/>
    <w:uiPriority w:val="0"/>
    <w:rPr>
      <w:rFonts w:ascii="宋体"/>
      <w:kern w:val="2"/>
      <w:sz w:val="18"/>
      <w:szCs w:val="18"/>
    </w:rPr>
  </w:style>
  <w:style w:type="character" w:customStyle="1" w:styleId="27">
    <w:name w:val="批注框文本 字符"/>
    <w:link w:val="11"/>
    <w:qFormat/>
    <w:uiPriority w:val="0"/>
    <w:rPr>
      <w:kern w:val="2"/>
      <w:sz w:val="18"/>
      <w:szCs w:val="18"/>
    </w:rPr>
  </w:style>
  <w:style w:type="character" w:customStyle="1" w:styleId="28">
    <w:name w:val="纯文本 字符"/>
    <w:link w:val="8"/>
    <w:qFormat/>
    <w:uiPriority w:val="0"/>
    <w:rPr>
      <w:rFonts w:ascii="黑体" w:hAnsi="Courier New" w:eastAsia="黑体"/>
      <w:kern w:val="2"/>
      <w:sz w:val="28"/>
    </w:rPr>
  </w:style>
  <w:style w:type="character" w:customStyle="1" w:styleId="29">
    <w:name w:val="标题 1 字符"/>
    <w:link w:val="3"/>
    <w:qFormat/>
    <w:uiPriority w:val="0"/>
    <w:rPr>
      <w:rFonts w:ascii="Times New Roman" w:hAnsi="Times New Roman"/>
      <w:b/>
      <w:kern w:val="44"/>
      <w:sz w:val="44"/>
    </w:rPr>
  </w:style>
  <w:style w:type="character" w:customStyle="1" w:styleId="30">
    <w:name w:val="批注主题 字符"/>
    <w:link w:val="16"/>
    <w:qFormat/>
    <w:uiPriority w:val="0"/>
    <w:rPr>
      <w:b/>
      <w:bCs/>
      <w:kern w:val="2"/>
      <w:sz w:val="21"/>
      <w:szCs w:val="22"/>
    </w:rPr>
  </w:style>
  <w:style w:type="character" w:customStyle="1" w:styleId="31">
    <w:name w:val="页眉 字符"/>
    <w:link w:val="13"/>
    <w:qFormat/>
    <w:uiPriority w:val="99"/>
    <w:rPr>
      <w:sz w:val="18"/>
      <w:szCs w:val="18"/>
    </w:rPr>
  </w:style>
  <w:style w:type="paragraph" w:styleId="32">
    <w:name w:val="List Paragraph"/>
    <w:basedOn w:val="1"/>
    <w:qFormat/>
    <w:uiPriority w:val="0"/>
    <w:pPr>
      <w:ind w:firstLine="420" w:firstLineChars="200"/>
    </w:pPr>
  </w:style>
  <w:style w:type="paragraph" w:customStyle="1" w:styleId="33">
    <w:name w:val="正文 New"/>
    <w:qFormat/>
    <w:uiPriority w:val="0"/>
    <w:pPr>
      <w:widowControl w:val="0"/>
      <w:autoSpaceDE w:val="0"/>
      <w:autoSpaceDN w:val="0"/>
      <w:adjustRightInd w:val="0"/>
    </w:pPr>
    <w:rPr>
      <w:rFonts w:ascii="Calibri" w:hAnsi="Calibri" w:eastAsia="宋体" w:cs="Times New Roman"/>
      <w:lang w:val="en-US" w:eastAsia="zh-CN" w:bidi="ar-SA"/>
    </w:rPr>
  </w:style>
  <w:style w:type="paragraph" w:customStyle="1" w:styleId="34">
    <w:name w:val="正文 New New New"/>
    <w:qFormat/>
    <w:uiPriority w:val="0"/>
    <w:pPr>
      <w:widowControl w:val="0"/>
      <w:autoSpaceDE w:val="0"/>
      <w:autoSpaceDN w:val="0"/>
      <w:adjustRightInd w:val="0"/>
    </w:pPr>
    <w:rPr>
      <w:rFonts w:ascii="Calibri" w:hAnsi="Calibri" w:eastAsia="宋体" w:cs="Times New Roman"/>
      <w:lang w:val="en-US" w:eastAsia="zh-CN" w:bidi="ar-SA"/>
    </w:rPr>
  </w:style>
  <w:style w:type="paragraph" w:customStyle="1" w:styleId="35">
    <w:name w:val="页脚 New"/>
    <w:basedOn w:val="34"/>
    <w:qFormat/>
    <w:uiPriority w:val="0"/>
    <w:pPr>
      <w:tabs>
        <w:tab w:val="center" w:pos="4153"/>
        <w:tab w:val="right" w:pos="8306"/>
      </w:tabs>
      <w:snapToGrid w:val="0"/>
    </w:pPr>
    <w:rPr>
      <w:sz w:val="18"/>
      <w:szCs w:val="18"/>
    </w:rPr>
  </w:style>
  <w:style w:type="paragraph" w:customStyle="1" w:styleId="36">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p0"/>
    <w:basedOn w:val="1"/>
    <w:qFormat/>
    <w:uiPriority w:val="0"/>
    <w:pPr>
      <w:widowControl/>
    </w:pPr>
    <w:rPr>
      <w:rFonts w:cs="宋体"/>
      <w:kern w:val="0"/>
      <w:szCs w:val="21"/>
    </w:rPr>
  </w:style>
  <w:style w:type="paragraph" w:customStyle="1" w:styleId="38">
    <w:name w:val="zhang"/>
    <w:basedOn w:val="1"/>
    <w:qFormat/>
    <w:uiPriority w:val="0"/>
    <w:pPr>
      <w:widowControl/>
      <w:spacing w:before="100" w:beforeAutospacing="1" w:after="100" w:afterAutospacing="1"/>
      <w:jc w:val="left"/>
    </w:pPr>
    <w:rPr>
      <w:rFonts w:ascii="ˎ̥" w:hAnsi="ˎ̥" w:cs="宋体"/>
      <w:b/>
      <w:bCs/>
      <w:smallCaps/>
      <w:color w:val="000000"/>
      <w:kern w:val="0"/>
      <w:sz w:val="20"/>
      <w:szCs w:val="20"/>
    </w:rPr>
  </w:style>
  <w:style w:type="character" w:customStyle="1" w:styleId="39">
    <w:name w:val="正文首行缩进 字符"/>
    <w:link w:val="17"/>
    <w:qFormat/>
    <w:locked/>
    <w:uiPriority w:val="0"/>
    <w:rPr>
      <w:rFonts w:eastAsia="宋体"/>
      <w:kern w:val="2"/>
      <w:sz w:val="21"/>
      <w:lang w:val="en-US" w:eastAsia="zh-CN" w:bidi="ar-SA"/>
    </w:rPr>
  </w:style>
  <w:style w:type="character" w:customStyle="1" w:styleId="40">
    <w:name w:val="Comment Text Char"/>
    <w:semiHidden/>
    <w:qFormat/>
    <w:locked/>
    <w:uiPriority w:val="0"/>
    <w:rPr>
      <w:rFonts w:eastAsia="宋体" w:cs="Times New Roman"/>
      <w:sz w:val="24"/>
    </w:rPr>
  </w:style>
  <w:style w:type="paragraph" w:customStyle="1" w:styleId="41">
    <w:name w:val="普通 (Web)"/>
    <w:basedOn w:val="1"/>
    <w:link w:val="42"/>
    <w:qFormat/>
    <w:uiPriority w:val="0"/>
    <w:pPr>
      <w:widowControl/>
      <w:spacing w:before="100" w:beforeAutospacing="1" w:after="100" w:afterAutospacing="1"/>
      <w:jc w:val="left"/>
    </w:pPr>
    <w:rPr>
      <w:rFonts w:ascii="宋体" w:hAnsi="宋体"/>
      <w:kern w:val="0"/>
      <w:sz w:val="24"/>
      <w:szCs w:val="20"/>
    </w:rPr>
  </w:style>
  <w:style w:type="character" w:customStyle="1" w:styleId="42">
    <w:name w:val="普通 (Web) Char1"/>
    <w:link w:val="41"/>
    <w:qFormat/>
    <w:locked/>
    <w:uiPriority w:val="0"/>
    <w:rPr>
      <w:rFonts w:ascii="宋体" w:hAnsi="宋体" w:eastAsia="宋体"/>
      <w:sz w:val="24"/>
      <w:lang w:val="en-US" w:eastAsia="zh-CN" w:bidi="ar-SA"/>
    </w:rPr>
  </w:style>
  <w:style w:type="paragraph" w:customStyle="1" w:styleId="43">
    <w:name w:val="Char1"/>
    <w:basedOn w:val="1"/>
    <w:qFormat/>
    <w:uiPriority w:val="0"/>
    <w:pPr>
      <w:ind w:left="567" w:hanging="279"/>
    </w:pPr>
    <w:rPr>
      <w:rFonts w:ascii="Times New Roman" w:hAnsi="Times New Roman"/>
      <w:sz w:val="24"/>
      <w:szCs w:val="24"/>
    </w:rPr>
  </w:style>
  <w:style w:type="paragraph" w:customStyle="1" w:styleId="44">
    <w:name w:val="Char Char Char Char Char Char Char Char Char Char"/>
    <w:basedOn w:val="1"/>
    <w:qFormat/>
    <w:uiPriority w:val="0"/>
    <w:rPr>
      <w:rFonts w:ascii="Tahoma" w:hAnsi="Tahoma"/>
      <w:sz w:val="24"/>
      <w:szCs w:val="20"/>
    </w:rPr>
  </w:style>
  <w:style w:type="paragraph" w:customStyle="1" w:styleId="45">
    <w:name w:val="表头"/>
    <w:basedOn w:val="1"/>
    <w:qFormat/>
    <w:uiPriority w:val="0"/>
    <w:pPr>
      <w:spacing w:line="360" w:lineRule="auto"/>
      <w:jc w:val="center"/>
    </w:pPr>
    <w:rPr>
      <w:rFonts w:ascii="黑体" w:hAnsi="Times New Roman" w:eastAsia="黑体"/>
      <w:kern w:val="0"/>
      <w:sz w:val="24"/>
      <w:szCs w:val="4"/>
    </w:rPr>
  </w:style>
  <w:style w:type="paragraph" w:customStyle="1" w:styleId="46">
    <w:name w:val="样式"/>
    <w:basedOn w:val="1"/>
    <w:next w:val="7"/>
    <w:qFormat/>
    <w:uiPriority w:val="0"/>
    <w:pPr>
      <w:jc w:val="center"/>
    </w:pPr>
    <w:rPr>
      <w:rFonts w:ascii="宋体" w:hAnsi="宋体"/>
      <w:color w:val="FF0000"/>
      <w:sz w:val="24"/>
      <w:szCs w:val="24"/>
    </w:rPr>
  </w:style>
  <w:style w:type="character" w:customStyle="1" w:styleId="47">
    <w:name w:val="纯文本 Char1"/>
    <w:qFormat/>
    <w:locked/>
    <w:uiPriority w:val="0"/>
    <w:rPr>
      <w:rFonts w:ascii="宋体" w:hAnsi="Courier New"/>
      <w:kern w:val="2"/>
      <w:sz w:val="21"/>
      <w:lang w:bidi="ar-SA"/>
    </w:rPr>
  </w:style>
  <w:style w:type="paragraph" w:customStyle="1" w:styleId="48">
    <w:name w:val="Char13 Char Char Char Char Char"/>
    <w:basedOn w:val="1"/>
    <w:qFormat/>
    <w:uiPriority w:val="0"/>
    <w:pPr>
      <w:ind w:left="567" w:hanging="279"/>
    </w:pPr>
    <w:rPr>
      <w:rFonts w:ascii="Times New Roman" w:hAnsi="Times New Roman"/>
      <w:kern w:val="0"/>
      <w:sz w:val="20"/>
      <w:szCs w:val="20"/>
    </w:rPr>
  </w:style>
  <w:style w:type="character" w:customStyle="1" w:styleId="49">
    <w:name w:val="日期 字符"/>
    <w:link w:val="9"/>
    <w:qFormat/>
    <w:locked/>
    <w:uiPriority w:val="99"/>
    <w:rPr>
      <w:rFonts w:ascii="仿宋_GB2312" w:hAnsi="Times New Roman" w:eastAsia="仿宋_GB2312" w:cs="仿宋_GB2312"/>
      <w:b/>
      <w:bCs/>
      <w:sz w:val="24"/>
      <w:szCs w:val="24"/>
    </w:rPr>
  </w:style>
  <w:style w:type="character" w:customStyle="1" w:styleId="50">
    <w:name w:val="日期 Char1"/>
    <w:qFormat/>
    <w:uiPriority w:val="0"/>
    <w:rPr>
      <w:kern w:val="2"/>
      <w:sz w:val="21"/>
      <w:szCs w:val="22"/>
    </w:rPr>
  </w:style>
  <w:style w:type="character" w:customStyle="1" w:styleId="51">
    <w:name w:val="15"/>
    <w:qFormat/>
    <w:uiPriority w:val="99"/>
    <w:rPr>
      <w:rFonts w:ascii="Times New Roman" w:hAnsi="Times New Roman" w:cs="Times New Roman"/>
      <w:color w:val="auto"/>
      <w:u w:val="none"/>
    </w:rPr>
  </w:style>
  <w:style w:type="character" w:customStyle="1" w:styleId="52">
    <w:name w:val="Char Char10"/>
    <w:qFormat/>
    <w:uiPriority w:val="99"/>
    <w:rPr>
      <w:rFonts w:ascii="宋体" w:hAnsi="Courier New" w:eastAsia="宋体" w:cs="宋体"/>
      <w:kern w:val="2"/>
      <w:sz w:val="24"/>
      <w:szCs w:val="24"/>
      <w:lang w:val="en-US" w:eastAsia="zh-CN"/>
    </w:rPr>
  </w:style>
  <w:style w:type="character" w:customStyle="1" w:styleId="53">
    <w:name w:val="正文文本缩进 2 字符"/>
    <w:basedOn w:val="20"/>
    <w:link w:val="10"/>
    <w:qFormat/>
    <w:uiPriority w:val="0"/>
    <w:rPr>
      <w:kern w:val="2"/>
      <w:sz w:val="21"/>
      <w:szCs w:val="22"/>
    </w:rPr>
  </w:style>
  <w:style w:type="paragraph" w:customStyle="1" w:styleId="54">
    <w:name w:val="正文_1"/>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sam</Company>
  <Pages>30</Pages>
  <Words>15549</Words>
  <Characters>15987</Characters>
  <Lines>151</Lines>
  <Paragraphs>42</Paragraphs>
  <TotalTime>12</TotalTime>
  <ScaleCrop>false</ScaleCrop>
  <LinksUpToDate>false</LinksUpToDate>
  <CharactersWithSpaces>16525</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2019-11-22T08:30:00Z</dcterms:created>
  <dc:creator>LSK</dc:creator>
  <dc:description>Shankar's Birthday falls on 25th July.  Don't Forget to wish him</dc:description>
  <cp:keywords>Birthday</cp:keywords>
  <cp:lastModifiedBy>ADMIN</cp:lastModifiedBy>
  <cp:lastPrinted>2019-12-06T07:32:00Z</cp:lastPrinted>
  <dcterms:modified xsi:type="dcterms:W3CDTF">2025-08-05T03:42:18Z</dcterms:modified>
  <dc:subject>Birthday</dc:subject>
  <dc:title>Are You suprised ?</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KSOTemplateDocerSaveRecord">
    <vt:lpwstr>eyJoZGlkIjoiNDFjYzZhY2U3NGQ3OGMyNzM0YmMxYTNmYWVmMWQ5NzMiLCJ1c2VySWQiOiIzMDUxNjA5MzIifQ==</vt:lpwstr>
  </property>
  <property fmtid="{D5CDD505-2E9C-101B-9397-08002B2CF9AE}" pid="4" name="ICV">
    <vt:lpwstr>08F312E0D48644A38F0CA9A1ECBA01B7_13</vt:lpwstr>
  </property>
</Properties>
</file>