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</w:pPr>
      <w:bookmarkStart w:id="0" w:name="_Toc8445"/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  <w:t>附件A-项目信息清单</w:t>
      </w:r>
    </w:p>
    <w:p>
      <w:pPr>
        <w:pStyle w:val="9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  <w:t>标的名称：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u w:val="single"/>
        </w:rPr>
        <w:t xml:space="preserve"> 广东电网有限责任公司茂名供电局旺沙巡维中心技术业务用房项目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u w:val="single"/>
          <w:lang w:val="en-US" w:eastAsia="zh-CN"/>
        </w:rPr>
        <w:t>施工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  <w:t xml:space="preserve"> </w:t>
      </w:r>
    </w:p>
    <w:p>
      <w:pPr>
        <w:pStyle w:val="9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  <w:t xml:space="preserve">标段名称：  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u w:val="single"/>
        </w:rPr>
        <w:t xml:space="preserve"> 广东电网有限责任公司茂名供电局旺沙巡维中心技术业务用房项目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sz w:val="21"/>
          <w:szCs w:val="21"/>
          <w:u w:val="single"/>
          <w:lang w:val="en-US" w:eastAsia="zh-CN"/>
        </w:rPr>
        <w:t>施工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sz w:val="21"/>
          <w:szCs w:val="21"/>
          <w:u w:val="single"/>
        </w:rPr>
        <w:t xml:space="preserve"> </w:t>
      </w:r>
    </w:p>
    <w:p>
      <w:pPr>
        <w:pStyle w:val="9"/>
        <w:spacing w:line="360" w:lineRule="auto"/>
        <w:jc w:val="center"/>
        <w:rPr>
          <w:rFonts w:hAnsi="宋体" w:cs="宋体"/>
          <w:b/>
          <w:bCs/>
          <w:snapToGrid w:val="0"/>
          <w:sz w:val="21"/>
          <w:szCs w:val="21"/>
        </w:rPr>
      </w:pPr>
      <w:r>
        <w:rPr>
          <w:rFonts w:hint="eastAsia" w:hAnsi="宋体" w:cs="宋体"/>
          <w:b/>
          <w:bCs/>
          <w:snapToGrid w:val="0"/>
          <w:sz w:val="21"/>
          <w:szCs w:val="21"/>
        </w:rPr>
        <w:t>项目信息表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226"/>
        <w:gridCol w:w="5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  <w:t>序号</w:t>
            </w:r>
          </w:p>
        </w:tc>
        <w:tc>
          <w:tcPr>
            <w:tcW w:w="1306" w:type="pct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  <w:t>条款名称</w:t>
            </w:r>
          </w:p>
        </w:tc>
        <w:tc>
          <w:tcPr>
            <w:tcW w:w="3201" w:type="pct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snapToGrid w:val="0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1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可研批复文号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 w:val="0"/>
                <w:iCs w:val="0"/>
                <w:snapToGrid w:val="0"/>
                <w:kern w:val="0"/>
                <w:szCs w:val="21"/>
              </w:rPr>
            </w:pPr>
            <w:r>
              <w:rPr>
                <w:rFonts w:ascii="宋体" w:hAnsi="宋体" w:cs="宋体"/>
                <w:b w:val="0"/>
                <w:bCs/>
                <w:i w:val="0"/>
                <w:iCs w:val="0"/>
                <w:sz w:val="21"/>
                <w:szCs w:val="21"/>
                <w:lang w:val="en-US" w:eastAsia="zh-CN"/>
              </w:rPr>
              <w:t>广电规〔2023〕146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2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  <w:highlight w:val="yellow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  <w:highlight w:val="none"/>
              </w:rPr>
              <w:t>项目备案文号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i w:val="0"/>
                <w:iCs w:val="0"/>
                <w:szCs w:val="21"/>
                <w:highlight w:val="yellow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2307-440983-04-01-605496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3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初设批复文号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i w:val="0"/>
                <w:iCs w:val="0"/>
                <w:snapToGrid w:val="0"/>
                <w:kern w:val="0"/>
                <w:szCs w:val="21"/>
              </w:rPr>
            </w:pPr>
            <w:r>
              <w:rPr>
                <w:rFonts w:ascii="宋体" w:hAnsi="宋体" w:cs="宋体"/>
                <w:b w:val="0"/>
                <w:bCs/>
                <w:i w:val="0"/>
                <w:iCs w:val="0"/>
                <w:sz w:val="21"/>
                <w:szCs w:val="21"/>
                <w:lang w:val="en-US" w:eastAsia="zh-CN"/>
              </w:rPr>
              <w:t>广电建〔2024〕79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4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资金落实情况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i w:val="0"/>
                <w:iCs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  <w:t>广电计财〔2025〕12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5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施工图预算批复文号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i w:val="0"/>
                <w:iCs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sz w:val="21"/>
                <w:szCs w:val="21"/>
              </w:rPr>
              <w:t>广电建〔2025〕77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6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项目建设单位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i w:val="0"/>
                <w:iCs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  <w:t>广东电网有限责任公司</w:t>
            </w: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  <w:lang w:val="en-US" w:eastAsia="zh-CN"/>
              </w:rPr>
              <w:t>茂名</w:t>
            </w: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  <w:t>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</w:rPr>
              <w:t>7</w:t>
            </w:r>
          </w:p>
        </w:tc>
        <w:tc>
          <w:tcPr>
            <w:tcW w:w="1306" w:type="pct"/>
          </w:tcPr>
          <w:p>
            <w:pPr>
              <w:pStyle w:val="9"/>
              <w:spacing w:line="360" w:lineRule="auto"/>
              <w:jc w:val="center"/>
              <w:rPr>
                <w:rFonts w:hAnsi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hAnsi="宋体" w:cs="宋体"/>
                <w:i w:val="0"/>
                <w:iCs w:val="0"/>
                <w:sz w:val="21"/>
                <w:szCs w:val="21"/>
              </w:rPr>
              <w:t>项目建设地点</w:t>
            </w:r>
          </w:p>
        </w:tc>
        <w:tc>
          <w:tcPr>
            <w:tcW w:w="3201" w:type="pct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i w:val="0"/>
                <w:iCs w:val="0"/>
                <w:szCs w:val="21"/>
              </w:rPr>
            </w:pP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  <w:t>广东省</w:t>
            </w: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  <w:lang w:val="en-US" w:eastAsia="zh-CN"/>
              </w:rPr>
              <w:t>茂名</w:t>
            </w:r>
            <w:r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  <w:t>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pct"/>
          </w:tcPr>
          <w:p>
            <w:pPr>
              <w:pStyle w:val="9"/>
              <w:spacing w:line="360" w:lineRule="auto"/>
              <w:jc w:val="center"/>
              <w:rPr>
                <w:rFonts w:hint="eastAsia" w:hAnsi="宋体" w:eastAsia="宋体" w:cs="宋体"/>
                <w:i w:val="0"/>
                <w:iCs w:val="0"/>
                <w:snapToGrid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snapToGrid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06" w:type="pct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hint="eastAsia" w:hAnsi="宋体" w:eastAsia="宋体" w:cs="宋体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val="en-US" w:eastAsia="zh-CN"/>
              </w:rPr>
              <w:t>工期</w:t>
            </w:r>
          </w:p>
        </w:tc>
        <w:tc>
          <w:tcPr>
            <w:tcW w:w="3201" w:type="pct"/>
            <w:vAlign w:val="center"/>
          </w:tcPr>
          <w:p>
            <w:pPr>
              <w:ind w:left="105" w:leftChars="50" w:right="105" w:rightChars="5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工期：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300</w:t>
            </w:r>
            <w:r>
              <w:rPr>
                <w:rFonts w:hint="eastAsia"/>
                <w:color w:val="auto"/>
                <w:highlight w:val="none"/>
              </w:rPr>
              <w:t>日历天</w:t>
            </w:r>
          </w:p>
          <w:p>
            <w:pPr>
              <w:ind w:left="105" w:leftChars="50" w:right="105" w:rightChars="5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计划开工日期：202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auto"/>
                <w:highlight w:val="none"/>
              </w:rPr>
              <w:t>年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11</w:t>
            </w:r>
            <w:r>
              <w:rPr>
                <w:rFonts w:hint="eastAsia"/>
                <w:color w:val="auto"/>
                <w:highlight w:val="none"/>
              </w:rPr>
              <w:t>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01</w:t>
            </w:r>
            <w:r>
              <w:rPr>
                <w:rFonts w:hint="eastAsia"/>
                <w:color w:val="auto"/>
                <w:highlight w:val="none"/>
              </w:rPr>
              <w:t>日</w:t>
            </w:r>
          </w:p>
          <w:p>
            <w:pPr>
              <w:ind w:left="105" w:leftChars="50" w:right="105" w:rightChars="50"/>
              <w:rPr>
                <w:rFonts w:hint="eastAsia" w:ascii="宋体" w:hAnsi="宋体" w:cs="宋体"/>
                <w:bCs/>
                <w:i w:val="0"/>
                <w:iCs w:val="0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计划竣工日期：202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color w:val="auto"/>
                <w:highlight w:val="none"/>
              </w:rPr>
              <w:t>年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color w:val="auto"/>
                <w:highlight w:val="none"/>
              </w:rPr>
              <w:t>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28</w:t>
            </w:r>
            <w:r>
              <w:rPr>
                <w:rFonts w:hint="eastAsia"/>
                <w:color w:val="auto"/>
                <w:highlight w:val="none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i w:val="0"/>
          <w:iCs w:val="0"/>
          <w:szCs w:val="21"/>
        </w:rPr>
      </w:pPr>
    </w:p>
    <w:p>
      <w:pPr>
        <w:pStyle w:val="9"/>
        <w:spacing w:line="360" w:lineRule="auto"/>
        <w:rPr>
          <w:rFonts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（一）项目概况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bookmarkEnd w:id="0"/>
      <w:bookmarkStart w:id="1" w:name="_Toc28718"/>
      <w:bookmarkStart w:id="2" w:name="_Toc13498"/>
      <w:bookmarkStart w:id="3" w:name="_Toc4755"/>
    </w:p>
    <w:bookmarkEnd w:id="1"/>
    <w:bookmarkEnd w:id="2"/>
    <w:bookmarkEnd w:id="3"/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本工程为茂名供电局旺沙巡维中心技术业务用房，位于广东省茂名市信宜市怀乡镇起义北路2号35千伏怀乡变电站内。本期用地面积约327.6平方米，拟建建筑总建筑面积 1169.29平方米，其中包含：巡维中心技术业务用房1栋，基底面积 211.72平方米，地上5层，建筑高度19.8米，建筑面积 1145.31 平方米；消防水泵房1栋，基底面积 66.50 平方米，地上1层，建筑高度 4.15米，建筑面积23.98平方米。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（二）采购范围：</w:t>
      </w:r>
    </w:p>
    <w:p>
      <w:pPr>
        <w:pStyle w:val="5"/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auto"/>
          <w:kern w:val="2"/>
          <w:sz w:val="21"/>
          <w:szCs w:val="21"/>
          <w:lang w:val="en-US" w:eastAsia="zh-CN" w:bidi="ar-SA"/>
        </w:rPr>
        <w:t>茂名供电局旺沙巡维中心技术业务用房项目：包括主体建筑装饰装修工程（基础工程、土石方工程、砌筑工程、混凝土及钢筋混凝土工程、门窗工程、屋面及防水工程、保温、隔热、防腐工程、楼地面装饰工程、墙、柱面装饰与隔断、幕墙工程、天棚工程、油漆、涂料、裱糊工程、泵房及水池工程、其他装饰工程、措施项目等）、主体安装工程(电气工程、防雷工程、给排水工程、消防工程、通风空调工程、智能化工程、电梯工程、视频监控及安全警卫系统工程、VI标识系统工程)、室外工程(室外道路工程、园林绿化工程、围墙工程、室外电气工程、室外给排水工程)、场地费用(场地大型土石方工程、拆除工程、施工期间防护措施费用)等各专业施工图纸所包含的内容。</w:t>
      </w:r>
    </w:p>
    <w:p>
      <w:pPr>
        <w:pStyle w:val="5"/>
        <w:numPr>
          <w:ilvl w:val="0"/>
          <w:numId w:val="1"/>
        </w:numPr>
        <w:spacing w:line="360" w:lineRule="auto"/>
        <w:rPr>
          <w:rFonts w:asciiTheme="minorEastAsia" w:hAnsiTheme="minorEastAsia" w:eastAsiaTheme="minorEastAsia" w:cstheme="minorEastAsia"/>
          <w:bCs/>
          <w:i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i w:val="0"/>
          <w:color w:val="auto"/>
          <w:sz w:val="21"/>
          <w:szCs w:val="21"/>
        </w:rPr>
        <w:t>承包方式：</w:t>
      </w:r>
    </w:p>
    <w:p>
      <w:pPr>
        <w:pStyle w:val="9"/>
        <w:spacing w:line="360" w:lineRule="auto"/>
        <w:ind w:firstLine="420" w:firstLineChars="200"/>
        <w:rPr>
          <w:rFonts w:hAnsi="宋体"/>
          <w:b/>
          <w:bCs/>
          <w:kern w:val="2"/>
          <w:sz w:val="21"/>
          <w:szCs w:val="21"/>
          <w:u w:val="none"/>
        </w:rPr>
      </w:pPr>
      <w:r>
        <w:rPr>
          <w:rFonts w:hint="eastAsia" w:hAnsi="宋体" w:cs="宋体" w:eastAsiaTheme="minorEastAsia"/>
          <w:sz w:val="21"/>
          <w:szCs w:val="21"/>
          <w:u w:val="none"/>
          <w:lang w:val="en-US" w:eastAsia="zh-CN"/>
        </w:rPr>
        <w:t>包工、包料、包工期、包质量、包安全、包文明施工。</w:t>
      </w:r>
    </w:p>
    <w:p>
      <w:pPr>
        <w:pStyle w:val="5"/>
        <w:spacing w:line="360" w:lineRule="auto"/>
        <w:rPr>
          <w:rFonts w:asciiTheme="minorEastAsia" w:hAnsiTheme="minorEastAsia" w:eastAsiaTheme="minorEastAsia" w:cstheme="minorEastAsia"/>
          <w:bCs/>
          <w:i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i w:val="0"/>
          <w:color w:val="auto"/>
          <w:sz w:val="21"/>
          <w:szCs w:val="21"/>
        </w:rPr>
        <w:t>（四）报价表</w:t>
      </w:r>
    </w:p>
    <w:tbl>
      <w:tblPr>
        <w:tblStyle w:val="10"/>
        <w:tblW w:w="83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6"/>
        <w:gridCol w:w="1530"/>
        <w:gridCol w:w="1125"/>
        <w:gridCol w:w="1020"/>
        <w:gridCol w:w="764"/>
        <w:gridCol w:w="539"/>
        <w:gridCol w:w="824"/>
        <w:gridCol w:w="1028"/>
        <w:gridCol w:w="784"/>
        <w:gridCol w:w="3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序　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工程或费用</w:t>
            </w:r>
          </w:p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最高投标限价（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其中安全文明施工费（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暂估价（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  <w:bookmarkStart w:id="4" w:name="_GoBack"/>
            <w:bookmarkEnd w:id="4"/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投标下浮率（%）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投标报价（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其中安全文明施工费（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暂估价（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元）</w:t>
            </w: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备 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广东电网有限责任公司茂名供电局旺沙巡维中心技术业务用房项目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27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9"/>
              <w:spacing w:line="400" w:lineRule="exact"/>
              <w:jc w:val="center"/>
              <w:rPr>
                <w:rFonts w:hAnsi="宋体" w:cs="宋体"/>
                <w:b/>
                <w:bCs/>
                <w:snapToGrid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napToGrid w:val="0"/>
                <w:sz w:val="21"/>
                <w:szCs w:val="21"/>
              </w:rPr>
              <w:t>合计（小写）：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27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8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5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7" w:hRule="atLeast"/>
        </w:trPr>
        <w:tc>
          <w:tcPr>
            <w:tcW w:w="8333" w:type="dxa"/>
            <w:gridSpan w:val="1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报价要求：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按固定金额报总价，同时填报投标下浮率。投标函只能有一个投标报价（投标下浮率），且投标函及各单项工程、非竞争性报价（如有）符合：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有效投标报价：投标报价≤最高投标限价（公布最高投标限价的总价及各单项工程），且不低于成本。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成本警示价：投标报价＜最高投标限价90%时，应在投标文件中附成本分析报告，充分说明单价和费用的组成、降低成本的合理措施及在其他工程中应用过的经验等，否则视为原则性不响应招标文件要求，作否决投标处理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投标下浮率＝[1－(投标报价-安全文明施工费-暂估价）/（最高投标限价-安全文明施工费-暂估价)]×100%（保留两位小数，如：8.88%）。当投标金额报价与投标下浮率计算结果不一致时，以投标金额报价为准，按公式修订投标下浮率。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bidi="ar"/>
              </w:rPr>
              <w:t>非竞争性费用报价项（如有）按照最高投标限价公布的金额固定报价，不得自行变更，否则视为原则性不响应招标文件要求，作否决投标处理详见各项目信息清单附件A（如有）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i/>
          <w:iCs/>
          <w:szCs w:val="21"/>
        </w:rPr>
      </w:pPr>
    </w:p>
    <w:p>
      <w:pPr>
        <w:pStyle w:val="9"/>
        <w:spacing w:line="480" w:lineRule="atLeast"/>
        <w:ind w:firstLine="400" w:firstLineChars="200"/>
        <w:rPr>
          <w:rFonts w:asciiTheme="minorEastAsia" w:hAnsiTheme="minorEastAsia" w:eastAsiaTheme="minorEastAsia" w:cstheme="minorEastAsia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AF13F2"/>
    <w:multiLevelType w:val="singleLevel"/>
    <w:tmpl w:val="E5AF13F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A4B2DD"/>
    <w:multiLevelType w:val="singleLevel"/>
    <w:tmpl w:val="E7A4B2D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YzY0YmM0NjMwZmQwYmQxZjM3YjBmZTBiZmI2OGUifQ=="/>
  </w:docVars>
  <w:rsids>
    <w:rsidRoot w:val="24F737D8"/>
    <w:rsid w:val="012235A2"/>
    <w:rsid w:val="04A24F71"/>
    <w:rsid w:val="0B8D177D"/>
    <w:rsid w:val="0BC07002"/>
    <w:rsid w:val="0EB60BF3"/>
    <w:rsid w:val="116419AD"/>
    <w:rsid w:val="11DF6CFE"/>
    <w:rsid w:val="14440D4B"/>
    <w:rsid w:val="15056A61"/>
    <w:rsid w:val="18E57496"/>
    <w:rsid w:val="196633D1"/>
    <w:rsid w:val="1B663F82"/>
    <w:rsid w:val="216F4D5B"/>
    <w:rsid w:val="24F737D8"/>
    <w:rsid w:val="2B20648F"/>
    <w:rsid w:val="2FF65FF8"/>
    <w:rsid w:val="300D195C"/>
    <w:rsid w:val="30BF37B5"/>
    <w:rsid w:val="361736AD"/>
    <w:rsid w:val="36D200CF"/>
    <w:rsid w:val="38382DC3"/>
    <w:rsid w:val="38DE045C"/>
    <w:rsid w:val="3C4A35F1"/>
    <w:rsid w:val="44271C86"/>
    <w:rsid w:val="44D414C9"/>
    <w:rsid w:val="46472D5E"/>
    <w:rsid w:val="49844180"/>
    <w:rsid w:val="4AE41175"/>
    <w:rsid w:val="4B3A1BDA"/>
    <w:rsid w:val="4B5E794F"/>
    <w:rsid w:val="4D90576E"/>
    <w:rsid w:val="4F5E7437"/>
    <w:rsid w:val="507B3005"/>
    <w:rsid w:val="52E734B9"/>
    <w:rsid w:val="55C3156A"/>
    <w:rsid w:val="5B4E416A"/>
    <w:rsid w:val="5CCC61E5"/>
    <w:rsid w:val="608606DE"/>
    <w:rsid w:val="66C35559"/>
    <w:rsid w:val="6987773B"/>
    <w:rsid w:val="699A143B"/>
    <w:rsid w:val="6A287B5E"/>
    <w:rsid w:val="6B303A1A"/>
    <w:rsid w:val="6BAE3435"/>
    <w:rsid w:val="6BD87857"/>
    <w:rsid w:val="6DAA2FDF"/>
    <w:rsid w:val="6E121228"/>
    <w:rsid w:val="6F5732B9"/>
    <w:rsid w:val="70D1495F"/>
    <w:rsid w:val="720C7F4E"/>
    <w:rsid w:val="73982E36"/>
    <w:rsid w:val="7E34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5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120"/>
      <w:jc w:val="both"/>
    </w:pPr>
    <w:rPr>
      <w:lang w:val="en-US" w:eastAsia="zh-CN"/>
    </w:rPr>
  </w:style>
  <w:style w:type="paragraph" w:styleId="3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6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00053538_gd</cp:lastModifiedBy>
  <dcterms:modified xsi:type="dcterms:W3CDTF">2025-08-05T08:52:02Z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0E54D4C4E5D14D6D9CF741C142A39CD7</vt:lpwstr>
  </property>
</Properties>
</file>