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spacing w:before="0" w:after="0" w:line="240" w:lineRule="auto"/>
        <w:rPr>
          <w:rFonts w:hint="default" w:ascii="宋体" w:hAnsi="宋体" w:eastAsia="宋体" w:cs="宋体"/>
          <w:color w:val="auto"/>
          <w:sz w:val="21"/>
          <w:szCs w:val="21"/>
          <w:highlight w:val="none"/>
          <w:lang w:val="en-US" w:eastAsia="zh-CN"/>
        </w:rPr>
      </w:pPr>
    </w:p>
    <w:p>
      <w:pPr>
        <w:autoSpaceDE/>
        <w:autoSpaceDN/>
        <w:adjustRightInd/>
        <w:snapToGrid/>
        <w:spacing w:line="240" w:lineRule="auto"/>
        <w:ind w:right="32"/>
        <w:jc w:val="center"/>
        <w:rPr>
          <w:rFonts w:hint="eastAsia" w:ascii="宋体" w:hAnsi="宋体" w:eastAsia="宋体" w:cs="宋体"/>
          <w:color w:val="auto"/>
          <w:sz w:val="21"/>
          <w:szCs w:val="21"/>
          <w:highlight w:val="none"/>
        </w:rPr>
      </w:pPr>
    </w:p>
    <w:p>
      <w:pPr>
        <w:autoSpaceDE/>
        <w:autoSpaceDN/>
        <w:adjustRightInd/>
        <w:snapToGrid/>
        <w:spacing w:line="240" w:lineRule="auto"/>
        <w:ind w:right="32"/>
        <w:jc w:val="center"/>
        <w:rPr>
          <w:rFonts w:hint="eastAsia" w:ascii="宋体" w:hAnsi="宋体" w:eastAsia="宋体" w:cs="宋体"/>
          <w:color w:val="auto"/>
          <w:sz w:val="21"/>
          <w:szCs w:val="21"/>
          <w:highlight w:val="none"/>
        </w:rPr>
      </w:pPr>
    </w:p>
    <w:p>
      <w:pPr>
        <w:ind w:firstLine="0" w:firstLineChars="0"/>
        <w:rPr>
          <w:rFonts w:hint="eastAsia" w:hAnsi="宋体"/>
          <w:bCs/>
          <w:color w:val="auto"/>
          <w:sz w:val="24"/>
          <w:highlight w:val="none"/>
        </w:rPr>
      </w:pPr>
    </w:p>
    <w:p>
      <w:pPr>
        <w:jc w:val="center"/>
        <w:rPr>
          <w:rFonts w:hint="eastAsia" w:ascii="方正小标宋简体" w:hAnsi="方正小标宋简体" w:eastAsia="方正小标宋简体" w:cs="方正小标宋简体"/>
          <w:b w:val="0"/>
          <w:bCs w:val="0"/>
          <w:color w:val="auto"/>
          <w:sz w:val="44"/>
          <w:szCs w:val="44"/>
          <w:highlight w:val="none"/>
          <w:lang w:val="en-GB"/>
        </w:rPr>
      </w:pPr>
      <w:r>
        <w:rPr>
          <w:rFonts w:hint="eastAsia" w:ascii="方正小标宋简体" w:hAnsi="方正小标宋简体" w:eastAsia="方正小标宋简体" w:cs="方正小标宋简体"/>
          <w:b w:val="0"/>
          <w:bCs w:val="0"/>
          <w:color w:val="auto"/>
          <w:sz w:val="44"/>
          <w:szCs w:val="44"/>
          <w:highlight w:val="none"/>
          <w:lang w:val="en-GB"/>
        </w:rPr>
        <w:t>广州市净水有限公司</w:t>
      </w:r>
    </w:p>
    <w:p>
      <w:pPr>
        <w:jc w:val="center"/>
        <w:rPr>
          <w:rFonts w:hint="eastAsia" w:ascii="方正小标宋简体" w:hAnsi="方正小标宋简体" w:eastAsia="方正小标宋简体" w:cs="方正小标宋简体"/>
          <w:b w:val="0"/>
          <w:bCs w:val="0"/>
          <w:color w:val="auto"/>
          <w:sz w:val="44"/>
          <w:szCs w:val="44"/>
          <w:highlight w:val="none"/>
          <w:lang w:val="en-GB"/>
        </w:rPr>
      </w:pPr>
      <w:r>
        <w:rPr>
          <w:rFonts w:hint="eastAsia" w:ascii="方正小标宋简体" w:hAnsi="方正小标宋简体" w:eastAsia="方正小标宋简体" w:cs="方正小标宋简体"/>
          <w:b w:val="0"/>
          <w:bCs w:val="0"/>
          <w:color w:val="auto"/>
          <w:sz w:val="44"/>
          <w:szCs w:val="44"/>
          <w:highlight w:val="none"/>
          <w:lang w:val="en-GB"/>
        </w:rPr>
        <w:t>设备维修维护/技改项目合同</w:t>
      </w:r>
    </w:p>
    <w:p>
      <w:pPr>
        <w:pStyle w:val="4"/>
        <w:keepNext w:val="0"/>
        <w:keepLines w:val="0"/>
        <w:rPr>
          <w:rFonts w:hint="default" w:eastAsia="宋体"/>
          <w:highlight w:val="none"/>
          <w:lang w:val="en-US" w:eastAsia="zh-CN"/>
        </w:rPr>
      </w:pPr>
      <w:r>
        <w:rPr>
          <w:rFonts w:hint="eastAsia" w:ascii="宋体" w:hAnsi="宋体" w:eastAsia="宋体" w:cs="宋体"/>
          <w:b/>
          <w:bCs/>
          <w:color w:val="auto"/>
          <w:sz w:val="48"/>
          <w:szCs w:val="48"/>
          <w:highlight w:val="none"/>
          <w:lang w:val="en-US" w:eastAsia="zh-CN"/>
        </w:rPr>
        <w:t xml:space="preserve">           </w:t>
      </w:r>
      <w:r>
        <w:rPr>
          <w:rFonts w:hint="eastAsia" w:ascii="宋体" w:hAnsi="宋体" w:cs="宋体"/>
          <w:b/>
          <w:bCs/>
          <w:color w:val="auto"/>
          <w:sz w:val="48"/>
          <w:szCs w:val="48"/>
          <w:highlight w:val="none"/>
          <w:lang w:val="en-US" w:eastAsia="zh-CN"/>
        </w:rPr>
        <w:t xml:space="preserve"> </w:t>
      </w:r>
    </w:p>
    <w:p>
      <w:pPr>
        <w:pStyle w:val="14"/>
        <w:snapToGrid/>
        <w:spacing w:line="400" w:lineRule="exact"/>
        <w:ind w:right="84" w:rightChars="40" w:firstLine="0" w:firstLineChars="0"/>
        <w:rPr>
          <w:rFonts w:hint="eastAsia" w:hAnsi="宋体" w:eastAsia="宋体"/>
          <w:b/>
          <w:color w:val="auto"/>
          <w:sz w:val="24"/>
          <w:highlight w:val="none"/>
        </w:rPr>
      </w:pPr>
    </w:p>
    <w:p>
      <w:pPr>
        <w:pStyle w:val="14"/>
        <w:snapToGrid/>
        <w:spacing w:line="400" w:lineRule="exact"/>
        <w:ind w:right="84" w:rightChars="40" w:firstLine="192" w:firstLineChars="80"/>
        <w:rPr>
          <w:rFonts w:hint="eastAsia" w:hAnsi="宋体" w:eastAsia="宋体"/>
          <w:bCs/>
          <w:color w:val="auto"/>
          <w:sz w:val="24"/>
          <w:highlight w:val="none"/>
        </w:rPr>
      </w:pPr>
    </w:p>
    <w:p>
      <w:pPr>
        <w:pStyle w:val="14"/>
        <w:snapToGrid/>
        <w:spacing w:line="400" w:lineRule="exact"/>
        <w:ind w:left="3077" w:leftChars="751" w:right="84" w:rightChars="40" w:hanging="1500" w:hangingChars="500"/>
        <w:rPr>
          <w:rFonts w:hint="eastAsia" w:ascii="仿宋_GB2312" w:hAnsi="仿宋_GB2312" w:eastAsia="仿宋_GB2312" w:cs="仿宋_GB2312"/>
          <w:b w:val="0"/>
          <w:bCs/>
          <w:color w:val="auto"/>
          <w:sz w:val="30"/>
          <w:szCs w:val="30"/>
          <w:highlight w:val="none"/>
          <w:lang w:eastAsia="zh-CN"/>
        </w:rPr>
      </w:pPr>
      <w:r>
        <w:rPr>
          <w:rFonts w:hint="eastAsia" w:ascii="仿宋_GB2312" w:hAnsi="仿宋_GB2312" w:eastAsia="仿宋_GB2312" w:cs="仿宋_GB2312"/>
          <w:b w:val="0"/>
          <w:bCs/>
          <w:color w:val="auto"/>
          <w:sz w:val="30"/>
          <w:szCs w:val="30"/>
          <w:highlight w:val="none"/>
        </w:rPr>
        <w:t>项目名称：</w:t>
      </w:r>
      <w:r>
        <w:rPr>
          <w:rFonts w:hint="eastAsia" w:ascii="仿宋_GB2312" w:hAnsi="仿宋_GB2312" w:eastAsia="仿宋_GB2312" w:cs="仿宋_GB2312"/>
          <w:b w:val="0"/>
          <w:bCs/>
          <w:color w:val="auto"/>
          <w:sz w:val="30"/>
          <w:szCs w:val="30"/>
          <w:highlight w:val="none"/>
          <w:lang w:eastAsia="zh-CN"/>
        </w:rPr>
        <w:t>广州净水公司2025年电气及自控系统等设备改造项目（</w:t>
      </w:r>
      <w:r>
        <w:rPr>
          <w:rFonts w:hint="eastAsia" w:ascii="仿宋_GB2312" w:hAnsi="仿宋_GB2312" w:eastAsia="仿宋_GB2312" w:cs="仿宋_GB2312"/>
          <w:b w:val="0"/>
          <w:bCs/>
          <w:color w:val="auto"/>
          <w:sz w:val="30"/>
          <w:szCs w:val="30"/>
          <w:highlight w:val="none"/>
          <w:u w:val="single"/>
          <w:lang w:val="en-US" w:eastAsia="zh-CN"/>
        </w:rPr>
        <w:t xml:space="preserve">    </w:t>
      </w:r>
      <w:r>
        <w:rPr>
          <w:rFonts w:hint="eastAsia" w:ascii="仿宋_GB2312" w:hAnsi="仿宋_GB2312" w:eastAsia="仿宋_GB2312" w:cs="仿宋_GB2312"/>
          <w:b w:val="0"/>
          <w:bCs/>
          <w:color w:val="auto"/>
          <w:sz w:val="30"/>
          <w:szCs w:val="30"/>
          <w:highlight w:val="none"/>
          <w:lang w:eastAsia="zh-CN"/>
        </w:rPr>
        <w:t>设备）</w:t>
      </w:r>
    </w:p>
    <w:p>
      <w:pPr>
        <w:pStyle w:val="14"/>
        <w:snapToGrid/>
        <w:ind w:right="84" w:rightChars="40"/>
        <w:rPr>
          <w:rFonts w:hint="eastAsia" w:ascii="仿宋_GB2312" w:hAnsi="仿宋_GB2312" w:eastAsia="仿宋_GB2312" w:cs="仿宋_GB2312"/>
          <w:b w:val="0"/>
          <w:bCs/>
          <w:color w:val="auto"/>
          <w:sz w:val="30"/>
          <w:szCs w:val="30"/>
          <w:highlight w:val="none"/>
        </w:rPr>
      </w:pPr>
    </w:p>
    <w:p>
      <w:pPr>
        <w:pStyle w:val="14"/>
        <w:snapToGrid/>
        <w:ind w:right="84" w:rightChars="40" w:firstLine="1500" w:firstLineChars="5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合同编号：穗净水合[    ]    号</w:t>
      </w:r>
    </w:p>
    <w:p>
      <w:pPr>
        <w:pStyle w:val="14"/>
        <w:snapToGrid/>
        <w:spacing w:line="400" w:lineRule="exact"/>
        <w:ind w:right="84" w:rightChars="40" w:firstLine="1500" w:firstLineChars="5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项目编号：</w:t>
      </w:r>
    </w:p>
    <w:p>
      <w:pPr>
        <w:pStyle w:val="14"/>
        <w:snapToGrid/>
        <w:ind w:right="84" w:rightChars="40" w:firstLine="1569"/>
        <w:rPr>
          <w:rFonts w:hint="eastAsia" w:ascii="仿宋_GB2312" w:hAnsi="仿宋_GB2312" w:eastAsia="仿宋_GB2312" w:cs="仿宋_GB2312"/>
          <w:b w:val="0"/>
          <w:bCs/>
          <w:color w:val="auto"/>
          <w:sz w:val="30"/>
          <w:szCs w:val="30"/>
          <w:highlight w:val="none"/>
        </w:rPr>
      </w:pPr>
    </w:p>
    <w:p>
      <w:pPr>
        <w:pStyle w:val="14"/>
        <w:snapToGrid/>
        <w:ind w:right="84" w:rightChars="40" w:firstLine="0"/>
        <w:rPr>
          <w:rFonts w:hint="eastAsia" w:ascii="仿宋_GB2312" w:hAnsi="仿宋_GB2312" w:eastAsia="仿宋_GB2312" w:cs="仿宋_GB2312"/>
          <w:b w:val="0"/>
          <w:bCs/>
          <w:color w:val="auto"/>
          <w:sz w:val="30"/>
          <w:szCs w:val="30"/>
          <w:highlight w:val="none"/>
        </w:rPr>
      </w:pPr>
    </w:p>
    <w:p>
      <w:pPr>
        <w:pStyle w:val="14"/>
        <w:snapToGrid/>
        <w:ind w:right="84" w:rightChars="40" w:firstLine="1569"/>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甲方：广州市净水有限公司</w:t>
      </w:r>
    </w:p>
    <w:p>
      <w:pPr>
        <w:pStyle w:val="14"/>
        <w:snapToGrid/>
        <w:ind w:right="84" w:rightChars="40" w:firstLine="0"/>
        <w:rPr>
          <w:rFonts w:hint="eastAsia" w:ascii="仿宋_GB2312" w:hAnsi="仿宋_GB2312" w:eastAsia="仿宋_GB2312" w:cs="仿宋_GB2312"/>
          <w:b w:val="0"/>
          <w:bCs/>
          <w:color w:val="auto"/>
          <w:sz w:val="30"/>
          <w:szCs w:val="30"/>
          <w:highlight w:val="none"/>
        </w:rPr>
      </w:pPr>
    </w:p>
    <w:p>
      <w:pPr>
        <w:pStyle w:val="14"/>
        <w:snapToGrid/>
        <w:ind w:right="84" w:rightChars="40" w:firstLine="1569"/>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乙方：</w:t>
      </w:r>
    </w:p>
    <w:p>
      <w:pPr>
        <w:pStyle w:val="14"/>
        <w:snapToGrid/>
        <w:ind w:right="84" w:rightChars="40" w:firstLine="1563" w:firstLineChars="521"/>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 xml:space="preserve"> </w:t>
      </w:r>
    </w:p>
    <w:p>
      <w:pPr>
        <w:pStyle w:val="14"/>
        <w:snapToGrid/>
        <w:spacing w:line="400" w:lineRule="exact"/>
        <w:ind w:right="84" w:rightChars="40" w:firstLine="0" w:firstLineChars="0"/>
        <w:rPr>
          <w:rFonts w:hint="eastAsia" w:ascii="仿宋_GB2312" w:hAnsi="仿宋_GB2312" w:eastAsia="仿宋_GB2312" w:cs="仿宋_GB2312"/>
          <w:b w:val="0"/>
          <w:bCs/>
          <w:color w:val="auto"/>
          <w:sz w:val="30"/>
          <w:szCs w:val="30"/>
          <w:highlight w:val="none"/>
        </w:rPr>
      </w:pPr>
    </w:p>
    <w:p>
      <w:pPr>
        <w:ind w:firstLine="1500" w:firstLineChars="5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签订日期：       年   月   日</w:t>
      </w:r>
    </w:p>
    <w:p>
      <w:pPr>
        <w:ind w:firstLine="1500" w:firstLineChars="500"/>
        <w:rPr>
          <w:rFonts w:hint="eastAsia" w:ascii="宋体" w:hAnsi="宋体" w:eastAsia="宋体" w:cs="宋体"/>
          <w:b/>
          <w:color w:val="auto"/>
          <w:sz w:val="30"/>
          <w:szCs w:val="30"/>
          <w:highlight w:val="none"/>
          <w:lang w:val="zh-CN"/>
        </w:rPr>
      </w:pPr>
      <w:r>
        <w:rPr>
          <w:rFonts w:hint="eastAsia" w:ascii="仿宋_GB2312" w:hAnsi="仿宋_GB2312" w:eastAsia="仿宋_GB2312" w:cs="仿宋_GB2312"/>
          <w:b w:val="0"/>
          <w:bCs/>
          <w:color w:val="auto"/>
          <w:sz w:val="30"/>
          <w:szCs w:val="30"/>
          <w:highlight w:val="none"/>
        </w:rPr>
        <w:t>签订地点：广州市</w:t>
      </w:r>
    </w:p>
    <w:p>
      <w:pPr>
        <w:rPr>
          <w:rFonts w:hint="eastAsia" w:ascii="宋体" w:hAnsi="宋体" w:eastAsia="宋体"/>
          <w:b/>
          <w:color w:val="auto"/>
          <w:sz w:val="44"/>
          <w:szCs w:val="44"/>
          <w:highlight w:val="none"/>
        </w:rPr>
        <w:sectPr>
          <w:headerReference r:id="rId3" w:type="default"/>
          <w:footerReference r:id="rId4" w:type="default"/>
          <w:footerReference r:id="rId5" w:type="even"/>
          <w:pgSz w:w="11906" w:h="16838"/>
          <w:pgMar w:top="1644" w:right="1701" w:bottom="1644" w:left="1701" w:header="851" w:footer="992" w:gutter="0"/>
          <w:pgNumType w:fmt="numberInDash"/>
          <w:cols w:space="708" w:num="1"/>
          <w:docGrid w:type="lines" w:linePitch="312" w:charSpace="0"/>
        </w:sectPr>
      </w:pPr>
    </w:p>
    <w:p>
      <w:pPr>
        <w:spacing w:beforeLines="0" w:afterLines="0" w:line="560" w:lineRule="exact"/>
        <w:ind w:left="0" w:leftChars="0"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根据《中华人民共和国</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民法典</w:t>
      </w:r>
      <w:r>
        <w:rPr>
          <w:rFonts w:hint="eastAsia" w:ascii="仿宋_GB2312" w:hAnsi="仿宋_GB2312" w:eastAsia="仿宋_GB2312" w:cs="仿宋_GB2312"/>
          <w:color w:val="000000" w:themeColor="text1"/>
          <w:sz w:val="28"/>
          <w:szCs w:val="28"/>
          <w:highlight w:val="none"/>
          <w14:textFill>
            <w14:solidFill>
              <w14:schemeClr w14:val="tx1"/>
            </w14:solidFill>
          </w14:textFill>
        </w:rPr>
        <w:t>》及其他有关法律、行政法规，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广州市净水有限公司</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（以下简称“甲方”）与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（以下简称“乙方”）就</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项目承接工作事宜，遵循平等、自愿、公平和诚实信用的原则，双方协商一致，订立本合同。</w:t>
      </w:r>
    </w:p>
    <w:p>
      <w:pPr>
        <w:spacing w:beforeLines="0" w:afterLines="0" w:line="560" w:lineRule="exact"/>
        <w:ind w:left="0" w:leftChars="0" w:firstLine="560"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第一条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组成合同的文件及优先顺序</w:t>
      </w:r>
    </w:p>
    <w:p>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下列文件（如有）均为本合同的组成部分，可视为能相互说明和补充的，如果合同文件存在歧义或相矛盾的地方，则根据以下次序判断：</w:t>
      </w:r>
    </w:p>
    <w:p>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在本合同实施过程双方签署的补充与修正文件</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w:t>
      </w:r>
    </w:p>
    <w:p>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本合同书；</w:t>
      </w:r>
    </w:p>
    <w:p>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中标通知书/发包通知书/</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成交通知书/</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委托函；</w:t>
      </w:r>
    </w:p>
    <w:p>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招标文件/询价文件；</w:t>
      </w:r>
    </w:p>
    <w:p>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投标文件/响应文件；</w:t>
      </w:r>
    </w:p>
    <w:p>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标准、规范及有关技术性文件；</w:t>
      </w:r>
    </w:p>
    <w:p>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图纸；</w:t>
      </w:r>
    </w:p>
    <w:p>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工程量清单/</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工程量清单报价；</w:t>
      </w:r>
    </w:p>
    <w:p>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本合同其他附件；</w:t>
      </w:r>
    </w:p>
    <w:p>
      <w:pPr>
        <w:spacing w:beforeLines="0" w:afterLines="0" w:line="560" w:lineRule="exact"/>
        <w:ind w:firstLine="560"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第二条 项目概况、项目承包范围</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2.1项目名称：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广州净水公司2025年电气及自控系统等设备改造项目（</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设备）</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项目包含的子项目如下：</w:t>
      </w:r>
    </w:p>
    <w:tbl>
      <w:tblPr>
        <w:tblStyle w:val="25"/>
        <w:tblW w:w="7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791"/>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18" w:type="dxa"/>
            <w:noWrap w:val="0"/>
            <w:vAlign w:val="center"/>
          </w:tcPr>
          <w:p>
            <w:pPr>
              <w:widowControl/>
              <w:autoSpaceDE w:val="0"/>
              <w:autoSpaceDN w:val="0"/>
              <w:spacing w:line="360" w:lineRule="auto"/>
              <w:ind w:firstLineChars="0"/>
              <w:jc w:val="center"/>
              <w:textAlignment w:val="center"/>
              <w:rPr>
                <w:rFonts w:hint="eastAsia" w:ascii="宋体" w:hAnsi="宋体" w:eastAsia="宋体" w:cs="宋体"/>
                <w:color w:val="auto"/>
                <w:kern w:val="0"/>
                <w:sz w:val="24"/>
                <w:szCs w:val="24"/>
                <w:highlight w:val="none"/>
                <w:u w:val="none"/>
                <w:lang w:bidi="ar"/>
              </w:rPr>
            </w:pPr>
            <w:r>
              <w:rPr>
                <w:rFonts w:hint="eastAsia" w:ascii="宋体" w:hAnsi="宋体" w:cs="宋体"/>
                <w:color w:val="auto"/>
                <w:kern w:val="0"/>
                <w:sz w:val="24"/>
                <w:szCs w:val="24"/>
                <w:highlight w:val="none"/>
                <w:u w:val="none"/>
                <w:lang w:val="en-US" w:eastAsia="zh-CN" w:bidi="ar"/>
              </w:rPr>
              <w:t>序号</w:t>
            </w:r>
          </w:p>
        </w:tc>
        <w:tc>
          <w:tcPr>
            <w:tcW w:w="1791" w:type="dxa"/>
            <w:noWrap w:val="0"/>
            <w:vAlign w:val="center"/>
          </w:tcPr>
          <w:p>
            <w:pPr>
              <w:widowControl/>
              <w:autoSpaceDE w:val="0"/>
              <w:autoSpaceDN w:val="0"/>
              <w:spacing w:line="360" w:lineRule="auto"/>
              <w:ind w:firstLineChars="0"/>
              <w:jc w:val="center"/>
              <w:textAlignment w:val="center"/>
              <w:rPr>
                <w:rFonts w:hint="eastAsia" w:ascii="宋体" w:hAnsi="宋体" w:eastAsia="宋体" w:cs="宋体"/>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bidi="ar"/>
              </w:rPr>
              <w:t>分公司</w:t>
            </w:r>
          </w:p>
        </w:tc>
        <w:tc>
          <w:tcPr>
            <w:tcW w:w="4510" w:type="dxa"/>
            <w:noWrap w:val="0"/>
            <w:vAlign w:val="center"/>
          </w:tcPr>
          <w:p>
            <w:pPr>
              <w:widowControl/>
              <w:autoSpaceDE w:val="0"/>
              <w:autoSpaceDN w:val="0"/>
              <w:spacing w:line="360" w:lineRule="auto"/>
              <w:ind w:firstLineChars="0"/>
              <w:jc w:val="center"/>
              <w:textAlignment w:val="center"/>
              <w:rPr>
                <w:rFonts w:hint="eastAsia" w:ascii="宋体" w:hAnsi="宋体" w:eastAsia="宋体" w:cs="宋体"/>
                <w:color w:val="auto"/>
                <w:kern w:val="0"/>
                <w:sz w:val="24"/>
                <w:szCs w:val="24"/>
                <w:highlight w:val="none"/>
                <w:u w:val="none"/>
                <w:lang w:bidi="ar"/>
              </w:rPr>
            </w:pPr>
            <w:r>
              <w:rPr>
                <w:rFonts w:hint="eastAsia" w:ascii="宋体" w:hAnsi="宋体" w:cs="宋体"/>
                <w:color w:val="auto"/>
                <w:kern w:val="0"/>
                <w:sz w:val="24"/>
                <w:szCs w:val="24"/>
                <w:highlight w:val="none"/>
                <w:u w:val="none"/>
                <w:lang w:val="en-US" w:eastAsia="zh-CN" w:bidi="ar"/>
              </w:rPr>
              <w:t>子</w:t>
            </w:r>
            <w:r>
              <w:rPr>
                <w:rFonts w:hint="eastAsia" w:ascii="宋体" w:hAnsi="宋体" w:eastAsia="宋体" w:cs="宋体"/>
                <w:color w:val="auto"/>
                <w:kern w:val="0"/>
                <w:sz w:val="24"/>
                <w:szCs w:val="24"/>
                <w:highlight w:val="none"/>
                <w:u w:val="none"/>
                <w:lang w:bidi="ar"/>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18"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9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1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18"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79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1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18"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79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1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18"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79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1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18"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79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51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pPr>
        <w:spacing w:beforeLines="0" w:afterLines="0"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2.2项目地点：</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广州市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pPr>
        <w:spacing w:beforeLines="0" w:afterLines="0" w:line="560" w:lineRule="exact"/>
        <w:ind w:firstLine="560" w:firstLineChars="200"/>
        <w:rPr>
          <w:rFonts w:hint="eastAsia" w:ascii="仿宋_GB2312" w:hAnsi="仿宋_GB2312" w:eastAsia="仿宋_GB2312" w:cs="仿宋_GB2312"/>
          <w:color w:val="000000" w:themeColor="text1"/>
          <w:spacing w:val="8"/>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2.3项目内容：</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以上述包含的子项目为准</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2.4项目承包范围：包括提供所有需要的材料、机械、人工、设施、完成合同约定的工作和服务。按照甲方审核同意的方案、图纸所包括的实施范围和内容进行施工并在质量保修期内承担项目质量保修责任。</w:t>
      </w:r>
    </w:p>
    <w:p>
      <w:pPr>
        <w:spacing w:beforeLines="0" w:afterLines="0" w:line="560" w:lineRule="exact"/>
        <w:ind w:firstLine="560"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第三条 项目承包方式</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包工、包料、包工期、包质量、包安全、包文明施工。综合单价包干、项目措施费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按实结算</w:t>
      </w:r>
      <w:r>
        <w:rPr>
          <w:rFonts w:hint="eastAsia" w:ascii="仿宋_GB2312" w:hAnsi="仿宋_GB2312" w:eastAsia="仿宋_GB2312" w:cs="仿宋_GB2312"/>
          <w:color w:val="000000" w:themeColor="text1"/>
          <w:sz w:val="28"/>
          <w:szCs w:val="28"/>
          <w:highlight w:val="none"/>
          <w14:textFill>
            <w14:solidFill>
              <w14:schemeClr w14:val="tx1"/>
            </w14:solidFill>
          </w14:textFill>
        </w:rPr>
        <w:t>。（单价包干要求附</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工程量清单/</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工程量清单报价）</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□包工、包料、包质量、包工期、包安全、包文明施工、包设计、包调试、包验收的施工图纸，以总价包干形式。</w:t>
      </w:r>
    </w:p>
    <w:p>
      <w:pPr>
        <w:spacing w:beforeLines="0" w:afterLines="0" w:line="560" w:lineRule="exact"/>
        <w:ind w:firstLine="560"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第四条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合同价款</w:t>
      </w:r>
    </w:p>
    <w:p>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bdr w:val="single" w:color="auto" w:sz="4" w:space="0"/>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4.1合同价款按以下</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（1）  </w:t>
      </w:r>
      <w:r>
        <w:rPr>
          <w:rFonts w:hint="eastAsia" w:ascii="仿宋_GB2312" w:hAnsi="仿宋_GB2312" w:eastAsia="仿宋_GB2312" w:cs="仿宋_GB2312"/>
          <w:color w:val="000000" w:themeColor="text1"/>
          <w:sz w:val="28"/>
          <w:szCs w:val="28"/>
          <w:highlight w:val="none"/>
          <w14:textFill>
            <w14:solidFill>
              <w14:schemeClr w14:val="tx1"/>
            </w14:solidFill>
          </w14:textFill>
        </w:rPr>
        <w:t>执行。</w:t>
      </w:r>
    </w:p>
    <w:p>
      <w:pPr>
        <w:numPr>
          <w:ilvl w:val="-1"/>
          <w:numId w:val="0"/>
        </w:num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合同暂定总价为：</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人民币</w:t>
      </w:r>
      <w:r>
        <w:rPr>
          <w:rFonts w:hint="eastAsia" w:ascii="仿宋_GB2312" w:hAnsi="仿宋_GB2312" w:eastAsia="仿宋_GB2312" w:cs="仿宋_GB2312"/>
          <w:b/>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元</w:t>
      </w:r>
      <w:r>
        <w:rPr>
          <w:rFonts w:hint="eastAsia" w:ascii="仿宋_GB2312" w:hAnsi="仿宋_GB2312" w:eastAsia="仿宋_GB2312" w:cs="仿宋_GB2312"/>
          <w:color w:val="000000" w:themeColor="text1"/>
          <w:sz w:val="28"/>
          <w:szCs w:val="28"/>
          <w:highlight w:val="none"/>
          <w14:textFill>
            <w14:solidFill>
              <w14:schemeClr w14:val="tx1"/>
            </w14:solidFill>
          </w14:textFill>
        </w:rPr>
        <w:t>（大写:</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）。经甲方或甲方委托有资质第三方机构审核后，审核价作为合同结算价。若合同结算价超合同暂定总价，双方另行签订补充协议。</w:t>
      </w:r>
    </w:p>
    <w:p>
      <w:pPr>
        <w:numPr>
          <w:ilvl w:val="-1"/>
          <w:numId w:val="0"/>
        </w:num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（统筹项目）</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合同暂定总价组成：</w:t>
      </w:r>
    </w:p>
    <w:tbl>
      <w:tblPr>
        <w:tblStyle w:val="25"/>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39"/>
        <w:gridCol w:w="3875"/>
        <w:gridCol w:w="1144"/>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60" w:type="dxa"/>
            <w:noWrap w:val="0"/>
            <w:vAlign w:val="center"/>
          </w:tcPr>
          <w:p>
            <w:pPr>
              <w:widowControl/>
              <w:autoSpaceDE w:val="0"/>
              <w:autoSpaceDN w:val="0"/>
              <w:spacing w:line="360" w:lineRule="auto"/>
              <w:ind w:firstLineChars="0"/>
              <w:jc w:val="center"/>
              <w:textAlignment w:val="center"/>
              <w:rPr>
                <w:rFonts w:hint="eastAsia" w:ascii="宋体" w:hAnsi="宋体" w:eastAsia="宋体" w:cs="宋体"/>
                <w:color w:val="auto"/>
                <w:kern w:val="0"/>
                <w:sz w:val="24"/>
                <w:szCs w:val="24"/>
                <w:highlight w:val="none"/>
                <w:u w:val="none"/>
                <w:lang w:bidi="ar"/>
              </w:rPr>
            </w:pPr>
            <w:r>
              <w:rPr>
                <w:rFonts w:hint="eastAsia" w:ascii="宋体" w:hAnsi="宋体" w:cs="宋体"/>
                <w:color w:val="auto"/>
                <w:kern w:val="0"/>
                <w:sz w:val="24"/>
                <w:szCs w:val="24"/>
                <w:highlight w:val="none"/>
                <w:u w:val="none"/>
                <w:lang w:val="en-US" w:eastAsia="zh-CN" w:bidi="ar"/>
              </w:rPr>
              <w:t>序号</w:t>
            </w:r>
          </w:p>
        </w:tc>
        <w:tc>
          <w:tcPr>
            <w:tcW w:w="1539" w:type="dxa"/>
            <w:noWrap w:val="0"/>
            <w:vAlign w:val="center"/>
          </w:tcPr>
          <w:p>
            <w:pPr>
              <w:widowControl/>
              <w:autoSpaceDE w:val="0"/>
              <w:autoSpaceDN w:val="0"/>
              <w:spacing w:line="360" w:lineRule="auto"/>
              <w:ind w:firstLineChars="0"/>
              <w:jc w:val="center"/>
              <w:textAlignment w:val="center"/>
              <w:rPr>
                <w:rFonts w:hint="eastAsia" w:ascii="宋体" w:hAnsi="宋体" w:eastAsia="宋体" w:cs="宋体"/>
                <w:color w:val="auto"/>
                <w:kern w:val="0"/>
                <w:sz w:val="24"/>
                <w:szCs w:val="24"/>
                <w:highlight w:val="none"/>
                <w:u w:val="none"/>
                <w:lang w:bidi="ar"/>
              </w:rPr>
            </w:pPr>
            <w:r>
              <w:rPr>
                <w:rFonts w:hint="eastAsia" w:ascii="宋体" w:hAnsi="宋体" w:cs="宋体"/>
                <w:color w:val="auto"/>
                <w:kern w:val="0"/>
                <w:sz w:val="24"/>
                <w:szCs w:val="24"/>
                <w:highlight w:val="none"/>
                <w:u w:val="none"/>
                <w:lang w:bidi="ar"/>
              </w:rPr>
              <w:t>分公司</w:t>
            </w:r>
          </w:p>
        </w:tc>
        <w:tc>
          <w:tcPr>
            <w:tcW w:w="3875" w:type="dxa"/>
            <w:noWrap w:val="0"/>
            <w:vAlign w:val="center"/>
          </w:tcPr>
          <w:p>
            <w:pPr>
              <w:widowControl/>
              <w:autoSpaceDE w:val="0"/>
              <w:autoSpaceDN w:val="0"/>
              <w:spacing w:line="360" w:lineRule="auto"/>
              <w:ind w:firstLineChars="0"/>
              <w:jc w:val="center"/>
              <w:textAlignment w:val="center"/>
              <w:rPr>
                <w:rFonts w:hint="eastAsia" w:ascii="宋体" w:hAnsi="宋体" w:eastAsia="宋体" w:cs="宋体"/>
                <w:color w:val="auto"/>
                <w:kern w:val="0"/>
                <w:sz w:val="24"/>
                <w:szCs w:val="24"/>
                <w:highlight w:val="none"/>
                <w:u w:val="none"/>
                <w:lang w:bidi="ar"/>
              </w:rPr>
            </w:pPr>
            <w:r>
              <w:rPr>
                <w:rFonts w:hint="eastAsia" w:ascii="宋体" w:hAnsi="宋体" w:cs="宋体"/>
                <w:color w:val="auto"/>
                <w:kern w:val="0"/>
                <w:sz w:val="24"/>
                <w:szCs w:val="24"/>
                <w:highlight w:val="none"/>
                <w:u w:val="none"/>
                <w:lang w:val="en-US" w:eastAsia="zh-CN" w:bidi="ar"/>
              </w:rPr>
              <w:t>子</w:t>
            </w:r>
            <w:r>
              <w:rPr>
                <w:rFonts w:hint="eastAsia" w:ascii="宋体" w:hAnsi="宋体" w:cs="宋体"/>
                <w:color w:val="auto"/>
                <w:kern w:val="0"/>
                <w:sz w:val="24"/>
                <w:szCs w:val="24"/>
                <w:highlight w:val="none"/>
                <w:u w:val="none"/>
                <w:lang w:bidi="ar"/>
              </w:rPr>
              <w:t>项目名称</w:t>
            </w:r>
          </w:p>
        </w:tc>
        <w:tc>
          <w:tcPr>
            <w:tcW w:w="1144" w:type="dxa"/>
            <w:noWrap w:val="0"/>
            <w:vAlign w:val="center"/>
          </w:tcPr>
          <w:p>
            <w:pPr>
              <w:widowControl/>
              <w:autoSpaceDE w:val="0"/>
              <w:autoSpaceDN w:val="0"/>
              <w:spacing w:line="360" w:lineRule="auto"/>
              <w:ind w:firstLineChars="0"/>
              <w:jc w:val="center"/>
              <w:textAlignment w:val="center"/>
              <w:rPr>
                <w:rFonts w:hint="default" w:ascii="宋体" w:hAnsi="宋体" w:eastAsia="宋体" w:cs="宋体"/>
                <w:color w:val="auto"/>
                <w:kern w:val="0"/>
                <w:sz w:val="24"/>
                <w:szCs w:val="24"/>
                <w:highlight w:val="none"/>
                <w:u w:val="none"/>
                <w:lang w:bidi="ar"/>
              </w:rPr>
            </w:pPr>
            <w:r>
              <w:rPr>
                <w:rFonts w:hint="eastAsia" w:ascii="宋体" w:hAnsi="宋体" w:cs="宋体"/>
                <w:color w:val="auto"/>
                <w:kern w:val="0"/>
                <w:sz w:val="24"/>
                <w:szCs w:val="24"/>
                <w:highlight w:val="none"/>
                <w:u w:val="none"/>
                <w:lang w:val="en-US" w:eastAsia="zh-CN" w:bidi="ar"/>
              </w:rPr>
              <w:t>合同金额（元）</w:t>
            </w:r>
          </w:p>
        </w:tc>
        <w:tc>
          <w:tcPr>
            <w:tcW w:w="1144" w:type="dxa"/>
            <w:noWrap w:val="0"/>
            <w:vAlign w:val="center"/>
          </w:tcPr>
          <w:p>
            <w:pPr>
              <w:widowControl/>
              <w:autoSpaceDE w:val="0"/>
              <w:autoSpaceDN w:val="0"/>
              <w:spacing w:line="360" w:lineRule="auto"/>
              <w:ind w:firstLineChars="0"/>
              <w:jc w:val="center"/>
              <w:textAlignment w:val="center"/>
              <w:rPr>
                <w:rFonts w:hint="default" w:ascii="宋体" w:hAnsi="宋体" w:eastAsia="宋体" w:cs="宋体"/>
                <w:color w:val="auto"/>
                <w:kern w:val="0"/>
                <w:sz w:val="24"/>
                <w:szCs w:val="24"/>
                <w:highlight w:val="none"/>
                <w:u w:val="none"/>
                <w:lang w:val="en-US" w:eastAsia="zh-CN" w:bidi="ar"/>
              </w:rPr>
            </w:pPr>
            <w:r>
              <w:rPr>
                <w:rFonts w:hint="eastAsia" w:ascii="宋体" w:hAnsi="宋体" w:cs="宋体"/>
                <w:color w:val="auto"/>
                <w:kern w:val="0"/>
                <w:sz w:val="24"/>
                <w:szCs w:val="24"/>
                <w:highlight w:val="none"/>
                <w:u w:val="none"/>
                <w:lang w:val="en-US" w:eastAsia="zh-CN" w:bidi="ar"/>
              </w:rPr>
              <w:t>其中暂列金（元）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6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53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8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6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53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8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6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53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8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0"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53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8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4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1144"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r>
    </w:tbl>
    <w:p>
      <w:pPr>
        <w:numPr>
          <w:ilvl w:val="0"/>
          <w:numId w:val="0"/>
        </w:numPr>
        <w:spacing w:beforeLines="0" w:afterLines="0" w:line="560" w:lineRule="exact"/>
        <w:ind w:firstLine="0" w:firstLineChars="0"/>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numPr>
          <w:ilvl w:val="0"/>
          <w:numId w:val="0"/>
        </w:num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综合单价</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详见附件4工程量清单/工程量清单报价</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合同单价在合同有效期内为不变价。乙方已经充分考虑本合同履行期间的市场风险和国家政策性调整风险系数并已计入报价，因此合同单价在合同有效期内不因任何因素而作调整。</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合同以总价包干形式，合同暂定总价为：</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人民币</w:t>
      </w:r>
      <w:r>
        <w:rPr>
          <w:rFonts w:hint="eastAsia" w:ascii="仿宋_GB2312" w:hAnsi="仿宋_GB2312" w:eastAsia="仿宋_GB2312" w:cs="仿宋_GB2312"/>
          <w:b/>
          <w:color w:val="000000" w:themeColor="text1"/>
          <w:sz w:val="28"/>
          <w:szCs w:val="28"/>
          <w:highlight w:val="none"/>
          <w:u w:val="single"/>
          <w:lang w:val="en-US" w:eastAsia="zh-CN"/>
          <w14:textFill>
            <w14:solidFill>
              <w14:schemeClr w14:val="tx1"/>
            </w14:solidFill>
          </w14:textFill>
        </w:rPr>
        <w:t>/</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元</w:t>
      </w:r>
      <w:r>
        <w:rPr>
          <w:rFonts w:hint="eastAsia" w:ascii="仿宋_GB2312" w:hAnsi="仿宋_GB2312" w:eastAsia="仿宋_GB2312" w:cs="仿宋_GB2312"/>
          <w:color w:val="000000" w:themeColor="text1"/>
          <w:sz w:val="28"/>
          <w:szCs w:val="28"/>
          <w:highlight w:val="none"/>
          <w14:textFill>
            <w14:solidFill>
              <w14:schemeClr w14:val="tx1"/>
            </w14:solidFill>
          </w14:textFill>
        </w:rPr>
        <w:t>（大写:</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）。经甲方或甲方委托有资质第三方机构审核后，若结算审核价比合同暂定总价低，则以结算审核价作为合同结算价，否则以合同暂定总价为合同结算价。</w:t>
      </w:r>
    </w:p>
    <w:p>
      <w:pPr>
        <w:tabs>
          <w:tab w:val="left" w:pos="851"/>
        </w:tabs>
        <w:adjustRightInd/>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4.2</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本合同约定的价格为含税价价格</w:t>
      </w:r>
      <w:r>
        <w:rPr>
          <w:rFonts w:hint="eastAsia" w:ascii="仿宋_GB2312" w:hAnsi="仿宋_GB2312" w:eastAsia="仿宋_GB2312" w:cs="仿宋_GB2312"/>
          <w:color w:val="000000" w:themeColor="text1"/>
          <w:sz w:val="28"/>
          <w:szCs w:val="28"/>
          <w:highlight w:val="none"/>
          <w14:textFill>
            <w14:solidFill>
              <w14:schemeClr w14:val="tx1"/>
            </w14:solidFill>
          </w14:textFill>
        </w:rPr>
        <w:t>（税率</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），合同履行期间国家税率调整或乙方开票的实际税率与前述税率不一致的，不含税价不变，价税合计按实际税率相应调整，以开具发票时间为准。</w:t>
      </w:r>
    </w:p>
    <w:p>
      <w:pPr>
        <w:tabs>
          <w:tab w:val="left" w:pos="0"/>
        </w:tabs>
        <w:adjustRightInd/>
        <w:snapToGrid/>
        <w:spacing w:beforeLines="0" w:afterLines="0" w:line="560" w:lineRule="exact"/>
        <w:ind w:firstLine="560" w:firstLineChars="200"/>
        <w:jc w:val="left"/>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4.3因非乙方原因引起工程量报价清单中工程量发生增减，且单个子目工程量变化幅度在25%以内（含）时，按工程量报价清单中列明的子目单价结算。否则，按新增单价执行：单个子目工程量增加幅度在25%以上时，单价按就低原则执行（原合同单价与重新组价之间比较）；单个子目工程量减少幅度在25%以上时，单价按就高原则执行（原合同单价与重新组价之间比较）。</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4.4</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合同中没有适用于变更工程项目的单价的，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按新增单价执行。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新增单价计价原则：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执行《建设工程工程量清单计价规范》（GB50500-2013）及相应的各清单专业的国标工程量计算规范，套用《广东省建设工程计价依据（2018）》、《广东省房屋建筑和市政修缮工程综合定额（2012）》或其他由建设、造价主管部门发布的工程承包合同签订时广州地区适用的定额进行组价。</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项目计价材料、设备价格的控制</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按以下顺序作为降序优先级依次采用工程开工报告中开工日期当月的下列价格</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（1）《广州地区建设工程常用材料税前综合价格》（下称综合价格）。</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（2）《广州地区建设工程材料（设备）厂商价格信息》（下称厂商价格）下浮10-20%。</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（3）综合价格、厂商价格中缺项的，采用由北京瑞恒达建筑咨询有限公司提供服务的“慧讯网”中查到的相应材料、设备价格的工程价。</w:t>
      </w:r>
    </w:p>
    <w:p>
      <w:pPr>
        <w:pStyle w:val="31"/>
        <w:autoSpaceDE/>
        <w:autoSpaceDN/>
        <w:adjustRightIn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（4）通过市场询价双方协商确定。</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3.按1、2组价后</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投标下浮率</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计取。</w:t>
      </w:r>
    </w:p>
    <w:p>
      <w:pPr>
        <w:tabs>
          <w:tab w:val="left" w:pos="851"/>
        </w:tabs>
        <w:adjustRightInd/>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4.5</w:t>
      </w:r>
      <w:r>
        <w:rPr>
          <w:rFonts w:hint="eastAsia" w:ascii="仿宋_GB2312" w:hAnsi="仿宋_GB2312" w:eastAsia="仿宋_GB2312" w:cs="仿宋_GB2312"/>
          <w:sz w:val="28"/>
          <w:szCs w:val="28"/>
          <w:highlight w:val="none"/>
        </w:rPr>
        <w:t>乙方送审结算时，应提供（子项）工程合同清单报价（量）与送审的工程清单报价（量）对比表，包括分部分项清单、措施项目清单、其他项目清单等对比表（含纸质版盖章及软件版）、主材设备发票或其他甲方认可的收据等资料。</w:t>
      </w:r>
    </w:p>
    <w:p>
      <w:pPr>
        <w:widowControl w:val="0"/>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第五条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工期及要求</w:t>
      </w:r>
    </w:p>
    <w:p>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工期</w:t>
      </w:r>
    </w:p>
    <w:p>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施工工期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详见下表各子项目工期规划</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p>
    <w:tbl>
      <w:tblPr>
        <w:tblStyle w:val="25"/>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501"/>
        <w:gridCol w:w="3779"/>
        <w:gridCol w:w="1116"/>
        <w:gridCol w:w="1116"/>
        <w:tblGridChange w:id="0">
          <w:tblGrid>
            <w:gridCol w:w="652"/>
            <w:gridCol w:w="285"/>
            <w:gridCol w:w="1216"/>
            <w:gridCol w:w="285"/>
            <w:gridCol w:w="3494"/>
            <w:gridCol w:w="285"/>
            <w:gridCol w:w="1116"/>
            <w:gridCol w:w="111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dxa"/>
            <w:noWrap w:val="0"/>
            <w:vAlign w:val="center"/>
          </w:tcPr>
          <w:p>
            <w:pPr>
              <w:widowControl/>
              <w:autoSpaceDE w:val="0"/>
              <w:autoSpaceDN w:val="0"/>
              <w:spacing w:line="360" w:lineRule="auto"/>
              <w:ind w:firstLineChars="0"/>
              <w:jc w:val="center"/>
              <w:textAlignment w:val="center"/>
              <w:rPr>
                <w:rFonts w:hint="eastAsia" w:ascii="宋体" w:hAnsi="宋体" w:eastAsia="宋体" w:cs="宋体"/>
                <w:color w:val="auto"/>
                <w:kern w:val="0"/>
                <w:sz w:val="24"/>
                <w:szCs w:val="24"/>
                <w:highlight w:val="none"/>
                <w:u w:val="none"/>
                <w:lang w:bidi="ar"/>
              </w:rPr>
            </w:pPr>
            <w:r>
              <w:rPr>
                <w:rFonts w:hint="eastAsia" w:ascii="宋体" w:hAnsi="宋体" w:cs="宋体"/>
                <w:color w:val="auto"/>
                <w:kern w:val="0"/>
                <w:sz w:val="24"/>
                <w:szCs w:val="24"/>
                <w:highlight w:val="none"/>
                <w:u w:val="none"/>
                <w:lang w:val="en-US" w:eastAsia="zh-CN" w:bidi="ar"/>
              </w:rPr>
              <w:t>序号</w:t>
            </w:r>
          </w:p>
        </w:tc>
        <w:tc>
          <w:tcPr>
            <w:tcW w:w="1501" w:type="dxa"/>
            <w:noWrap w:val="0"/>
            <w:vAlign w:val="center"/>
          </w:tcPr>
          <w:p>
            <w:pPr>
              <w:widowControl/>
              <w:autoSpaceDE w:val="0"/>
              <w:autoSpaceDN w:val="0"/>
              <w:spacing w:line="360" w:lineRule="auto"/>
              <w:ind w:firstLineChars="0"/>
              <w:jc w:val="center"/>
              <w:textAlignment w:val="center"/>
              <w:rPr>
                <w:rFonts w:hint="eastAsia" w:ascii="宋体" w:hAnsi="宋体" w:eastAsia="宋体" w:cs="宋体"/>
                <w:color w:val="auto"/>
                <w:kern w:val="0"/>
                <w:sz w:val="24"/>
                <w:szCs w:val="24"/>
                <w:highlight w:val="none"/>
                <w:u w:val="none"/>
                <w:lang w:bidi="ar"/>
              </w:rPr>
            </w:pPr>
            <w:r>
              <w:rPr>
                <w:rFonts w:hint="eastAsia" w:ascii="宋体" w:hAnsi="宋体" w:cs="宋体"/>
                <w:color w:val="auto"/>
                <w:kern w:val="0"/>
                <w:sz w:val="24"/>
                <w:szCs w:val="24"/>
                <w:highlight w:val="none"/>
                <w:u w:val="none"/>
                <w:lang w:bidi="ar"/>
              </w:rPr>
              <w:t>分公司</w:t>
            </w:r>
          </w:p>
        </w:tc>
        <w:tc>
          <w:tcPr>
            <w:tcW w:w="3779" w:type="dxa"/>
            <w:noWrap w:val="0"/>
            <w:vAlign w:val="center"/>
          </w:tcPr>
          <w:p>
            <w:pPr>
              <w:widowControl/>
              <w:autoSpaceDE w:val="0"/>
              <w:autoSpaceDN w:val="0"/>
              <w:spacing w:line="360" w:lineRule="auto"/>
              <w:ind w:firstLineChars="0"/>
              <w:jc w:val="center"/>
              <w:textAlignment w:val="center"/>
              <w:rPr>
                <w:rFonts w:hint="eastAsia" w:ascii="宋体" w:hAnsi="宋体" w:eastAsia="宋体" w:cs="宋体"/>
                <w:color w:val="auto"/>
                <w:kern w:val="0"/>
                <w:sz w:val="24"/>
                <w:szCs w:val="24"/>
                <w:highlight w:val="none"/>
                <w:u w:val="none"/>
                <w:lang w:bidi="ar"/>
              </w:rPr>
            </w:pPr>
            <w:r>
              <w:rPr>
                <w:rFonts w:hint="eastAsia" w:ascii="宋体" w:hAnsi="宋体" w:cs="宋体"/>
                <w:color w:val="auto"/>
                <w:kern w:val="0"/>
                <w:sz w:val="24"/>
                <w:szCs w:val="24"/>
                <w:highlight w:val="none"/>
                <w:u w:val="none"/>
                <w:lang w:val="en-US" w:eastAsia="zh-CN" w:bidi="ar"/>
              </w:rPr>
              <w:t>子</w:t>
            </w:r>
            <w:r>
              <w:rPr>
                <w:rFonts w:hint="eastAsia" w:ascii="宋体" w:hAnsi="宋体" w:cs="宋体"/>
                <w:color w:val="auto"/>
                <w:kern w:val="0"/>
                <w:sz w:val="24"/>
                <w:szCs w:val="24"/>
                <w:highlight w:val="none"/>
                <w:u w:val="none"/>
                <w:lang w:bidi="ar"/>
              </w:rPr>
              <w:t>项目名称</w:t>
            </w:r>
          </w:p>
        </w:tc>
        <w:tc>
          <w:tcPr>
            <w:tcW w:w="1116" w:type="dxa"/>
            <w:noWrap w:val="0"/>
            <w:vAlign w:val="center"/>
          </w:tcPr>
          <w:p>
            <w:pPr>
              <w:widowControl/>
              <w:autoSpaceDE w:val="0"/>
              <w:autoSpaceDN w:val="0"/>
              <w:spacing w:line="360" w:lineRule="auto"/>
              <w:ind w:firstLineChars="0"/>
              <w:jc w:val="center"/>
              <w:textAlignment w:val="center"/>
              <w:rPr>
                <w:rFonts w:hint="eastAsia" w:ascii="宋体" w:hAnsi="宋体" w:eastAsia="宋体" w:cs="宋体"/>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bidi="ar"/>
              </w:rPr>
              <w:t>货期</w:t>
            </w:r>
          </w:p>
        </w:tc>
        <w:tc>
          <w:tcPr>
            <w:tcW w:w="1116" w:type="dxa"/>
            <w:noWrap w:val="0"/>
            <w:vAlign w:val="center"/>
          </w:tcPr>
          <w:p>
            <w:pPr>
              <w:widowControl/>
              <w:autoSpaceDE w:val="0"/>
              <w:autoSpaceDN w:val="0"/>
              <w:spacing w:line="360" w:lineRule="auto"/>
              <w:ind w:firstLineChars="0"/>
              <w:jc w:val="center"/>
              <w:textAlignment w:val="center"/>
              <w:rPr>
                <w:rFonts w:hint="eastAsia" w:ascii="宋体" w:hAnsi="宋体" w:eastAsia="宋体" w:cs="宋体"/>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bidi="ar"/>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50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77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50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77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50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77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50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77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11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0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77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11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01"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779"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111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r>
    </w:tbl>
    <w:p>
      <w:pPr>
        <w:widowControl w:val="0"/>
        <w:spacing w:beforeLines="0" w:afterLines="0" w:line="560" w:lineRule="exact"/>
        <w:ind w:firstLine="560" w:firstLineChars="200"/>
        <w:jc w:val="left"/>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货期：合同签订后次日开始计算，乙方负责将货物运送至甲方对应子项目实施单位现场，并通知甲方对应子项目负责人进行验收。</w:t>
      </w:r>
    </w:p>
    <w:p>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工期：</w:t>
      </w:r>
      <w:r>
        <w:rPr>
          <w:rFonts w:hint="eastAsia" w:ascii="仿宋_GB2312" w:hAnsi="仿宋_GB2312" w:eastAsia="仿宋_GB2312" w:cs="仿宋_GB2312"/>
          <w:color w:val="000000" w:themeColor="text1"/>
          <w:sz w:val="28"/>
          <w:szCs w:val="28"/>
          <w:highlight w:val="none"/>
          <w14:textFill>
            <w14:solidFill>
              <w14:schemeClr w14:val="tx1"/>
            </w14:solidFill>
          </w14:textFill>
        </w:rPr>
        <w:t>开工日期以甲方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对应子项目分公司</w:t>
      </w:r>
      <w:r>
        <w:rPr>
          <w:rFonts w:hint="eastAsia" w:ascii="仿宋_GB2312" w:hAnsi="仿宋_GB2312" w:eastAsia="仿宋_GB2312" w:cs="仿宋_GB2312"/>
          <w:color w:val="000000" w:themeColor="text1"/>
          <w:sz w:val="28"/>
          <w:szCs w:val="28"/>
          <w:highlight w:val="none"/>
          <w14:textFill>
            <w14:solidFill>
              <w14:schemeClr w14:val="tx1"/>
            </w14:solidFill>
          </w14:textFill>
        </w:rPr>
        <w:t>发出的开工报告/</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书面</w:t>
      </w:r>
      <w:r>
        <w:rPr>
          <w:rFonts w:hint="eastAsia" w:ascii="仿宋_GB2312" w:hAnsi="仿宋_GB2312" w:eastAsia="仿宋_GB2312" w:cs="仿宋_GB2312"/>
          <w:color w:val="000000" w:themeColor="text1"/>
          <w:sz w:val="28"/>
          <w:szCs w:val="28"/>
          <w:highlight w:val="none"/>
          <w14:textFill>
            <w14:solidFill>
              <w14:schemeClr w14:val="tx1"/>
            </w14:solidFill>
          </w14:textFill>
        </w:rPr>
        <w:t>通知为准。</w:t>
      </w:r>
    </w:p>
    <w:p>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乙方不能按时</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供货或</w:t>
      </w:r>
      <w:r>
        <w:rPr>
          <w:rFonts w:hint="eastAsia" w:ascii="仿宋_GB2312" w:hAnsi="仿宋_GB2312" w:eastAsia="仿宋_GB2312" w:cs="仿宋_GB2312"/>
          <w:color w:val="000000" w:themeColor="text1"/>
          <w:sz w:val="28"/>
          <w:szCs w:val="28"/>
          <w:highlight w:val="none"/>
          <w14:textFill>
            <w14:solidFill>
              <w14:schemeClr w14:val="tx1"/>
            </w14:solidFill>
          </w14:textFill>
        </w:rPr>
        <w:t>开工，应当于</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货期到期7天前，或</w:t>
      </w:r>
      <w:r>
        <w:rPr>
          <w:rFonts w:hint="eastAsia" w:ascii="仿宋_GB2312" w:hAnsi="仿宋_GB2312" w:eastAsia="仿宋_GB2312" w:cs="仿宋_GB2312"/>
          <w:color w:val="000000" w:themeColor="text1"/>
          <w:sz w:val="28"/>
          <w:szCs w:val="28"/>
          <w:highlight w:val="none"/>
          <w14:textFill>
            <w14:solidFill>
              <w14:schemeClr w14:val="tx1"/>
            </w14:solidFill>
          </w14:textFill>
        </w:rPr>
        <w:t>开工报告/</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书面</w:t>
      </w:r>
      <w:r>
        <w:rPr>
          <w:rFonts w:hint="eastAsia" w:ascii="仿宋_GB2312" w:hAnsi="仿宋_GB2312" w:eastAsia="仿宋_GB2312" w:cs="仿宋_GB2312"/>
          <w:color w:val="000000" w:themeColor="text1"/>
          <w:sz w:val="28"/>
          <w:szCs w:val="28"/>
          <w:highlight w:val="none"/>
          <w14:textFill>
            <w14:solidFill>
              <w14:schemeClr w14:val="tx1"/>
            </w14:solidFill>
          </w14:textFill>
        </w:rPr>
        <w:t>通知载明的开工日期</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天前，以书面形式向甲方提出延期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供货或</w:t>
      </w:r>
      <w:r>
        <w:rPr>
          <w:rFonts w:hint="eastAsia" w:ascii="仿宋_GB2312" w:hAnsi="仿宋_GB2312" w:eastAsia="仿宋_GB2312" w:cs="仿宋_GB2312"/>
          <w:color w:val="000000" w:themeColor="text1"/>
          <w:sz w:val="28"/>
          <w:szCs w:val="28"/>
          <w:highlight w:val="none"/>
          <w14:textFill>
            <w14:solidFill>
              <w14:schemeClr w14:val="tx1"/>
            </w14:solidFill>
          </w14:textFill>
        </w:rPr>
        <w:t>开工的理由。甲方应当在接到延期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供货或</w:t>
      </w:r>
      <w:r>
        <w:rPr>
          <w:rFonts w:hint="eastAsia" w:ascii="仿宋_GB2312" w:hAnsi="仿宋_GB2312" w:eastAsia="仿宋_GB2312" w:cs="仿宋_GB2312"/>
          <w:color w:val="000000" w:themeColor="text1"/>
          <w:sz w:val="28"/>
          <w:szCs w:val="28"/>
          <w:highlight w:val="none"/>
          <w14:textFill>
            <w14:solidFill>
              <w14:schemeClr w14:val="tx1"/>
            </w14:solidFill>
          </w14:textFill>
        </w:rPr>
        <w:t>开工申请后的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48小时</w:t>
      </w:r>
      <w:r>
        <w:rPr>
          <w:rFonts w:hint="eastAsia" w:ascii="仿宋_GB2312" w:hAnsi="仿宋_GB2312" w:eastAsia="仿宋_GB2312" w:cs="仿宋_GB2312"/>
          <w:color w:val="000000" w:themeColor="text1"/>
          <w:sz w:val="28"/>
          <w:szCs w:val="28"/>
          <w:highlight w:val="none"/>
          <w14:textFill>
            <w14:solidFill>
              <w14:schemeClr w14:val="tx1"/>
            </w14:solidFill>
          </w14:textFill>
        </w:rPr>
        <w:t>内以书面形式答复乙方。甲方在接到延期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供货或</w:t>
      </w:r>
      <w:r>
        <w:rPr>
          <w:rFonts w:hint="eastAsia" w:ascii="仿宋_GB2312" w:hAnsi="仿宋_GB2312" w:eastAsia="仿宋_GB2312" w:cs="仿宋_GB2312"/>
          <w:color w:val="000000" w:themeColor="text1"/>
          <w:sz w:val="28"/>
          <w:szCs w:val="28"/>
          <w:highlight w:val="none"/>
          <w14:textFill>
            <w14:solidFill>
              <w14:schemeClr w14:val="tx1"/>
            </w14:solidFill>
          </w14:textFill>
        </w:rPr>
        <w:t>开工申请后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48小时</w:t>
      </w:r>
      <w:r>
        <w:rPr>
          <w:rFonts w:hint="eastAsia" w:ascii="仿宋_GB2312" w:hAnsi="仿宋_GB2312" w:eastAsia="仿宋_GB2312" w:cs="仿宋_GB2312"/>
          <w:color w:val="000000" w:themeColor="text1"/>
          <w:sz w:val="28"/>
          <w:szCs w:val="28"/>
          <w:highlight w:val="none"/>
          <w14:textFill>
            <w14:solidFill>
              <w14:schemeClr w14:val="tx1"/>
            </w14:solidFill>
          </w14:textFill>
        </w:rPr>
        <w:t>内不答复，视为同意乙方要求，工期相应顺延。甲方不同意延期要求或乙方未在规定时间内提出延期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供货或</w:t>
      </w:r>
      <w:r>
        <w:rPr>
          <w:rFonts w:hint="eastAsia" w:ascii="仿宋_GB2312" w:hAnsi="仿宋_GB2312" w:eastAsia="仿宋_GB2312" w:cs="仿宋_GB2312"/>
          <w:color w:val="000000" w:themeColor="text1"/>
          <w:sz w:val="28"/>
          <w:szCs w:val="28"/>
          <w:highlight w:val="none"/>
          <w14:textFill>
            <w14:solidFill>
              <w14:schemeClr w14:val="tx1"/>
            </w14:solidFill>
          </w14:textFill>
        </w:rPr>
        <w:t>开工，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货期或</w:t>
      </w:r>
      <w:r>
        <w:rPr>
          <w:rFonts w:hint="eastAsia" w:ascii="仿宋_GB2312" w:hAnsi="仿宋_GB2312" w:eastAsia="仿宋_GB2312" w:cs="仿宋_GB2312"/>
          <w:color w:val="000000" w:themeColor="text1"/>
          <w:sz w:val="28"/>
          <w:szCs w:val="28"/>
          <w:highlight w:val="none"/>
          <w14:textFill>
            <w14:solidFill>
              <w14:schemeClr w14:val="tx1"/>
            </w14:solidFill>
          </w14:textFill>
        </w:rPr>
        <w:t>工期不予顺延。</w:t>
      </w:r>
    </w:p>
    <w:p>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因乙方原因</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未按约定货期供货或未按甲方开工通知时间进场施工的</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每逾期一日，应按</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2000元</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支付逾期违约金，逾期达到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日及以上的，甲方有权解除合同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，由此而造成的经济损失由乙方负责赔偿</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p>
    <w:p>
      <w:pPr>
        <w:widowControl w:val="0"/>
        <w:numPr>
          <w:ilvl w:val="0"/>
          <w:numId w:val="0"/>
        </w:numPr>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乙方未能按合同</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约定</w:t>
      </w:r>
      <w:r>
        <w:rPr>
          <w:rFonts w:hint="eastAsia" w:ascii="仿宋_GB2312" w:hAnsi="仿宋_GB2312" w:eastAsia="仿宋_GB2312" w:cs="仿宋_GB2312"/>
          <w:color w:val="000000" w:themeColor="text1"/>
          <w:sz w:val="28"/>
          <w:szCs w:val="28"/>
          <w:highlight w:val="none"/>
          <w14:textFill>
            <w14:solidFill>
              <w14:schemeClr w14:val="tx1"/>
            </w14:solidFill>
          </w14:textFill>
        </w:rPr>
        <w:t>竣工验收的，每逾期一天，甲方有权要求乙方按</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对应子项目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合同暂定总价的 1%</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支付违约金，逾期达到</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20 </w:t>
      </w:r>
      <w:r>
        <w:rPr>
          <w:rFonts w:hint="eastAsia" w:ascii="仿宋_GB2312" w:hAnsi="仿宋_GB2312" w:eastAsia="仿宋_GB2312" w:cs="仿宋_GB2312"/>
          <w:color w:val="000000" w:themeColor="text1"/>
          <w:sz w:val="28"/>
          <w:szCs w:val="28"/>
          <w:highlight w:val="none"/>
          <w14:textFill>
            <w14:solidFill>
              <w14:schemeClr w14:val="tx1"/>
            </w14:solidFill>
          </w14:textFill>
        </w:rPr>
        <w:t>天及以上的，甲方有权解除合同并要求乙方支付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对应子项目合同暂定总价</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的20%</w:t>
      </w:r>
      <w:r>
        <w:rPr>
          <w:rFonts w:hint="eastAsia" w:ascii="仿宋_GB2312" w:hAnsi="仿宋_GB2312" w:eastAsia="仿宋_GB2312" w:cs="仿宋_GB2312"/>
          <w:color w:val="000000" w:themeColor="text1"/>
          <w:sz w:val="28"/>
          <w:szCs w:val="28"/>
          <w:highlight w:val="none"/>
          <w14:textFill>
            <w14:solidFill>
              <w14:schemeClr w14:val="tx1"/>
            </w14:solidFill>
          </w14:textFill>
        </w:rPr>
        <w:t>作为违约金。</w:t>
      </w:r>
    </w:p>
    <w:p>
      <w:pPr>
        <w:pStyle w:val="14"/>
        <w:spacing w:beforeLines="0" w:afterLines="0" w:line="560" w:lineRule="exact"/>
        <w:ind w:firstLine="528" w:firstLineChars="200"/>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bookmarkStart w:id="0" w:name="_Toc3872"/>
      <w:bookmarkStart w:id="1" w:name="_Toc15706"/>
      <w:r>
        <w:rPr>
          <w:rFonts w:hint="eastAsia" w:ascii="仿宋_GB2312" w:hAnsi="仿宋_GB2312" w:eastAsia="仿宋_GB2312" w:cs="仿宋_GB2312"/>
          <w:color w:val="000000" w:themeColor="text1"/>
          <w:spacing w:val="-8"/>
          <w:sz w:val="28"/>
          <w:szCs w:val="28"/>
          <w:highlight w:val="none"/>
          <w:lang w:val="en-US" w:eastAsia="zh-CN"/>
          <w14:textFill>
            <w14:solidFill>
              <w14:schemeClr w14:val="tx1"/>
            </w14:solidFill>
          </w14:textFill>
        </w:rPr>
        <w:t>5.2合同签订后，在收到甲方开工通知后7天内，乙方需提交完整的盖章版施工备案资料，</w:t>
      </w:r>
      <w:r>
        <w:rPr>
          <w:rFonts w:hint="eastAsia" w:ascii="仿宋_GB2312" w:hAnsi="仿宋_GB2312" w:eastAsia="仿宋_GB2312" w:cs="仿宋_GB2312"/>
          <w:color w:val="000000" w:themeColor="text1"/>
          <w:sz w:val="28"/>
          <w:szCs w:val="28"/>
          <w:highlight w:val="none"/>
          <w14:textFill>
            <w14:solidFill>
              <w14:schemeClr w14:val="tx1"/>
            </w14:solidFill>
          </w14:textFill>
        </w:rPr>
        <w:t>每逾期一日，应按</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对应子项目合同暂定总价</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的1%/日</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支付逾期违约金，逾期达到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日及以上的，甲方有权解除合同。</w:t>
      </w:r>
      <w:bookmarkEnd w:id="0"/>
      <w:bookmarkEnd w:id="1"/>
    </w:p>
    <w:p>
      <w:pPr>
        <w:widowControl w:val="0"/>
        <w:spacing w:beforeLines="0" w:afterLines="0" w:line="560" w:lineRule="exact"/>
        <w:ind w:firstLine="560" w:firstLineChars="200"/>
        <w:jc w:val="lef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乙方在施工期间应严格遵守《中华人民共和国安全生产法》、《建设工程安全生产管理条例》等法律法规以及文明施工、深夜施工、环卫和城管等规定，建立规章制度和防护措施并向甲方报备。如甲方或相关职能部门在施工过程中发现安全问题或者发出整改通知书，乙方应立即停工整改。如果逾期不整改或者整改不符合合同约定，甲方有权要求乙方支付</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合同暂定总价的5%/次</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作为违约金，超过三次（含三次）的，甲方有权解除合同，要求乙方支付</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合同暂定总价的20%</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作为违约金。由此造成的经济和法律责任，均由乙方负责。</w:t>
      </w:r>
    </w:p>
    <w:p>
      <w:pPr>
        <w:widowControl w:val="0"/>
        <w:spacing w:beforeLines="0" w:afterLines="0" w:line="560" w:lineRule="exact"/>
        <w:ind w:left="1" w:firstLine="560" w:firstLineChars="200"/>
        <w:jc w:val="lef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乙方应按合同及甲方提供的技术文件要求进行本项目实施和安装。乙方未经甲方同意，不得将本项目图纸泄露或转给第三人。除乙方存档需要的图纸外，乙方应于项目质量保修期满后</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7 </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内将全部图纸退还给甲方。</w:t>
      </w:r>
    </w:p>
    <w:p>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5</w:t>
      </w:r>
      <w:r>
        <w:rPr>
          <w:rFonts w:hint="eastAsia" w:ascii="仿宋_GB2312" w:hAnsi="仿宋_GB2312" w:eastAsia="仿宋_GB2312" w:cs="仿宋_GB2312"/>
          <w:color w:val="auto"/>
          <w:sz w:val="28"/>
          <w:szCs w:val="28"/>
          <w:highlight w:val="none"/>
        </w:rPr>
        <w:t>乙方保证其具有符合法律法规要求的完成本工程项目应具有的相应资质，禁止转包和</w:t>
      </w:r>
      <w:r>
        <w:rPr>
          <w:rFonts w:hint="eastAsia" w:ascii="仿宋_GB2312" w:hAnsi="仿宋_GB2312" w:eastAsia="仿宋_GB2312" w:cs="仿宋_GB2312"/>
          <w:color w:val="auto"/>
          <w:sz w:val="28"/>
          <w:szCs w:val="28"/>
          <w:highlight w:val="none"/>
          <w:u w:val="single"/>
          <w:lang w:val="en-US" w:eastAsia="zh-CN"/>
        </w:rPr>
        <w:t>专业</w:t>
      </w:r>
      <w:r>
        <w:rPr>
          <w:rFonts w:hint="eastAsia" w:ascii="仿宋_GB2312" w:hAnsi="仿宋_GB2312" w:eastAsia="仿宋_GB2312" w:cs="仿宋_GB2312"/>
          <w:color w:val="auto"/>
          <w:sz w:val="28"/>
          <w:szCs w:val="28"/>
          <w:highlight w:val="none"/>
          <w:u w:val="single"/>
        </w:rPr>
        <w:t>分包</w:t>
      </w:r>
      <w:r>
        <w:rPr>
          <w:rFonts w:hint="eastAsia" w:ascii="仿宋_GB2312" w:hAnsi="仿宋_GB2312" w:eastAsia="仿宋_GB2312" w:cs="仿宋_GB2312"/>
          <w:color w:val="auto"/>
          <w:sz w:val="28"/>
          <w:szCs w:val="28"/>
          <w:highlight w:val="none"/>
        </w:rPr>
        <w:t>，如违反上述约定，甲方有权解除合同，要求乙方支付</w:t>
      </w:r>
      <w:r>
        <w:rPr>
          <w:rFonts w:hint="eastAsia" w:ascii="仿宋_GB2312" w:hAnsi="仿宋_GB2312" w:eastAsia="仿宋_GB2312" w:cs="仿宋_GB2312"/>
          <w:color w:val="auto"/>
          <w:sz w:val="28"/>
          <w:szCs w:val="28"/>
          <w:highlight w:val="none"/>
          <w:u w:val="single"/>
          <w:lang w:val="en-US" w:eastAsia="zh-CN"/>
        </w:rPr>
        <w:t>合同暂定总价10%</w:t>
      </w:r>
      <w:r>
        <w:rPr>
          <w:rFonts w:hint="eastAsia" w:ascii="仿宋_GB2312" w:hAnsi="仿宋_GB2312" w:eastAsia="仿宋_GB2312" w:cs="仿宋_GB2312"/>
          <w:color w:val="auto"/>
          <w:sz w:val="28"/>
          <w:szCs w:val="28"/>
          <w:highlight w:val="none"/>
        </w:rPr>
        <w:t>作为违约金</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由此造成一切责任由乙方承担。</w:t>
      </w:r>
    </w:p>
    <w:p>
      <w:pPr>
        <w:topLinePunct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5.6乙方不得随意更换项目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负责人</w:t>
      </w:r>
      <w:r>
        <w:rPr>
          <w:rFonts w:hint="eastAsia" w:ascii="仿宋_GB2312" w:hAnsi="仿宋_GB2312" w:eastAsia="仿宋_GB2312" w:cs="仿宋_GB2312"/>
          <w:color w:val="000000" w:themeColor="text1"/>
          <w:sz w:val="28"/>
          <w:szCs w:val="28"/>
          <w:highlight w:val="none"/>
          <w14:textFill>
            <w14:solidFill>
              <w14:schemeClr w14:val="tx1"/>
            </w14:solidFill>
          </w14:textFill>
        </w:rPr>
        <w:t>及</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附件5中的</w:t>
      </w:r>
      <w:r>
        <w:rPr>
          <w:rFonts w:hint="eastAsia" w:ascii="仿宋_GB2312" w:hAnsi="仿宋_GB2312" w:eastAsia="仿宋_GB2312" w:cs="仿宋_GB2312"/>
          <w:color w:val="000000" w:themeColor="text1"/>
          <w:sz w:val="28"/>
          <w:szCs w:val="28"/>
          <w:highlight w:val="none"/>
          <w14:textFill>
            <w14:solidFill>
              <w14:schemeClr w14:val="tx1"/>
            </w14:solidFill>
          </w14:textFill>
        </w:rPr>
        <w:t>相关人员</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人员名单应与乙方在投标文件/报价文件中所载明的人员一致）</w:t>
      </w:r>
      <w:r>
        <w:rPr>
          <w:rFonts w:hint="eastAsia" w:ascii="仿宋_GB2312" w:hAnsi="仿宋_GB2312" w:eastAsia="仿宋_GB2312" w:cs="仿宋_GB2312"/>
          <w:color w:val="000000" w:themeColor="text1"/>
          <w:sz w:val="28"/>
          <w:szCs w:val="28"/>
          <w:highlight w:val="none"/>
          <w14:textFill>
            <w14:solidFill>
              <w14:schemeClr w14:val="tx1"/>
            </w14:solidFill>
          </w14:textFill>
        </w:rPr>
        <w:t>，如确须更换，应提前征得甲方同意。如有违反，甲方有权解除合同并要求乙方支付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1000</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元/人次</w:t>
      </w:r>
      <w:r>
        <w:rPr>
          <w:rFonts w:hint="eastAsia" w:ascii="仿宋_GB2312" w:hAnsi="仿宋_GB2312" w:eastAsia="仿宋_GB2312" w:cs="仿宋_GB2312"/>
          <w:color w:val="000000" w:themeColor="text1"/>
          <w:sz w:val="28"/>
          <w:szCs w:val="28"/>
          <w:highlight w:val="none"/>
          <w14:textFill>
            <w14:solidFill>
              <w14:schemeClr w14:val="tx1"/>
            </w14:solidFill>
          </w14:textFill>
        </w:rPr>
        <w:t>作为违约金，以及赔偿由此造成的一切损失(包含质量安全事故、工期延误、增加投资等)。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pPr>
        <w:pStyle w:val="56"/>
        <w:spacing w:beforeLines="0" w:afterLines="0" w:line="560" w:lineRule="exac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5.7</w:t>
      </w:r>
      <w:r>
        <w:rPr>
          <w:rFonts w:hint="eastAsia" w:ascii="仿宋_GB2312" w:hAnsi="仿宋_GB2312" w:eastAsia="仿宋_GB2312" w:cs="仿宋_GB2312"/>
          <w:b w:val="0"/>
          <w:bCs/>
          <w:color w:val="000000" w:themeColor="text1"/>
          <w:spacing w:val="-8"/>
          <w:sz w:val="28"/>
          <w:szCs w:val="28"/>
          <w:highlight w:val="none"/>
          <w:lang w:val="en-US" w:eastAsia="zh-CN"/>
          <w14:textFill>
            <w14:solidFill>
              <w14:schemeClr w14:val="tx1"/>
            </w14:solidFill>
          </w14:textFill>
        </w:rPr>
        <w:t>乙方需满足项目同时实施要求，拟投入工程人员配备响应表配备相应工作人员以满足甲方要求，若因人员不足或人员素质不能满足工程实际需要时，乙方需无条件按照甲方的要求更换或增加相关人员。否则甲方有权解除合同并要求乙方支付</w:t>
      </w:r>
      <w:r>
        <w:rPr>
          <w:rFonts w:hint="eastAsia" w:ascii="仿宋_GB2312" w:hAnsi="仿宋_GB2312" w:eastAsia="仿宋_GB2312" w:cs="仿宋_GB2312"/>
          <w:b w:val="0"/>
          <w:bCs/>
          <w:color w:val="000000" w:themeColor="text1"/>
          <w:spacing w:val="-8"/>
          <w:sz w:val="28"/>
          <w:szCs w:val="28"/>
          <w:highlight w:val="none"/>
          <w:u w:val="single"/>
          <w:lang w:val="en-US" w:eastAsia="zh-CN"/>
          <w14:textFill>
            <w14:solidFill>
              <w14:schemeClr w14:val="tx1"/>
            </w14:solidFill>
          </w14:textFill>
        </w:rPr>
        <w:t>5000</w:t>
      </w:r>
      <w:r>
        <w:rPr>
          <w:rFonts w:hint="eastAsia" w:ascii="仿宋_GB2312" w:hAnsi="仿宋_GB2312" w:eastAsia="仿宋_GB2312" w:cs="仿宋_GB2312"/>
          <w:b w:val="0"/>
          <w:bCs/>
          <w:color w:val="000000" w:themeColor="text1"/>
          <w:spacing w:val="-8"/>
          <w:sz w:val="28"/>
          <w:szCs w:val="28"/>
          <w:highlight w:val="none"/>
          <w:lang w:val="en-US" w:eastAsia="zh-CN"/>
          <w14:textFill>
            <w14:solidFill>
              <w14:schemeClr w14:val="tx1"/>
            </w14:solidFill>
          </w14:textFill>
        </w:rPr>
        <w:t>元作为违约金。</w:t>
      </w:r>
    </w:p>
    <w:p>
      <w:pPr>
        <w:topLinePunct w:val="0"/>
        <w:spacing w:beforeLines="-2147483648" w:afterLines="-2147483648" w:line="240" w:lineRule="auto"/>
        <w:ind w:firstLine="0" w:firstLineChars="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5.8施工过程中，施工单位至少安排一名管理人员在场监管，涉及有限空间作业、动火作业、高处作业、临时用电、起重吊装、动土作业等危险作业时，要求施工单位安排专人监护，监护人不得从事除安全监护外的其他工作，</w:t>
      </w:r>
      <w:r>
        <w:rPr>
          <w:rFonts w:hint="eastAsia" w:ascii="仿宋_GB2312" w:hAnsi="仿宋_GB2312" w:eastAsia="仿宋_GB2312" w:cs="仿宋_GB2312"/>
          <w:color w:val="000000" w:themeColor="text1"/>
          <w:sz w:val="28"/>
          <w:szCs w:val="28"/>
          <w:highlight w:val="none"/>
          <w14:textFill>
            <w14:solidFill>
              <w14:schemeClr w14:val="tx1"/>
            </w14:solidFill>
          </w14:textFill>
        </w:rPr>
        <w:t>当在进行有限空间作业的工期时，应要求持资质（</w:t>
      </w:r>
      <w:r>
        <w:rPr>
          <w:rStyle w:val="28"/>
          <w:rFonts w:hint="eastAsia" w:ascii="仿宋_GB2312" w:hAnsi="仿宋_GB2312" w:eastAsia="仿宋_GB2312" w:cs="仿宋_GB2312"/>
          <w:b/>
          <w:bCs/>
          <w:i w:val="0"/>
          <w:iCs w:val="0"/>
          <w:caps w:val="0"/>
          <w:spacing w:val="0"/>
          <w:sz w:val="28"/>
          <w:szCs w:val="28"/>
          <w:shd w:val="clear" w:fill="FFFFFF"/>
          <w:vertAlign w:val="baseline"/>
        </w:rPr>
        <w:t>建筑施工企业项目负责人安全生产考核合格证书</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的项目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负责人</w:t>
      </w:r>
      <w:r>
        <w:rPr>
          <w:rFonts w:hint="eastAsia" w:ascii="仿宋_GB2312" w:hAnsi="仿宋_GB2312" w:eastAsia="仿宋_GB2312" w:cs="仿宋_GB2312"/>
          <w:color w:val="000000" w:themeColor="text1"/>
          <w:sz w:val="28"/>
          <w:szCs w:val="28"/>
          <w:highlight w:val="none"/>
          <w14:textFill>
            <w14:solidFill>
              <w14:schemeClr w14:val="tx1"/>
            </w14:solidFill>
          </w14:textFill>
        </w:rPr>
        <w:t>驻场履职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否则甲方有权要求乙方支付违约</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1000元/天</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，因此造成损失的，按实际发生额赔偿。</w:t>
      </w:r>
    </w:p>
    <w:p>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5.9</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发现乙方未遵守安全生产和文明施工规定或施工现场存在安全事故隐患的，以书面形式通知乙方整改；情况严重的，可要求乙方暂停施工。乙方在收到书面通知后的48小时内仍未整改的，甲方有权委托第三方整改，所产生的费用由甲方从应付或将付给乙方的款项中扣除，且乙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合同暂定价的5% </w:t>
      </w:r>
      <w:r>
        <w:rPr>
          <w:rFonts w:hint="eastAsia" w:ascii="仿宋_GB2312" w:hAnsi="仿宋_GB2312" w:eastAsia="仿宋_GB2312" w:cs="仿宋_GB2312"/>
          <w:color w:val="000000" w:themeColor="text1"/>
          <w:sz w:val="28"/>
          <w:szCs w:val="28"/>
          <w:highlight w:val="none"/>
          <w14:textFill>
            <w14:solidFill>
              <w14:schemeClr w14:val="tx1"/>
            </w14:solidFill>
          </w14:textFill>
        </w:rPr>
        <w:t>/次的违约金。</w:t>
      </w:r>
    </w:p>
    <w:p>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出现上述情形超过</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次（含</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次）的，甲方有权解除合同。</w:t>
      </w:r>
    </w:p>
    <w:p>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5.10</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对合同工程的安全施工负责，应及时、如实报告生产安全事故。乙方违反本合同规定或由于乙方原因造成的安全事故的，由乙方承担相应责任和费用，工期不予顺延。甲方根据法定部门认定的事故等级，追究乙方相应的违约赔偿责任。</w:t>
      </w:r>
    </w:p>
    <w:p>
      <w:pPr>
        <w:pStyle w:val="56"/>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5.11</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乙方负责做好现场文明施工、安全围蔽及防护措施等工作，根据项目实际，充分辨识风险和制定相应管控措施，编制可行的专项施工方案应急预案并严格落实,并报甲方备案。</w:t>
      </w:r>
    </w:p>
    <w:p>
      <w:pPr>
        <w:pStyle w:val="14"/>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5.12施工过程中，乙方应负责配备现场的应急物资。具体应急物资配备详见附件应急救援物资清单。</w:t>
      </w:r>
      <w:r>
        <w:rPr>
          <w:rFonts w:hint="eastAsia" w:ascii="仿宋_GB2312" w:hAnsi="仿宋_GB2312" w:eastAsia="仿宋_GB2312" w:cs="仿宋_GB2312"/>
          <w:b w:val="0"/>
          <w:bCs w:val="0"/>
          <w:color w:val="000000" w:themeColor="text1"/>
          <w:sz w:val="28"/>
          <w:szCs w:val="28"/>
          <w:highlight w:val="none"/>
          <w:lang w:val="en-US"/>
          <w14:textFill>
            <w14:solidFill>
              <w14:schemeClr w14:val="tx1"/>
            </w14:solidFill>
          </w14:textFill>
        </w:rPr>
        <w:t>如发现配备不齐全，</w:t>
      </w:r>
      <w:r>
        <w:rPr>
          <w:rFonts w:hint="eastAsia" w:ascii="仿宋_GB2312" w:hAnsi="仿宋_GB2312" w:eastAsia="仿宋_GB2312" w:cs="仿宋_GB2312"/>
          <w:color w:val="auto"/>
          <w:sz w:val="28"/>
          <w:szCs w:val="28"/>
          <w:highlight w:val="none"/>
        </w:rPr>
        <w:t>甲方有权</w:t>
      </w:r>
      <w:r>
        <w:rPr>
          <w:rFonts w:hint="eastAsia" w:ascii="仿宋_GB2312" w:hAnsi="仿宋_GB2312" w:eastAsia="仿宋_GB2312" w:cs="仿宋_GB2312"/>
          <w:color w:val="auto"/>
          <w:sz w:val="28"/>
          <w:szCs w:val="28"/>
          <w:highlight w:val="none"/>
          <w:lang w:val="en-US" w:eastAsia="zh-CN"/>
        </w:rPr>
        <w:t>要求乙方在24小时内补足，否则甲方有权</w:t>
      </w:r>
      <w:r>
        <w:rPr>
          <w:rFonts w:hint="eastAsia" w:ascii="仿宋_GB2312" w:hAnsi="仿宋_GB2312" w:eastAsia="仿宋_GB2312" w:cs="仿宋_GB2312"/>
          <w:color w:val="auto"/>
          <w:sz w:val="28"/>
          <w:szCs w:val="28"/>
          <w:highlight w:val="none"/>
        </w:rPr>
        <w:t>要求乙方支付违约金</w:t>
      </w:r>
      <w:r>
        <w:rPr>
          <w:rFonts w:hint="eastAsia" w:ascii="仿宋_GB2312" w:hAnsi="仿宋_GB2312" w:eastAsia="仿宋_GB2312" w:cs="仿宋_GB2312"/>
          <w:color w:val="auto"/>
          <w:sz w:val="28"/>
          <w:szCs w:val="28"/>
          <w:highlight w:val="none"/>
          <w:u w:val="single"/>
          <w:lang w:val="en-US" w:eastAsia="zh-CN"/>
        </w:rPr>
        <w:t>1000元</w:t>
      </w:r>
      <w:r>
        <w:rPr>
          <w:rFonts w:hint="eastAsia" w:ascii="仿宋_GB2312" w:hAnsi="仿宋_GB2312" w:eastAsia="仿宋_GB2312" w:cs="仿宋_GB2312"/>
          <w:color w:val="auto"/>
          <w:sz w:val="28"/>
          <w:szCs w:val="28"/>
          <w:highlight w:val="none"/>
          <w:lang w:val="en-US" w:eastAsia="zh-CN"/>
        </w:rPr>
        <w:t>/天，逾期7日，甲方有权自行购买配备齐全，相关费用在乙方结算费用中抵扣。</w:t>
      </w:r>
    </w:p>
    <w:p>
      <w:pPr>
        <w:pStyle w:val="24"/>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5.</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13</w:t>
      </w:r>
      <w:r>
        <w:rPr>
          <w:rFonts w:ascii="仿宋_GB2312" w:hAnsi="仿宋_GB2312" w:eastAsia="仿宋_GB2312" w:cs="仿宋_GB2312"/>
          <w:color w:val="000000" w:themeColor="text1"/>
          <w:sz w:val="28"/>
          <w:szCs w:val="28"/>
          <w:highlight w:val="none"/>
          <w14:textFill>
            <w14:solidFill>
              <w14:schemeClr w14:val="tx1"/>
            </w14:solidFill>
          </w14:textFill>
        </w:rPr>
        <w:t>在合同有效期内，乙方自愿接受甲方《营运项目承包单位日常履约考评参照表（安全）》《营运项目承包单位综合履约考评表（安全）》，具体处理标准详见附件</w:t>
      </w:r>
      <w:r>
        <w:rPr>
          <w:rFonts w:hint="eastAsia" w:hAnsi="仿宋_GB2312" w:cs="仿宋_GB2312"/>
          <w:color w:val="000000" w:themeColor="text1"/>
          <w:sz w:val="28"/>
          <w:szCs w:val="28"/>
          <w:highlight w:val="none"/>
          <w:lang w:val="en-US" w:eastAsia="zh-CN"/>
          <w14:textFill>
            <w14:solidFill>
              <w14:schemeClr w14:val="tx1"/>
            </w14:solidFill>
          </w14:textFill>
        </w:rPr>
        <w:t>8</w:t>
      </w:r>
      <w:r>
        <w:rPr>
          <w:rFonts w:ascii="仿宋_GB2312" w:hAnsi="仿宋_GB2312" w:eastAsia="仿宋_GB2312" w:cs="仿宋_GB2312"/>
          <w:color w:val="000000" w:themeColor="text1"/>
          <w:sz w:val="28"/>
          <w:szCs w:val="28"/>
          <w:highlight w:val="none"/>
          <w14:textFill>
            <w14:solidFill>
              <w14:schemeClr w14:val="tx1"/>
            </w14:solidFill>
          </w14:textFill>
        </w:rPr>
        <w:t>。</w:t>
      </w:r>
    </w:p>
    <w:p>
      <w:pPr>
        <w:pStyle w:val="24"/>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560"/>
        <w:textAlignment w:val="auto"/>
        <w:rPr>
          <w:rFonts w:hint="eastAsia" w:ascii="仿宋_GB2312" w:hAnsi="仿宋_GB2312" w:eastAsia="仿宋_GB2312" w:cs="仿宋_GB2312"/>
          <w:bCs/>
          <w:color w:val="auto"/>
          <w:sz w:val="28"/>
          <w:szCs w:val="28"/>
          <w:highlight w:val="none"/>
          <w:u w:val="single"/>
          <w:lang w:val="en-US" w:eastAsia="zh-CN"/>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5.14</w:t>
      </w:r>
      <w:r>
        <w:rPr>
          <w:rFonts w:hint="eastAsia" w:ascii="仿宋_GB2312" w:hAnsi="仿宋_GB2312" w:eastAsia="仿宋_GB2312" w:cs="仿宋_GB2312"/>
          <w:bCs/>
          <w:color w:val="auto"/>
          <w:sz w:val="28"/>
          <w:szCs w:val="28"/>
          <w:highlight w:val="none"/>
          <w:u w:val="single"/>
          <w:lang w:val="en-US" w:eastAsia="zh-CN"/>
        </w:rPr>
        <w:t>项目实施过程中，乙方应确保准时足额支付工人工资。如因工人工资造成的纠纷，由乙方承担责任。若因乙方拖欠工人工资引发工人聚众讨薪、群体性示威、游行、上访等事件的，甲方有权按讨薪人员</w:t>
      </w:r>
      <w:r>
        <w:rPr>
          <w:rFonts w:hint="eastAsia" w:hAnsi="仿宋_GB2312" w:cs="仿宋_GB2312"/>
          <w:bCs/>
          <w:color w:val="auto"/>
          <w:sz w:val="28"/>
          <w:szCs w:val="28"/>
          <w:highlight w:val="none"/>
          <w:u w:val="single"/>
          <w:lang w:val="en-US" w:eastAsia="zh-CN"/>
        </w:rPr>
        <w:t>1000</w:t>
      </w:r>
      <w:r>
        <w:rPr>
          <w:rFonts w:hint="eastAsia" w:ascii="仿宋_GB2312" w:hAnsi="仿宋_GB2312" w:eastAsia="仿宋_GB2312" w:cs="仿宋_GB2312"/>
          <w:bCs/>
          <w:color w:val="auto"/>
          <w:sz w:val="28"/>
          <w:szCs w:val="28"/>
          <w:highlight w:val="none"/>
          <w:u w:val="single"/>
          <w:lang w:val="en-US" w:eastAsia="zh-CN"/>
        </w:rPr>
        <w:t>元/人次的标准要求乙方支付违约金。</w:t>
      </w:r>
    </w:p>
    <w:p>
      <w:pPr>
        <w:pStyle w:val="24"/>
        <w:adjustRightInd/>
        <w:snapToGrid/>
        <w:spacing w:beforeLines="0" w:afterLines="0" w:line="560" w:lineRule="exact"/>
        <w:ind w:left="0" w:leftChars="0" w:firstLine="560" w:firstLineChars="200"/>
        <w:rPr>
          <w:rFonts w:hint="eastAsia" w:ascii="仿宋_GB2312" w:hAnsi="仿宋_GB2312" w:eastAsia="仿宋_GB2312" w:cs="仿宋_GB2312"/>
          <w:bCs/>
          <w:i w:val="0"/>
          <w:iCs w:val="0"/>
          <w:caps w:val="0"/>
          <w:color w:val="auto"/>
          <w:spacing w:val="0"/>
          <w:sz w:val="28"/>
          <w:szCs w:val="28"/>
          <w:highlight w:val="none"/>
          <w:u w:val="single"/>
          <w:shd w:val="clear"/>
          <w:lang w:eastAsia="zh-CN"/>
        </w:rPr>
      </w:pPr>
      <w:r>
        <w:rPr>
          <w:rFonts w:hint="eastAsia" w:ascii="仿宋_GB2312" w:hAnsi="仿宋_GB2312" w:eastAsia="仿宋_GB2312" w:cs="仿宋_GB2312"/>
          <w:bCs/>
          <w:color w:val="auto"/>
          <w:sz w:val="28"/>
          <w:szCs w:val="28"/>
          <w:highlight w:val="none"/>
          <w:u w:val="single"/>
        </w:rPr>
        <w:t>5</w:t>
      </w:r>
      <w:r>
        <w:rPr>
          <w:rFonts w:hint="eastAsia" w:ascii="仿宋_GB2312" w:hAnsi="仿宋_GB2312" w:eastAsia="仿宋_GB2312" w:cs="仿宋_GB2312"/>
          <w:bCs/>
          <w:color w:val="auto"/>
          <w:sz w:val="28"/>
          <w:szCs w:val="28"/>
          <w:highlight w:val="none"/>
          <w:u w:val="single"/>
          <w:lang w:val="en-US" w:eastAsia="zh-CN"/>
        </w:rPr>
        <w:t>.15</w:t>
      </w:r>
      <w:r>
        <w:rPr>
          <w:rFonts w:hint="eastAsia" w:ascii="仿宋_GB2312" w:hAnsi="仿宋_GB2312" w:eastAsia="仿宋_GB2312" w:cs="仿宋_GB2312"/>
          <w:bCs/>
          <w:i w:val="0"/>
          <w:iCs w:val="0"/>
          <w:caps w:val="0"/>
          <w:color w:val="auto"/>
          <w:spacing w:val="0"/>
          <w:sz w:val="28"/>
          <w:szCs w:val="28"/>
          <w:highlight w:val="none"/>
          <w:u w:val="single"/>
          <w:shd w:val="clear" w:fill="FFFFFF"/>
        </w:rPr>
        <w:t>甲方提供予乙方的</w:t>
      </w:r>
      <w:r>
        <w:rPr>
          <w:rFonts w:hint="eastAsia" w:ascii="仿宋_GB2312" w:hAnsi="仿宋_GB2312" w:eastAsia="仿宋_GB2312" w:cs="仿宋_GB2312"/>
          <w:bCs/>
          <w:i w:val="0"/>
          <w:iCs w:val="0"/>
          <w:caps w:val="0"/>
          <w:color w:val="auto"/>
          <w:spacing w:val="0"/>
          <w:sz w:val="28"/>
          <w:szCs w:val="28"/>
          <w:highlight w:val="none"/>
          <w:u w:val="single"/>
          <w:shd w:val="clear"/>
          <w:lang w:val="en-US" w:eastAsia="zh-CN"/>
        </w:rPr>
        <w:t>工程相关信息</w:t>
      </w:r>
      <w:r>
        <w:rPr>
          <w:rFonts w:hint="eastAsia" w:ascii="仿宋_GB2312" w:hAnsi="仿宋_GB2312" w:eastAsia="仿宋_GB2312" w:cs="仿宋_GB2312"/>
          <w:bCs/>
          <w:i w:val="0"/>
          <w:iCs w:val="0"/>
          <w:caps w:val="0"/>
          <w:color w:val="auto"/>
          <w:spacing w:val="0"/>
          <w:sz w:val="28"/>
          <w:szCs w:val="28"/>
          <w:highlight w:val="none"/>
          <w:u w:val="single"/>
          <w:shd w:val="clear" w:fill="FFFFFF"/>
        </w:rPr>
        <w:t>被视为保密资料，</w:t>
      </w:r>
      <w:r>
        <w:rPr>
          <w:rFonts w:hint="eastAsia" w:ascii="仿宋_GB2312" w:hAnsi="仿宋_GB2312" w:eastAsia="仿宋_GB2312" w:cs="仿宋_GB2312"/>
          <w:bCs/>
          <w:i w:val="0"/>
          <w:iCs w:val="0"/>
          <w:caps w:val="0"/>
          <w:color w:val="auto"/>
          <w:spacing w:val="0"/>
          <w:sz w:val="28"/>
          <w:szCs w:val="28"/>
          <w:highlight w:val="none"/>
          <w:u w:val="single"/>
          <w:shd w:val="clear"/>
          <w:lang w:val="en-US" w:eastAsia="zh-CN"/>
        </w:rPr>
        <w:t>仅</w:t>
      </w:r>
      <w:r>
        <w:rPr>
          <w:rFonts w:hint="eastAsia" w:ascii="仿宋_GB2312" w:hAnsi="仿宋_GB2312" w:eastAsia="仿宋_GB2312" w:cs="仿宋_GB2312"/>
          <w:bCs/>
          <w:i w:val="0"/>
          <w:iCs w:val="0"/>
          <w:caps w:val="0"/>
          <w:color w:val="auto"/>
          <w:spacing w:val="0"/>
          <w:sz w:val="28"/>
          <w:szCs w:val="28"/>
          <w:highlight w:val="none"/>
          <w:u w:val="single"/>
          <w:shd w:val="clear" w:fill="FFFFFF"/>
        </w:rPr>
        <w:t>供乙方与本项目有关之用途。乙方应对甲方提供的信息资料严格保密，未经甲方书面同意，不得向任何第三方透露</w:t>
      </w:r>
      <w:r>
        <w:rPr>
          <w:rFonts w:hint="eastAsia" w:ascii="仿宋_GB2312" w:hAnsi="仿宋_GB2312" w:eastAsia="仿宋_GB2312" w:cs="仿宋_GB2312"/>
          <w:bCs/>
          <w:i w:val="0"/>
          <w:iCs w:val="0"/>
          <w:caps w:val="0"/>
          <w:color w:val="auto"/>
          <w:spacing w:val="0"/>
          <w:sz w:val="28"/>
          <w:szCs w:val="28"/>
          <w:highlight w:val="none"/>
          <w:u w:val="single"/>
          <w:shd w:val="clear"/>
          <w:lang w:val="en-US" w:eastAsia="zh-CN"/>
        </w:rPr>
        <w:t>或</w:t>
      </w:r>
      <w:r>
        <w:rPr>
          <w:rFonts w:hint="eastAsia" w:ascii="仿宋_GB2312" w:hAnsi="仿宋_GB2312" w:eastAsia="仿宋_GB2312" w:cs="仿宋_GB2312"/>
          <w:bCs/>
          <w:i w:val="0"/>
          <w:iCs w:val="0"/>
          <w:caps w:val="0"/>
          <w:color w:val="auto"/>
          <w:spacing w:val="0"/>
          <w:sz w:val="28"/>
          <w:szCs w:val="28"/>
          <w:highlight w:val="none"/>
          <w:u w:val="single"/>
          <w:shd w:val="clear"/>
        </w:rPr>
        <w:t>用于其他目的</w:t>
      </w:r>
      <w:r>
        <w:rPr>
          <w:rFonts w:hint="eastAsia" w:ascii="仿宋_GB2312" w:hAnsi="仿宋_GB2312" w:eastAsia="仿宋_GB2312" w:cs="仿宋_GB2312"/>
          <w:bCs/>
          <w:i w:val="0"/>
          <w:iCs w:val="0"/>
          <w:caps w:val="0"/>
          <w:color w:val="auto"/>
          <w:spacing w:val="0"/>
          <w:sz w:val="28"/>
          <w:szCs w:val="28"/>
          <w:highlight w:val="none"/>
          <w:u w:val="single"/>
          <w:shd w:val="clear"/>
          <w:lang w:val="en-US" w:eastAsia="zh-CN"/>
        </w:rPr>
        <w:t>及</w:t>
      </w:r>
      <w:r>
        <w:rPr>
          <w:rFonts w:hint="eastAsia" w:ascii="仿宋_GB2312" w:hAnsi="仿宋_GB2312" w:eastAsia="仿宋_GB2312" w:cs="仿宋_GB2312"/>
          <w:bCs/>
          <w:i w:val="0"/>
          <w:iCs w:val="0"/>
          <w:caps w:val="0"/>
          <w:color w:val="auto"/>
          <w:spacing w:val="0"/>
          <w:sz w:val="28"/>
          <w:szCs w:val="28"/>
          <w:highlight w:val="none"/>
          <w:u w:val="single"/>
          <w:shd w:val="clear"/>
        </w:rPr>
        <w:t>用途</w:t>
      </w:r>
      <w:r>
        <w:rPr>
          <w:rFonts w:hint="eastAsia" w:ascii="仿宋_GB2312" w:hAnsi="仿宋_GB2312" w:eastAsia="仿宋_GB2312" w:cs="仿宋_GB2312"/>
          <w:bCs/>
          <w:i w:val="0"/>
          <w:iCs w:val="0"/>
          <w:caps w:val="0"/>
          <w:color w:val="auto"/>
          <w:spacing w:val="0"/>
          <w:sz w:val="28"/>
          <w:szCs w:val="28"/>
          <w:highlight w:val="none"/>
          <w:u w:val="single"/>
          <w:shd w:val="clear" w:fill="FFFFFF"/>
        </w:rPr>
        <w:t>，否则甲方有权单方解除合同，并按合同</w:t>
      </w:r>
      <w:r>
        <w:rPr>
          <w:rFonts w:hint="eastAsia" w:ascii="仿宋_GB2312" w:hAnsi="仿宋_GB2312" w:eastAsia="仿宋_GB2312" w:cs="仿宋_GB2312"/>
          <w:bCs/>
          <w:i w:val="0"/>
          <w:iCs w:val="0"/>
          <w:caps w:val="0"/>
          <w:color w:val="auto"/>
          <w:spacing w:val="0"/>
          <w:sz w:val="28"/>
          <w:szCs w:val="28"/>
          <w:highlight w:val="none"/>
          <w:u w:val="single"/>
          <w:shd w:val="clear"/>
          <w:lang w:val="en-US" w:eastAsia="zh-CN"/>
        </w:rPr>
        <w:t>暂定总价</w:t>
      </w:r>
      <w:r>
        <w:rPr>
          <w:rFonts w:hint="eastAsia" w:ascii="仿宋_GB2312" w:hAnsi="仿宋_GB2312" w:eastAsia="仿宋_GB2312" w:cs="仿宋_GB2312"/>
          <w:bCs/>
          <w:i w:val="0"/>
          <w:iCs w:val="0"/>
          <w:caps w:val="0"/>
          <w:color w:val="auto"/>
          <w:spacing w:val="0"/>
          <w:sz w:val="28"/>
          <w:szCs w:val="28"/>
          <w:highlight w:val="none"/>
          <w:u w:val="single"/>
          <w:shd w:val="clear" w:fill="FFFFFF"/>
        </w:rPr>
        <w:t>的</w:t>
      </w:r>
      <w:r>
        <w:rPr>
          <w:rFonts w:hint="eastAsia" w:ascii="仿宋_GB2312" w:hAnsi="仿宋_GB2312" w:eastAsia="仿宋_GB2312" w:cs="仿宋_GB2312"/>
          <w:bCs/>
          <w:i w:val="0"/>
          <w:iCs w:val="0"/>
          <w:caps w:val="0"/>
          <w:color w:val="auto"/>
          <w:spacing w:val="0"/>
          <w:sz w:val="28"/>
          <w:szCs w:val="28"/>
          <w:highlight w:val="none"/>
          <w:u w:val="single"/>
          <w:shd w:val="clear"/>
          <w:lang w:val="en-US" w:eastAsia="zh-CN"/>
        </w:rPr>
        <w:t>20</w:t>
      </w:r>
      <w:r>
        <w:rPr>
          <w:rFonts w:hint="eastAsia" w:ascii="仿宋_GB2312" w:hAnsi="仿宋_GB2312" w:eastAsia="仿宋_GB2312" w:cs="仿宋_GB2312"/>
          <w:bCs/>
          <w:i w:val="0"/>
          <w:iCs w:val="0"/>
          <w:caps w:val="0"/>
          <w:color w:val="auto"/>
          <w:spacing w:val="0"/>
          <w:sz w:val="28"/>
          <w:szCs w:val="28"/>
          <w:highlight w:val="none"/>
          <w:u w:val="single"/>
          <w:shd w:val="clear" w:fill="FFFFFF"/>
        </w:rPr>
        <w:t>%支付违约金</w:t>
      </w:r>
      <w:r>
        <w:rPr>
          <w:rFonts w:hint="eastAsia" w:ascii="仿宋_GB2312" w:hAnsi="仿宋_GB2312" w:eastAsia="仿宋_GB2312" w:cs="仿宋_GB2312"/>
          <w:bCs/>
          <w:i w:val="0"/>
          <w:iCs w:val="0"/>
          <w:caps w:val="0"/>
          <w:color w:val="auto"/>
          <w:spacing w:val="0"/>
          <w:sz w:val="28"/>
          <w:szCs w:val="28"/>
          <w:highlight w:val="none"/>
          <w:u w:val="single"/>
          <w:shd w:val="clear"/>
          <w:lang w:eastAsia="zh-CN"/>
        </w:rPr>
        <w:t>。</w:t>
      </w:r>
    </w:p>
    <w:p>
      <w:pPr>
        <w:pStyle w:val="24"/>
        <w:adjustRightInd/>
        <w:snapToGrid/>
        <w:spacing w:beforeLines="0" w:afterLines="0" w:line="560" w:lineRule="exact"/>
        <w:ind w:left="0" w:leftChars="0"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5.16乙方不得散播与本工程项目相关的不实信息，否则，甲方有权单方解除合同，并按</w:t>
      </w:r>
      <w:r>
        <w:rPr>
          <w:rFonts w:hint="eastAsia" w:ascii="仿宋_GB2312" w:hAnsi="仿宋_GB2312" w:eastAsia="仿宋_GB2312" w:cs="仿宋_GB2312"/>
          <w:bCs/>
          <w:i w:val="0"/>
          <w:iCs w:val="0"/>
          <w:caps w:val="0"/>
          <w:color w:val="auto"/>
          <w:spacing w:val="0"/>
          <w:sz w:val="28"/>
          <w:szCs w:val="28"/>
          <w:highlight w:val="none"/>
          <w:u w:val="single"/>
          <w:shd w:val="clear"/>
          <w:lang w:val="en-US" w:eastAsia="zh-CN"/>
        </w:rPr>
        <w:t>合同暂定总价的20 %</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支付违约金。</w:t>
      </w:r>
      <w:r>
        <w:rPr>
          <w:rFonts w:hint="eastAsia" w:ascii="仿宋_GB2312" w:hAnsi="仿宋_GB2312" w:eastAsia="仿宋_GB2312" w:cs="仿宋_GB2312"/>
          <w:bCs/>
          <w:i w:val="0"/>
          <w:iCs w:val="0"/>
          <w:caps w:val="0"/>
          <w:color w:val="auto"/>
          <w:spacing w:val="0"/>
          <w:sz w:val="28"/>
          <w:szCs w:val="28"/>
          <w:highlight w:val="none"/>
          <w:u w:val="single"/>
          <w:shd w:val="clear" w:fill="FFFFFF"/>
        </w:rPr>
        <w:br w:type="textWrapping"/>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 xml:space="preserve">    </w:t>
      </w:r>
      <w:r>
        <w:rPr>
          <w:rFonts w:hint="eastAsia" w:ascii="仿宋_GB2312" w:hAnsi="仿宋_GB2312" w:cs="仿宋_GB2312"/>
          <w:bCs/>
          <w:color w:val="000000" w:themeColor="text1"/>
          <w:sz w:val="28"/>
          <w:szCs w:val="28"/>
          <w:highlight w:val="none"/>
          <w:lang w:val="en-US" w:eastAsia="zh-CN"/>
          <w14:textFill>
            <w14:solidFill>
              <w14:schemeClr w14:val="tx1"/>
            </w14:solidFill>
          </w14:textFill>
        </w:rPr>
        <w:t>5.17</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乙方不履行合同义务、或履行合同义务不符合合同约定、或违反国家、省、市行业标准的，甲方有权要求乙方限期整改。乙方逾期未完成整改的，每项每超过1日支付违约金人民币</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1万元</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，超过</w:t>
      </w:r>
      <w:r>
        <w:rPr>
          <w:rFonts w:hint="eastAsia" w:hAnsi="仿宋_GB2312" w:cs="仿宋_GB2312"/>
          <w:bCs/>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日，甲方有权解除合同并要求乙方支付</w:t>
      </w:r>
      <w:r>
        <w:rPr>
          <w:rFonts w:hint="eastAsia" w:ascii="仿宋_GB2312" w:hAnsi="仿宋_GB2312" w:eastAsia="仿宋_GB2312" w:cs="仿宋_GB2312"/>
          <w:color w:val="auto"/>
          <w:sz w:val="28"/>
          <w:szCs w:val="28"/>
          <w:highlight w:val="none"/>
          <w:u w:val="single"/>
        </w:rPr>
        <w:t>子项目</w:t>
      </w:r>
      <w:r>
        <w:rPr>
          <w:rFonts w:hint="eastAsia" w:ascii="仿宋_GB2312" w:hAnsi="仿宋_GB2312" w:eastAsia="仿宋_GB2312" w:cs="仿宋_GB2312"/>
          <w:bCs/>
          <w:color w:val="auto"/>
          <w:sz w:val="28"/>
          <w:szCs w:val="28"/>
          <w:highlight w:val="none"/>
          <w:u w:val="single"/>
        </w:rPr>
        <w:t>合同暂定总价的20%</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w:t>
      </w:r>
      <w:r>
        <w:rPr>
          <w:rFonts w:hint="eastAsia" w:ascii="仿宋_GB2312" w:hAnsi="仿宋_GB2312" w:eastAsia="仿宋_GB2312" w:cs="仿宋_GB2312"/>
          <w:color w:val="000000" w:themeColor="text1"/>
          <w:sz w:val="28"/>
          <w:szCs w:val="28"/>
          <w:highlight w:val="none"/>
          <w14:textFill>
            <w14:solidFill>
              <w14:schemeClr w14:val="tx1"/>
            </w14:solidFill>
          </w14:textFill>
        </w:rPr>
        <w:t>如合同另行约定违约责任，从其约定</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w:t>
      </w:r>
    </w:p>
    <w:p>
      <w:pPr>
        <w:pStyle w:val="24"/>
        <w:adjustRightInd/>
        <w:snapToGrid/>
        <w:spacing w:beforeLines="0" w:afterLines="0" w:line="560" w:lineRule="exact"/>
        <w:ind w:left="0" w:leftChars="0" w:firstLine="560" w:firstLineChars="200"/>
        <w:rPr>
          <w:rFonts w:hint="default" w:ascii="仿宋_GB2312" w:hAnsi="仿宋_GB2312" w:eastAsia="仿宋_GB2312" w:cs="仿宋_GB2312"/>
          <w:bCs/>
          <w:color w:val="000000" w:themeColor="text1"/>
          <w:sz w:val="28"/>
          <w:szCs w:val="28"/>
          <w:highlight w:val="none"/>
          <w:lang w:val="en-US" w:eastAsia="zh-CN"/>
          <w14:textFill>
            <w14:solidFill>
              <w14:schemeClr w14:val="tx1"/>
            </w14:solidFill>
          </w14:textFill>
        </w:rPr>
      </w:pPr>
      <w:r>
        <w:rPr>
          <w:rFonts w:hint="eastAsia" w:hAnsi="仿宋_GB2312" w:cs="仿宋_GB2312"/>
          <w:bCs/>
          <w:color w:val="000000" w:themeColor="text1"/>
          <w:sz w:val="28"/>
          <w:szCs w:val="28"/>
          <w:highlight w:val="none"/>
          <w:lang w:val="en-US" w:eastAsia="zh-CN"/>
          <w14:textFill>
            <w14:solidFill>
              <w14:schemeClr w14:val="tx1"/>
            </w14:solidFill>
          </w14:textFill>
        </w:rPr>
        <w:t>5.18在合同有效期内，若乙方发生不履约行为情形的，乙方自愿接受甲方按《广州市净水有限公司经营建设项目参建企业不履约评价管理办法（试行）》处理。具体处理标准详见附件11。</w:t>
      </w:r>
    </w:p>
    <w:p>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第六条</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8"/>
          <w:szCs w:val="28"/>
          <w:highlight w:val="none"/>
          <w14:textFill>
            <w14:solidFill>
              <w14:schemeClr w14:val="tx1"/>
            </w14:solidFill>
          </w14:textFill>
        </w:rPr>
        <w:t>实施条件及管理要求</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6.1甲方提供临时设施及材料实施场地，乙方确认在签订合同前已查看过甲方所提供的场地及周围的环境，掌握所有与项目实施有关或对项目实施有影响的情况，乙方进场后因场地因素所产生的后果均由乙方负责。</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6.2施工用水用电采用以下</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（1）  </w:t>
      </w:r>
      <w:r>
        <w:rPr>
          <w:rFonts w:hint="eastAsia" w:ascii="仿宋_GB2312" w:hAnsi="仿宋_GB2312" w:eastAsia="仿宋_GB2312" w:cs="仿宋_GB2312"/>
          <w:color w:val="000000" w:themeColor="text1"/>
          <w:sz w:val="28"/>
          <w:szCs w:val="28"/>
          <w:highlight w:val="none"/>
          <w14:textFill>
            <w14:solidFill>
              <w14:schemeClr w14:val="tx1"/>
            </w14:solidFill>
          </w14:textFill>
        </w:rPr>
        <w:t>方式执行。</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（1）由甲方提供施工用水用电</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接口，水电费按合同综合单价水电含量计算，从甲方支付的工程款中直接扣回</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（2）由甲方提供施工用水用电接口，费用按</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（月/项目）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结算，由乙方向甲方或甲方下辖分公司/子公司支付。水电费用按所属供电局、自来水公司收费标准，按实计算。</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（3）由乙方自行负责。</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6.3施工时间安排：上午7：00-12：00，下午14：00-18：00，施工时间如需变动，以甲方的通知为准。</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6.4进场施工人员必须严格遵守</w:t>
      </w:r>
      <w:r>
        <w:rPr>
          <w:rFonts w:hint="eastAsia" w:ascii="仿宋_GB2312" w:hAnsi="仿宋_GB2312" w:eastAsia="仿宋_GB2312" w:cs="仿宋_GB2312"/>
          <w:color w:val="000000" w:themeColor="text1"/>
          <w:kern w:val="10"/>
          <w:sz w:val="28"/>
          <w:szCs w:val="28"/>
          <w:highlight w:val="none"/>
          <w14:textFill>
            <w14:solidFill>
              <w14:schemeClr w14:val="tx1"/>
            </w14:solidFill>
          </w14:textFill>
        </w:rPr>
        <w:t>污水处理厂</w:t>
      </w:r>
      <w:r>
        <w:rPr>
          <w:rFonts w:hint="eastAsia" w:ascii="仿宋_GB2312" w:hAnsi="仿宋_GB2312" w:eastAsia="仿宋_GB2312" w:cs="仿宋_GB2312"/>
          <w:color w:val="000000" w:themeColor="text1"/>
          <w:sz w:val="28"/>
          <w:szCs w:val="28"/>
          <w:highlight w:val="none"/>
          <w14:textFill>
            <w14:solidFill>
              <w14:schemeClr w14:val="tx1"/>
            </w14:solidFill>
          </w14:textFill>
        </w:rPr>
        <w:t>一切规章制度。进入施工现场人员必须佩戴出入证，并自觉接受门岗检查。</w:t>
      </w:r>
    </w:p>
    <w:p>
      <w:pPr>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6.5环境保护要求：</w:t>
      </w:r>
    </w:p>
    <w:p>
      <w:pPr>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（1）做好施工噪声、废气、废水等控制；</w:t>
      </w:r>
    </w:p>
    <w:p>
      <w:pPr>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（2）按照国家及广州市相关规定做好建筑垃圾的处理。</w:t>
      </w:r>
    </w:p>
    <w:p>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6.6按相关法律法规及甲方相关作业施工管理要求执行。</w:t>
      </w:r>
    </w:p>
    <w:p>
      <w:pPr>
        <w:pStyle w:val="24"/>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6.7关于工程签证及变更</w:t>
      </w:r>
    </w:p>
    <w:p>
      <w:pPr>
        <w:pStyle w:val="24"/>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6.7.1 合同工程实施过程中如产生签证或变更，均需由甲乙双方、设计单位（如有）、监理单位（如有）协商一致，并以书面形式进行确认（具体流程按照甲方项目实施管理办法执行）。</w:t>
      </w:r>
    </w:p>
    <w:p>
      <w:pPr>
        <w:pStyle w:val="24"/>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6.7.2任何未经确认的签证或变更，甲方不予确认支付。乙方自行承担所发生的费用及返工责任。</w:t>
      </w:r>
    </w:p>
    <w:p>
      <w:pPr>
        <w:pStyle w:val="14"/>
        <w:spacing w:beforeLines="0" w:afterLines="0" w:line="560" w:lineRule="exact"/>
        <w:ind w:firstLine="560"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第七条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材料及设备供应</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本项目承包范围内所需的设备材料、成品、未成品、运输、保管、质量等责任均由乙方承担。甲方不提供材料。</w:t>
      </w:r>
    </w:p>
    <w:p>
      <w:pPr>
        <w:spacing w:beforeLines="0" w:afterLines="0" w:line="560" w:lineRule="exact"/>
        <w:ind w:left="-2" w:leftChars="-1"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7.1采购供应的材料、其名称、品种、型号、规格、质量等，均应符合国家、地方及行业有关规范及要求。</w:t>
      </w:r>
    </w:p>
    <w:p>
      <w:pPr>
        <w:spacing w:beforeLines="0" w:afterLines="0" w:line="560" w:lineRule="exact"/>
        <w:ind w:left="0" w:leftChars="0"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7.2所有材料必须具备合格证明，并保证产品的有效性。</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7.3由于乙方提供的伪劣、假冒等所有不合格材料而导致的损失、事故及一切后果，均由乙方负责并赔偿甲方所有损失，并负责更换所有已施工的不合格材料。</w:t>
      </w:r>
    </w:p>
    <w:p>
      <w:pPr>
        <w:tabs>
          <w:tab w:val="left" w:pos="360"/>
        </w:tabs>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7.4乙方必须根据投标文件/询价响应文件（如有）上主要材料的明细（包括厂家、规格、品质等级等）提供材料。工程实施时，如发现材料不一致，甲方有权拒用，造成损失由乙方承担。</w:t>
      </w:r>
    </w:p>
    <w:p>
      <w:pPr>
        <w:tabs>
          <w:tab w:val="left" w:pos="360"/>
        </w:tabs>
        <w:spacing w:beforeLines="0" w:afterLines="0" w:line="560" w:lineRule="exact"/>
        <w:ind w:firstLine="48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7.5 甲方有权对施工质量进行监督、检查或检验，也可自行委托第三方进行质量检验，甲方或第三方的检验结果作为最终的质量评定结果。</w:t>
      </w:r>
    </w:p>
    <w:p>
      <w:pPr>
        <w:pStyle w:val="24"/>
        <w:spacing w:beforeLines="0" w:afterLines="0" w:line="560" w:lineRule="exact"/>
        <w:ind w:firstLine="560" w:firstLineChars="200"/>
        <w:rPr>
          <w:rFonts w:hint="eastAsia"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7.6</w:t>
      </w:r>
      <w:r>
        <w:rPr>
          <w:rFonts w:hint="eastAsia" w:ascii="仿宋_GB2312" w:hAnsi="仿宋_GB2312" w:eastAsia="仿宋_GB2312" w:cs="仿宋_GB2312"/>
          <w:color w:val="auto"/>
          <w:sz w:val="28"/>
          <w:szCs w:val="28"/>
          <w:highlight w:val="none"/>
        </w:rPr>
        <w:t>甲方有权</w:t>
      </w:r>
      <w:r>
        <w:rPr>
          <w:rFonts w:hint="eastAsia" w:ascii="仿宋_GB2312" w:hAnsi="仿宋_GB2312" w:eastAsia="仿宋_GB2312" w:cs="仿宋_GB2312"/>
          <w:color w:val="auto"/>
          <w:sz w:val="28"/>
          <w:szCs w:val="28"/>
          <w:highlight w:val="none"/>
          <w:lang w:val="en-US" w:eastAsia="zh-CN"/>
        </w:rPr>
        <w:t>对施工材料进行抽样送检，送检不合格的，</w:t>
      </w:r>
      <w:r>
        <w:rPr>
          <w:rFonts w:hint="eastAsia" w:ascii="仿宋_GB2312" w:hAnsi="仿宋_GB2312" w:eastAsia="仿宋_GB2312" w:cs="仿宋_GB2312"/>
          <w:color w:val="auto"/>
          <w:sz w:val="28"/>
          <w:szCs w:val="28"/>
          <w:highlight w:val="none"/>
        </w:rPr>
        <w:t>对乙方处以</w:t>
      </w:r>
      <w:r>
        <w:rPr>
          <w:rFonts w:hint="eastAsia" w:ascii="仿宋_GB2312" w:hAnsi="仿宋_GB2312" w:eastAsia="仿宋_GB2312" w:cs="仿宋_GB2312"/>
          <w:color w:val="auto"/>
          <w:sz w:val="28"/>
          <w:szCs w:val="28"/>
          <w:highlight w:val="none"/>
          <w:u w:val="single"/>
          <w:lang w:val="en-US" w:eastAsia="zh-CN"/>
        </w:rPr>
        <w:t>该批材料价格的</w:t>
      </w:r>
      <w:r>
        <w:rPr>
          <w:rFonts w:hint="eastAsia" w:hAnsi="仿宋_GB2312" w:cs="仿宋_GB2312"/>
          <w:color w:val="auto"/>
          <w:sz w:val="28"/>
          <w:szCs w:val="28"/>
          <w:highlight w:val="none"/>
          <w:u w:val="single"/>
          <w:lang w:val="en-US" w:eastAsia="zh-CN"/>
        </w:rPr>
        <w:t>10</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rPr>
        <w:t>的处罚</w:t>
      </w:r>
      <w:r>
        <w:rPr>
          <w:rFonts w:hint="eastAsia" w:ascii="仿宋_GB2312" w:hAnsi="仿宋_GB2312" w:eastAsia="仿宋_GB2312" w:cs="仿宋_GB2312"/>
          <w:color w:val="auto"/>
          <w:sz w:val="28"/>
          <w:szCs w:val="28"/>
          <w:highlight w:val="none"/>
          <w:lang w:eastAsia="zh-CN"/>
        </w:rPr>
        <w:t>。检测费用先由乙方支付，如果检验结果为不合格，则该费用由乙方承担，如果检验结果为合格，则该费用由甲方承担。</w:t>
      </w:r>
    </w:p>
    <w:p>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承包范围之内工程所用之设备，由乙方提供。</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第八条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付</w:t>
      </w:r>
      <w:r>
        <w:rPr>
          <w:rFonts w:hint="eastAsia" w:ascii="仿宋_GB2312" w:hAnsi="仿宋_GB2312" w:eastAsia="仿宋_GB2312" w:cs="仿宋_GB2312"/>
          <w:b/>
          <w:color w:val="000000" w:themeColor="text1"/>
          <w:sz w:val="28"/>
          <w:szCs w:val="28"/>
          <w:highlight w:val="none"/>
          <w14:textFill>
            <w14:solidFill>
              <w14:schemeClr w14:val="tx1"/>
            </w14:solidFill>
          </w14:textFill>
        </w:rPr>
        <w:t>款及履约担保</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8.1</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预付款的支付：</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sym w:font="Wingdings" w:char="F0A8"/>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无；</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sym w:font="Wingdings" w:char="00FE"/>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有,合同签订后，乙方开具等额的增值税专用发票及</w:t>
      </w:r>
      <w:r>
        <w:rPr>
          <w:rFonts w:hint="eastAsia" w:ascii="仿宋_GB2312" w:hAnsi="仿宋_GB2312" w:eastAsia="仿宋_GB2312" w:cs="仿宋_GB2312"/>
          <w:bCs w:val="0"/>
          <w:color w:val="000000" w:themeColor="text1"/>
          <w:sz w:val="28"/>
          <w:szCs w:val="28"/>
          <w:highlight w:val="none"/>
          <w:u w:val="single"/>
          <w:lang w:val="en-US" w:eastAsia="zh-CN"/>
          <w14:textFill>
            <w14:solidFill>
              <w14:schemeClr w14:val="tx1"/>
            </w14:solidFill>
          </w14:textFill>
        </w:rPr>
        <w:t>提交预付款担保及履约担保）</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后</w:t>
      </w:r>
      <w:r>
        <w:rPr>
          <w:rFonts w:hint="eastAsia" w:ascii="仿宋_GB2312" w:hAnsi="仿宋_GB2312" w:eastAsia="仿宋_GB2312" w:cs="仿宋_GB2312"/>
          <w:bCs w:val="0"/>
          <w:color w:val="000000" w:themeColor="text1"/>
          <w:sz w:val="28"/>
          <w:szCs w:val="28"/>
          <w:highlight w:val="none"/>
          <w:u w:val="none"/>
          <w14:textFill>
            <w14:solidFill>
              <w14:schemeClr w14:val="tx1"/>
            </w14:solidFill>
          </w14:textFill>
        </w:rPr>
        <w:t xml:space="preserve"> </w:t>
      </w:r>
      <w:r>
        <w:rPr>
          <w:rFonts w:hint="eastAsia" w:ascii="仿宋_GB2312" w:hAnsi="仿宋_GB2312" w:eastAsia="仿宋_GB2312" w:cs="仿宋_GB2312"/>
          <w:bCs w:val="0"/>
          <w:color w:val="000000" w:themeColor="text1"/>
          <w:sz w:val="28"/>
          <w:szCs w:val="28"/>
          <w:highlight w:val="none"/>
          <w:u w:val="single"/>
          <w14:textFill>
            <w14:solidFill>
              <w14:schemeClr w14:val="tx1"/>
            </w14:solidFill>
          </w14:textFill>
        </w:rPr>
        <w:t>10 个</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工作日内，甲方支付合同</w:t>
      </w:r>
      <w:r>
        <w:rPr>
          <w:rFonts w:hint="eastAsia" w:ascii="仿宋_GB2312" w:hAnsi="仿宋_GB2312" w:eastAsia="仿宋_GB2312" w:cs="仿宋_GB2312"/>
          <w:color w:val="000000" w:themeColor="text1"/>
          <w:sz w:val="28"/>
          <w:szCs w:val="28"/>
          <w:highlight w:val="none"/>
          <w14:textFill>
            <w14:solidFill>
              <w14:schemeClr w14:val="tx1"/>
            </w14:solidFill>
          </w14:textFill>
        </w:rPr>
        <w:t>暂定总价</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不含暂列金</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bCs w:val="0"/>
          <w:color w:val="000000" w:themeColor="text1"/>
          <w:sz w:val="28"/>
          <w:szCs w:val="28"/>
          <w:highlight w:val="none"/>
          <w:u w:val="none"/>
          <w14:textFill>
            <w14:solidFill>
              <w14:schemeClr w14:val="tx1"/>
            </w14:solidFill>
          </w14:textFill>
        </w:rPr>
        <w:t>30%</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即</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元，（大写：</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作为预付款。</w:t>
      </w:r>
      <w:r>
        <w:rPr>
          <w:rFonts w:hint="eastAsia" w:ascii="仿宋_GB2312" w:hAnsi="仿宋_GB2312" w:eastAsia="仿宋_GB2312" w:cs="仿宋_GB2312"/>
          <w:color w:val="000000" w:themeColor="text1"/>
          <w:sz w:val="28"/>
          <w:szCs w:val="28"/>
          <w:highlight w:val="none"/>
          <w14:textFill>
            <w14:solidFill>
              <w14:schemeClr w14:val="tx1"/>
            </w14:solidFill>
          </w14:textFill>
        </w:rPr>
        <w:t>若合同解除或终止，乙方在</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5 </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个工作日内返还预付款（无息）。</w:t>
      </w:r>
      <w:r>
        <w:rPr>
          <w:rFonts w:hint="eastAsia" w:ascii="仿宋_GB2312" w:hAnsi="仿宋_GB2312" w:eastAsia="仿宋_GB2312" w:cs="仿宋_GB2312"/>
          <w:bCs w:val="0"/>
          <w:color w:val="000000" w:themeColor="text1"/>
          <w:kern w:val="2"/>
          <w:sz w:val="28"/>
          <w:szCs w:val="28"/>
          <w:highlight w:val="none"/>
          <w14:textFill>
            <w14:solidFill>
              <w14:schemeClr w14:val="tx1"/>
            </w14:solidFill>
          </w14:textFill>
        </w:rPr>
        <w:t>逾期未返还，每逾期一天，乙方应按</w:t>
      </w:r>
      <w:r>
        <w:rPr>
          <w:rFonts w:hint="eastAsia" w:ascii="仿宋_GB2312" w:hAnsi="仿宋_GB2312" w:eastAsia="仿宋_GB2312" w:cs="仿宋_GB2312"/>
          <w:bCs w:val="0"/>
          <w:color w:val="000000" w:themeColor="text1"/>
          <w:kern w:val="2"/>
          <w:sz w:val="28"/>
          <w:szCs w:val="28"/>
          <w:highlight w:val="none"/>
          <w:u w:val="single"/>
          <w14:textFill>
            <w14:solidFill>
              <w14:schemeClr w14:val="tx1"/>
            </w14:solidFill>
          </w14:textFill>
        </w:rPr>
        <w:t>合同暂定总价的万分之五/天</w:t>
      </w:r>
      <w:r>
        <w:rPr>
          <w:rFonts w:hint="eastAsia" w:ascii="仿宋_GB2312" w:hAnsi="仿宋_GB2312" w:eastAsia="仿宋_GB2312" w:cs="仿宋_GB2312"/>
          <w:bCs w:val="0"/>
          <w:color w:val="000000" w:themeColor="text1"/>
          <w:kern w:val="2"/>
          <w:sz w:val="28"/>
          <w:szCs w:val="28"/>
          <w:highlight w:val="none"/>
          <w14:textFill>
            <w14:solidFill>
              <w14:schemeClr w14:val="tx1"/>
            </w14:solidFill>
          </w14:textFill>
        </w:rPr>
        <w:t>支付违约金</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pStyle w:val="14"/>
        <w:spacing w:beforeLines="0" w:afterLines="0" w:line="560" w:lineRule="exact"/>
        <w:ind w:firstLine="560" w:firstLineChars="200"/>
        <w:outlineLvl w:val="1"/>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8.2各子项目完成安全备案审批表的审批且设备材料进场工作量达到或超过对应子项目合同暂定价的50%后，由乙方提交申请支付资料15个工作日内，甲方项目对应分公司支付至对应子项目合同暂定价</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不含暂列金</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的50％给乙方。</w:t>
      </w:r>
    </w:p>
    <w:p>
      <w:pPr>
        <w:pStyle w:val="14"/>
        <w:spacing w:beforeLines="0" w:afterLines="0" w:line="560" w:lineRule="exact"/>
        <w:ind w:firstLine="560" w:firstLineChars="200"/>
        <w:outlineLvl w:val="1"/>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子项项目</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完工验收合格</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并提交工人工资结清证明（格式参照附件10）后</w:t>
      </w:r>
      <w:r>
        <w:rPr>
          <w:rFonts w:hint="eastAsia" w:ascii="仿宋_GB2312" w:hAnsi="仿宋_GB2312" w:eastAsia="仿宋_GB2312" w:cs="仿宋_GB2312"/>
          <w:bCs/>
          <w:color w:val="auto"/>
          <w:sz w:val="28"/>
          <w:szCs w:val="28"/>
          <w:highlight w:val="none"/>
          <w:u w:val="single"/>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由乙方提交申请支付资料 15 个工作日内，甲方支付</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至</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实际完成工作量</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80</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％给乙方</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含预付款及已支付工人工资</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pPr>
        <w:tabs>
          <w:tab w:val="left" w:pos="0"/>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r>
        <w:rPr>
          <w:rFonts w:hint="default" w:ascii="仿宋_GB2312" w:hAnsi="仿宋_GB2312" w:eastAsia="仿宋_GB2312" w:cs="仿宋_GB2312"/>
          <w:color w:val="000000" w:themeColor="text1"/>
          <w:sz w:val="28"/>
          <w:szCs w:val="28"/>
          <w:highlight w:val="none"/>
          <w:lang w:val="en-US"/>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.1</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子项目竣工验收合格后，</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经甲方或</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甲方委托有资质第三方机构审核后，由乙方提交申请支付资料</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15 </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个工作日内，甲方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项目对应分公司</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支付至</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结算价</w:t>
      </w:r>
      <w:r>
        <w:rPr>
          <w:rFonts w:hint="eastAsia" w:ascii="仿宋_GB2312" w:hAnsi="仿宋_GB2312" w:eastAsia="仿宋_GB2312" w:cs="仿宋_GB2312"/>
          <w:color w:val="000000" w:themeColor="text1"/>
          <w:sz w:val="28"/>
          <w:szCs w:val="28"/>
          <w:highlight w:val="none"/>
          <w14:textFill>
            <w14:solidFill>
              <w14:schemeClr w14:val="tx1"/>
            </w14:solidFill>
          </w14:textFill>
        </w:rPr>
        <w:t>的9</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auto"/>
          <w:sz w:val="28"/>
          <w:szCs w:val="28"/>
          <w:highlight w:val="none"/>
        </w:rPr>
        <w:t>(含因乙方未按规定履行合同约定而产生的各种违约金、扣罚金、赔偿金以及应由乙方交纳的各种费用等)</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spacing w:beforeLines="0" w:afterLines="0" w:line="560" w:lineRule="exact"/>
        <w:ind w:firstLine="560" w:firstLineChars="200"/>
        <w:outlineLvl w:val="1"/>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r>
        <w:rPr>
          <w:rFonts w:hint="default" w:ascii="仿宋_GB2312" w:hAnsi="仿宋_GB2312" w:eastAsia="仿宋_GB2312" w:cs="仿宋_GB2312"/>
          <w:color w:val="000000" w:themeColor="text1"/>
          <w:sz w:val="28"/>
          <w:szCs w:val="28"/>
          <w:highlight w:val="none"/>
          <w:lang w:val="en-US"/>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.2质保期按合同第十条规定执行，质保期满后且乙方不存在违约情形，由乙方提交申请质保金退还资料</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15 </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个工作日内，甲方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项目对应分公司</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对应</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结算价</w:t>
      </w:r>
      <w:r>
        <w:rPr>
          <w:rFonts w:hint="eastAsia" w:ascii="仿宋_GB2312" w:hAnsi="仿宋_GB2312" w:eastAsia="仿宋_GB2312" w:cs="仿宋_GB2312"/>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％（质保金）给乙方（无息）。</w:t>
      </w:r>
    </w:p>
    <w:p>
      <w:pPr>
        <w:keepNext w:val="0"/>
        <w:keepLines w:val="0"/>
        <w:pageBreakBefore w:val="0"/>
        <w:widowControl w:val="0"/>
        <w:kinsoku/>
        <w:wordWrap/>
        <w:overflowPunct/>
        <w:bidi w:val="0"/>
        <w:spacing w:beforeLines="0" w:afterLines="0" w:line="560" w:lineRule="exact"/>
        <w:ind w:firstLine="548"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3"/>
          <w:sz w:val="28"/>
          <w:szCs w:val="28"/>
          <w:highlight w:val="none"/>
          <w:lang w:val="en-US" w:eastAsia="zh-CN"/>
          <w14:textFill>
            <w14:solidFill>
              <w14:schemeClr w14:val="tx1"/>
            </w14:solidFill>
          </w14:textFill>
        </w:rPr>
        <w:t>8.</w:t>
      </w:r>
      <w:r>
        <w:rPr>
          <w:rFonts w:hint="default" w:ascii="仿宋_GB2312" w:hAnsi="仿宋_GB2312" w:eastAsia="仿宋_GB2312" w:cs="仿宋_GB2312"/>
          <w:color w:val="000000" w:themeColor="text1"/>
          <w:spacing w:val="-3"/>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3"/>
          <w:sz w:val="28"/>
          <w:szCs w:val="28"/>
          <w:highlight w:val="none"/>
          <w14:textFill>
            <w14:solidFill>
              <w14:schemeClr w14:val="tx1"/>
            </w14:solidFill>
          </w14:textFill>
        </w:rPr>
        <w:t>如出现合同费用超付，乙方应在获知超付之日起</w:t>
      </w:r>
      <w:r>
        <w:rPr>
          <w:rFonts w:hint="eastAsia" w:ascii="仿宋_GB2312" w:hAnsi="仿宋_GB2312" w:eastAsia="仿宋_GB2312" w:cs="仿宋_GB2312"/>
          <w:color w:val="000000" w:themeColor="text1"/>
          <w:spacing w:val="-3"/>
          <w:sz w:val="28"/>
          <w:szCs w:val="28"/>
          <w:highlight w:val="none"/>
          <w:u w:val="single"/>
          <w14:textFill>
            <w14:solidFill>
              <w14:schemeClr w14:val="tx1"/>
            </w14:solidFill>
          </w14:textFill>
        </w:rPr>
        <w:t>7个</w:t>
      </w:r>
      <w:r>
        <w:rPr>
          <w:rFonts w:hint="eastAsia" w:ascii="仿宋_GB2312" w:hAnsi="仿宋_GB2312" w:eastAsia="仿宋_GB2312" w:cs="仿宋_GB2312"/>
          <w:color w:val="000000" w:themeColor="text1"/>
          <w:spacing w:val="-3"/>
          <w:sz w:val="28"/>
          <w:szCs w:val="28"/>
          <w:highlight w:val="none"/>
          <w14:textFill>
            <w14:solidFill>
              <w14:schemeClr w14:val="tx1"/>
            </w14:solidFill>
          </w14:textFill>
        </w:rPr>
        <w:t>工作日内返还超付款项（无息）。</w:t>
      </w:r>
      <w:r>
        <w:rPr>
          <w:rFonts w:hint="eastAsia" w:ascii="仿宋_GB2312" w:hAnsi="仿宋_GB2312" w:eastAsia="仿宋_GB2312" w:cs="仿宋_GB2312"/>
          <w:color w:val="000000" w:themeColor="text1"/>
          <w:sz w:val="28"/>
          <w:szCs w:val="28"/>
          <w:highlight w:val="none"/>
          <w14:textFill>
            <w14:solidFill>
              <w14:schemeClr w14:val="tx1"/>
            </w14:solidFill>
          </w14:textFill>
        </w:rPr>
        <w:t>每逾期一周乙方承担超付款项的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的逾期违约金，且支付超付款项相应存款利息。</w:t>
      </w:r>
    </w:p>
    <w:p>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结算审定价超过合同暂定总价时，暂停合同的工程款支付程序，签订补充协议后支付。</w:t>
      </w:r>
    </w:p>
    <w:p>
      <w:pPr>
        <w:pStyle w:val="14"/>
        <w:spacing w:beforeLines="0" w:afterLines="0" w:line="560" w:lineRule="exact"/>
        <w:ind w:firstLine="560" w:firstLineChars="200"/>
        <w:outlineLvl w:val="1"/>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本项目工程款的支付单位为：</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甲方项目对应分公司 </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乙方收款账户：</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收款账号：</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开户行：</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pPr>
        <w:spacing w:beforeLines="0" w:afterLines="0" w:line="560" w:lineRule="exact"/>
        <w:ind w:firstLine="560" w:firstLineChars="200"/>
        <w:outlineLvl w:val="9"/>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乙方在收款前需提交等额增值税专用发票给甲方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，乙方提交的发票被作废或红冲的，在乙方更换有效发票前，甲方有权要求退回该发票对应的已支付款项并不再给予支付后续的全部合同款项，由此造成甲方损失的，由乙方承担赔偿责任</w:t>
      </w:r>
      <w:r>
        <w:rPr>
          <w:rFonts w:hint="eastAsia" w:ascii="仿宋_GB2312" w:hAnsi="仿宋_GB2312" w:eastAsia="仿宋_GB2312" w:cs="仿宋_GB2312"/>
          <w:color w:val="000000" w:themeColor="text1"/>
          <w:sz w:val="28"/>
          <w:szCs w:val="28"/>
          <w:highlight w:val="none"/>
          <w14:textFill>
            <w14:solidFill>
              <w14:schemeClr w14:val="tx1"/>
            </w14:solidFill>
          </w14:textFill>
        </w:rPr>
        <w:t>。增值税专用发票信息：</w:t>
      </w:r>
    </w:p>
    <w:p>
      <w:pPr>
        <w:spacing w:beforeLines="0" w:afterLines="0" w:line="560" w:lineRule="exact"/>
        <w:ind w:firstLine="560" w:firstLineChars="200"/>
        <w:outlineLvl w:val="9"/>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名称：广州市净水有限公司</w:t>
      </w:r>
    </w:p>
    <w:p>
      <w:pPr>
        <w:spacing w:beforeLines="0" w:afterLines="0" w:line="560" w:lineRule="exact"/>
        <w:ind w:firstLine="560" w:firstLineChars="200"/>
        <w:outlineLvl w:val="9"/>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税号：91440101755584729Q</w:t>
      </w:r>
    </w:p>
    <w:p>
      <w:pPr>
        <w:spacing w:beforeLines="0" w:afterLines="0" w:line="560" w:lineRule="exact"/>
        <w:ind w:firstLine="560" w:firstLineChars="200"/>
        <w:outlineLvl w:val="9"/>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地址：广州市天河区临江大道501号</w:t>
      </w:r>
    </w:p>
    <w:p>
      <w:pPr>
        <w:spacing w:beforeLines="0" w:afterLines="0" w:line="560" w:lineRule="exact"/>
        <w:ind w:firstLine="560" w:firstLineChars="200"/>
        <w:outlineLvl w:val="9"/>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账号名：广州市净水有限公司</w:t>
      </w:r>
    </w:p>
    <w:p>
      <w:pPr>
        <w:spacing w:beforeLines="0" w:afterLines="0" w:line="560" w:lineRule="exact"/>
        <w:ind w:firstLine="560" w:firstLineChars="200"/>
        <w:outlineLvl w:val="9"/>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开户行：民生银行广州分行</w:t>
      </w:r>
    </w:p>
    <w:p>
      <w:pPr>
        <w:spacing w:beforeLines="0" w:afterLines="0" w:line="560" w:lineRule="exact"/>
        <w:ind w:firstLine="560" w:firstLineChars="200"/>
        <w:outlineLvl w:val="9"/>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银行账号：0301014140006932</w:t>
      </w:r>
    </w:p>
    <w:p>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b/>
          <w:color w:val="000000" w:themeColor="text1"/>
          <w:sz w:val="28"/>
          <w:szCs w:val="28"/>
          <w:highlight w:val="none"/>
          <w14:textFill>
            <w14:solidFill>
              <w14:schemeClr w14:val="tx1"/>
            </w14:solidFill>
          </w14:textFill>
        </w:rPr>
        <w:t>履约担保</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及预付款担保</w:t>
      </w:r>
    </w:p>
    <w:p>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履约担保：</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F0A8"/>
      </w:r>
      <w:r>
        <w:rPr>
          <w:rFonts w:hint="eastAsia" w:ascii="仿宋_GB2312" w:hAnsi="仿宋_GB2312" w:eastAsia="仿宋_GB2312" w:cs="仿宋_GB2312"/>
          <w:bCs/>
          <w:color w:val="000000" w:themeColor="text1"/>
          <w:sz w:val="28"/>
          <w:szCs w:val="28"/>
          <w:highlight w:val="none"/>
          <w14:textFill>
            <w14:solidFill>
              <w14:schemeClr w14:val="tx1"/>
            </w14:solidFill>
          </w14:textFill>
        </w:rPr>
        <w:t xml:space="preserve">无；    </w:t>
      </w:r>
      <w:r>
        <w:rPr>
          <w:rFonts w:hint="eastAsia" w:ascii="仿宋_GB2312" w:hAnsi="仿宋_GB2312" w:eastAsia="仿宋_GB2312" w:cs="仿宋_GB2312"/>
          <w:bCs/>
          <w:color w:val="000000" w:themeColor="text1"/>
          <w:sz w:val="28"/>
          <w:szCs w:val="28"/>
          <w:highlight w:val="none"/>
          <w14:textFill>
            <w14:solidFill>
              <w14:schemeClr w14:val="tx1"/>
            </w14:solidFill>
          </w14:textFill>
        </w:rPr>
        <w:sym w:font="Wingdings" w:char="00FE"/>
      </w:r>
      <w:r>
        <w:rPr>
          <w:rFonts w:hint="eastAsia" w:ascii="仿宋_GB2312" w:hAnsi="仿宋_GB2312" w:eastAsia="仿宋_GB2312" w:cs="仿宋_GB2312"/>
          <w:bCs/>
          <w:color w:val="000000" w:themeColor="text1"/>
          <w:sz w:val="28"/>
          <w:szCs w:val="28"/>
          <w:highlight w:val="none"/>
          <w14:textFill>
            <w14:solidFill>
              <w14:schemeClr w14:val="tx1"/>
            </w14:solidFill>
          </w14:textFill>
        </w:rPr>
        <w:t>有，</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乙方于</w:t>
      </w:r>
      <w:r>
        <w:rPr>
          <w:rFonts w:hint="eastAsia" w:ascii="仿宋_GB2312" w:hAnsi="仿宋_GB2312" w:eastAsia="仿宋_GB2312" w:cs="仿宋_GB2312"/>
          <w:color w:val="000000" w:themeColor="text1"/>
          <w:sz w:val="28"/>
          <w:szCs w:val="28"/>
          <w:highlight w:val="none"/>
          <w14:textFill>
            <w14:solidFill>
              <w14:schemeClr w14:val="tx1"/>
            </w14:solidFill>
          </w14:textFill>
        </w:rPr>
        <w:t>本合同签订后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10</w:t>
      </w:r>
      <w:r>
        <w:rPr>
          <w:rFonts w:hint="eastAsia" w:ascii="仿宋_GB2312" w:hAnsi="仿宋_GB2312" w:eastAsia="仿宋_GB2312" w:cs="仿宋_GB2312"/>
          <w:color w:val="000000" w:themeColor="text1"/>
          <w:sz w:val="28"/>
          <w:szCs w:val="28"/>
          <w:highlight w:val="none"/>
          <w14:textFill>
            <w14:solidFill>
              <w14:schemeClr w14:val="tx1"/>
            </w14:solidFill>
          </w14:textFill>
        </w:rPr>
        <w:t>日内</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按照</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总</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价的</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0%</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提交</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履约</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担保</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金额为：</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（大写人民币：</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未按时提供履约担保的，甲方有权解除合同并要求乙方支付</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合同暂定总价20%</w:t>
      </w:r>
      <w:r>
        <w:rPr>
          <w:rFonts w:hint="eastAsia" w:ascii="仿宋_GB2312" w:hAnsi="仿宋_GB2312" w:eastAsia="仿宋_GB2312" w:cs="仿宋_GB2312"/>
          <w:color w:val="000000" w:themeColor="text1"/>
          <w:sz w:val="28"/>
          <w:szCs w:val="28"/>
          <w:highlight w:val="none"/>
          <w14:textFill>
            <w14:solidFill>
              <w14:schemeClr w14:val="tx1"/>
            </w14:solidFill>
          </w14:textFill>
        </w:rPr>
        <w:t>作为违约金。</w:t>
      </w:r>
    </w:p>
    <w:p>
      <w:pPr>
        <w:pStyle w:val="21"/>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履约担保按以下任一种形式提供：</w:t>
      </w:r>
    </w:p>
    <w:p>
      <w:pPr>
        <w:pStyle w:val="21"/>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（1）符合甲方要求（详见附件</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highlight w:val="none"/>
          <w14:textFill>
            <w14:solidFill>
              <w14:schemeClr w14:val="tx1"/>
            </w14:solidFill>
          </w14:textFill>
        </w:rPr>
        <w:t>保函格式）的银行独立保函</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pStyle w:val="21"/>
        <w:widowControl w:val="0"/>
        <w:numPr>
          <w:ilvl w:val="12"/>
          <w:numId w:val="0"/>
        </w:numPr>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（2）担保公司担保：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所在地担保公司出具并经</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认可的无条件、不可撤销的连带担保</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pStyle w:val="21"/>
        <w:widowControl w:val="0"/>
        <w:numPr>
          <w:ilvl w:val="12"/>
          <w:numId w:val="0"/>
        </w:numPr>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保证保险：</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所在地保险公司出具并经</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认可的无条件、不可撤销的保证保险</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pStyle w:val="21"/>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现金转账至甲方以下指定账户：</w:t>
      </w:r>
    </w:p>
    <w:p>
      <w:pPr>
        <w:keepNext w:val="0"/>
        <w:keepLines w:val="0"/>
        <w:pageBreakBefore w:val="0"/>
        <w:widowControl w:val="0"/>
        <w:tabs>
          <w:tab w:val="left" w:pos="1995"/>
        </w:tabs>
        <w:kinsoku/>
        <w:wordWrap/>
        <w:overflowPunct/>
        <w:bidi w:val="0"/>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户名：</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广州市净水有限公司</w:t>
      </w:r>
    </w:p>
    <w:p>
      <w:pPr>
        <w:keepNext w:val="0"/>
        <w:keepLines w:val="0"/>
        <w:pageBreakBefore w:val="0"/>
        <w:widowControl w:val="0"/>
        <w:tabs>
          <w:tab w:val="left" w:pos="1995"/>
        </w:tabs>
        <w:kinsoku/>
        <w:wordWrap/>
        <w:overflowPunct/>
        <w:bidi w:val="0"/>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账号：</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82010154900000342 </w:t>
      </w:r>
    </w:p>
    <w:p>
      <w:pPr>
        <w:keepNext w:val="0"/>
        <w:keepLines w:val="0"/>
        <w:pageBreakBefore w:val="0"/>
        <w:widowControl w:val="0"/>
        <w:tabs>
          <w:tab w:val="left" w:pos="1995"/>
        </w:tabs>
        <w:kinsoku/>
        <w:wordWrap/>
        <w:overflowPunct/>
        <w:bidi w:val="0"/>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u w:val="none"/>
          <w14:textFill>
            <w14:solidFill>
              <w14:schemeClr w14:val="tx1"/>
            </w14:solidFill>
          </w14:textFill>
        </w:rPr>
        <w:t>开户行：</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浦发银行广州分行 </w:t>
      </w:r>
    </w:p>
    <w:p>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履约担保的担保期限和返还</w:t>
      </w:r>
    </w:p>
    <w:p>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担保期限：从提供履约担保（或转账成功）之日起至</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项目（全部子项目）结算完成</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bidi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履约银行保函</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担保公司担保、保证保险</w:t>
      </w:r>
      <w:r>
        <w:rPr>
          <w:rFonts w:hint="eastAsia" w:ascii="仿宋_GB2312" w:hAnsi="仿宋_GB2312" w:eastAsia="仿宋_GB2312" w:cs="仿宋_GB2312"/>
          <w:color w:val="000000" w:themeColor="text1"/>
          <w:sz w:val="28"/>
          <w:szCs w:val="28"/>
          <w:highlight w:val="none"/>
          <w14:textFill>
            <w14:solidFill>
              <w14:schemeClr w14:val="tx1"/>
            </w14:solidFill>
          </w14:textFill>
        </w:rPr>
        <w:t>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项目（全部子项目）结算完成</w:t>
      </w:r>
      <w:r>
        <w:rPr>
          <w:rFonts w:hint="eastAsia" w:ascii="仿宋_GB2312" w:hAnsi="仿宋_GB2312" w:eastAsia="仿宋_GB2312" w:cs="仿宋_GB2312"/>
          <w:color w:val="000000" w:themeColor="text1"/>
          <w:sz w:val="28"/>
          <w:szCs w:val="28"/>
          <w:highlight w:val="none"/>
          <w14:textFill>
            <w14:solidFill>
              <w14:schemeClr w14:val="tx1"/>
            </w14:solidFill>
          </w14:textFill>
        </w:rPr>
        <w:t>后，由乙方提出申请，甲方在28日内返还，不支付利息：</w:t>
      </w:r>
    </w:p>
    <w:p>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延长担保期限。乙方应在履约担保有效期届满之日的7天前，向</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提交同样格式且更新日期后的有效担保替代原担保，否则，每逾期一天，</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sz w:val="28"/>
          <w:szCs w:val="28"/>
          <w:highlight w:val="none"/>
          <w14:textFill>
            <w14:solidFill>
              <w14:schemeClr w14:val="tx1"/>
            </w14:solidFill>
          </w14:textFill>
        </w:rPr>
        <w:t>应向</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支付违约金</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2万元/天</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且</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甲方有权提取全部履约担保金额并解除合同。</w:t>
      </w:r>
    </w:p>
    <w:p>
      <w:pPr>
        <w:pStyle w:val="21"/>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现金履约保证金的退还：</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项目（全部子项目）结算完成</w:t>
      </w:r>
      <w:r>
        <w:rPr>
          <w:rFonts w:hint="eastAsia" w:ascii="仿宋_GB2312" w:hAnsi="仿宋_GB2312" w:eastAsia="仿宋_GB2312" w:cs="仿宋_GB2312"/>
          <w:color w:val="000000" w:themeColor="text1"/>
          <w:sz w:val="28"/>
          <w:szCs w:val="28"/>
          <w:highlight w:val="none"/>
          <w14:textFill>
            <w14:solidFill>
              <w14:schemeClr w14:val="tx1"/>
            </w14:solidFill>
          </w14:textFill>
        </w:rPr>
        <w:t>后，由乙方提出申请，甲方在</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28日</w:t>
      </w:r>
      <w:r>
        <w:rPr>
          <w:rFonts w:hint="eastAsia" w:ascii="仿宋_GB2312" w:hAnsi="仿宋_GB2312" w:eastAsia="仿宋_GB2312" w:cs="仿宋_GB2312"/>
          <w:color w:val="000000" w:themeColor="text1"/>
          <w:sz w:val="28"/>
          <w:szCs w:val="28"/>
          <w:highlight w:val="none"/>
          <w14:textFill>
            <w14:solidFill>
              <w14:schemeClr w14:val="tx1"/>
            </w14:solidFill>
          </w14:textFill>
        </w:rPr>
        <w:t>内将剩余保证金（无息）返还。</w:t>
      </w:r>
    </w:p>
    <w:p>
      <w:pPr>
        <w:keepNext w:val="0"/>
        <w:keepLines w:val="0"/>
        <w:pageBreakBefore w:val="0"/>
        <w:widowControl w:val="0"/>
        <w:kinsoku/>
        <w:wordWrap/>
        <w:overflowPunct/>
        <w:bidi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甲方按本合同规定提取履约担保金额后，乙方应在收到甲方通知后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sz w:val="28"/>
          <w:szCs w:val="28"/>
          <w:highlight w:val="none"/>
          <w14:textFill>
            <w14:solidFill>
              <w14:schemeClr w14:val="tx1"/>
            </w14:solidFill>
          </w14:textFill>
        </w:rPr>
        <w:t>日内补足数额，逾期未补足的，则甲方有权提取履约担保的全部余额并解除合同。</w:t>
      </w:r>
    </w:p>
    <w:p>
      <w:pPr>
        <w:spacing w:beforeLines="0" w:afterLines="0" w:line="560" w:lineRule="exact"/>
        <w:ind w:left="478" w:leftChars="228" w:firstLine="0" w:firstLineChars="0"/>
        <w:rPr>
          <w:rFonts w:hint="eastAsia" w:ascii="仿宋_GB2312" w:hAnsi="仿宋_GB2312" w:eastAsia="仿宋_GB2312" w:cs="仿宋_GB2312"/>
          <w:i w:val="0"/>
          <w:iCs w:val="0"/>
          <w:caps w:val="0"/>
          <w:color w:val="000000" w:themeColor="text1"/>
          <w:spacing w:val="0"/>
          <w:sz w:val="28"/>
          <w:szCs w:val="28"/>
          <w:highlight w:val="none"/>
          <w:shd w:val="clear"/>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预付款担保</w:t>
      </w:r>
    </w:p>
    <w:p>
      <w:pPr>
        <w:spacing w:beforeLines="0" w:afterLines="0" w:line="560" w:lineRule="exact"/>
        <w:ind w:left="0" w:leftChars="0" w:firstLine="560" w:firstLineChars="200"/>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（1）</w:t>
      </w:r>
      <w:r>
        <w:rPr>
          <w:rFonts w:hint="eastAsia" w:ascii="仿宋_GB2312" w:hAnsi="仿宋_GB2312" w:eastAsia="仿宋_GB2312" w:cs="仿宋_GB2312"/>
          <w:color w:val="000000"/>
          <w:kern w:val="0"/>
          <w:sz w:val="28"/>
          <w:szCs w:val="28"/>
          <w:highlight w:val="none"/>
          <w:lang w:val="en-US" w:eastAsia="zh-CN"/>
        </w:rPr>
        <w:t>乙方向甲方提供无条件、不可撤销的银行独立保函作为预付款担保（预付款保函格式详见附件）。</w:t>
      </w: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预付款担保的担保金额应与预付款金额相同。预付款从应支付给乙方的进度款中扣回。</w:t>
      </w:r>
    </w:p>
    <w:p>
      <w:pPr>
        <w:spacing w:beforeLines="0" w:afterLines="0" w:line="560" w:lineRule="exact"/>
        <w:ind w:left="0" w:leftChars="0" w:firstLine="560" w:firstLineChars="200"/>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（2）预付款担保应在预付款扣清后</w:t>
      </w:r>
      <w:r>
        <w:rPr>
          <w:rFonts w:hint="eastAsia" w:ascii="仿宋_GB2312" w:hAnsi="仿宋_GB2312" w:eastAsia="仿宋_GB2312" w:cs="仿宋_GB2312"/>
          <w:i w:val="0"/>
          <w:iCs w:val="0"/>
          <w:caps w:val="0"/>
          <w:color w:val="000000" w:themeColor="text1"/>
          <w:spacing w:val="0"/>
          <w:sz w:val="28"/>
          <w:szCs w:val="28"/>
          <w:highlight w:val="none"/>
          <w:u w:val="single"/>
          <w:shd w:val="clear"/>
          <w:lang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u w:val="single"/>
          <w:shd w:val="clear"/>
          <w:lang w:val="en-US" w:eastAsia="zh-CN"/>
          <w14:textFill>
            <w14:solidFill>
              <w14:schemeClr w14:val="tx1"/>
            </w14:solidFill>
          </w14:textFill>
        </w:rPr>
        <w:t>28</w:t>
      </w: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日内退还给乙方。甲方不承</w:t>
      </w:r>
    </w:p>
    <w:p>
      <w:pPr>
        <w:spacing w:beforeLines="0" w:afterLines="0" w:line="560" w:lineRule="exact"/>
        <w:ind w:left="0" w:leftChars="0" w:firstLine="0" w:firstLineChars="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14:textFill>
            <w14:solidFill>
              <w14:schemeClr w14:val="tx1"/>
            </w14:solidFill>
          </w14:textFill>
        </w:rPr>
        <w:t>担乙方与预付款担保有关的任何利息或其他类似的费用或收益</w:t>
      </w:r>
      <w:r>
        <w:rPr>
          <w:rFonts w:hint="eastAsia" w:ascii="仿宋_GB2312" w:hAnsi="仿宋_GB2312" w:eastAsia="仿宋_GB2312" w:cs="仿宋_GB2312"/>
          <w:i w:val="0"/>
          <w:iCs w:val="0"/>
          <w:caps w:val="0"/>
          <w:color w:val="000000" w:themeColor="text1"/>
          <w:spacing w:val="0"/>
          <w:sz w:val="28"/>
          <w:szCs w:val="28"/>
          <w:highlight w:val="none"/>
          <w:shd w:val="clear"/>
          <w:lang w:eastAsia="zh-CN"/>
          <w14:textFill>
            <w14:solidFill>
              <w14:schemeClr w14:val="tx1"/>
            </w14:solidFill>
          </w14:textFill>
        </w:rPr>
        <w:t>。</w:t>
      </w:r>
    </w:p>
    <w:p>
      <w:pPr>
        <w:adjustRightInd/>
        <w:snapToGrid/>
        <w:spacing w:beforeLines="0" w:afterLines="0" w:line="560" w:lineRule="exact"/>
        <w:ind w:firstLine="560" w:firstLineChars="200"/>
        <w:jc w:val="left"/>
        <w:outlineLvl w:val="9"/>
        <w:rPr>
          <w:rFonts w:hint="eastAsia" w:ascii="仿宋_GB2312" w:hAnsi="仿宋_GB2312" w:eastAsia="仿宋_GB2312" w:cs="仿宋_GB2312"/>
          <w:bCs/>
          <w:color w:val="000000" w:themeColor="text1"/>
          <w:sz w:val="28"/>
          <w:szCs w:val="28"/>
          <w:highlight w:val="none"/>
          <w:bdr w:val="single" w:color="auto" w:sz="4" w:space="0"/>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8.1</w:t>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付款方式： </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FE"/>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网银支付；  </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A8"/>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支票；   </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A8"/>
      </w:r>
      <w:r>
        <w:rPr>
          <w:rFonts w:hint="eastAsia" w:ascii="仿宋_GB2312" w:hAnsi="仿宋_GB2312" w:eastAsia="仿宋_GB2312" w:cs="仿宋_GB2312"/>
          <w:color w:val="000000" w:themeColor="text1"/>
          <w:sz w:val="28"/>
          <w:szCs w:val="28"/>
          <w:highlight w:val="none"/>
          <w14:textFill>
            <w14:solidFill>
              <w14:schemeClr w14:val="tx1"/>
            </w14:solidFill>
          </w14:textFill>
        </w:rPr>
        <w:t>其他</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pPr>
        <w:spacing w:beforeLines="0" w:afterLines="0" w:line="560" w:lineRule="exact"/>
        <w:ind w:firstLine="560"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第九条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竣工验收</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9.1乙方应在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子项目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工程完工后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30天</w:t>
      </w:r>
      <w:r>
        <w:rPr>
          <w:rFonts w:hint="eastAsia" w:ascii="仿宋_GB2312" w:hAnsi="仿宋_GB2312" w:eastAsia="仿宋_GB2312" w:cs="仿宋_GB2312"/>
          <w:color w:val="000000" w:themeColor="text1"/>
          <w:sz w:val="28"/>
          <w:szCs w:val="28"/>
          <w:highlight w:val="none"/>
          <w14:textFill>
            <w14:solidFill>
              <w14:schemeClr w14:val="tx1"/>
            </w14:solidFill>
          </w14:textFill>
        </w:rPr>
        <w:t>内将经甲方审核的完整竣工资料（含竣工图）和竣工验收报告各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一式四份</w:t>
      </w:r>
      <w:r>
        <w:rPr>
          <w:rFonts w:hint="eastAsia" w:ascii="仿宋_GB2312" w:hAnsi="仿宋_GB2312" w:eastAsia="仿宋_GB2312" w:cs="仿宋_GB2312"/>
          <w:color w:val="000000" w:themeColor="text1"/>
          <w:sz w:val="28"/>
          <w:szCs w:val="28"/>
          <w:highlight w:val="none"/>
          <w14:textFill>
            <w14:solidFill>
              <w14:schemeClr w14:val="tx1"/>
            </w14:solidFill>
          </w14:textFill>
        </w:rPr>
        <w:t>交甲方，不按时报送工程竣工资料的，每逾期一天，甲方要求乙方支付</w:t>
      </w:r>
      <w:r>
        <w:rPr>
          <w:rFonts w:hint="eastAsia" w:ascii="仿宋_GB2312" w:hAnsi="仿宋_GB2312" w:eastAsia="仿宋_GB2312" w:cs="仿宋_GB2312"/>
          <w:i w:val="0"/>
          <w:iCs w:val="0"/>
          <w:caps w:val="0"/>
          <w:color w:val="000000" w:themeColor="text1"/>
          <w:spacing w:val="0"/>
          <w:sz w:val="28"/>
          <w:szCs w:val="28"/>
          <w:highlight w:val="none"/>
          <w:u w:val="single"/>
          <w:shd w:val="clear"/>
          <w:lang w:val="en-US" w:eastAsia="zh-CN" w:bidi="ar"/>
          <w14:textFill>
            <w14:solidFill>
              <w14:schemeClr w14:val="tx1"/>
            </w14:solidFill>
          </w14:textFill>
        </w:rPr>
        <w:t>对应子项目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万分之五/天</w:t>
      </w:r>
      <w:r>
        <w:rPr>
          <w:rFonts w:hint="eastAsia" w:ascii="仿宋_GB2312" w:hAnsi="仿宋_GB2312" w:eastAsia="仿宋_GB2312" w:cs="仿宋_GB2312"/>
          <w:color w:val="000000" w:themeColor="text1"/>
          <w:sz w:val="28"/>
          <w:szCs w:val="28"/>
          <w:highlight w:val="none"/>
          <w14:textFill>
            <w14:solidFill>
              <w14:schemeClr w14:val="tx1"/>
            </w14:solidFill>
          </w14:textFill>
        </w:rPr>
        <w:t>，并在支付合同款时抵扣。</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9.2甲方收到完整的竣工验收资料（完整的竣工验收资料：施工方案、开工/竣工报告、安全备案整套资料、本合同书、</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招标</w:t>
      </w:r>
      <w:r>
        <w:rPr>
          <w:rFonts w:hint="eastAsia" w:ascii="仿宋_GB2312" w:hAnsi="仿宋_GB2312" w:eastAsia="仿宋_GB2312" w:cs="仿宋_GB2312"/>
          <w:color w:val="000000" w:themeColor="text1"/>
          <w:sz w:val="28"/>
          <w:szCs w:val="28"/>
          <w:highlight w:val="none"/>
          <w14:textFill>
            <w14:solidFill>
              <w14:schemeClr w14:val="tx1"/>
            </w14:solidFill>
          </w14:textFill>
        </w:rPr>
        <w:t>文件/</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投标</w:t>
      </w:r>
      <w:r>
        <w:rPr>
          <w:rFonts w:hint="eastAsia" w:ascii="仿宋_GB2312" w:hAnsi="仿宋_GB2312" w:eastAsia="仿宋_GB2312" w:cs="仿宋_GB2312"/>
          <w:color w:val="000000" w:themeColor="text1"/>
          <w:sz w:val="28"/>
          <w:szCs w:val="28"/>
          <w:highlight w:val="none"/>
          <w14:textFill>
            <w14:solidFill>
              <w14:schemeClr w14:val="tx1"/>
            </w14:solidFill>
          </w14:textFill>
        </w:rPr>
        <w:t>文件、中标通知书/发包通知书/委托书、工程预算送审报告、工程结算书/签证记录、备件开箱记录表或送货单、竣工图等，如有必须提供）和竣工验收报告后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20天</w:t>
      </w:r>
      <w:r>
        <w:rPr>
          <w:rFonts w:hint="eastAsia" w:ascii="仿宋_GB2312" w:hAnsi="仿宋_GB2312" w:eastAsia="仿宋_GB2312" w:cs="仿宋_GB2312"/>
          <w:color w:val="000000" w:themeColor="text1"/>
          <w:sz w:val="28"/>
          <w:szCs w:val="28"/>
          <w:highlight w:val="none"/>
          <w14:textFill>
            <w14:solidFill>
              <w14:schemeClr w14:val="tx1"/>
            </w14:solidFill>
          </w14:textFill>
        </w:rPr>
        <w:t>内组织有关单位进行验收，工程竣工验收严格按国家、省、市、部门有关文件执行，并在验收后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10天</w:t>
      </w:r>
      <w:r>
        <w:rPr>
          <w:rFonts w:hint="eastAsia" w:ascii="仿宋_GB2312" w:hAnsi="仿宋_GB2312" w:eastAsia="仿宋_GB2312" w:cs="仿宋_GB2312"/>
          <w:color w:val="000000" w:themeColor="text1"/>
          <w:sz w:val="28"/>
          <w:szCs w:val="28"/>
          <w:highlight w:val="none"/>
          <w14:textFill>
            <w14:solidFill>
              <w14:schemeClr w14:val="tx1"/>
            </w14:solidFill>
          </w14:textFill>
        </w:rPr>
        <w:t>内给予认可或提出修改意见。乙方按要求修改，并承担修改的费用。</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9.3工程竣工验收通过，乙方送交完整的竣工验收资料和竣工验收报告的日期为实际竣工日期。工程按甲方要求修改后通过竣工验收的，实际竣工日期为乙方修改后提请甲方验收的日期。</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9.4隐蔽工程验收</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当项目具备覆盖、掩盖条件或达到中间验收部位后，乙方自检，并提前48 小时以书面形式通知甲方参加验收，经甲方验收合格并在验收记录上签字后，方可进行隐蔽和继续施工。</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lang w:val="en-US" w:eastAsia="zh-CN" w:bidi="ar"/>
          <w14:textFill>
            <w14:solidFill>
              <w14:schemeClr w14:val="tx1"/>
            </w14:solidFill>
          </w14:textFill>
        </w:rPr>
        <w:t>9.5</w:t>
      </w: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 xml:space="preserve"> 工程竣工验收通过后</w:t>
      </w:r>
      <w:r>
        <w:rPr>
          <w:rFonts w:hint="eastAsia" w:ascii="仿宋_GB2312" w:hAnsi="仿宋_GB2312" w:eastAsia="仿宋_GB2312" w:cs="仿宋_GB2312"/>
          <w:i w:val="0"/>
          <w:iCs w:val="0"/>
          <w:caps w:val="0"/>
          <w:color w:val="000000" w:themeColor="text1"/>
          <w:spacing w:val="0"/>
          <w:kern w:val="2"/>
          <w:sz w:val="28"/>
          <w:szCs w:val="28"/>
          <w:highlight w:val="none"/>
          <w:u w:val="single"/>
          <w:shd w:val="clear" w:fill="auto"/>
          <w:lang w:val="en-US" w:eastAsia="zh-CN" w:bidi="ar"/>
          <w14:textFill>
            <w14:solidFill>
              <w14:schemeClr w14:val="tx1"/>
            </w14:solidFill>
          </w14:textFill>
        </w:rPr>
        <w:t xml:space="preserve"> 7 日</w:t>
      </w: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内，乙方应按以下要求对施工场地进行清理，直至甲方检验合格为止。竣工清场费用由乙方承担。</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（1）清除施工场地内残留的垃圾（包括但不限于：施工的淤泥渣土、废弃的施工设备和材料等)。</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（2）如涉及临时工程，乙方负责拆除并对场地进行清理、平整或复原。</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478" w:leftChars="228" w:right="0" w:firstLine="0" w:firstLineChars="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（3）对乙方设备和剩余的材料进行撤场。</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leftChars="0" w:right="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如乙方逾期未能对施工场地进行清理，甲方有权委托第三方清理，清理费用由乙方承担，并在应付款项中抵扣。</w:t>
      </w:r>
    </w:p>
    <w:p>
      <w:pPr>
        <w:widowControl w:val="0"/>
        <w:pBdr>
          <w:top w:val="none" w:color="auto" w:sz="0" w:space="0"/>
          <w:left w:val="none" w:color="auto" w:sz="0" w:space="0"/>
          <w:bottom w:val="none" w:color="auto" w:sz="0" w:space="0"/>
          <w:right w:val="none" w:color="auto" w:sz="0" w:space="0"/>
        </w:pBdr>
        <w:spacing w:beforeLines="0" w:afterLines="0" w:line="560" w:lineRule="exact"/>
        <w:ind w:left="0" w:leftChars="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lang w:eastAsia="zh-CN" w:bidi="ar"/>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28"/>
          <w:szCs w:val="28"/>
          <w:highlight w:val="none"/>
          <w:shd w:val="clear"/>
          <w:lang w:val="en-US" w:eastAsia="zh-CN" w:bidi="ar"/>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 xml:space="preserve"> 竣工档案的整理和移交</w:t>
      </w:r>
    </w:p>
    <w:p>
      <w:pPr>
        <w:widowControl w:val="0"/>
        <w:pBdr>
          <w:top w:val="none" w:color="auto" w:sz="0" w:space="0"/>
          <w:left w:val="none" w:color="auto" w:sz="0" w:space="0"/>
          <w:bottom w:val="none" w:color="auto" w:sz="0" w:space="0"/>
          <w:right w:val="none" w:color="auto" w:sz="0" w:space="0"/>
        </w:pBdr>
        <w:spacing w:beforeLines="0" w:afterLines="0" w:line="560" w:lineRule="exact"/>
        <w:ind w:left="0" w:leftChars="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1）乙方应参照国家《城市建设档案管理规定》、《广州市城市建设档案管理办法》和甲方有关整理工程档案的要求，在工程施工期间及时收集、汇总、整理、编制竣工档案，并于工程竣工验收后按下款约定向甲方完整移交如下竣工档案：</w:t>
      </w:r>
    </w:p>
    <w:p>
      <w:pPr>
        <w:widowControl w:val="0"/>
        <w:pBdr>
          <w:top w:val="none" w:color="auto" w:sz="0" w:space="0"/>
          <w:left w:val="none" w:color="auto" w:sz="0" w:space="0"/>
          <w:bottom w:val="none" w:color="auto" w:sz="0" w:space="0"/>
          <w:right w:val="none" w:color="auto" w:sz="0" w:space="0"/>
        </w:pBdr>
        <w:spacing w:beforeLines="0" w:afterLines="0" w:line="560" w:lineRule="exact"/>
        <w:ind w:left="0" w:leftChars="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shd w:val="clear"/>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（a）竣工文件资料、竣工图档案（原件）各一式四份；</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28"/>
          <w:szCs w:val="28"/>
          <w:highlight w:val="none"/>
          <w:shd w:val="clear" w:fill="auto"/>
          <w:lang w:val="en-US" w:eastAsia="zh-CN" w:bidi="ar"/>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（b）与本款（a）项内容相同的电子版档案一式二份；</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28"/>
          <w:szCs w:val="28"/>
          <w:highlight w:val="none"/>
          <w:shd w:val="clear" w:fill="auto"/>
          <w:lang w:val="en-US" w:eastAsia="zh-CN" w:bidi="ar"/>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（2）乙方移交竣工档案的时限：乙方应于工程竣工验收后</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 xml:space="preserve"> 30 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 xml:space="preserve">内将竣工档案提交甲方签认。乙方应于甲方签认后 </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10 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内将竣工档案移交给甲方归档并同时移交有关归档的证明文件。甲方经审查合格的，应在收到竣工档案后</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 xml:space="preserve"> 10 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内签署档案验收意见；不合格的，乙方应按甲方要求限期补正，直至合格为止。乙超过本条规定的时限，每逾期一天</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eastAsia="zh-CN" w:bidi="ar"/>
          <w14:textFill>
            <w14:solidFill>
              <w14:schemeClr w14:val="tx1"/>
            </w14:solidFill>
          </w14:textFill>
        </w:rPr>
        <w:t>对应子项目合同暂定总价</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万分之五/天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违约金。</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28"/>
          <w:szCs w:val="28"/>
          <w:highlight w:val="none"/>
          <w:shd w:val="clear" w:fill="auto"/>
          <w:lang w:val="en-US" w:eastAsia="zh-CN" w:bidi="ar"/>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3）电子版竣工图的编制，以甲方提供的电子版施工图为基础。乙方在移交竣工档案时，应一并移交甲方提供的电子版施工图。电子版施工图和电子版竣工图的知识产权归属甲方所有，非经甲方许可，乙方不得以任何方式复制、备份、转让和利用。否则，由此引起的任何纠纷和责任由乙方承担。</w:t>
      </w:r>
    </w:p>
    <w:p>
      <w:pPr>
        <w:widowControl w:val="0"/>
        <w:pBdr>
          <w:top w:val="none" w:color="auto" w:sz="0" w:space="0"/>
          <w:left w:val="none" w:color="auto" w:sz="0" w:space="0"/>
          <w:bottom w:val="none" w:color="auto" w:sz="0" w:space="0"/>
          <w:right w:val="none" w:color="auto" w:sz="0" w:space="0"/>
        </w:pBd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bidi="ar"/>
          <w14:textFill>
            <w14:solidFill>
              <w14:schemeClr w14:val="tx1"/>
            </w14:solidFill>
          </w14:textFill>
        </w:rPr>
        <w:t>9.7</w:t>
      </w:r>
      <w:r>
        <w:rPr>
          <w:rFonts w:hint="eastAsia" w:ascii="仿宋_GB2312" w:hAnsi="仿宋_GB2312" w:eastAsia="仿宋_GB2312" w:cs="仿宋_GB2312"/>
          <w:color w:val="000000" w:themeColor="text1"/>
          <w:sz w:val="28"/>
          <w:szCs w:val="28"/>
          <w:highlight w:val="none"/>
          <w:lang w:bidi="ar"/>
          <w14:textFill>
            <w14:solidFill>
              <w14:schemeClr w14:val="tx1"/>
            </w14:solidFill>
          </w14:textFill>
        </w:rPr>
        <w:t>本合同竣工验收单位为</w:t>
      </w:r>
      <w:r>
        <w:rPr>
          <w:rFonts w:hint="eastAsia" w:ascii="仿宋_GB2312" w:hAnsi="仿宋_GB2312" w:eastAsia="仿宋_GB2312" w:cs="仿宋_GB2312"/>
          <w:color w:val="000000" w:themeColor="text1"/>
          <w:sz w:val="28"/>
          <w:szCs w:val="28"/>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bidi="ar"/>
          <w14:textFill>
            <w14:solidFill>
              <w14:schemeClr w14:val="tx1"/>
            </w14:solidFill>
          </w14:textFill>
        </w:rPr>
        <w:t>广州市净水有限公司项目对应分公司</w:t>
      </w:r>
      <w:r>
        <w:rPr>
          <w:rFonts w:hint="eastAsia" w:ascii="仿宋_GB2312" w:hAnsi="仿宋_GB2312" w:eastAsia="仿宋_GB2312" w:cs="仿宋_GB2312"/>
          <w:color w:val="000000" w:themeColor="text1"/>
          <w:sz w:val="28"/>
          <w:szCs w:val="28"/>
          <w:highlight w:val="none"/>
          <w:u w:val="single"/>
          <w:lang w:val="en-US" w:eastAsia="zh-CN" w:bidi="ar"/>
          <w14:textFill>
            <w14:solidFill>
              <w14:schemeClr w14:val="tx1"/>
            </w14:solidFill>
          </w14:textFill>
        </w:rPr>
        <w:t>。</w:t>
      </w:r>
    </w:p>
    <w:p>
      <w:pPr>
        <w:numPr>
          <w:ilvl w:val="0"/>
          <w:numId w:val="1"/>
        </w:numPr>
        <w:spacing w:before="0" w:beforeLines="0" w:afterLines="0" w:line="560" w:lineRule="exact"/>
        <w:ind w:firstLine="560"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bookmarkStart w:id="2" w:name="_Toc518992994"/>
      <w:bookmarkStart w:id="3" w:name="_Toc520190034"/>
      <w:bookmarkStart w:id="4" w:name="_Toc474245220"/>
      <w:r>
        <w:rPr>
          <w:rFonts w:hint="eastAsia" w:ascii="仿宋_GB2312" w:hAnsi="仿宋_GB2312" w:eastAsia="仿宋_GB2312" w:cs="仿宋_GB2312"/>
          <w:b/>
          <w:bCs/>
          <w:color w:val="000000" w:themeColor="text1"/>
          <w:sz w:val="28"/>
          <w:szCs w:val="28"/>
          <w:highlight w:val="none"/>
          <w14:textFill>
            <w14:solidFill>
              <w14:schemeClr w14:val="tx1"/>
            </w14:solidFill>
          </w14:textFill>
        </w:rPr>
        <w:t>质量保证</w:t>
      </w:r>
      <w:bookmarkEnd w:id="2"/>
      <w:bookmarkEnd w:id="3"/>
      <w:bookmarkEnd w:id="4"/>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10.1乙方保证所承包的项目质量符合国家相关标准和规范。对产品质量依据原厂商标准及国家标准从严执行。</w:t>
      </w:r>
    </w:p>
    <w:p>
      <w:pPr>
        <w:autoSpaceDE/>
        <w:autoSpaceDN/>
        <w:adjustRightInd/>
        <w:spacing w:beforeLines="0" w:afterLines="0" w:line="560" w:lineRule="exact"/>
        <w:ind w:left="0" w:firstLine="560" w:firstLineChars="200"/>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10.2本项目质量保修期为</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自验收合格之日起</w:t>
      </w:r>
      <w:r>
        <w:rPr>
          <w:rFonts w:hint="eastAsia" w:ascii="仿宋_GB2312" w:hAnsi="仿宋_GB2312" w:eastAsia="仿宋_GB2312" w:cs="仿宋_GB2312"/>
          <w:color w:val="000000" w:themeColor="text1"/>
          <w:kern w:val="0"/>
          <w:sz w:val="28"/>
          <w:szCs w:val="28"/>
          <w:highlight w:val="none"/>
          <w:u w:val="single"/>
          <w:lang w:val="en-US" w:eastAsia="zh-CN"/>
          <w14:textFill>
            <w14:solidFill>
              <w14:schemeClr w14:val="tx1"/>
            </w14:solidFill>
          </w14:textFill>
        </w:rPr>
        <w:t>壹</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年</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,且不低于法定保修年限。</w:t>
      </w:r>
    </w:p>
    <w:p>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10.3质量保修期期间，本项目的质量问题由乙方免费提供保修服务，乙方应在收到甲方通知后</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 xml:space="preserve"> 2 </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日内派人员到场负责解决及维修，如果乙方不按时到场维修或到场后不能修复的，甲方有权委托他人予以维修，乙方承担由此发生的费用并支付</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合同暂定总价的10%/次</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w:t>
      </w:r>
    </w:p>
    <w:p>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10.4</w:t>
      </w:r>
      <w:r>
        <w:rPr>
          <w:rFonts w:hint="eastAsia" w:ascii="仿宋_GB2312" w:hAnsi="仿宋_GB2312" w:eastAsia="仿宋_GB2312" w:cs="仿宋_GB2312"/>
          <w:color w:val="000000" w:themeColor="text1"/>
          <w:sz w:val="28"/>
          <w:szCs w:val="28"/>
          <w:highlight w:val="none"/>
          <w14:textFill>
            <w14:solidFill>
              <w14:schemeClr w14:val="tx1"/>
            </w14:solidFill>
          </w14:textFill>
        </w:rPr>
        <w:t>约定的保修期限终止后，由乙方提出支付申请，甲方审核后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28日</w:t>
      </w:r>
      <w:r>
        <w:rPr>
          <w:rFonts w:hint="eastAsia" w:ascii="仿宋_GB2312" w:hAnsi="仿宋_GB2312" w:eastAsia="仿宋_GB2312" w:cs="仿宋_GB2312"/>
          <w:color w:val="000000" w:themeColor="text1"/>
          <w:sz w:val="28"/>
          <w:szCs w:val="28"/>
          <w:highlight w:val="none"/>
          <w14:textFill>
            <w14:solidFill>
              <w14:schemeClr w14:val="tx1"/>
            </w14:solidFill>
          </w14:textFill>
        </w:rPr>
        <w:t>内将剩余的质量保证金（无息）返还。</w:t>
      </w:r>
    </w:p>
    <w:p>
      <w:pPr>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bookmarkStart w:id="5" w:name="_Toc107447255"/>
      <w:bookmarkStart w:id="6" w:name="_Toc520190040"/>
      <w:bookmarkStart w:id="7" w:name="_Toc19692"/>
      <w:bookmarkStart w:id="8" w:name="_Toc474245226"/>
      <w:bookmarkStart w:id="9" w:name="_Toc306350467"/>
      <w:bookmarkStart w:id="10" w:name="_Toc107446862"/>
      <w:bookmarkStart w:id="11" w:name="_Toc518993000"/>
      <w:bookmarkStart w:id="12" w:name="_Toc183666531"/>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第十一条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不可抗力</w:t>
      </w:r>
      <w:bookmarkEnd w:id="5"/>
      <w:bookmarkEnd w:id="6"/>
      <w:bookmarkEnd w:id="7"/>
      <w:bookmarkEnd w:id="8"/>
      <w:bookmarkEnd w:id="9"/>
      <w:bookmarkEnd w:id="10"/>
      <w:bookmarkEnd w:id="11"/>
      <w:bookmarkEnd w:id="12"/>
    </w:p>
    <w:p>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bookmarkStart w:id="13" w:name="_Toc12010"/>
      <w:bookmarkStart w:id="14" w:name="_Toc183666532"/>
      <w:bookmarkStart w:id="15" w:name="_Toc306350468"/>
      <w:r>
        <w:rPr>
          <w:rFonts w:hint="eastAsia" w:ascii="仿宋_GB2312" w:hAnsi="仿宋_GB2312" w:eastAsia="仿宋_GB2312" w:cs="仿宋_GB2312"/>
          <w:bCs/>
          <w:color w:val="000000" w:themeColor="text1"/>
          <w:sz w:val="28"/>
          <w:szCs w:val="28"/>
          <w:highlight w:val="none"/>
          <w14:textFill>
            <w14:solidFill>
              <w14:schemeClr w14:val="tx1"/>
            </w14:solidFill>
          </w14:textFill>
        </w:rPr>
        <w:t>11.1任何一方因不可抗力无法全部或部分履行其在本合同项下的义务时，该方有权全部或部分中止履行本合同项下的义务，并不承担违约责任。不可抗力是指合同当事人在签订本合同时不可预见，在合同履行过程中不可避免且不能克服的客观情况，包括：</w:t>
      </w:r>
    </w:p>
    <w:p>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地震、火山爆发、滑坡、暴雨（橙色预警及以上）、台风（黄色预警及以上）、海啸、龙卷风、大面积流行病(如：非典型性肺炎等)或瘟疫；</w:t>
      </w:r>
    </w:p>
    <w:p>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战争行为、入侵、武装冲突或外敌行为、封锁、暴乱、恐怖行为或军事演习；</w:t>
      </w:r>
    </w:p>
    <w:p>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11.2声称受到不可抗力影响的一方，应在发生不可抗力或知道发生不可抗力之后5日内书面通知另一方，详细描述不可抗力的发生情况和对该方履行在本合同项下义务的影响，同时附上此种不可抗力事件及其持续时间的有效证明文件。</w:t>
      </w:r>
    </w:p>
    <w:p>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11.3因不可抗力导致合同无法履行的时间自该不可抗力发生日起连续超过玖拾(90)天，双方应协商决定继续履行本合同的条件或者变更本合同。如果自不可抗力发生后壹佰捌拾(180)天之内双方不能达成一致意见，任何一方有权解除本合同。</w:t>
      </w:r>
    </w:p>
    <w:p>
      <w:pPr>
        <w:spacing w:beforeLines="0" w:afterLines="0" w:line="560" w:lineRule="exact"/>
        <w:ind w:firstLine="560" w:firstLineChars="200"/>
        <w:jc w:val="lef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11.4双方同意采取一切合理的预防措施和及时的补救措施，尽可能减轻不可抗力事件带来的后果。受到不可抗力影响的一方应尽合理的努力减少不可抗力的影响，包括为采取有效的措施支付合理的金额。双方应协商制定并实施补救计划及合理的替代措施以消除不可抗力，并决定为减少不可抗力给每一方带来的损失应采取的合理的手段。但因受到不可抗力影响的一方采取措施不当，未尽合理的努力减少不可抗力的影响，造成损失扩大的，由有责任的一方承担扩大部分的损失。声称不可抗力的一方在不可抗力消除之后应尽快恢复履行本合同项下的义务。</w:t>
      </w:r>
      <w:bookmarkStart w:id="16" w:name="_Toc520190041"/>
      <w:bookmarkStart w:id="17" w:name="_Toc107446864"/>
      <w:bookmarkStart w:id="18" w:name="_Toc107447257"/>
      <w:bookmarkStart w:id="19" w:name="_Toc474245227"/>
      <w:bookmarkStart w:id="20" w:name="_Toc118172294"/>
      <w:bookmarkStart w:id="21" w:name="_Toc518993001"/>
    </w:p>
    <w:p>
      <w:pPr>
        <w:spacing w:beforeLines="0" w:afterLines="0" w:line="560" w:lineRule="exact"/>
        <w:ind w:firstLine="560"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十二条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争议解决</w:t>
      </w:r>
      <w:bookmarkEnd w:id="13"/>
      <w:bookmarkEnd w:id="14"/>
      <w:bookmarkEnd w:id="15"/>
      <w:bookmarkEnd w:id="16"/>
      <w:bookmarkEnd w:id="17"/>
      <w:bookmarkEnd w:id="18"/>
      <w:bookmarkEnd w:id="19"/>
      <w:bookmarkEnd w:id="20"/>
      <w:bookmarkEnd w:id="21"/>
    </w:p>
    <w:p>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bookmarkStart w:id="22" w:name="_Toc183666533"/>
      <w:bookmarkStart w:id="23" w:name="_Toc306350469"/>
      <w:r>
        <w:rPr>
          <w:rFonts w:hint="eastAsia" w:ascii="仿宋_GB2312" w:hAnsi="仿宋_GB2312" w:eastAsia="仿宋_GB2312" w:cs="仿宋_GB2312"/>
          <w:bCs/>
          <w:color w:val="000000" w:themeColor="text1"/>
          <w:sz w:val="28"/>
          <w:szCs w:val="28"/>
          <w:highlight w:val="none"/>
          <w14:textFill>
            <w14:solidFill>
              <w14:schemeClr w14:val="tx1"/>
            </w14:solidFill>
          </w14:textFill>
        </w:rPr>
        <w:t>12.1甲乙双方应通过友好协商，解决在执行本合同所发生的或与本合同有关的一切争议。如协商不能解决争议，任何一方均可依法向甲方所在地人民法院提起诉讼。</w:t>
      </w:r>
    </w:p>
    <w:p>
      <w:pPr>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 xml:space="preserve">12.2 </w:t>
      </w:r>
      <w:r>
        <w:rPr>
          <w:rFonts w:hint="eastAsia" w:ascii="仿宋_GB2312" w:hAnsi="仿宋_GB2312" w:eastAsia="仿宋_GB2312" w:cs="仿宋_GB2312"/>
          <w:color w:val="000000" w:themeColor="text1"/>
          <w:sz w:val="28"/>
          <w:szCs w:val="28"/>
          <w:highlight w:val="none"/>
          <w14:textFill>
            <w14:solidFill>
              <w14:schemeClr w14:val="tx1"/>
            </w14:solidFill>
          </w14:textFill>
        </w:rPr>
        <w:t>在甲方同意的情况下，除有争端之外的合同其它部分在争端解决前应继续执行。</w:t>
      </w:r>
      <w:bookmarkEnd w:id="22"/>
      <w:bookmarkEnd w:id="23"/>
      <w:bookmarkStart w:id="24" w:name="_Toc518993003"/>
      <w:bookmarkStart w:id="25" w:name="_Toc474245229"/>
      <w:bookmarkStart w:id="26" w:name="_Toc520190043"/>
    </w:p>
    <w:p>
      <w:pPr>
        <w:spacing w:beforeLines="0" w:afterLines="0" w:line="560" w:lineRule="exact"/>
        <w:ind w:firstLine="560"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第十三条</w:t>
      </w:r>
      <w:bookmarkStart w:id="27" w:name="_Toc107446871"/>
      <w:bookmarkStart w:id="28" w:name="_Toc107447264"/>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合同生效及其他</w:t>
      </w:r>
      <w:bookmarkEnd w:id="24"/>
      <w:bookmarkEnd w:id="25"/>
      <w:bookmarkEnd w:id="26"/>
      <w:bookmarkEnd w:id="27"/>
      <w:bookmarkEnd w:id="28"/>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13.1本合同经双方法定代表人或授权代表签字并加盖双方公章后生效.</w:t>
      </w:r>
    </w:p>
    <w:p>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13.2本合同正文一式</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肆</w:t>
      </w:r>
      <w:r>
        <w:rPr>
          <w:rFonts w:hint="eastAsia" w:ascii="仿宋_GB2312" w:hAnsi="仿宋_GB2312" w:eastAsia="仿宋_GB2312" w:cs="仿宋_GB2312"/>
          <w:color w:val="000000" w:themeColor="text1"/>
          <w:sz w:val="28"/>
          <w:szCs w:val="28"/>
          <w:highlight w:val="none"/>
          <w14:textFill>
            <w14:solidFill>
              <w14:schemeClr w14:val="tx1"/>
            </w14:solidFill>
          </w14:textFill>
        </w:rPr>
        <w:t>份，其中：甲方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贰</w:t>
      </w:r>
      <w:r>
        <w:rPr>
          <w:rFonts w:hint="eastAsia" w:ascii="仿宋_GB2312" w:hAnsi="仿宋_GB2312" w:eastAsia="仿宋_GB2312" w:cs="仿宋_GB2312"/>
          <w:color w:val="000000" w:themeColor="text1"/>
          <w:sz w:val="28"/>
          <w:szCs w:val="28"/>
          <w:highlight w:val="none"/>
          <w14:textFill>
            <w14:solidFill>
              <w14:schemeClr w14:val="tx1"/>
            </w14:solidFill>
          </w14:textFill>
        </w:rPr>
        <w:t>份，乙方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贰</w:t>
      </w:r>
      <w:r>
        <w:rPr>
          <w:rFonts w:hint="eastAsia" w:ascii="仿宋_GB2312" w:hAnsi="仿宋_GB2312" w:eastAsia="仿宋_GB2312" w:cs="仿宋_GB2312"/>
          <w:color w:val="000000" w:themeColor="text1"/>
          <w:sz w:val="28"/>
          <w:szCs w:val="28"/>
          <w:highlight w:val="none"/>
          <w14:textFill>
            <w14:solidFill>
              <w14:schemeClr w14:val="tx1"/>
            </w14:solidFill>
          </w14:textFill>
        </w:rPr>
        <w:t>份。</w:t>
      </w:r>
    </w:p>
    <w:p>
      <w:pPr>
        <w:spacing w:beforeLines="0" w:afterLines="0" w:line="560" w:lineRule="exact"/>
        <w:ind w:firstLine="560" w:firstLineChars="200"/>
        <w:rPr>
          <w:rFonts w:hint="default" w:ascii="仿宋_GB2312" w:hAnsi="仿宋_GB2312" w:eastAsia="仿宋_GB2312" w:cs="仿宋_GB2312"/>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13.3补充条款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p>
    <w:p>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spacing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附件：1.中标通知书</w:t>
      </w:r>
    </w:p>
    <w:p>
      <w:pPr>
        <w:numPr>
          <w:ilvl w:val="-1"/>
          <w:numId w:val="0"/>
        </w:numPr>
        <w:spacing w:line="560" w:lineRule="exact"/>
        <w:ind w:firstLine="1400" w:firstLineChars="5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廉洁协议</w:t>
      </w:r>
    </w:p>
    <w:p>
      <w:pPr>
        <w:keepNext w:val="0"/>
        <w:keepLines w:val="0"/>
        <w:pageBreakBefore w:val="0"/>
        <w:kinsoku/>
        <w:wordWrap/>
        <w:overflowPunct/>
        <w:topLinePunct w:val="0"/>
        <w:autoSpaceDE/>
        <w:autoSpaceDN/>
        <w:bidi w:val="0"/>
        <w:spacing w:line="560" w:lineRule="exact"/>
        <w:ind w:firstLine="1400" w:firstLineChars="5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营运场所施工安全及消防安全协议书</w:t>
      </w:r>
    </w:p>
    <w:p>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4</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.工程量清单/工程量清单报价</w:t>
      </w:r>
    </w:p>
    <w:p>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5</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.项目投入人员架构表 </w:t>
      </w:r>
    </w:p>
    <w:p>
      <w:pPr>
        <w:spacing w:line="560" w:lineRule="exact"/>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履约保函（模板）</w:t>
      </w:r>
    </w:p>
    <w:p>
      <w:pPr>
        <w:spacing w:line="560" w:lineRule="exact"/>
        <w:ind w:left="1676" w:leftChars="665" w:hanging="280" w:hangingChars="100"/>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施工项目危险作业安全作业物资及应急物资清单（承包方/乙方提供）</w:t>
      </w:r>
    </w:p>
    <w:p>
      <w:pPr>
        <w:pStyle w:val="24"/>
        <w:spacing w:line="560" w:lineRule="exact"/>
        <w:ind w:left="1756" w:leftChars="703" w:hanging="280" w:hangingChars="100"/>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8.</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营运项目承包单位日常履约考评参照表（安全）、营运项目承包单位综合履约考评表（安全）</w:t>
      </w:r>
    </w:p>
    <w:p>
      <w:pPr>
        <w:pStyle w:val="24"/>
        <w:spacing w:line="560" w:lineRule="exact"/>
        <w:ind w:firstLine="1400" w:firstLineChars="500"/>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9.预付款保函（模板）</w:t>
      </w:r>
    </w:p>
    <w:p>
      <w:pPr>
        <w:spacing w:line="560" w:lineRule="exact"/>
        <w:ind w:firstLine="1400" w:firstLineChars="5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工人工资结清证明（模板）</w:t>
      </w:r>
    </w:p>
    <w:p>
      <w:pPr>
        <w:spacing w:line="560" w:lineRule="exact"/>
        <w:ind w:firstLine="1400" w:firstLineChars="5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highlight w:val="none"/>
          <w14:textFill>
            <w14:solidFill>
              <w14:schemeClr w14:val="tx1"/>
            </w14:solidFill>
          </w14:textFill>
        </w:rPr>
        <w:t>不履约行为的情形及相应被暂停参与投标活动的处理标准</w:t>
      </w:r>
    </w:p>
    <w:p>
      <w:pPr>
        <w:spacing w:line="560" w:lineRule="exact"/>
        <w:ind w:firstLine="1400" w:firstLineChars="500"/>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12.技术需求书</w:t>
      </w:r>
    </w:p>
    <w:p>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甲方：广州市净水有限公司（盖章）</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乙方：（盖章）</w:t>
      </w:r>
    </w:p>
    <w:p>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法定代表或</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法定代表人或</w:t>
      </w:r>
    </w:p>
    <w:p>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授权代理人：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授权代理人：</w:t>
      </w:r>
    </w:p>
    <w:p>
      <w:pPr>
        <w:spacing w:line="560" w:lineRule="exact"/>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地址：广州市天河区临江大道501号</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地址：</w:t>
      </w:r>
    </w:p>
    <w:p>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经办人：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经办人：</w:t>
      </w:r>
    </w:p>
    <w:p>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pPr>
        <w:spacing w:line="560" w:lineRule="exact"/>
        <w:ind w:left="6360" w:hanging="7420" w:hangingChars="265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传真：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传真：</w:t>
      </w:r>
    </w:p>
    <w:p>
      <w:pPr>
        <w:spacing w:line="560" w:lineRule="exact"/>
        <w:ind w:left="6360" w:hanging="7420" w:hangingChars="265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签署日期：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签署日期：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p>
    <w:p>
      <w:pPr>
        <w:pStyle w:val="24"/>
        <w:spacing w:beforeLines="0" w:afterLines="0"/>
        <w:ind w:left="0" w:leftChars="0" w:firstLine="720" w:firstLineChars="300"/>
        <w:rPr>
          <w:rFonts w:hint="default" w:ascii="宋体" w:hAnsi="宋体" w:eastAsia="宋体" w:cs="宋体"/>
          <w:color w:val="auto"/>
          <w:sz w:val="24"/>
          <w:szCs w:val="22"/>
          <w:lang w:val="en-US" w:eastAsia="zh-CN"/>
        </w:rPr>
      </w:pPr>
      <w:bookmarkStart w:id="29" w:name="_Toc389815339"/>
      <w:bookmarkStart w:id="30" w:name="_Toc389815031"/>
      <w:bookmarkStart w:id="31" w:name="_Toc387080836"/>
      <w:r>
        <w:rPr>
          <w:rFonts w:hint="eastAsia" w:ascii="宋体" w:hAnsi="宋体" w:cs="宋体"/>
          <w:color w:val="auto"/>
          <w:sz w:val="24"/>
          <w:szCs w:val="22"/>
          <w:lang w:val="en-US" w:eastAsia="zh-CN"/>
        </w:rPr>
        <w:t>以下无正文</w:t>
      </w:r>
    </w:p>
    <w:p>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bookmarkStart w:id="32" w:name="_GoBack"/>
      <w:bookmarkEnd w:id="32"/>
      <w:r>
        <w:rPr>
          <w:rFonts w:hint="eastAsia" w:ascii="黑体" w:hAnsi="黑体" w:eastAsia="黑体" w:cs="黑体"/>
          <w:b w:val="0"/>
          <w:bCs w:val="0"/>
          <w:color w:val="000000" w:themeColor="text1"/>
          <w:sz w:val="32"/>
          <w:szCs w:val="32"/>
          <w:highlight w:val="none"/>
          <w14:textFill>
            <w14:solidFill>
              <w14:schemeClr w14:val="tx1"/>
            </w14:solidFill>
          </w14:textFill>
        </w:rPr>
        <w:t>附件2</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t>廉洁协议</w:t>
      </w:r>
    </w:p>
    <w:p>
      <w:pPr>
        <w:keepNext w:val="0"/>
        <w:keepLines w:val="0"/>
        <w:pageBreakBefore w:val="0"/>
        <w:kinsoku/>
        <w:wordWrap/>
        <w:overflowPunct/>
        <w:topLinePunct w:val="0"/>
        <w:autoSpaceDE/>
        <w:autoSpaceDN/>
        <w:bidi w:val="0"/>
        <w:adjustRightInd/>
        <w:snapToGrid/>
        <w:spacing w:line="560" w:lineRule="exact"/>
        <w:ind w:firstLine="630" w:firstLineChars="225"/>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30" w:firstLineChars="225"/>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为促进双方诚信经营、廉洁从业，防范商业贿赂，保护国家、集体和当事人的合法权益，根据国家有关法律法规和广东省、广州市廉政建设的规定，</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广州市净水有限公司</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(以下称甲方)与</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(以下称乙方)，特此订立本协议共同遵照执行。</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第一条 甲乙双方的权利和义务</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（一）甲乙双方严格遵守国家关于市场准入、项目招标投标、市场经营活动等有关法律、法规相关政策及廉政建设的各项规定。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（二）严格执行</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u w:val="single"/>
          <w:lang w:eastAsia="zh-CN"/>
          <w14:textFill>
            <w14:solidFill>
              <w14:schemeClr w14:val="tx1"/>
            </w14:solidFill>
          </w14:textFill>
        </w:rPr>
        <w:t>广州净水公司2025年电气及自控系统等设备改造项目（</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u w:val="single"/>
          <w:lang w:eastAsia="zh-CN"/>
          <w14:textFill>
            <w14:solidFill>
              <w14:schemeClr w14:val="tx1"/>
            </w14:solidFill>
          </w14:textFill>
        </w:rPr>
        <w:t>设备）（穗净水合[      ]    号）</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合同（以下简称：主合同），自觉履行合同约定的相关义务。</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（三）在业务活动中坚持公开、公正、诚信、透明的原则，不得损害国家、集体利益。</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（四）建立健全廉洁从业制度，开展廉洁教育，公布举报电话，监督并认真查处不廉洁及违法违纪行为。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（五）发现对方在业务活动中有不廉洁行为，应及时提醒对方纠正。情节严重的，应向其有关监督部门</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检举。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第二条甲方的义务</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（一）甲方及其工作人员不得索要或接受乙方的礼金、有价证券和贵重物品，不得在乙方报销任何应由甲方或个人支付的费用等。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二）甲方工作人员不得参加乙方安排的可能影响相关业务公开、公正、公平性的宴请和娱乐活动；不得参与任何形式的赌博，并通过赌博方式收受乙方财物；不得接受乙方提供的通讯工具、交通工具（合同约定除外）和高档办公用品等。</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（三）甲方及其工作人员不得要求或者接受乙方为其住房装修、婚丧嫁娶活动、配偶子女工作安排以及出国出境、旅游等提供方便等。</w:t>
      </w:r>
    </w:p>
    <w:p>
      <w:pPr>
        <w:keepNext w:val="0"/>
        <w:keepLines w:val="0"/>
        <w:pageBreakBefore w:val="0"/>
        <w:kinsoku/>
        <w:wordWrap/>
        <w:overflowPunct/>
        <w:topLinePunct w:val="0"/>
        <w:autoSpaceDE/>
        <w:autoSpaceDN/>
        <w:bidi w:val="0"/>
        <w:adjustRightInd/>
        <w:snapToGrid/>
        <w:spacing w:line="560" w:lineRule="exact"/>
        <w:ind w:left="14" w:leftChars="7"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（四）甲方工作人员不得在乙方或与乙方有股权关联的企业兼职，不得向乙方介绍家属或者亲友从事与甲方业务有关的经济活动。</w:t>
      </w:r>
    </w:p>
    <w:p>
      <w:pPr>
        <w:keepNext w:val="0"/>
        <w:keepLines w:val="0"/>
        <w:pageBreakBefore w:val="0"/>
        <w:kinsoku/>
        <w:wordWrap/>
        <w:overflowPunct/>
        <w:topLinePunct w:val="0"/>
        <w:autoSpaceDE/>
        <w:autoSpaceDN/>
        <w:bidi w:val="0"/>
        <w:adjustRightInd/>
        <w:snapToGrid/>
        <w:spacing w:line="560" w:lineRule="exact"/>
        <w:ind w:left="14" w:leftChars="7"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五）甲方工作人员不得以明显低于市场的价格向乙方购买房屋、汽车等物品；不得以明显高于市场的价格向乙方出售房屋、汽车等物品；不得使用乙方提供的与工作无关的房屋、汽车等物品；不得以其他交易形式非法收受请托人财物。</w:t>
      </w:r>
    </w:p>
    <w:p>
      <w:pPr>
        <w:keepNext w:val="0"/>
        <w:keepLines w:val="0"/>
        <w:pageBreakBefore w:val="0"/>
        <w:kinsoku/>
        <w:wordWrap/>
        <w:overflowPunct/>
        <w:topLinePunct w:val="0"/>
        <w:autoSpaceDE/>
        <w:autoSpaceDN/>
        <w:bidi w:val="0"/>
        <w:adjustRightInd/>
        <w:snapToGrid/>
        <w:spacing w:line="560" w:lineRule="exact"/>
        <w:ind w:left="14" w:leftChars="7"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（六）甲方工作人员不得利用职务之便收受乙方以回扣、手续费、加班费、咨询费、劳务费、协调费、辛苦费等各种名义给予或赠送的钱物。</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（七）甲方工作人员不得接受乙方给予或赠送的干股或红利。</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（八）不得存在其他违反廉洁规定的行为。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第三条乙方的义务</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（一）乙方不得以任何理由向甲方及其工作人员行贿或馈赠礼金、有价证券、贵重礼品。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（二)乙方不得以任何名义为甲方及其工作人员报销应由甲方单位或个人支付的任何费用。</w:t>
      </w:r>
    </w:p>
    <w:p>
      <w:pPr>
        <w:keepNext w:val="0"/>
        <w:keepLines w:val="0"/>
        <w:pageBreakBefore w:val="0"/>
        <w:kinsoku/>
        <w:wordWrap/>
        <w:overflowPunct/>
        <w:topLinePunct w:val="0"/>
        <w:autoSpaceDE/>
        <w:autoSpaceDN/>
        <w:bidi w:val="0"/>
        <w:adjustRightInd/>
        <w:snapToGrid/>
        <w:spacing w:line="560" w:lineRule="exact"/>
        <w:ind w:left="25" w:leftChars="12"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（三）乙方不得以任何理由安排甲方工作人员参加可能影响相关业务公开、公正、公平性的宴请及娱乐活动。</w:t>
      </w:r>
    </w:p>
    <w:p>
      <w:pPr>
        <w:pStyle w:val="15"/>
        <w:keepNext w:val="0"/>
        <w:keepLines w:val="0"/>
        <w:pageBreakBefore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（四）乙方不得为甲方单位和个人购置或提供通讯工具和高档办公用品等物品，也不得为甲方提供与工作无关的房屋、汽车等。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（五）乙方不得擅自与甲方工作人员就</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主</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合同中的质量、数量、价格、工程量、验收等条款进行私下商谈或者达成默契。</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（六）乙方不得以回扣、手续费、加班费、咨询费、劳务费、协调费、辛苦费等各种名义向甲方工作人员给予或赠送钱物。</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（七）乙方不得向甲方工作人员提供干股或红利。</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（八）不得存在其他违反廉洁规定的行为。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第四条违约责任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（一）甲方及其工作人员违反本协议第一、二条。甲方按管理权限，对相关责任人依据有关规定给予处理；涉嫌犯罪的，移交司法机关追究刑事责任；给乙方单位造成经济损失的，应予以赔偿。</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甲方举报投诉联系部门：广州市净水有限公司</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纪检室</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 xml:space="preserve"> 020-38890265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w:t>
      </w:r>
    </w:p>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（二）乙方及其工作人员</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存在</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违反本协议第一、三条规定、或在甲方招标、询价等过程中违反法律法规中的廉洁规定</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的行为</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无论该行为是否与主合同有关，</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甲方</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均</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有权根据具体情节和造成的后果，对乙方采取以下处理</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方式</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w:t>
      </w:r>
    </w:p>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1、扣除主合同的全部履约保证金；</w:t>
      </w:r>
    </w:p>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2、解除</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主合同</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w:t>
      </w:r>
    </w:p>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3、追究乙方其他违约责任；</w:t>
      </w:r>
    </w:p>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4、根据甲方的有关规章制度，在一定时间内暂停乙方参与甲方及下属单位所有项目的交易资格；</w:t>
      </w:r>
    </w:p>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5、根据甲方的有关规章制度，将乙方清退出甲方相关企业库；</w:t>
      </w:r>
    </w:p>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6、根据甲方上级单位、行政主管部门的意见、决定执行；</w:t>
      </w:r>
    </w:p>
    <w:p>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7、按规定向有关行政监督部门、乙方业务管理部门进行投诉、报告。</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乙方无条件接受甲方的处理决定并承担给甲方造成的损失，全额返还通过不正当手段获取的非法所得，并承担相应的法律责任。</w:t>
      </w:r>
    </w:p>
    <w:p>
      <w:pPr>
        <w:keepNext w:val="0"/>
        <w:keepLines w:val="0"/>
        <w:pageBreakBefore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b w:val="0"/>
          <w:bCs/>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第五条</w:t>
      </w:r>
      <w:r>
        <w:rPr>
          <w:rFonts w:hint="eastAsia" w:ascii="仿宋_GB2312" w:hAnsi="仿宋_GB2312" w:eastAsia="仿宋_GB2312" w:cs="仿宋_GB2312"/>
          <w:b w:val="0"/>
          <w:bCs/>
          <w:color w:val="000000" w:themeColor="text1"/>
          <w:kern w:val="0"/>
          <w:sz w:val="28"/>
          <w:szCs w:val="28"/>
          <w:highlight w:val="none"/>
          <w14:textFill>
            <w14:solidFill>
              <w14:schemeClr w14:val="tx1"/>
            </w14:solidFill>
          </w14:textFill>
        </w:rPr>
        <w:t xml:space="preserve">本协议执行情况，接受有管辖权的纪检、监察部门的监督，双方应予以配合检查调查。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第六条本协议作为</w:t>
      </w:r>
      <w:r>
        <w:rPr>
          <w:rFonts w:hint="eastAsia" w:ascii="仿宋_GB2312" w:hAnsi="仿宋_GB2312" w:eastAsia="仿宋_GB2312" w:cs="仿宋_GB2312"/>
          <w:b w:val="0"/>
          <w:bCs/>
          <w:color w:val="000000" w:themeColor="text1"/>
          <w:sz w:val="28"/>
          <w:szCs w:val="28"/>
          <w:highlight w:val="none"/>
          <w:u w:val="single"/>
          <w:lang w:eastAsia="zh-CN"/>
          <w14:textFill>
            <w14:solidFill>
              <w14:schemeClr w14:val="tx1"/>
            </w14:solidFill>
          </w14:textFill>
        </w:rPr>
        <w:t>广州净水公司2025年电气及自控系统等设备改造项目（</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u w:val="single"/>
          <w:lang w:eastAsia="zh-CN"/>
          <w14:textFill>
            <w14:solidFill>
              <w14:schemeClr w14:val="tx1"/>
            </w14:solidFill>
          </w14:textFill>
        </w:rPr>
        <w:t>设备）（</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穗净水合〔    〕   号</w:t>
      </w:r>
      <w:r>
        <w:rPr>
          <w:rFonts w:hint="eastAsia" w:ascii="仿宋_GB2312" w:hAnsi="仿宋_GB2312" w:eastAsia="仿宋_GB2312" w:cs="仿宋_GB2312"/>
          <w:b w:val="0"/>
          <w:bCs/>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合同的附件，并具有同等的法律效力，本协议自双方签字盖章之日起生效，与主合同同时终止。</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第七条本协议一式肆份，甲方</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贰</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份，乙方贰份。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甲方（盖章）：                     乙方（盖章）：</w:t>
      </w:r>
    </w:p>
    <w:p>
      <w:pPr>
        <w:pStyle w:val="54"/>
        <w:keepNext w:val="0"/>
        <w:keepLines w:val="0"/>
        <w:pageBreakBefore w:val="0"/>
        <w:tabs>
          <w:tab w:val="left" w:pos="5100"/>
        </w:tabs>
        <w:kinsoku/>
        <w:wordWrap/>
        <w:overflowPunct/>
        <w:topLinePunct w:val="0"/>
        <w:autoSpaceDE/>
        <w:autoSpaceDN/>
        <w:bidi w:val="0"/>
        <w:adjustRightInd/>
        <w:snapToGrid/>
        <w:spacing w:line="560" w:lineRule="exact"/>
        <w:ind w:left="7200" w:firstLine="0" w:firstLineChars="0"/>
        <w:jc w:val="left"/>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p>
    <w:p>
      <w:pPr>
        <w:keepNext w:val="0"/>
        <w:keepLines w:val="0"/>
        <w:pageBreakBefore w:val="0"/>
        <w:tabs>
          <w:tab w:val="left" w:pos="5100"/>
        </w:tabs>
        <w:kinsoku/>
        <w:wordWrap/>
        <w:overflowPunct/>
        <w:topLinePunct w:val="0"/>
        <w:autoSpaceDE/>
        <w:autoSpaceDN/>
        <w:bidi w:val="0"/>
        <w:adjustRightInd/>
        <w:snapToGrid/>
        <w:spacing w:line="560" w:lineRule="exact"/>
        <w:ind w:left="7200" w:hanging="8400" w:hangingChars="30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签约代表：                  签约代表：</w:t>
      </w:r>
    </w:p>
    <w:p>
      <w:pPr>
        <w:keepNext w:val="0"/>
        <w:keepLines w:val="0"/>
        <w:pageBreakBefore w:val="0"/>
        <w:tabs>
          <w:tab w:val="left" w:pos="4170"/>
        </w:tabs>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日期:    年  月  日</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ab/>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日期：  年  月  日</w:t>
      </w:r>
    </w:p>
    <w:p>
      <w:pPr>
        <w:pStyle w:val="24"/>
        <w:rPr>
          <w:rFonts w:hint="eastAsia" w:ascii="宋体" w:hAnsi="宋体" w:eastAsia="宋体" w:cs="宋体"/>
          <w:b w:val="0"/>
          <w:bCs/>
          <w:color w:val="000000" w:themeColor="text1"/>
          <w:sz w:val="24"/>
          <w:szCs w:val="24"/>
          <w:highlight w:val="none"/>
          <w14:textFill>
            <w14:solidFill>
              <w14:schemeClr w14:val="tx1"/>
            </w14:solidFill>
          </w14:textFill>
        </w:rPr>
      </w:pPr>
    </w:p>
    <w:p>
      <w:pPr>
        <w:pStyle w:val="24"/>
        <w:rPr>
          <w:rFonts w:hint="eastAsia" w:ascii="宋体" w:hAnsi="宋体" w:eastAsia="宋体" w:cs="宋体"/>
          <w:b w:val="0"/>
          <w:bCs/>
          <w:color w:val="000000" w:themeColor="text1"/>
          <w:sz w:val="24"/>
          <w:szCs w:val="24"/>
          <w:highlight w:val="none"/>
          <w14:textFill>
            <w14:solidFill>
              <w14:schemeClr w14:val="tx1"/>
            </w14:solidFill>
          </w14:textFill>
        </w:rPr>
      </w:pPr>
    </w:p>
    <w:p>
      <w:pPr>
        <w:pStyle w:val="24"/>
        <w:rPr>
          <w:rFonts w:hint="eastAsia" w:ascii="宋体" w:hAnsi="宋体" w:eastAsia="宋体" w:cs="宋体"/>
          <w:b w:val="0"/>
          <w:bCs/>
          <w:color w:val="000000" w:themeColor="text1"/>
          <w:sz w:val="24"/>
          <w:szCs w:val="24"/>
          <w:highlight w:val="none"/>
          <w14:textFill>
            <w14:solidFill>
              <w14:schemeClr w14:val="tx1"/>
            </w14:solidFill>
          </w14:textFill>
        </w:rPr>
      </w:pPr>
    </w:p>
    <w:p>
      <w:pPr>
        <w:spacing w:line="440" w:lineRule="exact"/>
        <w:jc w:val="both"/>
        <w:rPr>
          <w:rFonts w:hint="eastAsia" w:ascii="黑体" w:hAnsi="黑体" w:eastAsia="黑体" w:cs="黑体"/>
          <w:b w:val="0"/>
          <w:bCs/>
          <w:color w:val="000000" w:themeColor="text1"/>
          <w:sz w:val="32"/>
          <w:szCs w:val="32"/>
          <w:highlight w:val="none"/>
          <w14:textFill>
            <w14:solidFill>
              <w14:schemeClr w14:val="tx1"/>
            </w14:solidFill>
          </w14:textFill>
        </w:rPr>
      </w:pPr>
    </w:p>
    <w:p>
      <w:pPr>
        <w:spacing w:line="440" w:lineRule="exact"/>
        <w:jc w:val="both"/>
        <w:rPr>
          <w:rFonts w:hint="eastAsia" w:ascii="宋体" w:hAnsi="宋体" w:cs="宋体"/>
          <w:b/>
          <w:bCs/>
          <w:color w:val="000000" w:themeColor="text1"/>
          <w:sz w:val="24"/>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附件</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3</w:t>
      </w:r>
      <w:bookmarkEnd w:id="29"/>
      <w:bookmarkEnd w:id="30"/>
      <w:bookmarkEnd w:id="31"/>
    </w:p>
    <w:p>
      <w:pPr>
        <w:keepNext w:val="0"/>
        <w:keepLines w:val="0"/>
        <w:pageBreakBefore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营运场所施工安全及消防安全协议书</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4"/>
          <w:highlight w:val="none"/>
          <w14:textFill>
            <w14:solidFill>
              <w14:schemeClr w14:val="tx1"/>
            </w14:solidFill>
          </w14:textFill>
        </w:rPr>
      </w:pP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广州市净水有限公司</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 xml:space="preserve">乙方： </w:t>
      </w:r>
    </w:p>
    <w:p>
      <w:pPr>
        <w:keepNext w:val="0"/>
        <w:keepLines w:val="0"/>
        <w:pageBreakBefore w:val="0"/>
        <w:kinsoku/>
        <w:wordWrap/>
        <w:overflowPunct/>
        <w:topLinePunct w:val="0"/>
        <w:autoSpaceDE/>
        <w:autoSpaceDN/>
        <w:bidi w:val="0"/>
        <w:spacing w:line="500" w:lineRule="exac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根据《中华人民共和国安全生产法》、</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《中华人民共和国消防法》、</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《生产安全事故报告和调查处理条例》</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、《建设工程安全生产管理条例》</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等国家及地方有关安全生产</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法律法规，甲乙双方就安全</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及消防安全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事宜，</w:t>
      </w:r>
      <w:r>
        <w:rPr>
          <w:rFonts w:hint="eastAsia" w:ascii="仿宋_GB2312" w:hAnsi="仿宋_GB2312" w:eastAsia="仿宋_GB2312" w:cs="仿宋_GB2312"/>
          <w:color w:val="000000" w:themeColor="text1"/>
          <w:sz w:val="28"/>
          <w:szCs w:val="28"/>
          <w:highlight w:val="none"/>
          <w14:textFill>
            <w14:solidFill>
              <w14:schemeClr w14:val="tx1"/>
            </w14:solidFill>
          </w14:textFill>
        </w:rPr>
        <w:t>经双方友好协商，达成如下协议</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一、总则</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本协议是合同</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广州净水公司2025年电气及自控系统等设备改造项目（</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设备）</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（穗净水合〔    〕   号） </w:t>
      </w:r>
      <w:r>
        <w:rPr>
          <w:rFonts w:hint="eastAsia" w:ascii="仿宋_GB2312" w:hAnsi="仿宋_GB2312" w:eastAsia="仿宋_GB2312" w:cs="仿宋_GB2312"/>
          <w:color w:val="000000" w:themeColor="text1"/>
          <w:sz w:val="28"/>
          <w:szCs w:val="28"/>
          <w:highlight w:val="none"/>
          <w14:textFill>
            <w14:solidFill>
              <w14:schemeClr w14:val="tx1"/>
            </w14:solidFill>
          </w14:textFill>
        </w:rPr>
        <w:t>的组成部分。</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乙双方应遵守国家、省、市有关安全生产</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消防安全的法律、法规、规章，履行</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安全生产、</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消防安全职责，保障人员生命、财产安全。</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乙双方应当逐级落实</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安全生产、</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消防安全责任制，明确逐级岗位人员的安全</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生产、消防安全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职责。</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本协议是对在满足法律法规规定的双方安全及消防安全责任的基础上的补充事项。</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（五）当同一个场所、池体内，甲方安排两个或以上的承包单位同时施工的，由甲方组织各承包单位签订《营运场所交叉作业安全及消防安全协议书》。</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乙方的单位及人员资质（</w:t>
      </w:r>
      <w:r>
        <w:rPr>
          <w:rFonts w:hint="eastAsia" w:ascii="仿宋_GB2312" w:hAnsi="仿宋_GB2312" w:eastAsia="仿宋_GB2312" w:cs="仿宋_GB2312"/>
          <w:b/>
          <w:bCs w:val="0"/>
          <w:color w:val="000000" w:themeColor="text1"/>
          <w:kern w:val="0"/>
          <w:sz w:val="28"/>
          <w:szCs w:val="28"/>
          <w:highlight w:val="none"/>
          <w:lang w:val="en-US" w:eastAsia="zh-CN"/>
          <w14:textFill>
            <w14:solidFill>
              <w14:schemeClr w14:val="tx1"/>
            </w14:solidFill>
          </w14:textFill>
        </w:rPr>
        <w:t>单项选择并填写</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sym w:font="Wingdings 2" w:char="00A3"/>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1.详见合同第</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条。</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sym w:font="Wingdings 2" w:char="0052"/>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2.详见文件《</w:t>
      </w:r>
      <w:r>
        <w:rPr>
          <w:rFonts w:hint="eastAsia" w:ascii="仿宋_GB2312" w:hAnsi="仿宋_GB2312" w:eastAsia="仿宋_GB2312" w:cs="仿宋_GB2312"/>
          <w:color w:val="000000" w:themeColor="text1"/>
          <w:kern w:val="0"/>
          <w:sz w:val="28"/>
          <w:szCs w:val="28"/>
          <w:highlight w:val="none"/>
          <w:u w:val="single"/>
          <w:lang w:val="en-US" w:eastAsia="zh-CN"/>
          <w14:textFill>
            <w14:solidFill>
              <w14:schemeClr w14:val="tx1"/>
            </w14:solidFill>
          </w14:textFill>
        </w:rPr>
        <w:t xml:space="preserve"> 附件5</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二、甲方的安全及消防安全责任</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交底告知</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1.项目实施前，应告知乙方地面、周边、地下已知存在的设施，特别是涉及影响生产、应急的各类地下管线及保护要求，要求乙方在施工方案明确落实相应的具体措施；甲方规定的安全生产及消防安全管理要求，</w:t>
      </w:r>
      <w:r>
        <w:rPr>
          <w:rFonts w:hint="eastAsia" w:ascii="仿宋_GB2312" w:hAnsi="仿宋_GB2312" w:eastAsia="仿宋_GB2312" w:cs="仿宋_GB2312"/>
          <w:color w:val="000000" w:themeColor="text1"/>
          <w:sz w:val="28"/>
          <w:szCs w:val="28"/>
          <w:highlight w:val="none"/>
          <w14:textFill>
            <w14:solidFill>
              <w14:schemeClr w14:val="tx1"/>
            </w14:solidFill>
          </w14:textFill>
        </w:rPr>
        <w:t>允许进出及行走的路线、禁止触动甲方设备设施等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；项目备案的要求。</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2.乙方进场作业前，</w:t>
      </w:r>
      <w:r>
        <w:rPr>
          <w:rFonts w:hint="eastAsia" w:ascii="仿宋_GB2312" w:hAnsi="仿宋_GB2312" w:eastAsia="仿宋_GB2312" w:cs="仿宋_GB2312"/>
          <w:color w:val="000000" w:themeColor="text1"/>
          <w:sz w:val="28"/>
          <w:szCs w:val="28"/>
          <w:highlight w:val="none"/>
          <w14:textFill>
            <w14:solidFill>
              <w14:schemeClr w14:val="tx1"/>
            </w14:solidFill>
          </w14:textFill>
        </w:rPr>
        <w:t>应对乙方进行交底</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再次向乙方强调</w:t>
      </w:r>
      <w:r>
        <w:rPr>
          <w:rFonts w:hint="eastAsia" w:ascii="仿宋_GB2312" w:hAnsi="仿宋_GB2312" w:eastAsia="仿宋_GB2312" w:cs="仿宋_GB2312"/>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上述内容，以及施工期间的其他特殊注意事项，如生产方面的调度协调配合等</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3.当乙方提出相关规范或乙方内部管理制度，比甲方规定的</w:t>
      </w:r>
      <w:r>
        <w:rPr>
          <w:rFonts w:hint="eastAsia" w:ascii="仿宋_GB2312" w:hAnsi="仿宋_GB2312" w:eastAsia="仿宋_GB2312" w:cs="仿宋_GB2312"/>
          <w:color w:val="000000" w:themeColor="text1"/>
          <w:sz w:val="28"/>
          <w:szCs w:val="28"/>
          <w:highlight w:val="none"/>
          <w14:textFill>
            <w14:solidFill>
              <w14:schemeClr w14:val="tx1"/>
            </w14:solidFill>
          </w14:textFill>
        </w:rPr>
        <w:t>安全生产及消防安全管理要求</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更严格的，应当接纳乙方的建议。</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（二）落实配合措施</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1.落实生产营运等相关配合措施，提供必要的施工条件。</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）安全及消防安全隐患</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检查与督促整改</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在项目施工期，应每天不少于一次对乙方安全措施、消防安全措施投入、现场安全施工情况等进行安全、消防安全监督检查，并提出整改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重大安全风险、生产安全重大事故隐患（重大火灾隐患）等情况报告及举报</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1.对乙方上报的重大安全风险、生产安全重大事故隐患（重大火灾隐患），应当如实向水投集团报告。</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2.如发现乙方瞒报重大安全风险、生产安全重大事故隐患（重大火灾隐患），甲方除向水投集团报告外，有权向属地安全应急管理部门、属地行业主管部门举报。</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3.甲方发现乙方在项目范围内（含工地范围内的住宿、办公等区域）开展违法、犯罪活动，向公安部门举报。</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（五）事故报告及举报</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1.对乙方上报的安全事故及消防安全事故，应当按水投集团有关程序，如实向集团报告。</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2.如发现乙方瞒报安全事故及消防安全事故，甲方除向水投集团报告外，有权向属地安全应急管理部门、属地行业主管部门举报。</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（六）补充条款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三、乙方的安全及消防安全责任</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接受交底告知并复核确认安全风险，落实管控措施</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1.乙方接受甲方交底。</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2.编制的方案应响应甲方告知，明确相应的措施。</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3.根据甲方项目备案的要求，提交项目备案材料</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4.当甲方规定的安全生产及消防安全管理要求，比相关规范或乙方内部管理制度严格的，按甲方的执行。</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5.当相关规范或乙方内部管理制度，比甲方规定的安全生产及消防安全管理要求严格的，应明确告知甲方确认，并按相关规范或乙方内部管理制度执行。</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告知甲方需要配合的事项</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1.向甲方告知在施工作业期间，需要甲方配合落实的措施</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落实安全及消防安全隐患排查与整改，并接受检查</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乙方应做好的每日安全生产、消防安全巡查及开展人员安全生产、消防安全教育，确保场所、场地、区域、施工、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仓储、住宿、办公</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等，符合国家、行业安全生产、消防安全相关要求，无对甲方、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乙方以及周边第三方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生产安全、消防安全、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人身安全等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构成威胁，无开展违法、犯罪活动，无存放易燃易爆危险化学品，无乙方人员擅自进入借用地块范围以外的甲方场所，有按方案落实各项措施以及及时发现并整改安全隐患、消防安全隐患，杜绝安全事故、消防安全事故。</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2.接受甲方“四不两直”的不定期检查。</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重大安全风险、生产安全重大事故隐患（重大火灾隐患）报告</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1.乙方识别存在重大安全风险的，应研究并落实管控措施，降低风险等级，并向甲方、属地安全应急管理部门、属地行业主管部门上报。</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2.乙方自查或被外单位检查发现生产安全重大事故隐患（重大火灾隐患）的，应当立即向甲方、属地安全应急管理部门、属地行业主管部门上报。</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3.如甲方未收到乙方关于重大安全风险、生产安全重大事故隐患（重大火灾隐患）的报告，但由其他途径获知信息的，视为瞒报。</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4.不得谎报信息。</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（四）事故报告</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1.项目发生安全事故及消防安全事故的，乙方应当在预案规定时间内立即向甲方上报。否则视为迟报。</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2.如甲方未收到乙方关于安全事故及消防安全事故的报告，但由其他途径获知信息的，视为瞒报。</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3.不得谎报信息。</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（五）补充条款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四、违约责任</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未发生安全事故或消防安全事故的违约责任</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1.乙方未履行安全及消防安全责任的，甲方有权按合同相关条款处理。</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2.因甲方未履行安全及消防安全责任，乙方有权按合同相关条款处理。</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（二）发生安全事故或消防安全事故的违约责任</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项目发生安全事故或消防安全事故的，乙方须立即开展事故处置，并双倍赔偿甲方的全部损失（包括但不限于甲方的直接经济损失和间接经济损失、为处理事故支出的费用、为恢复正常生产产生的费用、因事故被有关单位追究的经济考核扣罚以及因造成第三方损失而支出的赔偿款、律师费、诉讼费等）</w:t>
      </w:r>
    </w:p>
    <w:p>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2.如甲方未能提供甲方履职证明的，根据责任调查报告（意见）承担责任。</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五、附则</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（一）本协议未尽事宜，依据有关法律、法规、规章处理。法律、法规、规章没有明确规定的，经双方协商处理解决。</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（二）在合同（协议）执行期间，因国家、地方、以及广州市净水有限公司印发有关文件，加强安全管理要求的，乙方应按最新要求无条件执行。如不执行，甲方有权根据合同或有关文件进行处理。</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14:textFill>
            <w14:solidFill>
              <w14:schemeClr w14:val="tx1"/>
            </w14:solidFill>
          </w14:textFill>
        </w:rPr>
        <w:t>）本协议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作为合同的附件</w:t>
      </w:r>
      <w:r>
        <w:rPr>
          <w:rFonts w:hint="eastAsia" w:ascii="仿宋_GB2312" w:hAnsi="仿宋_GB2312" w:eastAsia="仿宋_GB2312" w:cs="仿宋_GB2312"/>
          <w:color w:val="000000" w:themeColor="text1"/>
          <w:sz w:val="28"/>
          <w:szCs w:val="28"/>
          <w:highlight w:val="none"/>
          <w14:textFill>
            <w14:solidFill>
              <w14:schemeClr w14:val="tx1"/>
            </w14:solidFill>
          </w14:textFill>
        </w:rPr>
        <w:t>同时</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签字、同事盖章</w:t>
      </w:r>
      <w:r>
        <w:rPr>
          <w:rFonts w:hint="eastAsia" w:ascii="仿宋_GB2312" w:hAnsi="仿宋_GB2312" w:eastAsia="仿宋_GB2312" w:cs="仿宋_GB2312"/>
          <w:color w:val="000000" w:themeColor="text1"/>
          <w:sz w:val="28"/>
          <w:szCs w:val="28"/>
          <w:highlight w:val="none"/>
          <w14:textFill>
            <w14:solidFill>
              <w14:schemeClr w14:val="tx1"/>
            </w14:solidFill>
          </w14:textFill>
        </w:rPr>
        <w:t>、同时生效、同时终止，具有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同等</w:t>
      </w:r>
      <w:r>
        <w:rPr>
          <w:rFonts w:hint="eastAsia" w:ascii="仿宋_GB2312" w:hAnsi="仿宋_GB2312" w:eastAsia="仿宋_GB2312" w:cs="仿宋_GB2312"/>
          <w:color w:val="000000" w:themeColor="text1"/>
          <w:sz w:val="28"/>
          <w:szCs w:val="28"/>
          <w:highlight w:val="none"/>
          <w14:textFill>
            <w14:solidFill>
              <w14:schemeClr w14:val="tx1"/>
            </w14:solidFill>
          </w14:textFill>
        </w:rPr>
        <w:t>的法律效力</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甲方、乙方双方执持数量与合同一致。</w:t>
      </w:r>
    </w:p>
    <w:p>
      <w:pPr>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3"/>
        <w:gridCol w:w="4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盖章</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adjustRightInd/>
              <w:snapToGrid/>
              <w:spacing w:line="500" w:lineRule="exac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签约代表：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pPr>
              <w:adjustRightInd/>
              <w:snapToGrid/>
              <w:spacing w:line="500" w:lineRule="exact"/>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p>
          <w:p>
            <w:pPr>
              <w:adjustRightInd/>
              <w:snapToGrid/>
              <w:spacing w:line="500" w:lineRule="exact"/>
              <w:ind w:firstLine="280" w:firstLineChars="100"/>
              <w:jc w:val="righ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c>
          <w:tcPr>
            <w:tcW w:w="4474" w:type="dxa"/>
          </w:tcPr>
          <w:p>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盖章</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签约代表：</w:t>
            </w:r>
          </w:p>
          <w:p>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pPr>
              <w:adjustRightInd/>
              <w:snapToGrid/>
              <w:spacing w:line="500" w:lineRule="exact"/>
              <w:jc w:val="righ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r>
    </w:tbl>
    <w:p>
      <w:pPr>
        <w:rPr>
          <w:rFonts w:hint="eastAsia" w:ascii="宋体" w:hAnsi="宋体" w:cs="宋体"/>
          <w:color w:val="000000" w:themeColor="text1"/>
          <w:sz w:val="24"/>
          <w:highlight w:val="none"/>
          <w14:textFill>
            <w14:solidFill>
              <w14:schemeClr w14:val="tx1"/>
            </w14:solidFill>
          </w14:textFill>
        </w:rPr>
      </w:pPr>
    </w:p>
    <w:p>
      <w:pPr>
        <w:spacing w:line="360" w:lineRule="auto"/>
        <w:rPr>
          <w:rFonts w:hint="eastAsia" w:ascii="宋体" w:hAnsi="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cs="宋体"/>
          <w:b/>
          <w:bCs/>
          <w:color w:val="000000" w:themeColor="text1"/>
          <w:sz w:val="24"/>
          <w:szCs w:val="24"/>
          <w:highlight w:val="none"/>
          <w14:textFill>
            <w14:solidFill>
              <w14:schemeClr w14:val="tx1"/>
            </w14:solidFill>
          </w14:textFill>
        </w:rPr>
      </w:pPr>
    </w:p>
    <w:p>
      <w:pPr>
        <w:pStyle w:val="24"/>
        <w:rPr>
          <w:rFonts w:hint="eastAsia" w:ascii="宋体" w:hAnsi="宋体" w:eastAsia="宋体" w:cs="宋体"/>
          <w:color w:val="000000" w:themeColor="text1"/>
          <w:sz w:val="24"/>
          <w:szCs w:val="24"/>
          <w:highlight w:val="none"/>
          <w:lang w:eastAsia="zh-CN"/>
          <w14:textFill>
            <w14:solidFill>
              <w14:schemeClr w14:val="tx1"/>
            </w14:solidFill>
          </w14:textFill>
        </w:rPr>
      </w:pPr>
    </w:p>
    <w:p>
      <w:pPr>
        <w:spacing w:line="360" w:lineRule="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附件4</w:t>
      </w:r>
      <w:r>
        <w:rPr>
          <w:rFonts w:hint="eastAsia" w:ascii="黑体" w:hAnsi="黑体" w:eastAsia="黑体" w:cs="黑体"/>
          <w:color w:val="000000" w:themeColor="text1"/>
          <w:sz w:val="32"/>
          <w:szCs w:val="32"/>
          <w:highlight w:val="none"/>
          <w14:textFill>
            <w14:solidFill>
              <w14:schemeClr w14:val="tx1"/>
            </w14:solidFill>
          </w14:textFill>
        </w:rPr>
        <w:t>.工程量清单/工程量清单报价</w:t>
      </w:r>
    </w:p>
    <w:p>
      <w:pPr>
        <w:spacing w:line="360" w:lineRule="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附件5</w:t>
      </w:r>
      <w:r>
        <w:rPr>
          <w:rFonts w:hint="eastAsia" w:ascii="黑体" w:hAnsi="黑体" w:eastAsia="黑体" w:cs="黑体"/>
          <w:color w:val="000000" w:themeColor="text1"/>
          <w:sz w:val="32"/>
          <w:szCs w:val="32"/>
          <w:highlight w:val="none"/>
          <w14:textFill>
            <w14:solidFill>
              <w14:schemeClr w14:val="tx1"/>
            </w14:solidFill>
          </w14:textFill>
        </w:rPr>
        <w:t xml:space="preserve">.项目投入人员架构表 </w:t>
      </w:r>
    </w:p>
    <w:p>
      <w:pPr>
        <w:spacing w:line="360" w:lineRule="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6</w:t>
      </w:r>
    </w:p>
    <w:p>
      <w:pPr>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t>履约保函模板</w:t>
      </w:r>
    </w:p>
    <w:p>
      <w:pPr>
        <w:rPr>
          <w:rFonts w:hint="eastAsia" w:ascii="宋体" w:hAnsi="宋体" w:eastAsia="宋体" w:cs="宋体"/>
          <w:color w:val="000000" w:themeColor="text1"/>
          <w:sz w:val="24"/>
          <w:highlight w:val="none"/>
          <w14:textFill>
            <w14:solidFill>
              <w14:schemeClr w14:val="tx1"/>
            </w14:solidFill>
          </w14:textFill>
        </w:rPr>
      </w:pPr>
    </w:p>
    <w:p>
      <w:pPr>
        <w:spacing w:line="50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致：</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（受益人）</w:t>
      </w:r>
      <w:r>
        <w:rPr>
          <w:rFonts w:hint="eastAsia" w:ascii="仿宋_GB2312" w:hAnsi="仿宋_GB2312" w:eastAsia="仿宋_GB2312" w:cs="仿宋_GB2312"/>
          <w:color w:val="000000" w:themeColor="text1"/>
          <w:sz w:val="28"/>
          <w:szCs w:val="28"/>
          <w:highlight w:val="none"/>
          <w14:textFill>
            <w14:solidFill>
              <w14:schemeClr w14:val="tx1"/>
            </w14:solidFill>
          </w14:textFill>
        </w:rPr>
        <w:br w:type="textWrapping"/>
      </w:r>
    </w:p>
    <w:p>
      <w:pPr>
        <w:spacing w:line="50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鉴于（以下简称“委托人”）与贵方于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年  月  日</w:t>
      </w:r>
      <w:r>
        <w:rPr>
          <w:rFonts w:hint="eastAsia" w:ascii="仿宋_GB2312" w:hAnsi="仿宋_GB2312" w:eastAsia="仿宋_GB2312" w:cs="仿宋_GB2312"/>
          <w:color w:val="000000" w:themeColor="text1"/>
          <w:sz w:val="28"/>
          <w:szCs w:val="28"/>
          <w:highlight w:val="none"/>
          <w14:textFill>
            <w14:solidFill>
              <w14:schemeClr w14:val="tx1"/>
            </w14:solidFill>
          </w14:textFill>
        </w:rPr>
        <w:t>签订了（以下简称“合同”），我行同意为委托人出具履约保函，作为委托人履行合同义务的担保，以使你方得到履约保函的保障。本保函为不可撤销，见索即付的独立保函。</w:t>
      </w:r>
    </w:p>
    <w:p>
      <w:pPr>
        <w:spacing w:line="50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auto"/>
          <w:sz w:val="28"/>
          <w:szCs w:val="28"/>
          <w:highlight w:val="none"/>
        </w:rPr>
        <w:t>一、我行保证在收到贵单位于保函有效期内送达的依本保函约定的索赔申请后，在个工作日内无条件和不可改变地向贵单位支付最高金额不超过人民币元（大写： ）的履约保证金，并放弃向你方提出任何异议和追索的权利。</w:t>
      </w:r>
    </w:p>
    <w:p>
      <w:pPr>
        <w:spacing w:line="50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二、贵单位的索赔申请应符合下述条件：</w:t>
      </w:r>
    </w:p>
    <w:p>
      <w:pPr>
        <w:spacing w:line="50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（一）贵单位法定代表人或其授权代表签字并加盖单位公章；</w:t>
      </w:r>
    </w:p>
    <w:p>
      <w:pPr>
        <w:spacing w:line="50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（二）在保函有效期内送达我行；</w:t>
      </w:r>
    </w:p>
    <w:p>
      <w:pPr>
        <w:spacing w:line="50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（三）明确的索赔金额（不得超过本保函第一条所列之限额）。</w:t>
      </w:r>
    </w:p>
    <w:p>
      <w:pPr>
        <w:spacing w:line="50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三、本保函自签发之日起生效，有效期至</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xml:space="preserve">  年  月  日</w:t>
      </w:r>
      <w:r>
        <w:rPr>
          <w:rFonts w:hint="eastAsia" w:ascii="仿宋_GB2312" w:hAnsi="仿宋_GB2312" w:eastAsia="仿宋_GB2312" w:cs="仿宋_GB2312"/>
          <w:color w:val="000000" w:themeColor="text1"/>
          <w:sz w:val="28"/>
          <w:szCs w:val="28"/>
          <w:highlight w:val="none"/>
          <w14:textFill>
            <w14:solidFill>
              <w14:schemeClr w14:val="tx1"/>
            </w14:solidFill>
          </w14:textFill>
        </w:rPr>
        <w:t>。本保函于下述任一事项发生之时立即失效，我行在本保函项下的保证义务即刻解除：</w:t>
      </w:r>
    </w:p>
    <w:p>
      <w:pPr>
        <w:spacing w:line="50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（一）本保函有效期限届满；</w:t>
      </w:r>
    </w:p>
    <w:p>
      <w:pPr>
        <w:spacing w:line="50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（二）我行保证的义务履行完毕。</w:t>
      </w:r>
    </w:p>
    <w:p>
      <w:pPr>
        <w:spacing w:line="50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四、我方受本保函制约的责任是延续的、独立的和无条件的，上述合同的任何修改、变更、解释、不可执行或委托人在合同项下对你方的任何抗辩都不能削弱或影响我行按本保函应承担的责任。</w:t>
      </w:r>
    </w:p>
    <w:p>
      <w:pPr>
        <w:spacing w:line="500" w:lineRule="exact"/>
        <w:ind w:firstLine="42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五、我行向你方支付索赔金额后，本保函担保金额即按贵方通知的索赔金额予以递减。</w:t>
      </w:r>
    </w:p>
    <w:p>
      <w:pPr>
        <w:spacing w:line="500" w:lineRule="exact"/>
        <w:ind w:firstLine="42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六、保函失效后请将保函退回我行注销，无论正本最终退回与否，不影响本保函依上述约定自动失效。</w:t>
      </w:r>
    </w:p>
    <w:p>
      <w:pPr>
        <w:spacing w:line="500" w:lineRule="exact"/>
        <w:ind w:firstLine="0"/>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spacing w:line="500" w:lineRule="exact"/>
        <w:ind w:firstLine="42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落款</w:t>
      </w:r>
    </w:p>
    <w:p>
      <w:pPr>
        <w:spacing w:line="500" w:lineRule="exact"/>
        <w:ind w:firstLine="0"/>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spacing w:line="50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保函说明：</w:t>
      </w:r>
    </w:p>
    <w:p>
      <w:pPr>
        <w:spacing w:line="50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保函不得有下列或类似含义的表述：</w:t>
      </w:r>
    </w:p>
    <w:p>
      <w:pPr>
        <w:spacing w:line="50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1.银行承担的为连带责任保证、一般保证。</w:t>
      </w:r>
    </w:p>
    <w:p>
      <w:pPr>
        <w:spacing w:line="50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2.未经银行书面同意，受益人与申请人修改合同或其项下附件时，银行的保证义务解除。</w:t>
      </w:r>
    </w:p>
    <w:p>
      <w:pPr>
        <w:spacing w:line="50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3.合同撤销或无效的，保函失效。</w:t>
      </w:r>
    </w:p>
    <w:p>
      <w:pPr>
        <w:spacing w:line="50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4.申请人对受益人的抗辩，银行有权向受益人主张。</w:t>
      </w:r>
    </w:p>
    <w:p>
      <w:pPr>
        <w:spacing w:line="500" w:lineRule="exact"/>
        <w:ind w:firstLine="56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5.受益人请求付款的请款单据包含法院裁判文书、仲裁裁决、第三方单位出具的鉴定书等申请人违约的证明材料。</w:t>
      </w:r>
    </w:p>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p>
    <w:p>
      <w:pPr>
        <w:bidi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pPr>
        <w:bidi w:val="0"/>
        <w:jc w:val="left"/>
        <w:rPr>
          <w:rFonts w:hint="eastAsia" w:ascii="宋体" w:hAnsi="宋体" w:cs="宋体"/>
          <w:color w:val="000000" w:themeColor="text1"/>
          <w:sz w:val="24"/>
          <w:highlight w:val="none"/>
          <w:lang w:val="en-US" w:eastAsia="zh-CN"/>
          <w14:textFill>
            <w14:solidFill>
              <w14:schemeClr w14:val="tx1"/>
            </w14:solidFill>
          </w14:textFill>
        </w:rPr>
      </w:pPr>
    </w:p>
    <w:p>
      <w:pPr>
        <w:pStyle w:val="15"/>
        <w:rPr>
          <w:rFonts w:hint="eastAsia" w:ascii="宋体" w:hAnsi="宋体" w:cs="宋体"/>
          <w:color w:val="000000" w:themeColor="text1"/>
          <w:sz w:val="24"/>
          <w:highlight w:val="none"/>
          <w:lang w:val="en-US" w:eastAsia="zh-CN"/>
          <w14:textFill>
            <w14:solidFill>
              <w14:schemeClr w14:val="tx1"/>
            </w14:solidFill>
          </w14:textFill>
        </w:rPr>
      </w:pPr>
    </w:p>
    <w:p>
      <w:pPr>
        <w:pStyle w:val="15"/>
        <w:rPr>
          <w:rFonts w:hint="eastAsia" w:ascii="宋体" w:hAnsi="宋体" w:cs="宋体"/>
          <w:color w:val="000000" w:themeColor="text1"/>
          <w:sz w:val="24"/>
          <w:highlight w:val="none"/>
          <w:lang w:val="en-US" w:eastAsia="zh-CN"/>
          <w14:textFill>
            <w14:solidFill>
              <w14:schemeClr w14:val="tx1"/>
            </w14:solidFill>
          </w14:textFill>
        </w:rPr>
      </w:pPr>
    </w:p>
    <w:p>
      <w:pPr>
        <w:pStyle w:val="15"/>
        <w:rPr>
          <w:rFonts w:hint="eastAsia" w:ascii="宋体" w:hAnsi="宋体" w:cs="宋体"/>
          <w:color w:val="000000" w:themeColor="text1"/>
          <w:sz w:val="24"/>
          <w:highlight w:val="none"/>
          <w:lang w:val="en-US" w:eastAsia="zh-CN"/>
          <w14:textFill>
            <w14:solidFill>
              <w14:schemeClr w14:val="tx1"/>
            </w14:solidFill>
          </w14:textFill>
        </w:rPr>
      </w:pPr>
    </w:p>
    <w:p>
      <w:pPr>
        <w:spacing w:line="360" w:lineRule="auto"/>
        <w:ind w:firstLine="0" w:firstLineChars="0"/>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附件7.</w:t>
      </w:r>
      <w:r>
        <w:rPr>
          <w:rFonts w:hint="eastAsia" w:ascii="黑体" w:hAnsi="黑体" w:eastAsia="黑体" w:cs="黑体"/>
          <w:b w:val="0"/>
          <w:bCs w:val="0"/>
          <w:color w:val="000000" w:themeColor="text1"/>
          <w:sz w:val="32"/>
          <w:szCs w:val="32"/>
          <w:highlight w:val="none"/>
          <w14:textFill>
            <w14:solidFill>
              <w14:schemeClr w14:val="tx1"/>
            </w14:solidFill>
          </w14:textFill>
        </w:rPr>
        <w:t>施工项目危险作业安全作业物资及应急物资清单（承包方/乙方提供）</w:t>
      </w:r>
    </w:p>
    <w:tbl>
      <w:tblPr>
        <w:tblStyle w:val="25"/>
        <w:tblW w:w="10318" w:type="dxa"/>
        <w:tblInd w:w="-1026" w:type="dxa"/>
        <w:tblLayout w:type="autofit"/>
        <w:tblCellMar>
          <w:top w:w="0" w:type="dxa"/>
          <w:left w:w="108" w:type="dxa"/>
          <w:bottom w:w="0" w:type="dxa"/>
          <w:right w:w="108" w:type="dxa"/>
        </w:tblCellMar>
      </w:tblPr>
      <w:tblGrid>
        <w:gridCol w:w="820"/>
        <w:gridCol w:w="709"/>
        <w:gridCol w:w="1417"/>
        <w:gridCol w:w="3119"/>
        <w:gridCol w:w="660"/>
        <w:gridCol w:w="1325"/>
        <w:gridCol w:w="660"/>
        <w:gridCol w:w="1608"/>
      </w:tblGrid>
      <w:tr>
        <w:tblPrEx>
          <w:tblCellMar>
            <w:top w:w="0" w:type="dxa"/>
            <w:left w:w="108" w:type="dxa"/>
            <w:bottom w:w="0" w:type="dxa"/>
            <w:right w:w="108" w:type="dxa"/>
          </w:tblCellMar>
        </w:tblPrEx>
        <w:trPr>
          <w:trHeight w:val="420" w:hRule="atLeast"/>
          <w:tblHeader/>
        </w:trPr>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风险类型</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物资种类</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物资名称</w:t>
            </w:r>
          </w:p>
        </w:tc>
        <w:tc>
          <w:tcPr>
            <w:tcW w:w="377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安全作业物资</w:t>
            </w:r>
          </w:p>
        </w:tc>
        <w:tc>
          <w:tcPr>
            <w:tcW w:w="198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应急物资</w:t>
            </w:r>
          </w:p>
        </w:tc>
        <w:tc>
          <w:tcPr>
            <w:tcW w:w="16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备注</w:t>
            </w:r>
          </w:p>
        </w:tc>
      </w:tr>
      <w:tr>
        <w:tblPrEx>
          <w:tblCellMar>
            <w:top w:w="0" w:type="dxa"/>
            <w:left w:w="108" w:type="dxa"/>
            <w:bottom w:w="0" w:type="dxa"/>
            <w:right w:w="108" w:type="dxa"/>
          </w:tblCellMar>
        </w:tblPrEx>
        <w:trPr>
          <w:trHeight w:val="420" w:hRule="atLeast"/>
          <w:tblHeader/>
        </w:trPr>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color w:val="000000"/>
                <w:kern w:val="0"/>
                <w:szCs w:val="21"/>
              </w:rPr>
            </w:pPr>
          </w:p>
        </w:tc>
        <w:tc>
          <w:tcPr>
            <w:tcW w:w="3119"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数量</w:t>
            </w:r>
          </w:p>
        </w:tc>
        <w:tc>
          <w:tcPr>
            <w:tcW w:w="660"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单位</w:t>
            </w:r>
          </w:p>
        </w:tc>
        <w:tc>
          <w:tcPr>
            <w:tcW w:w="1325"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数量</w:t>
            </w:r>
          </w:p>
        </w:tc>
        <w:tc>
          <w:tcPr>
            <w:tcW w:w="660"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单位</w:t>
            </w:r>
          </w:p>
        </w:tc>
        <w:tc>
          <w:tcPr>
            <w:tcW w:w="16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color w:val="000000"/>
                <w:kern w:val="0"/>
                <w:szCs w:val="21"/>
              </w:rPr>
            </w:pPr>
          </w:p>
        </w:tc>
      </w:tr>
      <w:tr>
        <w:tblPrEx>
          <w:tblCellMar>
            <w:top w:w="0" w:type="dxa"/>
            <w:left w:w="108" w:type="dxa"/>
            <w:bottom w:w="0" w:type="dxa"/>
            <w:right w:w="108" w:type="dxa"/>
          </w:tblCellMar>
        </w:tblPrEx>
        <w:trPr>
          <w:trHeight w:val="1140" w:hRule="atLeast"/>
        </w:trPr>
        <w:tc>
          <w:tcPr>
            <w:tcW w:w="820" w:type="dxa"/>
            <w:vMerge w:val="restart"/>
            <w:tcBorders>
              <w:top w:val="nil"/>
              <w:left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一、通用类</w:t>
            </w:r>
          </w:p>
        </w:tc>
        <w:tc>
          <w:tcPr>
            <w:tcW w:w="7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通讯</w:t>
            </w: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对讲机</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相隔50米并同时施工的作业点，每个作业点配置至少配置2台</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台</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按作业人数的2</w:t>
            </w:r>
            <w:r>
              <w:rPr>
                <w:rFonts w:ascii="仿宋_GB2312" w:hAnsi="宋体" w:eastAsia="仿宋_GB2312" w:cs="宋体"/>
                <w:kern w:val="0"/>
                <w:szCs w:val="21"/>
              </w:rPr>
              <w:t>0%</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台</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840" w:hRule="atLeast"/>
        </w:trPr>
        <w:tc>
          <w:tcPr>
            <w:tcW w:w="820"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个人防护</w:t>
            </w: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安全帽</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每个进入施工区域人员都需佩戴</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五点式安全带</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按实际作业和监护人员数</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条</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条</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1110" w:hRule="atLeast"/>
        </w:trPr>
        <w:tc>
          <w:tcPr>
            <w:tcW w:w="820"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照明</w:t>
            </w: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手持式应急灯</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手持、非手持式应急灯有一项即可</w:t>
            </w:r>
          </w:p>
        </w:tc>
      </w:tr>
      <w:tr>
        <w:tblPrEx>
          <w:tblCellMar>
            <w:top w:w="0" w:type="dxa"/>
            <w:left w:w="108" w:type="dxa"/>
            <w:bottom w:w="0" w:type="dxa"/>
            <w:right w:w="108" w:type="dxa"/>
          </w:tblCellMar>
        </w:tblPrEx>
        <w:trPr>
          <w:trHeight w:val="1110" w:hRule="atLeast"/>
        </w:trPr>
        <w:tc>
          <w:tcPr>
            <w:tcW w:w="820"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非手持式应急灯（如头戴式电筒）</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6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1110" w:hRule="atLeast"/>
        </w:trPr>
        <w:tc>
          <w:tcPr>
            <w:tcW w:w="820"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医疗急救</w:t>
            </w: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急救药箱</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color w:val="000000"/>
                <w:kern w:val="0"/>
                <w:szCs w:val="21"/>
              </w:rPr>
              <w:t>相隔50米并同时施工的作业点，每个作业点配置至少配置1套</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多功能担架</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restart"/>
            <w:tcBorders>
              <w:top w:val="nil"/>
              <w:left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围蔽警示</w:t>
            </w: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警戒带</w:t>
            </w:r>
          </w:p>
        </w:tc>
        <w:tc>
          <w:tcPr>
            <w:tcW w:w="311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卷</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卷</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夜间警示灯</w:t>
            </w:r>
          </w:p>
        </w:tc>
        <w:tc>
          <w:tcPr>
            <w:tcW w:w="311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危险警示牌</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施工区域每个出入口1个</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路锥（雪糕筒）</w:t>
            </w:r>
          </w:p>
        </w:tc>
        <w:tc>
          <w:tcPr>
            <w:tcW w:w="311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密目网</w:t>
            </w:r>
          </w:p>
        </w:tc>
        <w:tc>
          <w:tcPr>
            <w:tcW w:w="311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3060" w:hRule="atLeast"/>
        </w:trPr>
        <w:tc>
          <w:tcPr>
            <w:tcW w:w="8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二、有限空间</w:t>
            </w: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通风设备</w:t>
            </w: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轴流风机（配风管）</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所有清淤场所通风换气的频次不得低于5次/小时（每小时5次），对于气体检测不合格、地下厂清淤、加盖池体清淤、提升泵房清淤以及其他纵深较大的池、井等场所的清淤和大修作业，应加大通风换气频次，直至气体检测合格后作业</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2</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132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有限空间作业风机配套风管10米（同型号采购2条接驳）</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按实际情况</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(风管必须延至作业面)</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与风机配套</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35"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防坠落</w:t>
            </w: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速差式防坠器</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每个作业点得上下口配置1个</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1035" w:hRule="atLeast"/>
        </w:trPr>
        <w:tc>
          <w:tcPr>
            <w:tcW w:w="8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之字安全爬梯</w:t>
            </w:r>
          </w:p>
        </w:tc>
        <w:tc>
          <w:tcPr>
            <w:tcW w:w="311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如条件允可，每个有限空间作业点配备1个（因地制宜）</w:t>
            </w:r>
          </w:p>
        </w:tc>
        <w:tc>
          <w:tcPr>
            <w:tcW w:w="6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包括设施的安装、拆除、租赁、搬运</w:t>
            </w:r>
          </w:p>
        </w:tc>
      </w:tr>
      <w:tr>
        <w:tblPrEx>
          <w:tblCellMar>
            <w:top w:w="0" w:type="dxa"/>
            <w:left w:w="108" w:type="dxa"/>
            <w:bottom w:w="0" w:type="dxa"/>
            <w:right w:w="108" w:type="dxa"/>
          </w:tblCellMar>
        </w:tblPrEx>
        <w:trPr>
          <w:trHeight w:val="1035" w:hRule="atLeast"/>
        </w:trPr>
        <w:tc>
          <w:tcPr>
            <w:tcW w:w="8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Cs w:val="21"/>
              </w:rPr>
            </w:pPr>
          </w:p>
        </w:tc>
        <w:tc>
          <w:tcPr>
            <w:tcW w:w="709"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围蔽警示</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有限空间警示牌</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施工区域每个出入口1个</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1035" w:hRule="atLeast"/>
        </w:trPr>
        <w:tc>
          <w:tcPr>
            <w:tcW w:w="8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Cs w:val="21"/>
              </w:rPr>
            </w:pPr>
          </w:p>
        </w:tc>
        <w:tc>
          <w:tcPr>
            <w:tcW w:w="709"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检测</w:t>
            </w: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泵吸式气体检测仪</w:t>
            </w:r>
          </w:p>
        </w:tc>
        <w:tc>
          <w:tcPr>
            <w:tcW w:w="3119"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相隔50米作业点，每个作业点配置至少配置2台</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325"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608" w:type="dxa"/>
            <w:vMerge w:val="restart"/>
            <w:tcBorders>
              <w:top w:val="nil"/>
              <w:left w:val="nil"/>
              <w:right w:val="single" w:color="auto" w:sz="4" w:space="0"/>
            </w:tcBorders>
            <w:shd w:val="clear" w:color="000000" w:fill="FFFFFF"/>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两者取一，至少四合一，建议配置泵吸式</w:t>
            </w:r>
          </w:p>
        </w:tc>
      </w:tr>
      <w:tr>
        <w:tblPrEx>
          <w:tblCellMar>
            <w:top w:w="0" w:type="dxa"/>
            <w:left w:w="108" w:type="dxa"/>
            <w:bottom w:w="0" w:type="dxa"/>
            <w:right w:w="108" w:type="dxa"/>
          </w:tblCellMar>
        </w:tblPrEx>
        <w:trPr>
          <w:trHeight w:val="1035" w:hRule="atLeast"/>
        </w:trPr>
        <w:tc>
          <w:tcPr>
            <w:tcW w:w="8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扩散式气体检测仪</w:t>
            </w:r>
          </w:p>
        </w:tc>
        <w:tc>
          <w:tcPr>
            <w:tcW w:w="3119"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相隔50米作业点，每个作业点配置至少配置2台</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325"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660"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608" w:type="dxa"/>
            <w:vMerge w:val="continue"/>
            <w:tcBorders>
              <w:left w:val="nil"/>
              <w:bottom w:val="single" w:color="auto" w:sz="4" w:space="0"/>
              <w:right w:val="single" w:color="auto" w:sz="4" w:space="0"/>
            </w:tcBorders>
            <w:shd w:val="clear" w:color="000000" w:fill="FFFFFF"/>
            <w:noWrap w:val="0"/>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个人防护</w:t>
            </w:r>
          </w:p>
        </w:tc>
        <w:tc>
          <w:tcPr>
            <w:tcW w:w="141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安全绳</w:t>
            </w:r>
          </w:p>
        </w:tc>
        <w:tc>
          <w:tcPr>
            <w:tcW w:w="311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按实际作业人员</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条</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条</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救生衣</w:t>
            </w:r>
          </w:p>
        </w:tc>
        <w:tc>
          <w:tcPr>
            <w:tcW w:w="311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按实际作业人员</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件</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件</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防毒面具</w:t>
            </w:r>
          </w:p>
        </w:tc>
        <w:tc>
          <w:tcPr>
            <w:tcW w:w="311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按实际作业和监护人员</w:t>
            </w:r>
          </w:p>
        </w:tc>
        <w:tc>
          <w:tcPr>
            <w:tcW w:w="66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66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120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防毒面具配套滤毒盒</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按实际作业和监护人员</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至少防护硫化氢，建议五合一</w:t>
            </w:r>
          </w:p>
        </w:tc>
      </w:tr>
      <w:tr>
        <w:tblPrEx>
          <w:tblCellMar>
            <w:top w:w="0" w:type="dxa"/>
            <w:left w:w="108" w:type="dxa"/>
            <w:bottom w:w="0" w:type="dxa"/>
            <w:right w:w="108" w:type="dxa"/>
          </w:tblCellMar>
        </w:tblPrEx>
        <w:trPr>
          <w:trHeight w:val="132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应急救援</w:t>
            </w:r>
          </w:p>
        </w:tc>
        <w:tc>
          <w:tcPr>
            <w:tcW w:w="141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正压式空气呼吸器</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相隔50米并同时施工的作业点，每个作业点配置至少配置2套</w:t>
            </w:r>
          </w:p>
        </w:tc>
        <w:tc>
          <w:tcPr>
            <w:tcW w:w="66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7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起吊设备</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（三脚架）</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66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绳梯</w:t>
            </w:r>
          </w:p>
        </w:tc>
        <w:tc>
          <w:tcPr>
            <w:tcW w:w="311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66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三、高空作业</w:t>
            </w:r>
          </w:p>
        </w:tc>
        <w:tc>
          <w:tcPr>
            <w:tcW w:w="70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防坠落</w:t>
            </w: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防坠网</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按实际作业临边数量</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速差式防坠器</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每个作业点得上下口配置1个</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如有需要</w:t>
            </w:r>
          </w:p>
        </w:tc>
      </w:tr>
      <w:tr>
        <w:tblPrEx>
          <w:tblCellMar>
            <w:top w:w="0" w:type="dxa"/>
            <w:left w:w="108" w:type="dxa"/>
            <w:bottom w:w="0" w:type="dxa"/>
            <w:right w:w="108" w:type="dxa"/>
          </w:tblCellMar>
        </w:tblPrEx>
        <w:trPr>
          <w:trHeight w:val="54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作业平台</w:t>
            </w: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脚手架平台</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如有需要，按实际作业点配置</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包括设施的安装、拆除、租赁、搬运</w:t>
            </w:r>
          </w:p>
        </w:tc>
      </w:tr>
      <w:tr>
        <w:tblPrEx>
          <w:tblCellMar>
            <w:top w:w="0" w:type="dxa"/>
            <w:left w:w="108" w:type="dxa"/>
            <w:bottom w:w="0" w:type="dxa"/>
            <w:right w:w="108" w:type="dxa"/>
          </w:tblCellMar>
        </w:tblPrEx>
        <w:trPr>
          <w:trHeight w:val="465" w:hRule="atLeast"/>
        </w:trPr>
        <w:tc>
          <w:tcPr>
            <w:tcW w:w="8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液压升降作业车</w:t>
            </w:r>
          </w:p>
        </w:tc>
        <w:tc>
          <w:tcPr>
            <w:tcW w:w="311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如有需要，按实际作业点配置</w:t>
            </w:r>
          </w:p>
        </w:tc>
        <w:tc>
          <w:tcPr>
            <w:tcW w:w="6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台</w:t>
            </w:r>
          </w:p>
        </w:tc>
        <w:tc>
          <w:tcPr>
            <w:tcW w:w="1325"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台</w:t>
            </w:r>
          </w:p>
        </w:tc>
        <w:tc>
          <w:tcPr>
            <w:tcW w:w="160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个人防护</w:t>
            </w:r>
          </w:p>
        </w:tc>
        <w:tc>
          <w:tcPr>
            <w:tcW w:w="141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五点式安全带</w:t>
            </w:r>
          </w:p>
        </w:tc>
        <w:tc>
          <w:tcPr>
            <w:tcW w:w="311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按实际作业和监护人员</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条</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条</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安全绳</w:t>
            </w:r>
          </w:p>
        </w:tc>
        <w:tc>
          <w:tcPr>
            <w:tcW w:w="311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按实际作业人员</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条</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条</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防滑鞋</w:t>
            </w:r>
          </w:p>
        </w:tc>
        <w:tc>
          <w:tcPr>
            <w:tcW w:w="311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按实际作业和监护人员</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双</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双</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四、危化品</w:t>
            </w: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个人防护</w:t>
            </w:r>
          </w:p>
        </w:tc>
        <w:tc>
          <w:tcPr>
            <w:tcW w:w="141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化学防护服</w:t>
            </w:r>
          </w:p>
        </w:tc>
        <w:tc>
          <w:tcPr>
            <w:tcW w:w="311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按实际作业和监护人员</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件</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件</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耐酸碱手套</w:t>
            </w:r>
          </w:p>
        </w:tc>
        <w:tc>
          <w:tcPr>
            <w:tcW w:w="311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按实际作业和监护人员</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双</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双</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耐酸碱</w:t>
            </w:r>
            <w:r>
              <w:rPr>
                <w:rFonts w:hint="eastAsia" w:ascii="仿宋_GB2312" w:hAnsi="微软雅黑" w:eastAsia="仿宋_GB2312" w:cs="微软雅黑"/>
                <w:color w:val="000000"/>
                <w:kern w:val="0"/>
                <w:szCs w:val="21"/>
              </w:rPr>
              <w:t>鞋</w:t>
            </w:r>
          </w:p>
        </w:tc>
        <w:tc>
          <w:tcPr>
            <w:tcW w:w="311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按实际作业和监护人员</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双</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双</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护目镜</w:t>
            </w:r>
          </w:p>
        </w:tc>
        <w:tc>
          <w:tcPr>
            <w:tcW w:w="311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按实际作业和监护人员</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防毒口罩</w:t>
            </w:r>
          </w:p>
        </w:tc>
        <w:tc>
          <w:tcPr>
            <w:tcW w:w="311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按实际作业和监护人员</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7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w:t>
            </w: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吸附材料</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（砂土等）</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批</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批</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五、临边作业</w:t>
            </w:r>
          </w:p>
        </w:tc>
        <w:tc>
          <w:tcPr>
            <w:tcW w:w="709" w:type="dxa"/>
            <w:vMerge w:val="restart"/>
            <w:tcBorders>
              <w:top w:val="nil"/>
              <w:left w:val="nil"/>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防坠落</w:t>
            </w: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防坠网</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按实际作业临边数量</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c>
          <w:tcPr>
            <w:tcW w:w="709" w:type="dxa"/>
            <w:vMerge w:val="continue"/>
            <w:tcBorders>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脚手架护栏</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按实际作业临边数量</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个人防护</w:t>
            </w:r>
          </w:p>
        </w:tc>
        <w:tc>
          <w:tcPr>
            <w:tcW w:w="141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五点式安全带</w:t>
            </w:r>
          </w:p>
        </w:tc>
        <w:tc>
          <w:tcPr>
            <w:tcW w:w="311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按实际作业和监护人员</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条</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条</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安全绳</w:t>
            </w:r>
          </w:p>
        </w:tc>
        <w:tc>
          <w:tcPr>
            <w:tcW w:w="311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按实际作业和监护人员</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条</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条</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防滑鞋</w:t>
            </w:r>
          </w:p>
        </w:tc>
        <w:tc>
          <w:tcPr>
            <w:tcW w:w="311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按实际作业和监护人员</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双</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双</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应急救援</w:t>
            </w:r>
          </w:p>
        </w:tc>
        <w:tc>
          <w:tcPr>
            <w:tcW w:w="141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绳梯</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780" w:hRule="atLeast"/>
        </w:trPr>
        <w:tc>
          <w:tcPr>
            <w:tcW w:w="8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六、动火作业</w:t>
            </w: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消防器材</w:t>
            </w: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灭火器</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每个动火点配备2个4kg手提式灭火器</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每个动火点配备2个4kg手提式灭火器</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555"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消防逃生面罩</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每个动火点配备2个</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555"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安全防护</w:t>
            </w: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气瓶支架</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按实际作业数量</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检测</w:t>
            </w: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易燃易爆气体检测仪</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按实际作业点配置</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如有需要</w:t>
            </w:r>
          </w:p>
        </w:tc>
      </w:tr>
      <w:tr>
        <w:tblPrEx>
          <w:tblCellMar>
            <w:top w:w="0" w:type="dxa"/>
            <w:left w:w="108" w:type="dxa"/>
            <w:bottom w:w="0" w:type="dxa"/>
            <w:right w:w="108" w:type="dxa"/>
          </w:tblCellMar>
        </w:tblPrEx>
        <w:trPr>
          <w:trHeight w:val="480" w:hRule="atLeast"/>
        </w:trPr>
        <w:tc>
          <w:tcPr>
            <w:tcW w:w="8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七、潜水作业</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(必须配备双供气系统)</w:t>
            </w:r>
          </w:p>
        </w:tc>
        <w:tc>
          <w:tcPr>
            <w:tcW w:w="709" w:type="dxa"/>
            <w:vMerge w:val="restart"/>
            <w:tcBorders>
              <w:top w:val="nil"/>
              <w:left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潜水套装</w:t>
            </w: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潜水服装</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按作业人员数量</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按救援人员数量</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安全背带、信号绳</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按作业人员数量</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条</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按救援人员数量</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条</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潜水鞋</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按作业人员数量</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双</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按救援人员数量</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双</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压铅</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按作业人员数量</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按救援人员数量</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left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潜水面罩</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按作业人员数量</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按救援人员数量</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潜水头盔</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按作业人员数量</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按救援人员数量</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潜水脐带</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按作业人员数量</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条</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按救援人员数量</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条</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应急气瓶</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按实际作业点配置</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按救援人员数量</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配气盘</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按实际作业点配置</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按救援人员数量</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气体连接管</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按实际作业点配置</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按救援人员数量</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空气过滤器</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按实际作业点配置</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按救援人员数量</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84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双供气系统</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（空气压缩机+气瓶）</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按实际作业点配置</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潜水通讯工具</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按实际作业点配置</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555"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检测</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管道流速检测仪</w:t>
            </w:r>
          </w:p>
        </w:tc>
        <w:tc>
          <w:tcPr>
            <w:tcW w:w="311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按实际作业点配置</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3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60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易燃易爆气体检测仪</w:t>
            </w:r>
          </w:p>
        </w:tc>
        <w:tc>
          <w:tcPr>
            <w:tcW w:w="311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按实际作业点配置</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32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60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如有需要</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救援设备</w:t>
            </w: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应急吊机</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台</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台</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三脚架</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660"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套</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救生衣</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件</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件</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41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救生圈</w:t>
            </w:r>
          </w:p>
        </w:tc>
        <w:tc>
          <w:tcPr>
            <w:tcW w:w="311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32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6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个</w:t>
            </w:r>
          </w:p>
        </w:tc>
        <w:tc>
          <w:tcPr>
            <w:tcW w:w="160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bl>
    <w:p>
      <w:pPr>
        <w:spacing w:line="360" w:lineRule="auto"/>
        <w:rPr>
          <w:rFonts w:hint="eastAsia" w:ascii="宋体" w:hAnsi="宋体" w:cs="宋体"/>
          <w:b/>
          <w:bCs/>
          <w:color w:val="000000" w:themeColor="text1"/>
          <w:sz w:val="24"/>
          <w:szCs w:val="24"/>
          <w:highlight w:val="none"/>
          <w14:textFill>
            <w14:solidFill>
              <w14:schemeClr w14:val="tx1"/>
            </w14:solidFill>
          </w14:textFill>
        </w:rPr>
      </w:pP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8</w:t>
      </w:r>
    </w:p>
    <w:tbl>
      <w:tblPr>
        <w:tblStyle w:val="25"/>
        <w:tblW w:w="6001" w:type="pct"/>
        <w:tblInd w:w="-9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3"/>
        <w:gridCol w:w="637"/>
        <w:gridCol w:w="675"/>
        <w:gridCol w:w="2800"/>
        <w:gridCol w:w="1688"/>
        <w:gridCol w:w="1550"/>
        <w:gridCol w:w="1512"/>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方正小标宋简体" w:hAnsi="方正小标宋简体" w:eastAsia="方正小标宋简体" w:cs="方正小标宋简体"/>
                <w:b w:val="0"/>
                <w:bCs w:val="0"/>
                <w:i w:val="0"/>
                <w:iCs w:val="0"/>
                <w:color w:val="000000" w:themeColor="text1"/>
                <w:kern w:val="0"/>
                <w:sz w:val="44"/>
                <w:szCs w:val="44"/>
                <w:highlight w:val="none"/>
                <w:u w:val="none"/>
                <w:lang w:val="en-US" w:eastAsia="zh-CN" w:bidi="ar"/>
                <w14:textFill>
                  <w14:solidFill>
                    <w14:schemeClr w14:val="tx1"/>
                  </w14:solidFill>
                </w14:textFill>
              </w:rPr>
              <w:t>营运项目承包单位日常履约考评参照表（安全）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序号</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考评项目</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考评分项</w:t>
            </w:r>
          </w:p>
        </w:tc>
        <w:tc>
          <w:tcPr>
            <w:tcW w:w="12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考评内容</w:t>
            </w:r>
          </w:p>
        </w:tc>
        <w:tc>
          <w:tcPr>
            <w:tcW w:w="289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12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合同金额＜5万</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5万≤合同金额＜30万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30万≤合同金额＜100万</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合同金额≥100万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安全事故</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事故类型</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发生发生3人及以上重伤或发生1人及以上死亡或直接经济损失达200万元以上的安全生产事故</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按“四不放过”调查后处理</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按“四不放过”调查后处理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按“四不放过”调查后处理</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按“四不放过”调查后处理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发生重伤2人安全事故的</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扣合同金额的30%～50%；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或1万～2万</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扣合同金额的20%～30%；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或2万～4万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扣合同金额的10%～20%；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或4万～8万</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扣合同金额的5%～10%;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或8万～12万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发生重伤1人安全事故的</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扣合同金额的20%～30%;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或5000～1万</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扣合同金额的10%～20%；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或1万～2万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扣合同金额的5%～10%；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或2万～4万</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扣合同金额的3%～5%；</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或4万～8万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4</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发生停产、影响环境、破坏公共设施、造成不良影响等事故的</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扣合同金额的10%～20%；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或2000～3000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扣合同金额的5%～10%；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或5000～1万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扣合同金额的3%～5%；</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或1万～2万</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扣合同金额的1%～2%；</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或2万～4万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1"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事故处理</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1.发生事故或事件隐瞒不报的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2.未在1小时内向业主单位上报事故的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3.拒绝、不配合事故事件调查的或事故事件调查提供虚假信息</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4.未按规定和程序组织事故调查和事故处理的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5.未及时处理导致事故扩大的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6.未落实“四不放过”的</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扣合同金额的30%～50%；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或1万～2万</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扣合同金额的20%～30%；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或2万～4万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扣合同金额的10%～20%；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或4万～8万</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扣合同金额的5%～10%;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或8万～12万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5"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6</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首次备案施工单位须提供的资料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一般资料</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1.施工人员签名的安全交底表（交底内容由分公司编写），被交底人员应与人员花名册一致</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2.施工单位对施工人员的三级安全教育材料</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3.特殊时期需要增加的资料（如新冠疫情期间，需要增加的人员健康码和行程码资料）</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缺资料扣合同金额的5%或500；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资料有问题扣合同金额的3%或300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缺资料扣合同金额的2%或2000；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资料有问题扣合同金额的1%或1000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缺资料扣合同金额的1%或4500；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资料有问题扣合同金额的0.4%或2000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缺资料扣合同金额的0.4%或8000；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资料有问题扣合同金额的0.2%或4000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8"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7</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施工方案</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4.施工方案，应满足合同要求，内容至少包括：</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施工点介绍</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施工内容（含作业流程、风险分析、施工工艺等）</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施工设备和材料（必要时含构件测试手段等）</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安全措施（根据工程特点、分公司的风险评估和施工单位的施工工艺制定）</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正常施工安全物资（主要是安全防护设备、劳保用品）</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缺施工方案扣合同金额的6%或700；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资料有问题扣合同金额的3%或300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缺施工方案扣合同金额的3%或3500；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资料有问题扣合同金额的1%或1000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缺施工方案扣合同金额的1.5%或5000；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资料有问题扣合同金额的0.5%或2500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缺施工方案扣合同金额的0.5%或1万；</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资料有问题扣合同金额的0.3%或5000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8</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应急预案</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5.应急预案，内容至少包括：</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现场情况介绍</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风险评估</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应急架构（包括应急主管人员和安全员，以及各应急小组，落实到人和联系方式）</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应急流程</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各种风险情况下的应急措施（根据现场情况、分公司的风险评估制定）</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应急物资清单</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外单位救援力量及联系方式等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缺应急预案扣合同金额的6%或700；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资料有问题扣合同金额的3%或300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缺应急预案扣合同金额的3%或3500；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资料有问题扣合同金额的1%或1000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缺应急预案扣合同金额的1.5%或5000；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资料有问题扣合同金额的0.5%或2500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缺应急预案扣合同金额的0.5%或1万；</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资料有问题扣合同金额的0.3%或5000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9</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安全架构</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6.安全架构和相应安全责任制（落实到人和联系方式），可编写入施工方案内，架构人员主要包括：</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安全责任人</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施工负责人（可与安全责任人为同一个人）</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安全员</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设备、物资管理人员</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关键岗位人员、特种作业人员</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缺安全架构扣合同金额的10%或2000；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缺少任何一类人员及其职责的扣合同金额的6%或700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缺安全架构扣合同金额的5%或5000；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缺少任何一类人员及其职责的扣合同金额的2%或2000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缺安全架构扣合同金额的2%或1万；</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缺少任何一类人员及其职责的扣合同金额的1%或5000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缺安全架构扣合同金额的1%或2万；</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缺少任何一类人员及其职责的扣合同金额的0.5%或1万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人员资质</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7.施工人员花名册，人员应包含：</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施工负责人（需要施工管理人员资格证书）</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安全员（涉及动火、临时用电、有限空间、高空、抽堵盲板、吊装、动土、断路、设备检修等9大危险作业的，安全员需要有安全员证）</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特种作业人员（附证件号，同时要复印特种作业证，特种作业人数应满足合同要求）</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一般施工人员</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可能需要进入厂区的其他人员（如监理人员、资料员等）</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注：如作业涉及危险作业，作业人员须有作业人员岗前职业病体检和筛选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缺花名册扣合同金额的5%或500；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缺特种作业人员或特种作业人员不满足合同要求，扣合同金额的5%或500；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其他人员或资料有缺漏扣合同金额的3%或300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缺花名册扣合同金额的2%或2000；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缺特种作业人员或特种作业人员不满足合同要求，扣合同金额的2%或2000；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其他人员或资料有缺漏扣合同金额的1%或1000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缺花名册扣合同金额的1%或4500；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缺特种作业人员或特种作业人员不满足合同要求，扣合同金额的1%或4500；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其他人员或资料有缺漏扣合同金额的0.4%或2000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缺花名册扣合同金额的0.4%或8000；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缺特种作业人员或特种作业人员不满足合同要求，扣合同金额的0.4%或8000；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其他人员或资料有缺漏扣合同金额的0.2%或4000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11</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施工现场管理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现场面貌</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1.施工现场未开展有效围蔽</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2.无七牌一图或有缺漏（七牌：工程概况牌：管理人员名单及监督电话牌、现场事故应急救援预案公示牌、安全生产牌、文明施工牌、消防保卫牌、环境保护牌；一图：施工现场平面图）</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3.现场无危险源公示、告知及相应警示</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4.材料堆放存在重大隐患</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扣合同金额的6%或700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扣合同金额的3%或3500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扣合同金额的1.5%或5000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扣合同金额的0.5%或1万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9"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12</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施工管理</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1.现场未按施工方案落实安全防范措施的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2.危险作业未经业主人员审批先行施工的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3.未按施工方案施工的</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扣合同金额的10%或2000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扣合同金额的5%或5000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扣合同金额的2%或1万</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扣合同金额的1%或2万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13</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每日安全交底</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1.缺少书面交底、未留存书面资料或交底资料缺少交底人、被交底人及安全员签字的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2.内容未结合当天的现场状况、特点、工序，对危险因素、施工内容、安全作业和应急措施进行交底的</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扣合同金额的3%或300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扣合同金额的1%或1000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扣合同金额的0.5%或2500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扣合同金额的0.3%或5000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14</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作业行为管理</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1.违反9大危险作业相关作业规范的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2.现场存在违章作业、违章指挥等违反相关安全管理规定或制度的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3.人员错误使用劳保用品3次以上的</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扣合同金额的6%或700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扣合同金额的3%或3500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扣合同金额的1.5%或5000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扣合同金额的0.5%或1万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15</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安全记录</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未按施工要求开展现场记录或记录内容有缺失</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扣合同金额的3%或300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扣合同金额的1%或1000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扣合同金额的0.5%或2500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扣合同金额的0.3%或5000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16</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应急管理</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1.未设置应急物资点，未统一存放应急物资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2.应急物资点无应急物资清单或无应急物资每日检查表</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3.无开展日常应急培训、训练、演练或无资料留档的</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扣合同金额的3%或300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扣合同金额的1%或1000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扣合同金额的0.5%或2500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扣合同金额的0.3%或5000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17</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人员管理</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人员变更无完善的手续及资料的</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扣合同金额的3%或300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扣合同金额的1%或1000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扣合同金额的0.5%或2500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扣合同金额的0.3%或5000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18</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隐患管理</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未及时对发现的隐患开展整改的</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扣合同金额的5%或500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扣合同金额的2%或2000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扣合同金额的1%或4500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扣合同金额的0.4%或8000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7"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19</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其他</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违反业主或上级主管部门提出的其他管理要求、文件、规定或拒不执行的</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扣合同金额的3%～5%；</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或300～500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扣合同金额的1%～2%；</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或1000～2000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扣合同金额的0.5%～1%；</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或2500～4500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扣合同金额的0.3%～0.4%；</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或5000～8000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spacing w:line="29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注：1、与安全管理相关的考评内容具体考评标准内容参照广州市净水有限公司标准《工程项目安全管理规范》（Q/GZJSA 1-2021）执行。</w:t>
            </w:r>
          </w:p>
        </w:tc>
      </w:tr>
    </w:tbl>
    <w:p>
      <w:pPr>
        <w:spacing w:line="32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br w:type="page"/>
      </w:r>
    </w:p>
    <w:tbl>
      <w:tblPr>
        <w:tblStyle w:val="25"/>
        <w:tblW w:w="582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
        <w:gridCol w:w="763"/>
        <w:gridCol w:w="640"/>
        <w:gridCol w:w="2910"/>
        <w:gridCol w:w="1376"/>
        <w:gridCol w:w="900"/>
        <w:gridCol w:w="915"/>
        <w:gridCol w:w="960"/>
        <w:gridCol w:w="885"/>
        <w:gridCol w:w="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方正小标宋简体" w:hAnsi="方正小标宋简体" w:eastAsia="方正小标宋简体" w:cs="方正小标宋简体"/>
                <w:b w:val="0"/>
                <w:bCs w:val="0"/>
                <w:i w:val="0"/>
                <w:iCs w:val="0"/>
                <w:color w:val="000000" w:themeColor="text1"/>
                <w:kern w:val="0"/>
                <w:sz w:val="44"/>
                <w:szCs w:val="44"/>
                <w:highlight w:val="none"/>
                <w:u w:val="none"/>
                <w:lang w:val="en-US" w:eastAsia="zh-CN" w:bidi="ar"/>
                <w14:textFill>
                  <w14:solidFill>
                    <w14:schemeClr w14:val="tx1"/>
                  </w14:solidFill>
                </w14:textFill>
              </w:rPr>
              <w:t>营运项目承包单位综合履约考评表（安全）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jc w:val="center"/>
        </w:trPr>
        <w:tc>
          <w:tcPr>
            <w:tcW w:w="2287"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8"/>
                <w:szCs w:val="28"/>
                <w:highlight w:val="none"/>
                <w:u w:val="none"/>
                <w:lang w:val="en-US" w:eastAsia="zh-CN" w:bidi="ar"/>
                <w14:textFill>
                  <w14:solidFill>
                    <w14:schemeClr w14:val="tx1"/>
                  </w14:solidFill>
                </w14:textFill>
              </w:rPr>
              <w:t>项目名称：</w:t>
            </w:r>
          </w:p>
        </w:tc>
        <w:tc>
          <w:tcPr>
            <w:tcW w:w="652" w:type="pct"/>
            <w:tcBorders>
              <w:top w:val="nil"/>
              <w:left w:val="nil"/>
              <w:bottom w:val="nil"/>
              <w:right w:val="nil"/>
            </w:tcBorders>
            <w:shd w:val="clear" w:color="auto" w:fill="auto"/>
            <w:noWrap/>
            <w:vAlign w:val="center"/>
          </w:tcPr>
          <w:p>
            <w:pPr>
              <w:jc w:val="center"/>
              <w:rPr>
                <w:rFonts w:hint="eastAsia" w:ascii="仿宋_GB2312" w:hAnsi="仿宋_GB2312" w:eastAsia="仿宋_GB2312" w:cs="仿宋_GB2312"/>
                <w:b w:val="0"/>
                <w:bCs w:val="0"/>
                <w:i w:val="0"/>
                <w:iCs w:val="0"/>
                <w:color w:val="000000" w:themeColor="text1"/>
                <w:sz w:val="28"/>
                <w:szCs w:val="28"/>
                <w:highlight w:val="none"/>
                <w:u w:val="none"/>
                <w14:textFill>
                  <w14:solidFill>
                    <w14:schemeClr w14:val="tx1"/>
                  </w14:solidFill>
                </w14:textFill>
              </w:rPr>
            </w:pPr>
          </w:p>
        </w:tc>
        <w:tc>
          <w:tcPr>
            <w:tcW w:w="2060" w:type="pct"/>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8"/>
                <w:szCs w:val="28"/>
                <w:highlight w:val="none"/>
                <w:u w:val="none"/>
                <w:lang w:val="en-US" w:eastAsia="zh-CN" w:bidi="ar"/>
                <w14:textFill>
                  <w14:solidFill>
                    <w14:schemeClr w14:val="tx1"/>
                  </w14:solidFill>
                </w14:textFill>
              </w:rPr>
              <w:t>综合考评日期：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序号</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考评项目</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考评分项</w:t>
            </w:r>
          </w:p>
        </w:tc>
        <w:tc>
          <w:tcPr>
            <w:tcW w:w="1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考评内容</w:t>
            </w:r>
          </w:p>
        </w:tc>
        <w:tc>
          <w:tcPr>
            <w:tcW w:w="6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考评标准</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监理单位考评</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分公司考评</w:t>
            </w: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公司考评</w:t>
            </w: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ind w:right="-10" w:rightChars="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综合考评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1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业务主管部门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安全管理部门</w:t>
            </w: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一、加分部分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综合管理</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受到业主单位或上级管理部门通报表扬的</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加5～10分/项，可叠加</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现场管理</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积极配合业主单位做好安全工作及相关宣传教育，积极主动排查隐患的</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加5分/项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二、扣分部分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安全事故</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事故类型</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发生重伤1人及以上安全事故，或直接经济损失达200万元以上的安全生产事故</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扣100分/项，同时3年内禁止来我公司投标</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6</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发生停产、影响环境、破坏公共设施、造成不良影响等事故的</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扣40分/项，可叠加，到达100分，3年内禁止来我公司投标</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7</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事故处理</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1.发生事故或事件隐瞒不报的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2.未在1小时内向业主单位上报事故的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3.拒绝、不配合事故事件调查的或事故事件调查提供虚假信息</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4.未按规定和程序组织事故调查和事故处理的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5.未及时处理导致事故扩大的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6.未落实“四不放过”的</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扣100分/项，同时3年内禁止来我公司投标</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8</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首次备案施工单位须提供的资料</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一般资料</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1.施工人员签名的安全交底表（交底内容由分公司编写），被交底人员应与人员花名册一致</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2.施工单位对施工人员的三级安全教育材料</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3.特殊时期需要增加的资料（如新冠疫情期间，需要增加的人员健康码和行程码资料）</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缺资料扣3～5分/项；</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资料有问题扣1～3分/项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9</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施工方案</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4.施工方案，应满足合同要求，内容至少包括：</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施工点介绍</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施工内容（含作业流程、风险分析、施工工艺等）</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施工设备和材料（必要时含构件测试手段等）</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安全措施（根据工程特点、分公司的风险评估和施工单位的施工工艺制定）</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正常施工安全物资（主要是安全防护设备、劳保用品）</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缺施工方案扣4～8分/项；</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资料有问题扣1～3分/项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应急预案</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5.应急预案，内容至少包括：</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现场情况介绍</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风险评估</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应急架构（包括应急主管人员和安全员，以及各应急小组，落实到人和联系方式）</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应急流程</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各种风险情况下的应急措施（根据现场情况、分公司的风险评估制定）</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应急物资清单</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外单位救援力量及联系方式等</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缺应急预案扣4～8分/项；</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资料有问题扣1～3分/项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11</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安全架构</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6.安全架构和相应安全责任制（落实到人和联系方式），可编写入施工方案内，架构人员主要包括：</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安全责任人</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施工负责人（可与安全责任人为同一个人）</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安全员</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设备、物资管理人员</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关键岗位人员、特种作业人员</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缺安全架构扣5～10分/项；</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缺任何一类人员及其职责有问题扣2～4分/项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12</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人员资质</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7.施工人员花名册，人员应包含：</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施工负责人（需要施工管理人员资格证书）</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安全员（涉及动火、临时用电、有限空间、高空、抽堵盲板、吊装、动土、断路、设备检修等9大危险作业的，安全员需要有安全员证）</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特种作业人员（附证件号，同时要复印特种作业证，特种作业人数应满足合同要求）</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一般施工人员</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可能需要进入厂区的其他人员（如监理人员、资料员等）</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注：如作业涉及危险作业，作业人员须有作业人员岗前职业病体检和筛选</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缺花名册扣3～5分/项；</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缺特种作业人员或特种作业人员不满足合同要求扣3～5分/项；</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其他人员或资料有缺漏扣1～3分/项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13</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施工现场管理</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现场面貌</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1.施工现场未开展有效围蔽</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2.无七牌一图或有缺漏（七牌：工程概况牌：管理人员名单及监督电话牌、现场事故应急救援预案公示牌、安全生产牌、文明施工牌、消防保卫牌、环境保护牌；一图：施工现场平面图）</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3.现场无危险源公示、告知及相应警示</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4.材料堆放存在重大隐患</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扣2～4分/项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14</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施工管理</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1.现场未按施工方案落实安全防范措施的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2.危险作业未经业主人员审批先行施工的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3.未按施工方案施工的</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扣3～5分/项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2"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15</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每日安全交底</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1.缺少书面交底、未留存书面资料或交底资料缺少交底人、被交底人及安全员签字的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2.内容未结合当天的现场状况、特点、工序，对危险因素、施工内容、安全作业和应急措施进行交底的</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扣2～4分/项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9"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16</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作业行为管理</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1.违反9大危险作业相关作业规范的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2.现场存在违章作业、违章指挥等违反相关安全管理规定或制度的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3.人员错误使用劳保用品3次以上的</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扣3～5分/项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17</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安全记录</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未按施工要求开展现场记录或记录内容有缺失</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扣2～4分/项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18</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应急管理</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1.未设置应急物资点，未统一存放应急物资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2.应急物资点无应急物资清单或无应急物资每日检查表</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3.无开展日常应急培训、训练、演练或无资料留档的</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扣2～4分/项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19</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人员管理</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人员变更无完善的手续及资料的</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扣3～5分/项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20</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隐患管理</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未及时对发现的隐患开展整改的</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扣4～8分/项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21</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其他</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违反业主或上级主管部门提出的其他管理要求、文件、规定或拒不执行的</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扣2～5分/项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2" w:hRule="atLeast"/>
          <w:jc w:val="center"/>
        </w:trPr>
        <w:tc>
          <w:tcPr>
            <w:tcW w:w="5000" w:type="pct"/>
            <w:gridSpan w:val="10"/>
            <w:tcBorders>
              <w:top w:val="nil"/>
              <w:left w:val="nil"/>
              <w:bottom w:val="nil"/>
              <w:right w:val="nil"/>
            </w:tcBorders>
            <w:shd w:val="clear" w:color="auto" w:fill="auto"/>
            <w:vAlign w:val="center"/>
          </w:tcPr>
          <w:p>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注：1、综合考评满分100分，各考评项目扣分不设上限；</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2、监理单位考评只作为参考及履职依据，不计入考评，无监理单位不需填写；</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3、“公司考评”业务主管部门和安全办针对本部门检查发现的内容进行扣（奖）分，项目部已经进行扣（奖）分的不重复执行；</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4、各分公司考评填写相应的得（扣）分数值，如奖2分则填写“2”，扣2分则填写“-2”；</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5、单项“综合考评”=项目部考评+公司考评；综合考评总分=各单项“综合考评”+100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6、最后得分=综合考评总分X类别系数；</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7、各考评项目具体考评标准内容参照广州市净水有限公司标准《工程项目安全管理规范》（Q/GZJSA 1-2021）执行。 </w:t>
            </w:r>
          </w:p>
        </w:tc>
      </w:tr>
    </w:tbl>
    <w:p>
      <w:pPr>
        <w:rPr>
          <w:rFonts w:hint="eastAsia" w:ascii="宋体" w:hAnsi="宋体" w:eastAsia="宋体" w:cs="宋体"/>
          <w:b/>
          <w:bCs/>
          <w:color w:val="000000" w:themeColor="text1"/>
          <w:sz w:val="24"/>
          <w:szCs w:val="24"/>
          <w:highlight w:val="none"/>
          <w14:textFill>
            <w14:solidFill>
              <w14:schemeClr w14:val="tx1"/>
            </w14:solidFill>
          </w14:textFill>
        </w:rPr>
      </w:pPr>
    </w:p>
    <w:p>
      <w:pPr>
        <w:spacing w:line="52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9</w:t>
      </w:r>
    </w:p>
    <w:p>
      <w:pPr>
        <w:spacing w:line="240" w:lineRule="auto"/>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预付款保函</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模板</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致：</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（受益人）</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鉴于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（以下简称“委托人”）与你方于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年  月  日</w:t>
      </w:r>
      <w:r>
        <w:rPr>
          <w:rFonts w:hint="eastAsia" w:ascii="仿宋_GB2312" w:hAnsi="仿宋_GB2312" w:eastAsia="仿宋_GB2312" w:cs="仿宋_GB2312"/>
          <w:color w:val="000000" w:themeColor="text1"/>
          <w:sz w:val="28"/>
          <w:szCs w:val="28"/>
          <w:highlight w:val="none"/>
          <w14:textFill>
            <w14:solidFill>
              <w14:schemeClr w14:val="tx1"/>
            </w14:solidFill>
          </w14:textFill>
        </w:rPr>
        <w:t>签订了</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（以下简称“合同”），你方将按上述基础交易合同约定向委托人支付预付款人民币</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元（大写：</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）。我行接受委托人的申请，特此开立以你方为受益人的最高金额为人民币（大写：</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）（以下称“保函金额”）的保函。</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一、本保函为不可撤销、见索即付的独立保函。</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二、在本保函的有效期内，如委托人违反上述基础交易合同约定的义务而未向你方退还预付款，我行将在收到你方提交的符合下述要求的索赔通知书后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日内，以上述保函金额为限向你方支付相应款项。</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（一）索赔通知书须写明请求付款的金额，并声明该款项并未由委托人或其代理人直接或间接地支付给你方；</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（二）索赔通知书应由你方法定代表人签字并加盖公章；</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（三）索赔通知书必须于本保函有效期截止日前送达我行。</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三、合同的任何修改、变更、解释或不可执行都不能削弱或免除我行按本保函应承担的义务。</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本保函金额将随我行已向你方支付的金额而自动作相应递减。</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四、本保函未经我行书面同意不得转让。</w:t>
      </w:r>
    </w:p>
    <w:p>
      <w:pPr>
        <w:spacing w:line="4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五、本保函自签发之日起生效，有效期至</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止。在上述期限内若累计赔偿额达到前述保函金额，本保函提前失效。本保函到期后，无论保函原件是否退回我行，皆告失效。</w:t>
      </w:r>
    </w:p>
    <w:p>
      <w:pPr>
        <w:spacing w:line="460" w:lineRule="exact"/>
        <w:ind w:firstLine="630" w:firstLineChars="22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p>
    <w:p>
      <w:pPr>
        <w:spacing w:line="460" w:lineRule="exact"/>
        <w:ind w:firstLine="560" w:firstLineChars="200"/>
        <w:rPr>
          <w:rFonts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备注：</w:t>
      </w:r>
      <w:r>
        <w:rPr>
          <w:rFonts w:hint="eastAsia" w:ascii="仿宋_GB2312" w:hAnsi="仿宋_GB2312" w:eastAsia="仿宋_GB2312" w:cs="仿宋_GB2312"/>
          <w:color w:val="000000" w:themeColor="text1"/>
          <w:sz w:val="28"/>
          <w:szCs w:val="28"/>
          <w:highlight w:val="none"/>
          <w14:textFill>
            <w14:solidFill>
              <w14:schemeClr w14:val="tx1"/>
            </w14:solidFill>
          </w14:textFill>
        </w:rPr>
        <w:t>本预付款担保格式可采用经</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认可的其他格式，但相关内容不得违背合同文件约定的实质性内容。</w:t>
      </w:r>
    </w:p>
    <w:p>
      <w:pPr>
        <w:rPr>
          <w:rFonts w:hint="eastAsia" w:ascii="黑体" w:hAnsi="黑体" w:eastAsia="黑体" w:cs="黑体"/>
          <w:sz w:val="32"/>
          <w:szCs w:val="32"/>
          <w:highlight w:val="none"/>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附件10</w:t>
      </w:r>
    </w:p>
    <w:p>
      <w:pPr>
        <w:jc w:val="center"/>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施工作业人员工资支付情况说明</w:t>
      </w:r>
      <w:r>
        <w:rPr>
          <w:rFonts w:hint="eastAsia" w:ascii="方正小标宋简体" w:hAnsi="方正小标宋简体" w:eastAsia="方正小标宋简体" w:cs="方正小标宋简体"/>
          <w:b w:val="0"/>
          <w:bCs w:val="0"/>
          <w:sz w:val="44"/>
          <w:szCs w:val="44"/>
          <w:highlight w:val="none"/>
          <w:lang w:eastAsia="zh-CN"/>
        </w:rPr>
        <w:t>（</w:t>
      </w:r>
      <w:r>
        <w:rPr>
          <w:rFonts w:hint="eastAsia" w:ascii="方正小标宋简体" w:hAnsi="方正小标宋简体" w:eastAsia="方正小标宋简体" w:cs="方正小标宋简体"/>
          <w:b w:val="0"/>
          <w:bCs w:val="0"/>
          <w:sz w:val="44"/>
          <w:szCs w:val="44"/>
          <w:highlight w:val="none"/>
          <w:lang w:val="en-US" w:eastAsia="zh-CN"/>
        </w:rPr>
        <w:t>模板</w:t>
      </w:r>
      <w:r>
        <w:rPr>
          <w:rFonts w:hint="eastAsia" w:ascii="方正小标宋简体" w:hAnsi="方正小标宋简体" w:eastAsia="方正小标宋简体" w:cs="方正小标宋简体"/>
          <w:b w:val="0"/>
          <w:bCs w:val="0"/>
          <w:sz w:val="44"/>
          <w:szCs w:val="44"/>
          <w:highlight w:val="none"/>
          <w:lang w:eastAsia="zh-CN"/>
        </w:rPr>
        <w:t>）</w:t>
      </w:r>
    </w:p>
    <w:p>
      <w:pPr>
        <w:jc w:val="both"/>
        <w:rPr>
          <w:rFonts w:hint="eastAsia"/>
          <w:sz w:val="40"/>
          <w:szCs w:val="40"/>
          <w:highlight w:val="none"/>
        </w:rPr>
      </w:pP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广州</w:t>
      </w:r>
      <w:r>
        <w:rPr>
          <w:rFonts w:hint="eastAsia" w:ascii="仿宋_GB2312" w:hAnsi="仿宋_GB2312" w:eastAsia="仿宋_GB2312" w:cs="仿宋_GB2312"/>
          <w:sz w:val="28"/>
          <w:szCs w:val="28"/>
          <w:highlight w:val="none"/>
          <w:lang w:val="en-US" w:eastAsia="zh-CN"/>
        </w:rPr>
        <w:t>市</w:t>
      </w:r>
      <w:r>
        <w:rPr>
          <w:rFonts w:hint="eastAsia" w:ascii="仿宋_GB2312" w:hAnsi="仿宋_GB2312" w:eastAsia="仿宋_GB2312" w:cs="仿宋_GB2312"/>
          <w:sz w:val="28"/>
          <w:szCs w:val="28"/>
          <w:highlight w:val="none"/>
        </w:rPr>
        <w:t>净水有限公司:</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我公司负责建设的《</w:t>
      </w:r>
      <w:r>
        <w:rPr>
          <w:rFonts w:hint="eastAsia" w:ascii="仿宋_GB2312" w:hAnsi="仿宋_GB2312" w:eastAsia="仿宋_GB2312" w:cs="仿宋_GB2312"/>
          <w:sz w:val="28"/>
          <w:szCs w:val="28"/>
          <w:highlight w:val="none"/>
          <w:lang w:val="en-US" w:eastAsia="zh-CN"/>
        </w:rPr>
        <w:t>XX合同（统筹项目XX子项）</w:t>
      </w:r>
      <w:r>
        <w:rPr>
          <w:rFonts w:hint="eastAsia" w:ascii="仿宋_GB2312" w:hAnsi="仿宋_GB2312" w:eastAsia="仿宋_GB2312" w:cs="仿宋_GB2312"/>
          <w:sz w:val="28"/>
          <w:szCs w:val="28"/>
          <w:highlight w:val="none"/>
        </w:rPr>
        <w:t>》已经按合同约定完成</w:t>
      </w:r>
      <w:r>
        <w:rPr>
          <w:rFonts w:hint="eastAsia" w:ascii="仿宋_GB2312" w:hAnsi="仿宋_GB2312" w:eastAsia="仿宋_GB2312" w:cs="仿宋_GB2312"/>
          <w:sz w:val="28"/>
          <w:szCs w:val="28"/>
          <w:highlight w:val="none"/>
          <w:lang w:val="en-US" w:eastAsia="zh-CN"/>
        </w:rPr>
        <w:t>施工</w:t>
      </w:r>
      <w:r>
        <w:rPr>
          <w:rFonts w:hint="eastAsia" w:ascii="仿宋_GB2312" w:hAnsi="仿宋_GB2312" w:eastAsia="仿宋_GB2312" w:cs="仿宋_GB2312"/>
          <w:sz w:val="28"/>
          <w:szCs w:val="28"/>
          <w:highlight w:val="none"/>
        </w:rPr>
        <w:t>，该项目施工作业人员工资已相应支付，</w:t>
      </w:r>
      <w:r>
        <w:rPr>
          <w:rFonts w:hint="eastAsia" w:ascii="仿宋_GB2312" w:hAnsi="仿宋_GB2312" w:eastAsia="仿宋_GB2312" w:cs="仿宋_GB2312"/>
          <w:sz w:val="28"/>
          <w:szCs w:val="28"/>
          <w:highlight w:val="none"/>
          <w:lang w:val="en-US" w:eastAsia="zh-CN"/>
        </w:rPr>
        <w:t>无扣款、</w:t>
      </w:r>
      <w:r>
        <w:rPr>
          <w:rFonts w:hint="eastAsia" w:ascii="仿宋_GB2312" w:hAnsi="仿宋_GB2312" w:eastAsia="仿宋_GB2312" w:cs="仿宋_GB2312"/>
          <w:sz w:val="28"/>
          <w:szCs w:val="28"/>
          <w:highlight w:val="none"/>
        </w:rPr>
        <w:t>无拖延拖欠情况。</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特此说明!</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w:t>
      </w:r>
    </w:p>
    <w:p>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项目承包单位(公章):</w:t>
      </w:r>
    </w:p>
    <w:p>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项目负责人(签名):</w:t>
      </w:r>
    </w:p>
    <w:p>
      <w:pPr>
        <w:ind w:firstLine="5600" w:firstLineChars="20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日</w:t>
      </w:r>
    </w:p>
    <w:p>
      <w:pPr>
        <w:jc w:val="both"/>
        <w:rPr>
          <w:rFonts w:hint="eastAsia" w:ascii="仿宋_GB2312" w:hAnsi="仿宋_GB2312" w:eastAsia="仿宋_GB2312" w:cs="仿宋_GB2312"/>
          <w:sz w:val="28"/>
          <w:szCs w:val="28"/>
          <w:highlight w:val="none"/>
          <w:lang w:val="en-US" w:eastAsia="zh-CN"/>
        </w:rPr>
      </w:pPr>
    </w:p>
    <w:p>
      <w:pPr>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（该项目所有施工作业人员）施工作业人员确认签字（加盖手印）： </w:t>
      </w:r>
    </w:p>
    <w:p>
      <w:pPr>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rPr>
          <w:rFonts w:hint="default" w:ascii="黑体" w:hAnsi="黑体" w:eastAsia="黑体" w:cs="黑体"/>
          <w:sz w:val="32"/>
          <w:szCs w:val="32"/>
          <w:highlight w:val="none"/>
          <w:lang w:val="en-US"/>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附件11</w:t>
      </w:r>
    </w:p>
    <w:p>
      <w:pPr>
        <w:adjustRightInd w:val="0"/>
        <w:snapToGrid w:val="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不</w:t>
      </w:r>
      <w:r>
        <w:rPr>
          <w:rFonts w:hint="eastAsia" w:ascii="方正小标宋简体" w:hAnsi="方正小标宋简体" w:eastAsia="方正小标宋简体" w:cs="方正小标宋简体"/>
          <w:sz w:val="32"/>
          <w:szCs w:val="32"/>
          <w:lang w:val="en-US" w:eastAsia="zh-CN"/>
        </w:rPr>
        <w:t>履约</w:t>
      </w:r>
      <w:r>
        <w:rPr>
          <w:rFonts w:hint="eastAsia" w:ascii="方正小标宋简体" w:hAnsi="方正小标宋简体" w:eastAsia="方正小标宋简体" w:cs="方正小标宋简体"/>
          <w:sz w:val="32"/>
          <w:szCs w:val="32"/>
        </w:rPr>
        <w:t>行为的情形及相应被暂停参与投标活动的处理标准</w:t>
      </w:r>
    </w:p>
    <w:tbl>
      <w:tblPr>
        <w:tblStyle w:val="25"/>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5245"/>
        <w:gridCol w:w="850"/>
        <w:gridCol w:w="198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序号</w:t>
            </w:r>
          </w:p>
        </w:tc>
        <w:tc>
          <w:tcPr>
            <w:tcW w:w="5671"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行为的情形</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处理</w:t>
            </w:r>
          </w:p>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期限</w:t>
            </w:r>
          </w:p>
        </w:tc>
        <w:tc>
          <w:tcPr>
            <w:tcW w:w="19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情节严重或拒不改正的延长处理期限</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安全不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（一）建设生产现场发生人员重伤或死亡的。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发生重伤或死亡1～2人的，暂停投标1年至2年（含）。</w:t>
            </w:r>
          </w:p>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发生重伤或死亡3～9人的，暂停投标2年以上至4年。</w:t>
            </w:r>
          </w:p>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发生重伤10人以上（含）、或重大及以上事故的，暂停投标4年或以上。</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政府认定责任事故增加6个月。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42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发生基坑坍塌、高支模坍塌、结构坍塌、周边建筑物沉降、管线损坏、火灾、爆炸等，虽无人员伤亡但造成重大社会负面影响的事件。重大社会负面影响包括但不限于交通中断、大面积停水停电停气、大范围通信中断、人员紧急疏散、中断行车2小时以上，大面积运营晚点，或群体性事件等。</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视情况暂停投标1至2年。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3</w:t>
            </w:r>
          </w:p>
        </w:tc>
        <w:tc>
          <w:tcPr>
            <w:tcW w:w="42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（三）根据《广州市净水有限公司工程项目承包单位考评细则》安全管理未达标且符合限制投标处罚标准的。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暂停投标1年。若至下一个自然年度项目尚未完结，仍出现该款情形的，继续暂停投标1年；同理执行至工程建设项目完工验收完成。</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4</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质量不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（一）由于质量问题对建设项目的使用功能造成影响且无法挽回的。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5</w:t>
            </w:r>
          </w:p>
        </w:tc>
        <w:tc>
          <w:tcPr>
            <w:tcW w:w="42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（二）根据《广州市净水有限公司工程项目承包单位考评细则》质量管理未达标且符合限制投标处罚标准的。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暂停投标1年。若至下一个自然年度项目尚未完结，仍出现该款情形的，继续暂停投标1年；同理执行至工程建设项目完工验收完成。</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6</w:t>
            </w:r>
          </w:p>
        </w:tc>
        <w:tc>
          <w:tcPr>
            <w:tcW w:w="42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（三）发生其他由质量问题而引起的重大社会负面影响事件的。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7</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其他不</w:t>
            </w:r>
            <w:r>
              <w:rPr>
                <w:rFonts w:hint="eastAsia" w:ascii="仿宋_GB2312" w:hAnsi="仿宋_GB2312" w:eastAsia="仿宋_GB2312" w:cs="仿宋_GB2312"/>
                <w:szCs w:val="24"/>
                <w:lang w:val="en-US" w:eastAsia="zh-CN"/>
              </w:rPr>
              <w:t>履约</w:t>
            </w:r>
          </w:p>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（一）投标、询价过程弄虚作假、串通报价投标、任意弃标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8</w:t>
            </w:r>
          </w:p>
        </w:tc>
        <w:tc>
          <w:tcPr>
            <w:tcW w:w="42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（二）发生质量事故或安全事故造成社会负面影响需要面对媒体和进行危机公关，参建企业法定代表人在规定的时间内未到现场面对媒体进行危机公关的。</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9</w:t>
            </w:r>
          </w:p>
        </w:tc>
        <w:tc>
          <w:tcPr>
            <w:tcW w:w="42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（三）因参建企业原因造成信访、维稳事件，造成较大社会影响。</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10</w:t>
            </w:r>
          </w:p>
        </w:tc>
        <w:tc>
          <w:tcPr>
            <w:tcW w:w="42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（四）中标后转包工程、非法分包工程、非法转让业务的。</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11</w:t>
            </w:r>
          </w:p>
        </w:tc>
        <w:tc>
          <w:tcPr>
            <w:tcW w:w="42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（五）因人员、机械投入及配套服务投入不足，主要管理人员未按照投标文件响应到位，导致严重影响工期，被市水投集团相关部门及发包人督办、警告和约谈3次的。</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12</w:t>
            </w:r>
          </w:p>
        </w:tc>
        <w:tc>
          <w:tcPr>
            <w:tcW w:w="42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（六）未经批准擅自更换项目</w:t>
            </w:r>
            <w:r>
              <w:rPr>
                <w:rFonts w:hint="eastAsia" w:ascii="仿宋_GB2312" w:hAnsi="仿宋_GB2312" w:eastAsia="仿宋_GB2312" w:cs="仿宋_GB2312"/>
                <w:szCs w:val="24"/>
                <w:lang w:val="en-US" w:eastAsia="zh-CN"/>
              </w:rPr>
              <w:t>负责人</w:t>
            </w:r>
            <w:r>
              <w:rPr>
                <w:rFonts w:hint="eastAsia" w:ascii="仿宋_GB2312" w:hAnsi="仿宋_GB2312" w:eastAsia="仿宋_GB2312" w:cs="仿宋_GB2312"/>
                <w:szCs w:val="24"/>
              </w:rPr>
              <w:t>的。</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13</w:t>
            </w:r>
          </w:p>
        </w:tc>
        <w:tc>
          <w:tcPr>
            <w:tcW w:w="42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（七）严重违反合同约定的，具体包括但不限于以下行为：</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14</w:t>
            </w:r>
          </w:p>
        </w:tc>
        <w:tc>
          <w:tcPr>
            <w:tcW w:w="42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1.提供或使用假冒伪劣或以次充好产品、不符合国家规范规定材料的。</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15</w:t>
            </w:r>
          </w:p>
        </w:tc>
        <w:tc>
          <w:tcPr>
            <w:tcW w:w="42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2.工程竣工验收后，不出具质量保修书的，或质量保修的内容、期限违反规定的。</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16</w:t>
            </w:r>
          </w:p>
        </w:tc>
        <w:tc>
          <w:tcPr>
            <w:tcW w:w="42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3.不履行保修义务或者拖延履行保修义务的。</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17</w:t>
            </w:r>
          </w:p>
        </w:tc>
        <w:tc>
          <w:tcPr>
            <w:tcW w:w="42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4.其他经认定为严重违反合同规定的。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18</w:t>
            </w:r>
          </w:p>
        </w:tc>
        <w:tc>
          <w:tcPr>
            <w:tcW w:w="42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（八）违反廉洁协议约定的。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19</w:t>
            </w:r>
          </w:p>
        </w:tc>
        <w:tc>
          <w:tcPr>
            <w:tcW w:w="42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（九）拖欠农民工工资，造成不良后果的。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20</w:t>
            </w:r>
          </w:p>
        </w:tc>
        <w:tc>
          <w:tcPr>
            <w:tcW w:w="42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（十）为谋取非法利益，给市水投集团或发包人造成损失的。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21</w:t>
            </w:r>
          </w:p>
        </w:tc>
        <w:tc>
          <w:tcPr>
            <w:tcW w:w="42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（十一）因参建企业原因造成第三者财产重大损失的。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22</w:t>
            </w:r>
          </w:p>
        </w:tc>
        <w:tc>
          <w:tcPr>
            <w:tcW w:w="42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hint="eastAsia" w:ascii="仿宋_GB2312" w:hAnsi="仿宋_GB2312" w:eastAsia="仿宋_GB2312" w:cs="仿宋_GB2312"/>
                <w:szCs w:val="24"/>
              </w:rPr>
            </w:pPr>
            <w:r>
              <w:rPr>
                <w:rFonts w:hint="eastAsia" w:ascii="仿宋_GB2312" w:hAnsi="仿宋_GB2312" w:eastAsia="仿宋_GB2312" w:cs="仿宋_GB2312"/>
                <w:szCs w:val="24"/>
              </w:rPr>
              <w:t>（十二）经发包人认定的其他不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bl>
    <w:p>
      <w:pPr>
        <w:pStyle w:val="24"/>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备注：本处理标准出自</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sz w:val="24"/>
          <w:szCs w:val="24"/>
        </w:rPr>
        <w:t>广州市净水有限公司经营建设项目参建企业</w:t>
      </w:r>
      <w:r>
        <w:rPr>
          <w:rFonts w:hint="eastAsia" w:ascii="仿宋_GB2312" w:hAnsi="仿宋_GB2312" w:eastAsia="仿宋_GB2312" w:cs="仿宋_GB2312"/>
          <w:sz w:val="24"/>
          <w:szCs w:val="24"/>
          <w:lang w:val="en-US" w:eastAsia="zh-CN"/>
        </w:rPr>
        <w:t>不履约评价</w:t>
      </w:r>
      <w:r>
        <w:rPr>
          <w:rFonts w:hint="eastAsia" w:ascii="仿宋_GB2312" w:hAnsi="仿宋_GB2312" w:eastAsia="仿宋_GB2312" w:cs="仿宋_GB2312"/>
          <w:sz w:val="24"/>
          <w:szCs w:val="24"/>
        </w:rPr>
        <w:t>管理办法（试行）</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eastAsia="zh-CN"/>
        </w:rPr>
        <w:t>。</w:t>
      </w:r>
    </w:p>
    <w:p>
      <w:pPr>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附件12技术需求书</w:t>
      </w:r>
    </w:p>
    <w:p>
      <w:pPr>
        <w:pStyle w:val="24"/>
        <w:rPr>
          <w:rFonts w:hint="default" w:ascii="仿宋_GB2312" w:hAnsi="仿宋_GB2312" w:eastAsia="仿宋_GB2312" w:cs="仿宋_GB2312"/>
          <w:color w:val="000000"/>
          <w:sz w:val="24"/>
          <w:szCs w:val="24"/>
          <w:highlight w:val="none"/>
          <w:lang w:val="en-US" w:eastAsia="zh-CN"/>
        </w:rPr>
      </w:pPr>
    </w:p>
    <w:sectPr>
      <w:footerReference r:id="rId6" w:type="default"/>
      <w:pgSz w:w="11906" w:h="16838"/>
      <w:pgMar w:top="2098" w:right="1531" w:bottom="2098" w:left="1531" w:header="851" w:footer="1417" w:gutter="0"/>
      <w:pgNumType w:fmt="numberInDash"/>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328D8C5-6B87-435C-9435-D1F1F945D95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79A1E82-F318-46B0-8CB1-7C4063B953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2F87F240-DE00-4487-8A12-AE5AD536FCF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sto MT">
    <w:panose1 w:val="02040603050505030304"/>
    <w:charset w:val="00"/>
    <w:family w:val="roman"/>
    <w:pitch w:val="default"/>
    <w:sig w:usb0="00000003" w:usb1="00000000" w:usb2="00000000" w:usb3="00000000" w:csb0="20000001" w:csb1="00000000"/>
  </w:font>
  <w:font w:name="方正小标宋简体">
    <w:panose1 w:val="03000509000000000000"/>
    <w:charset w:val="86"/>
    <w:family w:val="script"/>
    <w:pitch w:val="default"/>
    <w:sig w:usb0="00000001" w:usb1="080E0000" w:usb2="00000000" w:usb3="00000000" w:csb0="00040000" w:csb1="00000000"/>
    <w:embedRegular r:id="rId4" w:fontKey="{555AB0BD-225C-41FB-967D-7D34A126E3A0}"/>
  </w:font>
  <w:font w:name="Wingdings 2">
    <w:panose1 w:val="05020102010507070707"/>
    <w:charset w:val="00"/>
    <w:family w:val="auto"/>
    <w:pitch w:val="default"/>
    <w:sig w:usb0="00000000" w:usb1="00000000" w:usb2="00000000" w:usb3="00000000" w:csb0="80000000" w:csb1="00000000"/>
    <w:embedRegular r:id="rId5" w:fontKey="{693B7119-B306-455D-931C-ECC835CE813A}"/>
  </w:font>
  <w:font w:name="微软雅黑">
    <w:panose1 w:val="020B0503020204020204"/>
    <w:charset w:val="86"/>
    <w:family w:val="auto"/>
    <w:pitch w:val="default"/>
    <w:sig w:usb0="80000287" w:usb1="2ACF3C50" w:usb2="00000016" w:usb3="00000000" w:csb0="0004001F" w:csb1="00000000"/>
    <w:embedRegular r:id="rId6" w:fontKey="{751AC422-E0E1-476C-B0F0-309BA15122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-175895</wp:posOffset>
              </wp:positionV>
              <wp:extent cx="445135" cy="230505"/>
              <wp:effectExtent l="0" t="0" r="0" b="0"/>
              <wp:wrapNone/>
              <wp:docPr id="2"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a:effectLst/>
                    </wps:spPr>
                    <wps:txbx>
                      <w:txbxContent>
                        <w:p>
                          <w:pPr>
                            <w:pStyle w:val="1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13.85pt;height:18.15pt;width:35.05pt;mso-position-horizontal:outside;mso-position-horizontal-relative:margin;mso-wrap-style:none;z-index:251659264;mso-width-relative:page;mso-height-relative:page;" filled="f" stroked="f" coordsize="21600,21600" o:gfxdata="UEsDBAoAAAAAAIdO4kAAAAAAAAAAAAAAAAAEAAAAZHJzL1BLAwQUAAAACACHTuJALFErv9IAAAAF&#10;AQAADwAAAGRycy9kb3ducmV2LnhtbE2PMU/DMBSEdyT+g/WQ2FonHZoozUuHSixsFITE5savcYT9&#10;HNlumvx7zATj6U5337XHxVkxU4ijZ4RyW4Ag7r0eeUD4eH/Z1CBiUqyV9UwIK0U4do8PrWq0v/Mb&#10;zec0iFzCsVEIJqWpkTL2hpyKWz8RZ+/qg1MpyzBIHdQ9lzsrd0Wxl06NnBeMmuhkqP8+3xxCtXx6&#10;miKd6Os698GMa21fV8Tnp7I4gEi0pL8w/OJndOgy08XfWEdhEfKRhLDZVRWIbFdFCeKCUO9Bdq38&#10;T9/9AFBLAwQUAAAACACHTuJAvEkSDNMBAAClAwAADgAAAGRycy9lMm9Eb2MueG1srVPNjtMwEL4j&#10;7TtYvm+TtluEoqYrULUICQHSwgO4jt1Y8p88bpO+ALwBJy7cea4+B2Mn6f5w2QMXZzwz/ma+bybr&#10;295ochQBlLM1nc9KSoTlrlF2X9NvX++u31ACkdmGaWdFTU8C6O3m6tW685VYuNbpRgSCIBaqzte0&#10;jdFXRQG8FYbBzHlhMShdMCziNeyLJrAO0Y0uFmX5uuhcaHxwXACgdzsE6YgYXgLopFRcbB0/GGHj&#10;gBqEZhEpQas80E3uVkrB42cpQUSia4pMYz6xCNq7dBabNav2gflW8bEF9pIWnnEyTFkseoHassjI&#10;Iah/oIziwYGTccadKQYiWRFkMS+faXPfMi8yF5Qa/EV0+H+w/NPxSyCqqemCEssMDvz888f515/z&#10;7+9kmeTpPFSYde8xL/bvXI9LM/kBnYl1L4NJX+RDMI7ini7iij4Sjs6bm9V8uaKEY2ixLFflKqEU&#10;D499gPheOEOSUdOAs8uSsuNHiEPqlJJqWXentM7z0/aJAzEHj8gLML5OPIZ+kxX7XT+S27nmhNw6&#10;XIKaWtx5SvQHixqnfZmMMBm7yTj4oPYtNjrPXYJ/e4jYUu40VRhgkWG64PQy13HT0no8vuesh79r&#10;8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USu/0gAAAAUBAAAPAAAAAAAAAAEAIAAAACIAAABk&#10;cnMvZG93bnJldi54bWxQSwECFAAUAAAACACHTuJAvEkSDNMBAAClAwAADgAAAAAAAAABACAAAAAh&#10;AQAAZHJzL2Uyb0RvYy54bWxQSwUGAAAAAAYABgBZAQAAZgUAAAAA&#10;">
              <v:fill on="f" focussize="0,0"/>
              <v:stroke on="f"/>
              <v:imagedata o:title=""/>
              <o:lock v:ext="edit" aspectratio="f"/>
              <v:textbox inset="0mm,0mm,0mm,0mm" style="mso-fit-shape-to-text:t;">
                <w:txbxContent>
                  <w:p>
                    <w:pPr>
                      <w:pStyle w:val="1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-181610</wp:posOffset>
              </wp:positionV>
              <wp:extent cx="516890" cy="31305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516890" cy="313055"/>
                      </a:xfrm>
                      <a:prstGeom prst="rect">
                        <a:avLst/>
                      </a:prstGeom>
                      <a:noFill/>
                      <a:ln>
                        <a:noFill/>
                      </a:ln>
                    </wps:spPr>
                    <wps:txbx>
                      <w:txbxContent>
                        <w:p>
                          <w:pPr>
                            <w:pStyle w:val="17"/>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- 2 -</w:t>
                          </w:r>
                          <w:r>
                            <w:rPr>
                              <w:rFonts w:hint="eastAsia" w:ascii="宋体" w:hAnsi="宋体" w:cs="宋体"/>
                              <w:sz w:val="28"/>
                              <w:szCs w:val="28"/>
                              <w:lang w:eastAsia="zh-CN"/>
                            </w:rPr>
                            <w:fldChar w:fldCharType="end"/>
                          </w:r>
                        </w:p>
                      </w:txbxContent>
                    </wps:txbx>
                    <wps:bodyPr lIns="0" tIns="0" rIns="0" bIns="0" upright="0"/>
                  </wps:wsp>
                </a:graphicData>
              </a:graphic>
            </wp:anchor>
          </w:drawing>
        </mc:Choice>
        <mc:Fallback>
          <w:pict>
            <v:shape id="文本框 1026" o:spid="_x0000_s1026" o:spt="202" type="#_x0000_t202" style="position:absolute;left:0pt;margin-left:0pt;margin-top:-14.3pt;height:24.65pt;width:40.7pt;mso-position-horizontal-relative:margin;z-index:251660288;mso-width-relative:page;mso-height-relative:page;" filled="f" stroked="f" coordsize="21600,21600" o:gfxdata="UEsDBAoAAAAAAIdO4kAAAAAAAAAAAAAAAAAEAAAAZHJzL1BLAwQUAAAACACHTuJAxubN+tYAAAAG&#10;AQAADwAAAGRycy9kb3ducmV2LnhtbE2PT0+EMBTE7yZ+h+aZeNttIQYReWyM0ZOJkcWDxwJvoVn6&#10;irT7x29vPbnHyUxmflNuznYSR1q8cYyQrBUI4s71hgeEz+Z1lYPwQXOvJ8eE8EMeNtX1VamL3p24&#10;puM2DCKWsC80whjCXEjpu5Gs9ms3E0dv5xarQ5TLIPtFn2K5nWSqVCatNhwXRj3T80jdfnuwCE9f&#10;XL+Y7/f2o97VpmkeFL9le8Tbm0Q9ggh0Dv9h+MOP6FBFptYduPdiQohHAsIqzTMQ0c6TOxAtQqru&#10;QValvMSvfgFQSwMEFAAAAAgAh07iQM+FWhW9AQAAdAMAAA4AAABkcnMvZTJvRG9jLnhtbK1TS27b&#10;MBDdF+gdCO5rSg5spILlAIWRIEDRFkh7AJoiLQL8YUhb8gXaG3TVTfc9l8/RoSQ7TbLJohtqNDN6&#10;fO/NaHXTW0MOEqL2rqblrKBEOuEb7XY1/fb19t01JTFx13DjnazpUUZ6s377ZtWFSs59600jgSCI&#10;i1UXatqmFCrGomil5XHmg3RYVB4sT/gKO9YA7xDdGjYviiXrPDQBvJAxYnYzFumECK8B9EppITde&#10;7K10aUQFaXhCSbHVIdL1wFYpKdJnpaJMxNQUlabhxEsw3uaTrVe82gEPrRYTBf4aCs80Wa4dXnqB&#10;2vDEyR70CyirBfjoVZoJb9koZHAEVZTFM28eWh7koAWtjuFievx/sOLT4QsQ3eAmUOK4xYGffv44&#10;/fpz+v2dlMV8mR3qQqyw8SFga+o/+D53T/mIySy8V2DzEyURrKO/x4u/sk9EYHJRLq/fY0Vg6aq8&#10;KhaLjMIePw4Q0530luSgpoDjG1zlh48xja3nlnyX87faGMzzyrgnCcTMGZaZjwxzlPptP9He+uaI&#10;asy9QzPzYpwDOAfbc7APoHftsDmZQgbCYQy8p8XJ0/73feh6/Fn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G5s361gAAAAYBAAAPAAAAAAAAAAEAIAAAACIAAABkcnMvZG93bnJldi54bWxQSwEC&#10;FAAUAAAACACHTuJAz4VaFb0BAAB0AwAADgAAAAAAAAABACAAAAAlAQAAZHJzL2Uyb0RvYy54bWxQ&#10;SwUGAAAAAAYABgBZAQAAVAUAAAAA&#10;">
              <v:fill on="f" focussize="0,0"/>
              <v:stroke on="f"/>
              <v:imagedata o:title=""/>
              <o:lock v:ext="edit" aspectratio="f"/>
              <v:textbox inset="0mm,0mm,0mm,0mm">
                <w:txbxContent>
                  <w:p>
                    <w:pPr>
                      <w:pStyle w:val="17"/>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- 2 -</w:t>
                    </w:r>
                    <w:r>
                      <w:rPr>
                        <w:rFonts w:hint="eastAsia" w:ascii="宋体" w:hAnsi="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5052060</wp:posOffset>
              </wp:positionH>
              <wp:positionV relativeFrom="paragraph">
                <wp:posOffset>-95250</wp:posOffset>
              </wp:positionV>
              <wp:extent cx="563880" cy="37973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563880" cy="379730"/>
                      </a:xfrm>
                      <a:prstGeom prst="rect">
                        <a:avLst/>
                      </a:prstGeom>
                      <a:noFill/>
                      <a:ln>
                        <a:noFill/>
                      </a:ln>
                    </wps:spPr>
                    <wps:txbx>
                      <w:txbxContent>
                        <w:sdt>
                          <w:sdtPr>
                            <w:rPr>
                              <w:rFonts w:hint="eastAsia" w:ascii="宋体" w:hAnsi="宋体" w:eastAsia="宋体" w:cs="宋体"/>
                              <w:sz w:val="28"/>
                              <w:szCs w:val="28"/>
                            </w:rPr>
                            <w:id w:val="-1803232920"/>
                          </w:sdtPr>
                          <w:sdtEndPr>
                            <w:rPr>
                              <w:rFonts w:hint="eastAsia" w:ascii="宋体" w:hAnsi="宋体" w:eastAsia="宋体" w:cs="宋体"/>
                              <w:sz w:val="28"/>
                              <w:szCs w:val="28"/>
                            </w:rPr>
                          </w:sdtEndPr>
                          <w:sdtContent>
                            <w:p>
                              <w:pPr>
                                <w:pStyle w:val="17"/>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7</w:t>
                              </w:r>
                              <w:r>
                                <w:rPr>
                                  <w:rFonts w:hint="eastAsia" w:ascii="宋体" w:hAnsi="宋体" w:cs="宋体"/>
                                  <w:sz w:val="28"/>
                                  <w:szCs w:val="28"/>
                                </w:rPr>
                                <w:fldChar w:fldCharType="end"/>
                              </w:r>
                            </w:p>
                          </w:sdtContent>
                        </w:sdt>
                        <w:p/>
                      </w:txbxContent>
                    </wps:txbx>
                    <wps:bodyPr lIns="0" tIns="0" rIns="0" bIns="0" upright="0"/>
                  </wps:wsp>
                </a:graphicData>
              </a:graphic>
            </wp:anchor>
          </w:drawing>
        </mc:Choice>
        <mc:Fallback>
          <w:pict>
            <v:shape id="文本框 1027" o:spid="_x0000_s1026" o:spt="202" type="#_x0000_t202" style="position:absolute;left:0pt;margin-left:397.8pt;margin-top:-7.5pt;height:29.9pt;width:44.4pt;mso-position-horizontal-relative:margin;z-index:251661312;mso-width-relative:page;mso-height-relative:page;" filled="f" stroked="f" coordsize="21600,21600" o:gfxdata="UEsDBAoAAAAAAIdO4kAAAAAAAAAAAAAAAAAEAAAAZHJzL1BLAwQUAAAACACHTuJAg+H2RtoAAAAK&#10;AQAADwAAAGRycy9kb3ducmV2LnhtbE2Py07DMBBF90j8gzWV2LV2UBrSNE6FEKyQEGlYsHTiaWI1&#10;HofYffD3mBUsR3N077nl7mpHdsbZG0cSkpUAhtQ5baiX8NG8LHNgPijSanSEEr7Rw666vSlVod2F&#10;ajzvQ89iCPlCSRhCmArOfTegVX7lJqT4O7jZqhDPued6VpcYbkd+L0TGrTIUGwY14dOA3XF/shIe&#10;P6l+Nl9v7Xt9qE3TbAS9Zkcp7xaJ2AILeA1/MPzqR3WoolPrTqQ9GyU8bNZZRCUsk3UcFYk8T1Ng&#10;rYQ0zYFXJf8/ofoBUEsDBBQAAAAIAIdO4kBbBSkGvQEAAHQDAAAOAAAAZHJzL2Uyb0RvYy54bWyt&#10;U8GO0zAQvSPxD5bv1GkrtiVquhKqFiEhQNrlA1zHbizZHst2m/QH4A84ceHOd/U7GLtNF5bLHrg4&#10;k5nJ83tvJqvbwRpykCFqcA2dTipKpBPQardr6JeHu1dLSmLiruUGnGzoUUZ6u375YtX7Ws6gA9PK&#10;QBDExbr3De1S8jVjUXTS8jgBLx0WFQTLE76GHWsD7xHdGjarqhvWQ2h9ACFjxOzmXKQXxPAcQFBK&#10;C7kBsbfSpTNqkIYnlBQ77SNdF7ZKSZE+KRVlIqahqDSVEy/BeJtPtl7xehe477S4UODPofBEk+Xa&#10;4aVXqA1PnOyD/gfKahEggkoTAZadhRRHUMW0euLNfce9LFrQ6uivpsf/Bys+Hj4HotuGzilx3OLA&#10;T9+/nX78Ov38SqbVbJEd6n2ssfHeY2sa3sKAezPmIyaz8EEFm58oiWAd/T1e/ZVDIgKTr2/myyVW&#10;BJbmizeLefGfPX7sQ0zvJFiSg4YGHF9xlR8+xIREsHVsyXc5uNPGlBEa91cCG3OGZeZnhjlKw3a4&#10;yNlCe0Q15r1DM/NijEEYg+0Y7H3Qu65sTqaQgXAYhcxlcfK0/3wvXY8/y/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H2RtoAAAAKAQAADwAAAAAAAAABACAAAAAiAAAAZHJzL2Rvd25yZXYueG1s&#10;UEsBAhQAFAAAAAgAh07iQFsFKQa9AQAAdAMAAA4AAAAAAAAAAQAgAAAAKQEAAGRycy9lMm9Eb2Mu&#10;eG1sUEsFBgAAAAAGAAYAWQEAAFgFAAAAAA==&#10;">
              <v:fill on="f" focussize="0,0"/>
              <v:stroke on="f"/>
              <v:imagedata o:title=""/>
              <o:lock v:ext="edit" aspectratio="f"/>
              <v:textbox inset="0mm,0mm,0mm,0mm">
                <w:txbxContent>
                  <w:sdt>
                    <w:sdtPr>
                      <w:rPr>
                        <w:rFonts w:hint="eastAsia" w:ascii="宋体" w:hAnsi="宋体" w:eastAsia="宋体" w:cs="宋体"/>
                        <w:sz w:val="28"/>
                        <w:szCs w:val="28"/>
                      </w:rPr>
                      <w:id w:val="-1803232920"/>
                    </w:sdtPr>
                    <w:sdtEndPr>
                      <w:rPr>
                        <w:rFonts w:hint="eastAsia" w:ascii="宋体" w:hAnsi="宋体" w:eastAsia="宋体" w:cs="宋体"/>
                        <w:sz w:val="28"/>
                        <w:szCs w:val="28"/>
                      </w:rPr>
                    </w:sdtEndPr>
                    <w:sdtContent>
                      <w:p>
                        <w:pPr>
                          <w:pStyle w:val="17"/>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7</w:t>
                        </w:r>
                        <w:r>
                          <w:rPr>
                            <w:rFonts w:hint="eastAsia" w:ascii="宋体" w:hAnsi="宋体" w:cs="宋体"/>
                            <w:sz w:val="28"/>
                            <w:szCs w:val="28"/>
                          </w:rPr>
                          <w:fldChar w:fldCharType="end"/>
                        </w:r>
                      </w:p>
                    </w:sdtContent>
                  </w:sdt>
                  <w:p/>
                </w:txbxContent>
              </v:textbox>
            </v:shape>
          </w:pict>
        </mc:Fallback>
      </mc:AlternateConten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74C9A6"/>
    <w:multiLevelType w:val="singleLevel"/>
    <w:tmpl w:val="F474C9A6"/>
    <w:lvl w:ilvl="0" w:tentative="0">
      <w:start w:val="10"/>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trackRevisions w:val="1"/>
  <w:documentProtection w:enforcement="0"/>
  <w:defaultTabStop w:val="420"/>
  <w:evenAndOddHeaders w:val="1"/>
  <w:drawingGridHorizontalSpacing w:val="210"/>
  <w:drawingGridVerticalSpacing w:val="156"/>
  <w:displayHorizontalDrawingGridEvery w:val="1"/>
  <w:displayVerticalDrawingGridEvery w:val="2"/>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DZhOWRlNjc4ZmEzNjJiNDkxMjEyM2Q1M2JlMWYifQ=="/>
  </w:docVars>
  <w:rsids>
    <w:rsidRoot w:val="00172A27"/>
    <w:rsid w:val="000116F4"/>
    <w:rsid w:val="000160F0"/>
    <w:rsid w:val="00022E8F"/>
    <w:rsid w:val="00027CF8"/>
    <w:rsid w:val="0003063C"/>
    <w:rsid w:val="00033E52"/>
    <w:rsid w:val="000345AE"/>
    <w:rsid w:val="00037C52"/>
    <w:rsid w:val="00057FF6"/>
    <w:rsid w:val="00066159"/>
    <w:rsid w:val="00071CC7"/>
    <w:rsid w:val="00071E3E"/>
    <w:rsid w:val="00073A98"/>
    <w:rsid w:val="00075ED5"/>
    <w:rsid w:val="0008389C"/>
    <w:rsid w:val="00094002"/>
    <w:rsid w:val="00094F8A"/>
    <w:rsid w:val="00097681"/>
    <w:rsid w:val="000A5FA6"/>
    <w:rsid w:val="000B6A52"/>
    <w:rsid w:val="000C3B28"/>
    <w:rsid w:val="000D5859"/>
    <w:rsid w:val="000E5327"/>
    <w:rsid w:val="0012727D"/>
    <w:rsid w:val="00127F4F"/>
    <w:rsid w:val="00130D5B"/>
    <w:rsid w:val="001348FB"/>
    <w:rsid w:val="0013692F"/>
    <w:rsid w:val="0014004D"/>
    <w:rsid w:val="00140243"/>
    <w:rsid w:val="0015465F"/>
    <w:rsid w:val="00171748"/>
    <w:rsid w:val="00172A27"/>
    <w:rsid w:val="0017371F"/>
    <w:rsid w:val="00194A0A"/>
    <w:rsid w:val="001A4672"/>
    <w:rsid w:val="001B2DEE"/>
    <w:rsid w:val="001B5AE4"/>
    <w:rsid w:val="001B6E9F"/>
    <w:rsid w:val="001C1760"/>
    <w:rsid w:val="001D0148"/>
    <w:rsid w:val="001D4DB1"/>
    <w:rsid w:val="001D5631"/>
    <w:rsid w:val="001F5EF9"/>
    <w:rsid w:val="001F7034"/>
    <w:rsid w:val="0020272A"/>
    <w:rsid w:val="002065E9"/>
    <w:rsid w:val="00207810"/>
    <w:rsid w:val="002253C3"/>
    <w:rsid w:val="00225637"/>
    <w:rsid w:val="00225F8E"/>
    <w:rsid w:val="00231B49"/>
    <w:rsid w:val="00231C52"/>
    <w:rsid w:val="002357E1"/>
    <w:rsid w:val="00237FA0"/>
    <w:rsid w:val="00240583"/>
    <w:rsid w:val="00241057"/>
    <w:rsid w:val="002524ED"/>
    <w:rsid w:val="002536AD"/>
    <w:rsid w:val="0026733C"/>
    <w:rsid w:val="00270D52"/>
    <w:rsid w:val="002932B9"/>
    <w:rsid w:val="002A3E44"/>
    <w:rsid w:val="002A4B6F"/>
    <w:rsid w:val="002A73D0"/>
    <w:rsid w:val="002B4096"/>
    <w:rsid w:val="002B64E4"/>
    <w:rsid w:val="002C1443"/>
    <w:rsid w:val="002C2854"/>
    <w:rsid w:val="002E7E89"/>
    <w:rsid w:val="002F1E24"/>
    <w:rsid w:val="002F66BB"/>
    <w:rsid w:val="0030318C"/>
    <w:rsid w:val="00303F37"/>
    <w:rsid w:val="00305B4B"/>
    <w:rsid w:val="0031056F"/>
    <w:rsid w:val="003107A2"/>
    <w:rsid w:val="003255DB"/>
    <w:rsid w:val="00340E06"/>
    <w:rsid w:val="00353AB3"/>
    <w:rsid w:val="00357CB5"/>
    <w:rsid w:val="00360F9F"/>
    <w:rsid w:val="003623C6"/>
    <w:rsid w:val="00370B9B"/>
    <w:rsid w:val="003940BF"/>
    <w:rsid w:val="003C1BF5"/>
    <w:rsid w:val="003D2A80"/>
    <w:rsid w:val="003D683A"/>
    <w:rsid w:val="003E21FA"/>
    <w:rsid w:val="003F3168"/>
    <w:rsid w:val="00402D74"/>
    <w:rsid w:val="00405B90"/>
    <w:rsid w:val="00414260"/>
    <w:rsid w:val="00445044"/>
    <w:rsid w:val="00445800"/>
    <w:rsid w:val="004459CC"/>
    <w:rsid w:val="0044769E"/>
    <w:rsid w:val="004541C7"/>
    <w:rsid w:val="0046571A"/>
    <w:rsid w:val="00484DC9"/>
    <w:rsid w:val="004916BB"/>
    <w:rsid w:val="00493DDA"/>
    <w:rsid w:val="004A5F30"/>
    <w:rsid w:val="004A7A3D"/>
    <w:rsid w:val="004D3059"/>
    <w:rsid w:val="004D3279"/>
    <w:rsid w:val="004D4E03"/>
    <w:rsid w:val="004D5C89"/>
    <w:rsid w:val="004E1D21"/>
    <w:rsid w:val="004E3E05"/>
    <w:rsid w:val="004E3ED0"/>
    <w:rsid w:val="004E6CB8"/>
    <w:rsid w:val="0050150F"/>
    <w:rsid w:val="0050424B"/>
    <w:rsid w:val="0050794E"/>
    <w:rsid w:val="00513133"/>
    <w:rsid w:val="005164AC"/>
    <w:rsid w:val="00517E28"/>
    <w:rsid w:val="0052430E"/>
    <w:rsid w:val="00533ACD"/>
    <w:rsid w:val="0054544F"/>
    <w:rsid w:val="0055166C"/>
    <w:rsid w:val="00556CE9"/>
    <w:rsid w:val="00567A17"/>
    <w:rsid w:val="00571F0E"/>
    <w:rsid w:val="00571F67"/>
    <w:rsid w:val="0058148A"/>
    <w:rsid w:val="005943A4"/>
    <w:rsid w:val="00597E4B"/>
    <w:rsid w:val="005A12C3"/>
    <w:rsid w:val="005B05F8"/>
    <w:rsid w:val="005B11C9"/>
    <w:rsid w:val="005C1C3E"/>
    <w:rsid w:val="005C3B8F"/>
    <w:rsid w:val="005D002D"/>
    <w:rsid w:val="005D2F99"/>
    <w:rsid w:val="005D30F2"/>
    <w:rsid w:val="005E2C99"/>
    <w:rsid w:val="005E7898"/>
    <w:rsid w:val="005F1C5F"/>
    <w:rsid w:val="005F4A31"/>
    <w:rsid w:val="00604090"/>
    <w:rsid w:val="00607FF2"/>
    <w:rsid w:val="0061344A"/>
    <w:rsid w:val="00615C4E"/>
    <w:rsid w:val="006234B3"/>
    <w:rsid w:val="00626E24"/>
    <w:rsid w:val="00626EF8"/>
    <w:rsid w:val="00650829"/>
    <w:rsid w:val="006639C1"/>
    <w:rsid w:val="00664CAE"/>
    <w:rsid w:val="0066748E"/>
    <w:rsid w:val="00677B2B"/>
    <w:rsid w:val="0068707F"/>
    <w:rsid w:val="006A0B17"/>
    <w:rsid w:val="006B0FD6"/>
    <w:rsid w:val="006B6083"/>
    <w:rsid w:val="006E3AA2"/>
    <w:rsid w:val="006E6A7F"/>
    <w:rsid w:val="0070221C"/>
    <w:rsid w:val="00724782"/>
    <w:rsid w:val="007317DF"/>
    <w:rsid w:val="00736741"/>
    <w:rsid w:val="00740F88"/>
    <w:rsid w:val="00741428"/>
    <w:rsid w:val="00743945"/>
    <w:rsid w:val="007449DE"/>
    <w:rsid w:val="00746E6F"/>
    <w:rsid w:val="0075140F"/>
    <w:rsid w:val="00753AAF"/>
    <w:rsid w:val="00756B41"/>
    <w:rsid w:val="00762CC5"/>
    <w:rsid w:val="00766890"/>
    <w:rsid w:val="00767D69"/>
    <w:rsid w:val="00780A6D"/>
    <w:rsid w:val="00783376"/>
    <w:rsid w:val="00786DFA"/>
    <w:rsid w:val="007A38C4"/>
    <w:rsid w:val="007A7B5B"/>
    <w:rsid w:val="007B0429"/>
    <w:rsid w:val="007B4BEF"/>
    <w:rsid w:val="007C088B"/>
    <w:rsid w:val="007C1ECA"/>
    <w:rsid w:val="007C600B"/>
    <w:rsid w:val="007C7F48"/>
    <w:rsid w:val="007D0D4D"/>
    <w:rsid w:val="007D3EAB"/>
    <w:rsid w:val="00802B8F"/>
    <w:rsid w:val="00810C65"/>
    <w:rsid w:val="0081291C"/>
    <w:rsid w:val="008232A9"/>
    <w:rsid w:val="00824DA0"/>
    <w:rsid w:val="008306B2"/>
    <w:rsid w:val="00830F34"/>
    <w:rsid w:val="00831B55"/>
    <w:rsid w:val="00872E01"/>
    <w:rsid w:val="00875DE4"/>
    <w:rsid w:val="00891595"/>
    <w:rsid w:val="0089338A"/>
    <w:rsid w:val="00895156"/>
    <w:rsid w:val="0089637B"/>
    <w:rsid w:val="008B6C61"/>
    <w:rsid w:val="008C6F50"/>
    <w:rsid w:val="008D0054"/>
    <w:rsid w:val="008D4E34"/>
    <w:rsid w:val="008E643F"/>
    <w:rsid w:val="008F684A"/>
    <w:rsid w:val="009106EF"/>
    <w:rsid w:val="00914A68"/>
    <w:rsid w:val="0092364D"/>
    <w:rsid w:val="0093311F"/>
    <w:rsid w:val="009335B3"/>
    <w:rsid w:val="00934534"/>
    <w:rsid w:val="0094681E"/>
    <w:rsid w:val="00953176"/>
    <w:rsid w:val="00960D5A"/>
    <w:rsid w:val="00962BAC"/>
    <w:rsid w:val="009773AE"/>
    <w:rsid w:val="00986F9E"/>
    <w:rsid w:val="00992C5D"/>
    <w:rsid w:val="00996E45"/>
    <w:rsid w:val="009B2459"/>
    <w:rsid w:val="009B3A24"/>
    <w:rsid w:val="009C388D"/>
    <w:rsid w:val="009C6222"/>
    <w:rsid w:val="009D7484"/>
    <w:rsid w:val="009E285E"/>
    <w:rsid w:val="009E334D"/>
    <w:rsid w:val="009F0BC3"/>
    <w:rsid w:val="009F4C37"/>
    <w:rsid w:val="009F608A"/>
    <w:rsid w:val="00A05E5D"/>
    <w:rsid w:val="00A1158C"/>
    <w:rsid w:val="00A17C69"/>
    <w:rsid w:val="00A208E3"/>
    <w:rsid w:val="00A3494D"/>
    <w:rsid w:val="00A369F1"/>
    <w:rsid w:val="00A42859"/>
    <w:rsid w:val="00A54516"/>
    <w:rsid w:val="00A62CB6"/>
    <w:rsid w:val="00A7023A"/>
    <w:rsid w:val="00A741DE"/>
    <w:rsid w:val="00A82AAC"/>
    <w:rsid w:val="00A8428D"/>
    <w:rsid w:val="00A97B21"/>
    <w:rsid w:val="00AA10E0"/>
    <w:rsid w:val="00AA1C8C"/>
    <w:rsid w:val="00AA4B6D"/>
    <w:rsid w:val="00AB554A"/>
    <w:rsid w:val="00AC2952"/>
    <w:rsid w:val="00AE2785"/>
    <w:rsid w:val="00AF28D0"/>
    <w:rsid w:val="00B0320C"/>
    <w:rsid w:val="00B103DF"/>
    <w:rsid w:val="00B258EF"/>
    <w:rsid w:val="00B26903"/>
    <w:rsid w:val="00B26FC9"/>
    <w:rsid w:val="00B36427"/>
    <w:rsid w:val="00B50B5E"/>
    <w:rsid w:val="00B54873"/>
    <w:rsid w:val="00B672C3"/>
    <w:rsid w:val="00B67771"/>
    <w:rsid w:val="00B72ABE"/>
    <w:rsid w:val="00B73228"/>
    <w:rsid w:val="00B76080"/>
    <w:rsid w:val="00B80C26"/>
    <w:rsid w:val="00B82A56"/>
    <w:rsid w:val="00B87860"/>
    <w:rsid w:val="00BA0656"/>
    <w:rsid w:val="00BA6EBA"/>
    <w:rsid w:val="00BB619C"/>
    <w:rsid w:val="00BB7B28"/>
    <w:rsid w:val="00BC3736"/>
    <w:rsid w:val="00BD1570"/>
    <w:rsid w:val="00BE399E"/>
    <w:rsid w:val="00C006B8"/>
    <w:rsid w:val="00C0361C"/>
    <w:rsid w:val="00C203C9"/>
    <w:rsid w:val="00C259DA"/>
    <w:rsid w:val="00C27268"/>
    <w:rsid w:val="00C27F32"/>
    <w:rsid w:val="00C411E2"/>
    <w:rsid w:val="00C51DF3"/>
    <w:rsid w:val="00C60E44"/>
    <w:rsid w:val="00C64B23"/>
    <w:rsid w:val="00C6562D"/>
    <w:rsid w:val="00C6566A"/>
    <w:rsid w:val="00C8096E"/>
    <w:rsid w:val="00C811E1"/>
    <w:rsid w:val="00C81BA3"/>
    <w:rsid w:val="00CA219A"/>
    <w:rsid w:val="00CA2E67"/>
    <w:rsid w:val="00CB0961"/>
    <w:rsid w:val="00CB5248"/>
    <w:rsid w:val="00CC5CAB"/>
    <w:rsid w:val="00CE6D2A"/>
    <w:rsid w:val="00CF2481"/>
    <w:rsid w:val="00CF2A16"/>
    <w:rsid w:val="00CF4084"/>
    <w:rsid w:val="00D04FCE"/>
    <w:rsid w:val="00D45239"/>
    <w:rsid w:val="00D76466"/>
    <w:rsid w:val="00D8185A"/>
    <w:rsid w:val="00D81F73"/>
    <w:rsid w:val="00D91336"/>
    <w:rsid w:val="00D94195"/>
    <w:rsid w:val="00D97648"/>
    <w:rsid w:val="00DA4009"/>
    <w:rsid w:val="00DA5ECB"/>
    <w:rsid w:val="00DB57F6"/>
    <w:rsid w:val="00DC0871"/>
    <w:rsid w:val="00E0082A"/>
    <w:rsid w:val="00E04057"/>
    <w:rsid w:val="00E04431"/>
    <w:rsid w:val="00E070E5"/>
    <w:rsid w:val="00E14CAD"/>
    <w:rsid w:val="00E16382"/>
    <w:rsid w:val="00E26AA6"/>
    <w:rsid w:val="00E31348"/>
    <w:rsid w:val="00E319A7"/>
    <w:rsid w:val="00E34468"/>
    <w:rsid w:val="00E53FFD"/>
    <w:rsid w:val="00E55449"/>
    <w:rsid w:val="00E606D6"/>
    <w:rsid w:val="00E67C0A"/>
    <w:rsid w:val="00E71BF3"/>
    <w:rsid w:val="00E721FB"/>
    <w:rsid w:val="00E745DE"/>
    <w:rsid w:val="00E77052"/>
    <w:rsid w:val="00E9732D"/>
    <w:rsid w:val="00EA169E"/>
    <w:rsid w:val="00EB09B3"/>
    <w:rsid w:val="00EB1748"/>
    <w:rsid w:val="00EB33AB"/>
    <w:rsid w:val="00EC7078"/>
    <w:rsid w:val="00ED2E70"/>
    <w:rsid w:val="00ED4E3E"/>
    <w:rsid w:val="00EE1C11"/>
    <w:rsid w:val="00EF21BD"/>
    <w:rsid w:val="00EF3DD8"/>
    <w:rsid w:val="00F054F3"/>
    <w:rsid w:val="00F13DC3"/>
    <w:rsid w:val="00F13E25"/>
    <w:rsid w:val="00F178C5"/>
    <w:rsid w:val="00F179BA"/>
    <w:rsid w:val="00F20C56"/>
    <w:rsid w:val="00F23C04"/>
    <w:rsid w:val="00F252C9"/>
    <w:rsid w:val="00F352C7"/>
    <w:rsid w:val="00F404BE"/>
    <w:rsid w:val="00F439C1"/>
    <w:rsid w:val="00F463F5"/>
    <w:rsid w:val="00F46698"/>
    <w:rsid w:val="00F533EA"/>
    <w:rsid w:val="00F539CE"/>
    <w:rsid w:val="00F56DA0"/>
    <w:rsid w:val="00F60173"/>
    <w:rsid w:val="00F60EA4"/>
    <w:rsid w:val="00F64026"/>
    <w:rsid w:val="00F65F17"/>
    <w:rsid w:val="00F66C2A"/>
    <w:rsid w:val="00F710A1"/>
    <w:rsid w:val="00F7120A"/>
    <w:rsid w:val="00F75794"/>
    <w:rsid w:val="00F81522"/>
    <w:rsid w:val="00F82140"/>
    <w:rsid w:val="00F84413"/>
    <w:rsid w:val="00F90BC0"/>
    <w:rsid w:val="00F964E0"/>
    <w:rsid w:val="00FA08A2"/>
    <w:rsid w:val="00FA1C46"/>
    <w:rsid w:val="00FA2E65"/>
    <w:rsid w:val="00FA4C39"/>
    <w:rsid w:val="00FB2E4D"/>
    <w:rsid w:val="00FB73A1"/>
    <w:rsid w:val="00FD2FD9"/>
    <w:rsid w:val="00FE25E8"/>
    <w:rsid w:val="00FF433A"/>
    <w:rsid w:val="00FF5588"/>
    <w:rsid w:val="015E2F3D"/>
    <w:rsid w:val="01A66A5A"/>
    <w:rsid w:val="022A3EEB"/>
    <w:rsid w:val="050C0DD7"/>
    <w:rsid w:val="05BD4D88"/>
    <w:rsid w:val="060B6117"/>
    <w:rsid w:val="06551EA9"/>
    <w:rsid w:val="06DB4D9F"/>
    <w:rsid w:val="08FC0CCA"/>
    <w:rsid w:val="09DE4628"/>
    <w:rsid w:val="0B276A4A"/>
    <w:rsid w:val="0B952B8D"/>
    <w:rsid w:val="0DB87318"/>
    <w:rsid w:val="0EBA2E73"/>
    <w:rsid w:val="0EEE56EB"/>
    <w:rsid w:val="0F8F209F"/>
    <w:rsid w:val="0FEB39D9"/>
    <w:rsid w:val="0FEF09D5"/>
    <w:rsid w:val="1041248F"/>
    <w:rsid w:val="11344D4B"/>
    <w:rsid w:val="11424BD3"/>
    <w:rsid w:val="1191627F"/>
    <w:rsid w:val="11993FCA"/>
    <w:rsid w:val="12B50787"/>
    <w:rsid w:val="1457734B"/>
    <w:rsid w:val="146975C2"/>
    <w:rsid w:val="146D0647"/>
    <w:rsid w:val="146D2C0E"/>
    <w:rsid w:val="14AD3953"/>
    <w:rsid w:val="14FE5909"/>
    <w:rsid w:val="15053BA9"/>
    <w:rsid w:val="15A538CD"/>
    <w:rsid w:val="16F615E1"/>
    <w:rsid w:val="17AB2923"/>
    <w:rsid w:val="182E2859"/>
    <w:rsid w:val="18730966"/>
    <w:rsid w:val="18D869F9"/>
    <w:rsid w:val="18FD37DA"/>
    <w:rsid w:val="191B532F"/>
    <w:rsid w:val="192848F3"/>
    <w:rsid w:val="1A162CE4"/>
    <w:rsid w:val="1AF56A43"/>
    <w:rsid w:val="1AFF314E"/>
    <w:rsid w:val="1B1C0EEA"/>
    <w:rsid w:val="1C7578A3"/>
    <w:rsid w:val="1D102AC0"/>
    <w:rsid w:val="1D4E55A7"/>
    <w:rsid w:val="1D9B05A0"/>
    <w:rsid w:val="1DF7547E"/>
    <w:rsid w:val="1E2D4AA6"/>
    <w:rsid w:val="1F4B62D2"/>
    <w:rsid w:val="20C9681B"/>
    <w:rsid w:val="21412146"/>
    <w:rsid w:val="2281080E"/>
    <w:rsid w:val="235F22C3"/>
    <w:rsid w:val="240B299B"/>
    <w:rsid w:val="24CC1BD3"/>
    <w:rsid w:val="24F75C3E"/>
    <w:rsid w:val="251141A9"/>
    <w:rsid w:val="257D1496"/>
    <w:rsid w:val="25A348DA"/>
    <w:rsid w:val="26373E8A"/>
    <w:rsid w:val="26826F28"/>
    <w:rsid w:val="280E60F4"/>
    <w:rsid w:val="29D20428"/>
    <w:rsid w:val="2A360A92"/>
    <w:rsid w:val="2A5B1723"/>
    <w:rsid w:val="2A761F42"/>
    <w:rsid w:val="2A994FFC"/>
    <w:rsid w:val="2C8612E5"/>
    <w:rsid w:val="2F547084"/>
    <w:rsid w:val="30FF1C97"/>
    <w:rsid w:val="316D1255"/>
    <w:rsid w:val="32587BB2"/>
    <w:rsid w:val="32CF6F78"/>
    <w:rsid w:val="331E0155"/>
    <w:rsid w:val="347E3E22"/>
    <w:rsid w:val="34AE4101"/>
    <w:rsid w:val="34C63EF6"/>
    <w:rsid w:val="35234A93"/>
    <w:rsid w:val="35CF23CB"/>
    <w:rsid w:val="35FD22DA"/>
    <w:rsid w:val="377B7B62"/>
    <w:rsid w:val="37CD4A7A"/>
    <w:rsid w:val="37CE1367"/>
    <w:rsid w:val="38416B6B"/>
    <w:rsid w:val="38E77668"/>
    <w:rsid w:val="393352D0"/>
    <w:rsid w:val="39846582"/>
    <w:rsid w:val="39E41315"/>
    <w:rsid w:val="3AA322FB"/>
    <w:rsid w:val="3B6C71D8"/>
    <w:rsid w:val="3BAA2D10"/>
    <w:rsid w:val="3BAE4B93"/>
    <w:rsid w:val="3D396C68"/>
    <w:rsid w:val="3F1B1335"/>
    <w:rsid w:val="3F4577B5"/>
    <w:rsid w:val="3FD34AF2"/>
    <w:rsid w:val="40B3559D"/>
    <w:rsid w:val="40CA20FF"/>
    <w:rsid w:val="40F8107D"/>
    <w:rsid w:val="41873C36"/>
    <w:rsid w:val="42E03A6F"/>
    <w:rsid w:val="433553E8"/>
    <w:rsid w:val="43547DE0"/>
    <w:rsid w:val="45467488"/>
    <w:rsid w:val="45A9244C"/>
    <w:rsid w:val="467A3B2C"/>
    <w:rsid w:val="47653A95"/>
    <w:rsid w:val="47CD6A02"/>
    <w:rsid w:val="494551F3"/>
    <w:rsid w:val="49B20572"/>
    <w:rsid w:val="49B44860"/>
    <w:rsid w:val="4BF058F8"/>
    <w:rsid w:val="4C516396"/>
    <w:rsid w:val="4C920D40"/>
    <w:rsid w:val="4D1B1261"/>
    <w:rsid w:val="4E1F6FE5"/>
    <w:rsid w:val="4E7D4A4F"/>
    <w:rsid w:val="4ECC264C"/>
    <w:rsid w:val="4FA743FB"/>
    <w:rsid w:val="510645FA"/>
    <w:rsid w:val="51216BE8"/>
    <w:rsid w:val="51664527"/>
    <w:rsid w:val="51736776"/>
    <w:rsid w:val="51A14015"/>
    <w:rsid w:val="530159C6"/>
    <w:rsid w:val="53E45D42"/>
    <w:rsid w:val="549D0001"/>
    <w:rsid w:val="54B33922"/>
    <w:rsid w:val="551D4CE4"/>
    <w:rsid w:val="555C346A"/>
    <w:rsid w:val="55640996"/>
    <w:rsid w:val="559746D8"/>
    <w:rsid w:val="55CD3EDB"/>
    <w:rsid w:val="56100A19"/>
    <w:rsid w:val="5B570FB7"/>
    <w:rsid w:val="5BDE576D"/>
    <w:rsid w:val="5C50666A"/>
    <w:rsid w:val="5C8C6F64"/>
    <w:rsid w:val="5C916DFE"/>
    <w:rsid w:val="5CA34F80"/>
    <w:rsid w:val="5D4F6922"/>
    <w:rsid w:val="5DBA22A7"/>
    <w:rsid w:val="5DC5002E"/>
    <w:rsid w:val="5DFA3C1D"/>
    <w:rsid w:val="5E0F35C8"/>
    <w:rsid w:val="5E105329"/>
    <w:rsid w:val="5E121888"/>
    <w:rsid w:val="5E97077C"/>
    <w:rsid w:val="602A7BF4"/>
    <w:rsid w:val="60593873"/>
    <w:rsid w:val="60D41851"/>
    <w:rsid w:val="61011CDA"/>
    <w:rsid w:val="61AD0F98"/>
    <w:rsid w:val="61F42E1D"/>
    <w:rsid w:val="620C3034"/>
    <w:rsid w:val="62467179"/>
    <w:rsid w:val="62762193"/>
    <w:rsid w:val="62A93765"/>
    <w:rsid w:val="63212CD8"/>
    <w:rsid w:val="63AA2A78"/>
    <w:rsid w:val="643806ED"/>
    <w:rsid w:val="64A51B2D"/>
    <w:rsid w:val="650E5FF1"/>
    <w:rsid w:val="65FE286C"/>
    <w:rsid w:val="66446756"/>
    <w:rsid w:val="667374DB"/>
    <w:rsid w:val="67952097"/>
    <w:rsid w:val="67F241AA"/>
    <w:rsid w:val="68032A33"/>
    <w:rsid w:val="68B971B6"/>
    <w:rsid w:val="695919A3"/>
    <w:rsid w:val="69AC5B4D"/>
    <w:rsid w:val="6AF24A77"/>
    <w:rsid w:val="6B872412"/>
    <w:rsid w:val="6BB927D9"/>
    <w:rsid w:val="6C0665E4"/>
    <w:rsid w:val="6C394AD8"/>
    <w:rsid w:val="6D562C3D"/>
    <w:rsid w:val="6D8C26A0"/>
    <w:rsid w:val="6F220321"/>
    <w:rsid w:val="6F9B3A24"/>
    <w:rsid w:val="6FA515EE"/>
    <w:rsid w:val="6FFA408B"/>
    <w:rsid w:val="70B654CF"/>
    <w:rsid w:val="7170570D"/>
    <w:rsid w:val="71987A34"/>
    <w:rsid w:val="72C62D8B"/>
    <w:rsid w:val="72FC6805"/>
    <w:rsid w:val="734144B7"/>
    <w:rsid w:val="742D050C"/>
    <w:rsid w:val="747125DF"/>
    <w:rsid w:val="74BD7B76"/>
    <w:rsid w:val="75365DA9"/>
    <w:rsid w:val="769335E7"/>
    <w:rsid w:val="770F35A7"/>
    <w:rsid w:val="77612FB4"/>
    <w:rsid w:val="77EC10D8"/>
    <w:rsid w:val="77F52C5C"/>
    <w:rsid w:val="78B4658A"/>
    <w:rsid w:val="78D426F8"/>
    <w:rsid w:val="7A800AE8"/>
    <w:rsid w:val="7AAA2CE3"/>
    <w:rsid w:val="7AC30597"/>
    <w:rsid w:val="7BD04052"/>
    <w:rsid w:val="7BFA3AA5"/>
    <w:rsid w:val="7D2D571E"/>
    <w:rsid w:val="7D6372B7"/>
    <w:rsid w:val="7EB20667"/>
    <w:rsid w:val="7F350A56"/>
    <w:rsid w:val="7F951C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caption"/>
    <w:basedOn w:val="1"/>
    <w:next w:val="1"/>
    <w:qFormat/>
    <w:uiPriority w:val="0"/>
    <w:rPr>
      <w:rFonts w:ascii="Arial" w:hAnsi="Arial" w:eastAsia="黑体" w:cs="Arial"/>
      <w:sz w:val="20"/>
      <w:szCs w:val="20"/>
    </w:rPr>
  </w:style>
  <w:style w:type="paragraph" w:styleId="8">
    <w:name w:val="annotation text"/>
    <w:basedOn w:val="1"/>
    <w:link w:val="38"/>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next w:val="11"/>
    <w:link w:val="36"/>
    <w:qFormat/>
    <w:uiPriority w:val="0"/>
    <w:pPr>
      <w:spacing w:after="120"/>
    </w:pPr>
  </w:style>
  <w:style w:type="paragraph" w:styleId="11">
    <w:name w:val="Body Text 2"/>
    <w:basedOn w:val="1"/>
    <w:qFormat/>
    <w:uiPriority w:val="0"/>
    <w:pPr>
      <w:widowControl w:val="0"/>
      <w:adjustRightInd w:val="0"/>
      <w:spacing w:after="0" w:line="360" w:lineRule="auto"/>
      <w:textAlignment w:val="baseline"/>
    </w:pPr>
    <w:rPr>
      <w:rFonts w:ascii="宋体" w:hAnsi="宋体" w:cs="Times New Roman"/>
      <w:color w:val="0000FF"/>
      <w:kern w:val="0"/>
      <w:sz w:val="28"/>
      <w:szCs w:val="20"/>
    </w:rPr>
  </w:style>
  <w:style w:type="paragraph" w:styleId="12">
    <w:name w:val="Body Text Indent"/>
    <w:basedOn w:val="1"/>
    <w:next w:val="13"/>
    <w:qFormat/>
    <w:uiPriority w:val="0"/>
    <w:pPr>
      <w:ind w:firstLine="830" w:firstLineChars="352"/>
    </w:pPr>
    <w:rPr>
      <w:rFonts w:ascii="仿宋_GB2312" w:eastAsia="仿宋_GB2312"/>
      <w:sz w:val="32"/>
      <w:szCs w:val="20"/>
    </w:rPr>
  </w:style>
  <w:style w:type="paragraph" w:styleId="13">
    <w:name w:val="envelope return"/>
    <w:basedOn w:val="1"/>
    <w:qFormat/>
    <w:uiPriority w:val="0"/>
    <w:pPr>
      <w:snapToGrid w:val="0"/>
    </w:pPr>
    <w:rPr>
      <w:rFonts w:ascii="Arial" w:hAnsi="Arial"/>
      <w:szCs w:val="24"/>
    </w:rPr>
  </w:style>
  <w:style w:type="paragraph" w:styleId="14">
    <w:name w:val="Plain Text"/>
    <w:basedOn w:val="1"/>
    <w:link w:val="34"/>
    <w:qFormat/>
    <w:uiPriority w:val="0"/>
    <w:rPr>
      <w:rFonts w:ascii="宋体" w:hAnsi="Courier New" w:cs="Courier New"/>
      <w:szCs w:val="21"/>
    </w:rPr>
  </w:style>
  <w:style w:type="paragraph" w:styleId="15">
    <w:name w:val="Body Text Indent 2"/>
    <w:basedOn w:val="1"/>
    <w:link w:val="53"/>
    <w:qFormat/>
    <w:uiPriority w:val="0"/>
    <w:pPr>
      <w:spacing w:after="120" w:line="480" w:lineRule="auto"/>
      <w:ind w:left="420" w:leftChars="200"/>
    </w:pPr>
  </w:style>
  <w:style w:type="paragraph" w:styleId="16">
    <w:name w:val="Balloon Text"/>
    <w:basedOn w:val="1"/>
    <w:link w:val="37"/>
    <w:qFormat/>
    <w:uiPriority w:val="99"/>
    <w:rPr>
      <w:sz w:val="18"/>
      <w:szCs w:val="18"/>
    </w:rPr>
  </w:style>
  <w:style w:type="paragraph" w:styleId="17">
    <w:name w:val="footer"/>
    <w:basedOn w:val="1"/>
    <w:link w:val="51"/>
    <w:qFormat/>
    <w:uiPriority w:val="99"/>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style>
  <w:style w:type="paragraph" w:styleId="20">
    <w:name w:val="Body Text Indent 3"/>
    <w:basedOn w:val="1"/>
    <w:link w:val="35"/>
    <w:qFormat/>
    <w:uiPriority w:val="0"/>
    <w:pPr>
      <w:spacing w:after="120"/>
      <w:ind w:left="420" w:leftChars="200"/>
    </w:pPr>
    <w:rPr>
      <w:sz w:val="16"/>
      <w:szCs w:val="16"/>
    </w:rPr>
  </w:style>
  <w:style w:type="paragraph" w:styleId="21">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2">
    <w:name w:val="index 1"/>
    <w:basedOn w:val="1"/>
    <w:next w:val="1"/>
    <w:qFormat/>
    <w:uiPriority w:val="0"/>
    <w:pPr>
      <w:tabs>
        <w:tab w:val="left" w:pos="7740"/>
      </w:tabs>
      <w:jc w:val="center"/>
    </w:pPr>
    <w:rPr>
      <w:rFonts w:ascii="仿宋" w:hAnsi="仿宋" w:eastAsia="仿宋"/>
      <w:b/>
      <w:sz w:val="28"/>
      <w:szCs w:val="28"/>
    </w:rPr>
  </w:style>
  <w:style w:type="paragraph" w:styleId="23">
    <w:name w:val="Title"/>
    <w:basedOn w:val="1"/>
    <w:next w:val="1"/>
    <w:link w:val="32"/>
    <w:qFormat/>
    <w:uiPriority w:val="0"/>
    <w:pPr>
      <w:spacing w:before="240" w:after="60"/>
      <w:jc w:val="center"/>
      <w:outlineLvl w:val="0"/>
    </w:pPr>
    <w:rPr>
      <w:rFonts w:ascii="Cambria" w:hAnsi="Cambria"/>
      <w:b/>
      <w:bCs/>
      <w:sz w:val="32"/>
      <w:szCs w:val="32"/>
    </w:rPr>
  </w:style>
  <w:style w:type="paragraph" w:styleId="24">
    <w:name w:val="Body Text First Indent 2"/>
    <w:basedOn w:val="12"/>
    <w:qFormat/>
    <w:uiPriority w:val="0"/>
    <w:pPr>
      <w:adjustRightInd/>
      <w:snapToGrid/>
      <w:spacing w:line="360" w:lineRule="auto"/>
      <w:ind w:firstLine="471" w:firstLineChars="200"/>
      <w:textAlignment w:val="auto"/>
    </w:pPr>
    <w:rPr>
      <w:rFonts w:hint="eastAsia" w:hAnsi="Times New Roman"/>
      <w:kern w:val="2"/>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rFonts w:eastAsia="宋体"/>
      <w:b/>
      <w:bCs/>
      <w:kern w:val="2"/>
      <w:sz w:val="24"/>
      <w:szCs w:val="24"/>
      <w:lang w:val="en-US" w:eastAsia="zh-CN" w:bidi="ar-SA"/>
    </w:rPr>
  </w:style>
  <w:style w:type="character" w:styleId="29">
    <w:name w:val="page number"/>
    <w:basedOn w:val="27"/>
    <w:qFormat/>
    <w:uiPriority w:val="0"/>
  </w:style>
  <w:style w:type="character" w:styleId="30">
    <w:name w:val="annotation reference"/>
    <w:basedOn w:val="27"/>
    <w:qFormat/>
    <w:uiPriority w:val="0"/>
    <w:rPr>
      <w:sz w:val="21"/>
      <w:szCs w:val="21"/>
    </w:rPr>
  </w:style>
  <w:style w:type="paragraph" w:customStyle="1" w:styleId="31">
    <w:name w:val="Default1"/>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character" w:customStyle="1" w:styleId="32">
    <w:name w:val="标题 Char"/>
    <w:basedOn w:val="27"/>
    <w:link w:val="23"/>
    <w:qFormat/>
    <w:uiPriority w:val="0"/>
    <w:rPr>
      <w:rFonts w:ascii="Cambria" w:hAnsi="Cambria" w:cs="Times New Roman"/>
      <w:b/>
      <w:bCs/>
      <w:sz w:val="32"/>
      <w:szCs w:val="32"/>
    </w:rPr>
  </w:style>
  <w:style w:type="character" w:customStyle="1" w:styleId="33">
    <w:name w:val="标题 1 Char"/>
    <w:basedOn w:val="27"/>
    <w:link w:val="2"/>
    <w:qFormat/>
    <w:uiPriority w:val="0"/>
    <w:rPr>
      <w:b/>
      <w:bCs/>
      <w:kern w:val="44"/>
      <w:sz w:val="44"/>
      <w:szCs w:val="44"/>
    </w:rPr>
  </w:style>
  <w:style w:type="character" w:customStyle="1" w:styleId="34">
    <w:name w:val="纯文本 Char"/>
    <w:basedOn w:val="27"/>
    <w:link w:val="14"/>
    <w:qFormat/>
    <w:uiPriority w:val="0"/>
    <w:rPr>
      <w:rFonts w:ascii="宋体" w:hAnsi="Courier New" w:cs="Courier New"/>
      <w:sz w:val="21"/>
      <w:szCs w:val="21"/>
    </w:rPr>
  </w:style>
  <w:style w:type="character" w:customStyle="1" w:styleId="35">
    <w:name w:val="正文文本缩进 3 Char"/>
    <w:basedOn w:val="27"/>
    <w:link w:val="20"/>
    <w:qFormat/>
    <w:uiPriority w:val="0"/>
    <w:rPr>
      <w:sz w:val="16"/>
      <w:szCs w:val="16"/>
    </w:rPr>
  </w:style>
  <w:style w:type="character" w:customStyle="1" w:styleId="36">
    <w:name w:val="正文文本 Char"/>
    <w:basedOn w:val="27"/>
    <w:link w:val="10"/>
    <w:qFormat/>
    <w:uiPriority w:val="0"/>
    <w:rPr>
      <w:sz w:val="21"/>
    </w:rPr>
  </w:style>
  <w:style w:type="character" w:customStyle="1" w:styleId="37">
    <w:name w:val="批注框文本 Char"/>
    <w:basedOn w:val="27"/>
    <w:link w:val="16"/>
    <w:qFormat/>
    <w:uiPriority w:val="99"/>
    <w:rPr>
      <w:sz w:val="18"/>
      <w:szCs w:val="18"/>
    </w:rPr>
  </w:style>
  <w:style w:type="character" w:customStyle="1" w:styleId="38">
    <w:name w:val="批注文字 Char"/>
    <w:basedOn w:val="27"/>
    <w:link w:val="8"/>
    <w:qFormat/>
    <w:uiPriority w:val="0"/>
    <w:rPr>
      <w:sz w:val="21"/>
    </w:rPr>
  </w:style>
  <w:style w:type="paragraph" w:customStyle="1" w:styleId="39">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0">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41">
    <w:name w:val="表格文字"/>
    <w:basedOn w:val="1"/>
    <w:qFormat/>
    <w:uiPriority w:val="0"/>
    <w:pPr>
      <w:spacing w:before="25" w:after="25"/>
      <w:jc w:val="left"/>
    </w:pPr>
    <w:rPr>
      <w:bCs/>
      <w:spacing w:val="10"/>
      <w:kern w:val="0"/>
      <w:sz w:val="24"/>
      <w:szCs w:val="20"/>
    </w:rPr>
  </w:style>
  <w:style w:type="paragraph" w:customStyle="1" w:styleId="4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4">
    <w:name w:val="1.1"/>
    <w:basedOn w:val="1"/>
    <w:next w:val="1"/>
    <w:qFormat/>
    <w:uiPriority w:val="0"/>
    <w:pPr>
      <w:tabs>
        <w:tab w:val="left" w:pos="900"/>
      </w:tabs>
      <w:adjustRightInd w:val="0"/>
      <w:snapToGrid w:val="0"/>
      <w:spacing w:beforeLines="50" w:afterLines="50" w:line="400" w:lineRule="atLeast"/>
      <w:ind w:left="50" w:leftChars="50" w:right="200" w:rightChars="200" w:hanging="901" w:hangingChars="299"/>
    </w:pPr>
    <w:rPr>
      <w:b/>
      <w:kern w:val="0"/>
      <w:sz w:val="30"/>
      <w:szCs w:val="20"/>
    </w:rPr>
  </w:style>
  <w:style w:type="paragraph" w:customStyle="1" w:styleId="45">
    <w:name w:val="题注4"/>
    <w:basedOn w:val="1"/>
    <w:next w:val="7"/>
    <w:qFormat/>
    <w:uiPriority w:val="0"/>
    <w:pPr>
      <w:ind w:left="-132" w:leftChars="-64" w:right="-105" w:rightChars="-50" w:hanging="2"/>
      <w:jc w:val="center"/>
    </w:pPr>
    <w:rPr>
      <w:b/>
      <w:color w:val="FF0000"/>
      <w:szCs w:val="21"/>
      <w:lang w:val="en-GB"/>
    </w:rPr>
  </w:style>
  <w:style w:type="paragraph" w:customStyle="1" w:styleId="46">
    <w:name w:val="Char Char2 Char"/>
    <w:basedOn w:val="1"/>
    <w:qFormat/>
    <w:uiPriority w:val="0"/>
  </w:style>
  <w:style w:type="paragraph" w:customStyle="1" w:styleId="47">
    <w:name w:val="Char"/>
    <w:basedOn w:val="1"/>
    <w:qFormat/>
    <w:uiPriority w:val="0"/>
    <w:pPr>
      <w:spacing w:line="480" w:lineRule="exact"/>
    </w:pPr>
    <w:rPr>
      <w:sz w:val="24"/>
    </w:rPr>
  </w:style>
  <w:style w:type="paragraph" w:customStyle="1" w:styleId="48">
    <w:name w:val="1.1.1.1"/>
    <w:basedOn w:val="1"/>
    <w:qFormat/>
    <w:uiPriority w:val="0"/>
    <w:pPr>
      <w:tabs>
        <w:tab w:val="left" w:pos="900"/>
        <w:tab w:val="left" w:pos="1134"/>
      </w:tabs>
      <w:adjustRightInd w:val="0"/>
      <w:snapToGrid w:val="0"/>
      <w:spacing w:beforeLines="50" w:afterLines="50" w:line="400" w:lineRule="atLeast"/>
      <w:ind w:left="869" w:leftChars="50" w:right="200" w:rightChars="200"/>
      <w:textAlignment w:val="baseline"/>
    </w:pPr>
    <w:rPr>
      <w:rFonts w:ascii="Arial" w:hAnsi="Arial"/>
      <w:kern w:val="0"/>
      <w:sz w:val="24"/>
      <w:szCs w:val="20"/>
    </w:rPr>
  </w:style>
  <w:style w:type="paragraph" w:customStyle="1" w:styleId="49">
    <w:name w:val="Char Char Char Char"/>
    <w:basedOn w:val="1"/>
    <w:qFormat/>
    <w:uiPriority w:val="0"/>
  </w:style>
  <w:style w:type="paragraph" w:styleId="5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页脚 Char"/>
    <w:basedOn w:val="27"/>
    <w:link w:val="17"/>
    <w:qFormat/>
    <w:uiPriority w:val="99"/>
    <w:rPr>
      <w:kern w:val="2"/>
      <w:sz w:val="18"/>
      <w:szCs w:val="24"/>
    </w:rPr>
  </w:style>
  <w:style w:type="paragraph" w:customStyle="1" w:styleId="52">
    <w:name w:val="_Style 4"/>
    <w:basedOn w:val="2"/>
    <w:next w:val="1"/>
    <w:qFormat/>
    <w:uiPriority w:val="0"/>
    <w:pPr>
      <w:keepNext w:val="0"/>
      <w:keepLines w:val="0"/>
      <w:spacing w:before="0" w:after="0" w:line="576" w:lineRule="auto"/>
      <w:jc w:val="left"/>
      <w:outlineLvl w:val="9"/>
    </w:pPr>
    <w:rPr>
      <w:rFonts w:ascii="Calibri" w:hAnsi="Calibri" w:eastAsia="黑体"/>
      <w:b w:val="0"/>
      <w:bCs w:val="0"/>
      <w:kern w:val="0"/>
      <w:lang w:eastAsia="en-US"/>
    </w:rPr>
  </w:style>
  <w:style w:type="character" w:customStyle="1" w:styleId="53">
    <w:name w:val="正文文本缩进 2 Char"/>
    <w:basedOn w:val="27"/>
    <w:link w:val="15"/>
    <w:qFormat/>
    <w:uiPriority w:val="0"/>
    <w:rPr>
      <w:kern w:val="2"/>
      <w:sz w:val="21"/>
      <w:szCs w:val="24"/>
    </w:rPr>
  </w:style>
  <w:style w:type="paragraph" w:styleId="54">
    <w:name w:val="List Paragraph"/>
    <w:basedOn w:val="1"/>
    <w:qFormat/>
    <w:uiPriority w:val="99"/>
    <w:pPr>
      <w:ind w:firstLine="420" w:firstLineChars="200"/>
    </w:pPr>
    <w:rPr>
      <w:rFonts w:ascii="Calibri" w:hAnsi="Calibri"/>
      <w:szCs w:val="22"/>
    </w:rPr>
  </w:style>
  <w:style w:type="paragraph" w:customStyle="1" w:styleId="55">
    <w:name w:val="章节一"/>
    <w:basedOn w:val="1"/>
    <w:next w:val="1"/>
    <w:qFormat/>
    <w:uiPriority w:val="0"/>
    <w:pPr>
      <w:topLinePunct/>
      <w:adjustRightInd w:val="0"/>
      <w:snapToGrid w:val="0"/>
      <w:spacing w:beforeLines="50" w:afterLines="50"/>
      <w:jc w:val="center"/>
      <w:outlineLvl w:val="0"/>
    </w:pPr>
    <w:rPr>
      <w:rFonts w:eastAsia="黑体"/>
      <w:b/>
      <w:spacing w:val="4"/>
      <w:kern w:val="0"/>
      <w:sz w:val="36"/>
      <w:szCs w:val="36"/>
    </w:rPr>
  </w:style>
  <w:style w:type="paragraph" w:customStyle="1" w:styleId="56">
    <w:name w:val="_Style 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23308</Words>
  <Characters>24354</Characters>
  <Lines>89</Lines>
  <Paragraphs>25</Paragraphs>
  <TotalTime>43</TotalTime>
  <ScaleCrop>false</ScaleCrop>
  <LinksUpToDate>false</LinksUpToDate>
  <CharactersWithSpaces>25347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2020-10-21T03:35:00Z</dcterms:created>
  <dc:creator>李继能</dc:creator>
  <cp:lastModifiedBy>魏少慧</cp:lastModifiedBy>
  <cp:lastPrinted>2025-04-29T06:45:00Z</cp:lastPrinted>
  <dcterms:modified xsi:type="dcterms:W3CDTF">2025-06-17T09:04:46Z</dcterms:modified>
  <dc:title>询价文件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8168F556453142EA952E278BC356BCCC</vt:lpwstr>
  </property>
  <property fmtid="{D5CDD505-2E9C-101B-9397-08002B2CF9AE}" pid="4" name="KSOTemplateDocerSaveRecord">
    <vt:lpwstr>eyJoZGlkIjoiNzE1YWM3OTIyOGZlMTExZmNmNDU3MjQyZTYzNGUyNWMiLCJ1c2VySWQiOiIxNDIzMTU3NTQwIn0=</vt:lpwstr>
  </property>
</Properties>
</file>