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74" w:line="360" w:lineRule="auto"/>
        <w:ind w:left="133"/>
        <w:jc w:val="center"/>
        <w:rPr>
          <w:rFonts w:ascii="方正小标宋简体" w:hAnsi="方正小标宋简体" w:eastAsia="方正小标宋简体" w:cs="方正小标宋简体"/>
          <w:sz w:val="44"/>
          <w:szCs w:val="44"/>
          <w:highlight w:val="none"/>
        </w:rPr>
      </w:pPr>
      <w:bookmarkStart w:id="0" w:name="OLE_LINK1"/>
      <w:r>
        <w:rPr>
          <w:rFonts w:hint="eastAsia" w:ascii="方正小标宋简体" w:hAnsi="方正小标宋简体" w:eastAsia="方正小标宋简体" w:cs="方正小标宋简体"/>
          <w:sz w:val="44"/>
          <w:szCs w:val="44"/>
          <w:highlight w:val="none"/>
        </w:rPr>
        <w:t>广州市海珠区得胜岗片区更新改造项目</w:t>
      </w:r>
      <w:bookmarkEnd w:id="0"/>
    </w:p>
    <w:p>
      <w:pPr>
        <w:pStyle w:val="7"/>
        <w:spacing w:before="74" w:line="360" w:lineRule="auto"/>
        <w:ind w:left="133"/>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设计</w:t>
      </w:r>
      <w:r>
        <w:rPr>
          <w:rFonts w:hint="eastAsia" w:ascii="方正小标宋简体" w:hAnsi="方正小标宋简体" w:eastAsia="方正小标宋简体" w:cs="方正小标宋简体"/>
          <w:sz w:val="44"/>
          <w:szCs w:val="44"/>
          <w:highlight w:val="none"/>
          <w:lang w:val="en-US" w:eastAsia="zh-CN"/>
        </w:rPr>
        <w:t>任务书</w:t>
      </w:r>
    </w:p>
    <w:p>
      <w:pPr>
        <w:spacing w:line="360" w:lineRule="auto"/>
        <w:rPr>
          <w:rFonts w:ascii="宋体" w:hAnsi="宋体" w:cs="宋体"/>
          <w:b/>
          <w:bCs/>
          <w:sz w:val="24"/>
          <w:highlight w:val="none"/>
        </w:rPr>
      </w:pPr>
      <w:r>
        <w:rPr>
          <w:rFonts w:hint="eastAsia" w:ascii="宋体" w:hAnsi="宋体" w:cs="宋体"/>
          <w:b/>
          <w:bCs/>
          <w:sz w:val="24"/>
          <w:highlight w:val="none"/>
        </w:rPr>
        <w:t>一、工程概况</w:t>
      </w:r>
      <w:bookmarkStart w:id="205" w:name="_GoBack"/>
      <w:bookmarkEnd w:id="205"/>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1.工程名称：</w:t>
      </w:r>
      <w:r>
        <w:rPr>
          <w:rFonts w:hint="eastAsia" w:ascii="宋体" w:hAnsi="宋体" w:cs="宋体"/>
          <w:sz w:val="24"/>
          <w:highlight w:val="none"/>
          <w:u w:val="single"/>
        </w:rPr>
        <w:t>广州市海珠区得胜岗片区更新改造项目设计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2.发包人：</w:t>
      </w:r>
      <w:r>
        <w:rPr>
          <w:rFonts w:hint="eastAsia" w:ascii="宋体" w:hAnsi="宋体" w:cs="宋体"/>
          <w:sz w:val="24"/>
          <w:highlight w:val="none"/>
          <w:u w:val="single"/>
        </w:rPr>
        <w:t>广州优居运营管理有限公司</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3.工程建设地点：</w:t>
      </w:r>
      <w:r>
        <w:rPr>
          <w:rFonts w:hint="eastAsia" w:ascii="宋体" w:hAnsi="宋体" w:cs="宋体"/>
          <w:sz w:val="24"/>
          <w:highlight w:val="none"/>
          <w:u w:val="single"/>
        </w:rPr>
        <w:t>广州市海珠区得胜岗片区</w:t>
      </w:r>
    </w:p>
    <w:p>
      <w:pPr>
        <w:pStyle w:val="7"/>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4.资金来源：企业自筹资金。</w:t>
      </w:r>
    </w:p>
    <w:p>
      <w:pPr>
        <w:spacing w:line="360" w:lineRule="auto"/>
        <w:rPr>
          <w:rFonts w:ascii="宋体" w:hAnsi="宋体" w:cs="宋体"/>
          <w:b/>
          <w:bCs/>
          <w:sz w:val="24"/>
          <w:highlight w:val="none"/>
        </w:rPr>
      </w:pPr>
      <w:r>
        <w:rPr>
          <w:rFonts w:hint="eastAsia" w:ascii="宋体" w:hAnsi="宋体" w:cs="宋体"/>
          <w:b/>
          <w:bCs/>
          <w:sz w:val="24"/>
          <w:highlight w:val="none"/>
        </w:rPr>
        <w:t>二、工程设计服务范围、内容及方式</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2.1</w:t>
      </w:r>
      <w:r>
        <w:rPr>
          <w:rFonts w:hint="eastAsia" w:ascii="宋体" w:hAnsi="宋体" w:cs="宋体"/>
          <w:kern w:val="0"/>
          <w:sz w:val="24"/>
          <w:highlight w:val="none"/>
        </w:rPr>
        <w:t>工程设计服务范围和内容：</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2.1.1工程范围：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（1）建设规模：</w:t>
      </w:r>
      <w:r>
        <w:rPr>
          <w:rFonts w:hint="eastAsia" w:ascii="宋体" w:hAnsi="宋体" w:cs="宋体"/>
          <w:sz w:val="24"/>
          <w:highlight w:val="none"/>
          <w:u w:val="single"/>
        </w:rPr>
        <w:t>本项目规划新建</w:t>
      </w:r>
      <w:r>
        <w:rPr>
          <w:rFonts w:hint="eastAsia" w:ascii="宋体" w:hAnsi="宋体" w:cs="宋体"/>
          <w:sz w:val="24"/>
          <w:highlight w:val="none"/>
          <w:u w:val="single"/>
          <w:lang w:val="en-US" w:eastAsia="zh-CN"/>
        </w:rPr>
        <w:t>344</w:t>
      </w:r>
      <w:r>
        <w:rPr>
          <w:rFonts w:hint="eastAsia" w:ascii="宋体" w:hAnsi="宋体" w:cs="宋体"/>
          <w:sz w:val="24"/>
          <w:highlight w:val="none"/>
          <w:u w:val="single"/>
        </w:rPr>
        <w:t>套配售型保障房，项目规划用地面积为</w:t>
      </w:r>
      <w:r>
        <w:rPr>
          <w:rFonts w:ascii="宋体" w:hAnsi="宋体" w:cs="宋体"/>
          <w:sz w:val="24"/>
          <w:highlight w:val="none"/>
          <w:u w:val="single"/>
        </w:rPr>
        <w:t>151</w:t>
      </w:r>
      <w:r>
        <w:rPr>
          <w:rFonts w:hint="eastAsia" w:ascii="宋体" w:hAnsi="宋体" w:cs="宋体"/>
          <w:sz w:val="24"/>
          <w:highlight w:val="none"/>
          <w:u w:val="single"/>
        </w:rPr>
        <w:t>33.6㎡，</w:t>
      </w:r>
      <w:r>
        <w:rPr>
          <w:rFonts w:hint="eastAsia" w:ascii="宋体" w:hAnsi="宋体" w:cs="宋体"/>
          <w:sz w:val="24"/>
          <w:szCs w:val="24"/>
          <w:highlight w:val="none"/>
          <w:u w:val="single"/>
          <w:lang w:val="en-US" w:eastAsia="zh-CN"/>
        </w:rPr>
        <w:t>项目共分三期开发</w:t>
      </w:r>
      <w:r>
        <w:rPr>
          <w:rFonts w:hint="eastAsia" w:ascii="宋体" w:hAnsi="宋体" w:cs="宋体"/>
          <w:sz w:val="24"/>
          <w:szCs w:val="24"/>
          <w:highlight w:val="none"/>
          <w:u w:val="single"/>
        </w:rPr>
        <w:t>，其中</w:t>
      </w:r>
      <w:r>
        <w:rPr>
          <w:rFonts w:hint="eastAsia" w:ascii="宋体" w:hAnsi="宋体" w:cs="宋体"/>
          <w:sz w:val="24"/>
          <w:szCs w:val="24"/>
          <w:highlight w:val="none"/>
          <w:u w:val="single"/>
          <w:lang w:val="en-US" w:eastAsia="zh-CN"/>
        </w:rPr>
        <w:t>一期</w:t>
      </w:r>
      <w:r>
        <w:rPr>
          <w:rFonts w:ascii="宋体" w:hAnsi="宋体" w:cs="宋体"/>
          <w:sz w:val="24"/>
          <w:szCs w:val="24"/>
          <w:highlight w:val="none"/>
          <w:u w:val="single"/>
        </w:rPr>
        <w:t>1#楼共3</w:t>
      </w:r>
      <w:r>
        <w:rPr>
          <w:rFonts w:hint="eastAsia" w:ascii="宋体" w:hAnsi="宋体" w:cs="宋体"/>
          <w:sz w:val="24"/>
          <w:highlight w:val="none"/>
          <w:u w:val="single"/>
        </w:rPr>
        <w:t>0</w:t>
      </w:r>
      <w:r>
        <w:rPr>
          <w:rFonts w:hint="eastAsia" w:ascii="宋体" w:hAnsi="宋体" w:cs="宋体"/>
          <w:sz w:val="24"/>
          <w:szCs w:val="24"/>
          <w:highlight w:val="none"/>
          <w:u w:val="single"/>
        </w:rPr>
        <w:t>层高度约</w:t>
      </w:r>
      <w:r>
        <w:rPr>
          <w:rFonts w:hint="eastAsia" w:ascii="宋体" w:hAnsi="宋体" w:cs="宋体"/>
          <w:sz w:val="24"/>
          <w:highlight w:val="none"/>
          <w:u w:val="single"/>
        </w:rPr>
        <w:t>99</w:t>
      </w:r>
      <w:r>
        <w:rPr>
          <w:rFonts w:ascii="宋体" w:hAnsi="宋体" w:cs="宋体"/>
          <w:sz w:val="24"/>
          <w:szCs w:val="24"/>
          <w:highlight w:val="none"/>
          <w:u w:val="single"/>
        </w:rPr>
        <w:t>m，</w:t>
      </w:r>
      <w:r>
        <w:rPr>
          <w:rFonts w:hint="eastAsia" w:ascii="宋体" w:hAnsi="宋体" w:cs="宋体"/>
          <w:sz w:val="24"/>
          <w:szCs w:val="24"/>
          <w:highlight w:val="none"/>
          <w:u w:val="single"/>
          <w:lang w:val="en-US" w:eastAsia="zh-CN"/>
        </w:rPr>
        <w:t>二期</w:t>
      </w:r>
      <w:r>
        <w:rPr>
          <w:rFonts w:ascii="宋体" w:hAnsi="宋体" w:cs="宋体"/>
          <w:sz w:val="24"/>
          <w:szCs w:val="24"/>
          <w:highlight w:val="none"/>
          <w:u w:val="single"/>
        </w:rPr>
        <w:t>2#楼共3</w:t>
      </w:r>
      <w:r>
        <w:rPr>
          <w:rFonts w:hint="eastAsia" w:ascii="宋体" w:hAnsi="宋体" w:cs="宋体"/>
          <w:sz w:val="24"/>
          <w:highlight w:val="none"/>
          <w:u w:val="single"/>
        </w:rPr>
        <w:t>0</w:t>
      </w:r>
      <w:r>
        <w:rPr>
          <w:rFonts w:hint="eastAsia" w:ascii="宋体" w:hAnsi="宋体" w:cs="宋体"/>
          <w:sz w:val="24"/>
          <w:szCs w:val="24"/>
          <w:highlight w:val="none"/>
          <w:u w:val="single"/>
        </w:rPr>
        <w:t>层高度约</w:t>
      </w:r>
      <w:r>
        <w:rPr>
          <w:rFonts w:hint="eastAsia" w:ascii="宋体" w:hAnsi="宋体" w:cs="宋体"/>
          <w:sz w:val="24"/>
          <w:highlight w:val="none"/>
          <w:u w:val="single"/>
        </w:rPr>
        <w:t>99</w:t>
      </w:r>
      <w:r>
        <w:rPr>
          <w:rFonts w:ascii="宋体" w:hAnsi="宋体" w:cs="宋体"/>
          <w:sz w:val="24"/>
          <w:szCs w:val="24"/>
          <w:highlight w:val="none"/>
          <w:u w:val="single"/>
        </w:rPr>
        <w:t>m，另配建24班制小学共5层高度约24m</w:t>
      </w:r>
      <w:r>
        <w:rPr>
          <w:rFonts w:hint="eastAsia" w:ascii="宋体" w:hAnsi="宋体" w:cs="宋体"/>
          <w:sz w:val="24"/>
          <w:highlight w:val="none"/>
          <w:u w:val="single"/>
        </w:rPr>
        <w:t>，三期地块为原拆原建多层建筑1栋。新建总建筑面积63077.63㎡，其中计容建筑面积为41240.13㎡（含配售型保障房建筑面积25544.23㎡，</w:t>
      </w:r>
      <w:r>
        <w:rPr>
          <w:rFonts w:hint="eastAsia" w:ascii="宋体" w:hAnsi="宋体" w:cs="宋体"/>
          <w:sz w:val="24"/>
          <w:szCs w:val="24"/>
          <w:highlight w:val="none"/>
          <w:u w:val="single"/>
          <w:shd w:val="clear" w:color="auto" w:fill="auto"/>
          <w:lang w:val="en-US" w:eastAsia="zh-CN"/>
        </w:rPr>
        <w:t>回迁私房面积2083.9</w:t>
      </w:r>
      <w:r>
        <w:rPr>
          <w:rFonts w:hint="eastAsia" w:ascii="宋体" w:hAnsi="宋体" w:eastAsia="宋体" w:cs="宋体"/>
          <w:sz w:val="24"/>
          <w:szCs w:val="24"/>
          <w:highlight w:val="none"/>
          <w:u w:val="single"/>
          <w:shd w:val="clear" w:color="auto" w:fill="auto"/>
          <w:lang w:val="en-US" w:eastAsia="zh-CN"/>
        </w:rPr>
        <w:t>㎡，</w:t>
      </w:r>
      <w:r>
        <w:rPr>
          <w:rFonts w:hint="eastAsia" w:ascii="宋体" w:hAnsi="宋体" w:cs="宋体"/>
          <w:sz w:val="24"/>
          <w:highlight w:val="none"/>
          <w:u w:val="single"/>
        </w:rPr>
        <w:t>配套建筑面积2132.00㎡，万松园小学建筑面积11480.00㎡），不计容建筑面积为21837.5㎡（含架空层、连廊及不计容构筑物建筑面积9143.5㎡，地下室停车场建筑面积12694.00㎡）。</w:t>
      </w:r>
      <w:r>
        <w:rPr>
          <w:rFonts w:hint="eastAsia" w:ascii="宋体" w:hAnsi="宋体" w:cs="宋体"/>
          <w:sz w:val="24"/>
          <w:highlight w:val="none"/>
        </w:rPr>
        <w:t>该项目的建设规模及指标最终以政府相关部门的批复及发包人选定方案为准，发包人有权根据批复意见进行调整，设计人应给予修改。</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（2）经济技术指标：/</w:t>
      </w:r>
      <w:r>
        <w:rPr>
          <w:rFonts w:hint="eastAsia" w:ascii="宋体" w:hAnsi="宋体" w:cs="宋体"/>
          <w:bCs/>
          <w:kern w:val="0"/>
          <w:sz w:val="24"/>
          <w:highlight w:val="none"/>
          <w:u w:val="single"/>
        </w:rPr>
        <w:t xml:space="preserve">                                 </w:t>
      </w:r>
      <w:r>
        <w:rPr>
          <w:rFonts w:hint="eastAsia" w:ascii="宋体" w:hAnsi="宋体" w:cs="宋体"/>
          <w:sz w:val="24"/>
          <w:highlight w:val="none"/>
        </w:rPr>
        <w:t>。</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2.1.2工作内容：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设计人需根据基础资料、勘察资料等要求，完成本项目立项及可行性研究报告范围内所有建设内容（除北地块基坑设计）的设计工作，以及满足项目验收与投入使用必须实施建设内容的设计工作，包括但不限于：</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现状摸查及编制摸查报告：包含但不限于项目概况、项目现状、周边市政条件、前期工作进展（管线迁改、树木迁移、勘察和基坑支护等）、建设工作界面、存在的问题及相关建议、历史文化保护传承对象摸查等内容，前期摸查报告经招标人审核通过后视为完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建筑工程设计方案审查（修建性详细规划）设计：在编制设计方案（含沙盘模型）过程中，根据发包人需求对实际功能布局进行深化优化，在现行政策规定下完成设计方案审查并同步推进控制性详细规划修正。设计方案审查范围包括总平面及竖向规划设计、管线综合设计、建筑布局、交通组织、景观绿化、建筑平立面、环境节能保护等（具体以发包人要求及规划报建主管部门最新政策要求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设计主要阶段工作内容：所有建设内容的方案设计及方案深化设计、初步设计、施工图设计、完整版施工图编制和竣工图编制及报审等配合服务（含竣工图审核盖章），包括但不限于：总平面规划、建筑、结构、人防、消防、给排水、电气、建筑智能化系统、暖通、室内装修、电梯、安防设计、标识导引系统、防雷、环保工程、水土保持监测及验收（含监测报告及验收报告）（如有）、幕墙工程（如有）、地基与软基处理设计（如有）、南地块基坑支护设计及边坡设计、室外市政、园林工程、市政道路、市政管线、暗渠改道、管线综合平衡、设备选型意见等专业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（4）建筑节能新技术的应用及设计：包括但不限于节能、环保、绿色建筑</w:t>
      </w:r>
      <w:r>
        <w:rPr>
          <w:rFonts w:hint="eastAsia" w:ascii="宋体" w:hAnsi="宋体" w:cs="宋体"/>
          <w:sz w:val="24"/>
          <w:highlight w:val="none"/>
          <w:lang w:eastAsia="zh-CN"/>
        </w:rPr>
        <w:t>（</w:t>
      </w:r>
      <w:r>
        <w:rPr>
          <w:rFonts w:hint="eastAsia" w:ascii="宋体" w:hAnsi="宋体" w:cs="宋体"/>
          <w:sz w:val="24"/>
          <w:highlight w:val="none"/>
          <w:lang w:val="en-US" w:eastAsia="zh-CN"/>
        </w:rPr>
        <w:t>满足二星级标准</w:t>
      </w:r>
      <w:r>
        <w:rPr>
          <w:rFonts w:hint="eastAsia" w:ascii="宋体" w:hAnsi="宋体" w:cs="宋体"/>
          <w:sz w:val="24"/>
          <w:highlight w:val="none"/>
          <w:lang w:eastAsia="zh-CN"/>
        </w:rPr>
        <w:t>）</w:t>
      </w:r>
      <w:r>
        <w:rPr>
          <w:rFonts w:hint="eastAsia" w:ascii="宋体" w:hAnsi="宋体" w:cs="宋体"/>
          <w:sz w:val="24"/>
          <w:highlight w:val="none"/>
        </w:rPr>
        <w:t>、海绵城市等专项工程设计。根据绿色建筑相关规定，开展项目绿色建筑设计工作，负责广州绿色建筑施工图备案，并负责绿色建筑设计申报资料，完成并跟进绿色建筑标识认定的申报、推荐、审查、公示、公布等各个环节工作直至获得绿色建筑设计标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（5）建筑信息模型（BIM）技术应用【</w:t>
      </w:r>
      <w:r>
        <w:rPr>
          <w:rFonts w:hint="eastAsia" w:ascii="宋体" w:hAnsi="宋体" w:cs="宋体"/>
          <w:sz w:val="24"/>
          <w:highlight w:val="none"/>
        </w:rPr>
        <w:sym w:font="Wingdings 2" w:char="0052"/>
      </w:r>
      <w:r>
        <w:rPr>
          <w:rFonts w:hint="eastAsia" w:ascii="宋体" w:hAnsi="宋体" w:cs="宋体"/>
          <w:sz w:val="24"/>
          <w:highlight w:val="none"/>
        </w:rPr>
        <w:t xml:space="preserve"> “正向设计”并在（</w:t>
      </w:r>
      <w:r>
        <w:rPr>
          <w:rFonts w:hint="eastAsia" w:ascii="宋体" w:hAnsi="宋体" w:cs="宋体"/>
          <w:sz w:val="24"/>
          <w:highlight w:val="none"/>
        </w:rPr>
        <w:sym w:font="Wingdings 2" w:char="0052"/>
      </w:r>
      <w:r>
        <w:rPr>
          <w:rFonts w:hint="eastAsia" w:ascii="宋体" w:hAnsi="宋体" w:cs="宋体"/>
          <w:sz w:val="24"/>
          <w:highlight w:val="none"/>
        </w:rPr>
        <w:t xml:space="preserve"> 设计阶段应用、☒ 设计与施工联合应用）】：要求全专业采用BIM正向设计并完成工作，包括但不限于：BIM技术在方案设计、初步设计、施工图设计阶段的应用，按要求提供BIM设计模型并通过审查（住建部门三维数字化审查），竣工验收阶段需完成上传验收系统、通过竣工验收及备案，独立核算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要求充分运用BIM技术，要求在项目前期编制全过程BIM实施规划，组织编制设计阶段BIM任务书、划分工作界面和技术管理要求；利用BIM模块进行参数化设计、虚拟仿真漫游、日照能耗分析、交通线规划、面积统计、结构分析、风向分析、环境分析、疏散模拟、造价分析等等；利用BIM模型进行设计协调及优化，完成设计方案复核、碰撞检测、三维管线综合、竖向净空优化等BIM应用，并提交相应的成果报告；组织、参与BIM专题会、协调会；对BIM数据进行管理和维护，充分考虑BIM成果的复用性和沿用性，有效衔接施工管理工作。BIM技术造价应用方面：包括实现直接提取工程量，导出工程量清单，与造价软件可互为衔接转换等；将BIM模型等数据和资料进行整理，存档以及编号移交给发包人并保存至发包人BIM平台（如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（6）其他工作：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造价文件编制工作：完成本项目范围内工程投资估算、概算、设计预算、设计变更估算、方案比选估算等造价文件的编制工作（含场地平整、临设搭建等）及相关配合报审工作，细化设计过程的投资控制工作要求，包括分解、落实、反馈各阶段、各专业技术经济指标、限额设计量化指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2）技术配合工作：发包人后续各类（含招标）工作配合、施工配合、现场服务、竣工图编制及报审等配合服务等（含竣工图审核盖章）；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3）报建配合工作：立项范围内综合管线规划设计报批、建筑设计方案审查等的所有用地、规划、建筑、技术、管线、专项等各类报建配合、协调工作等；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设计文件修改、完善工作：设计人应根据政府相关行政主管部门、行业主管部门的审批意见无条件地修改、完善各阶段的设计成果文件，确保其满足相关的审批要求；设计人应根据施工图审查单位的审查、发包人的设计评审、发包人组织的专业人士的意见对设计成果文件进行修改、完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5）负责办理和配合咨询、评价、论证工作：包括且不限于交通影响评价、环境影响评价、防洪评价、地质灾害评估等所有咨询、评价、论证，并确保通过。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按照建设方案联审决策审批（如有）要求，需在建设方案中编制“历史文化风貌保护、防范大规模拆建”等两个专篇内容，进行方案比选及论证，确保建设方案科学、合理、合规。配合建设方案联审决策审批（如有）、行业主管部门审批、验收，提供咨询服务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（8）装配式建筑设计（如有），装配率需满足广州市住房和城乡建设局相关规定的要求。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工程设计承包管理：对其设计工作范围内的专业设计单位全面全方位管理，确保各专业之间的设计界面和工作内容清晰、避免设计重复或交叉，对发包人另行发包的设计单位提交给发包人的设计成果文件的完整性、有效性进行预审把关，总体协调确保各专业各阶段设计成果有效对接，保证本合同工程各专业接口及与周边工程良好衔接。</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2.2</w:t>
      </w:r>
      <w:r>
        <w:rPr>
          <w:rFonts w:hint="eastAsia" w:ascii="宋体" w:hAnsi="宋体" w:cs="宋体"/>
          <w:kern w:val="0"/>
          <w:sz w:val="24"/>
          <w:highlight w:val="none"/>
        </w:rPr>
        <w:t>承包方式</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设计人按工程设计承包的方式，对设计的进度、质量、安全、工程投资控制、工程设计承包管理及设计协调服务等全面负责。</w:t>
      </w:r>
    </w:p>
    <w:p>
      <w:pPr>
        <w:adjustRightInd w:val="0"/>
        <w:snapToGrid w:val="0"/>
        <w:spacing w:line="360" w:lineRule="auto"/>
        <w:ind w:firstLine="482" w:firstLineChars="200"/>
        <w:rPr>
          <w:rFonts w:ascii="宋体" w:hAnsi="宋体" w:cs="宋体"/>
          <w:kern w:val="0"/>
          <w:sz w:val="24"/>
          <w:highlight w:val="none"/>
        </w:rPr>
      </w:pPr>
      <w:r>
        <w:rPr>
          <w:rFonts w:ascii="宋体" w:hAnsi="宋体" w:cs="宋体"/>
          <w:b/>
          <w:kern w:val="0"/>
          <w:sz w:val="24"/>
          <w:highlight w:val="none"/>
        </w:rPr>
        <w:t>2.3</w:t>
      </w:r>
      <w:r>
        <w:rPr>
          <w:rFonts w:hint="eastAsia" w:ascii="宋体" w:hAnsi="宋体" w:cs="宋体"/>
          <w:kern w:val="0"/>
          <w:sz w:val="24"/>
          <w:highlight w:val="none"/>
        </w:rPr>
        <w:t>设计开始实施时间：合同生效之日，各阶段设计成果提交时间</w:t>
      </w:r>
      <w:r>
        <w:rPr>
          <w:rFonts w:ascii="宋体" w:hAnsi="宋体" w:cs="宋体"/>
          <w:sz w:val="24"/>
          <w:highlight w:val="none"/>
        </w:rPr>
        <w:t>按</w:t>
      </w:r>
      <w:r>
        <w:rPr>
          <w:rFonts w:hint="eastAsia" w:ascii="宋体" w:hAnsi="宋体" w:cs="宋体"/>
          <w:sz w:val="24"/>
          <w:highlight w:val="none"/>
        </w:rPr>
        <w:t>第9点表格内要求</w:t>
      </w:r>
      <w:r>
        <w:rPr>
          <w:rFonts w:hint="eastAsia" w:ascii="宋体" w:hAnsi="宋体" w:cs="宋体"/>
          <w:kern w:val="0"/>
          <w:sz w:val="24"/>
          <w:highlight w:val="none"/>
        </w:rPr>
        <w:t>。设计总工期暂按</w:t>
      </w:r>
      <w:r>
        <w:rPr>
          <w:rFonts w:ascii="宋体" w:hAnsi="宋体" w:cs="宋体"/>
          <w:kern w:val="0"/>
          <w:sz w:val="24"/>
          <w:highlight w:val="none"/>
          <w:u w:val="single"/>
        </w:rPr>
        <w:t>210</w:t>
      </w:r>
      <w:r>
        <w:rPr>
          <w:rFonts w:hint="eastAsia" w:ascii="宋体" w:hAnsi="宋体" w:cs="宋体"/>
          <w:kern w:val="0"/>
          <w:sz w:val="24"/>
          <w:highlight w:val="none"/>
        </w:rPr>
        <w:t>个日历天。</w:t>
      </w:r>
    </w:p>
    <w:p>
      <w:pPr>
        <w:adjustRightInd w:val="0"/>
        <w:snapToGrid w:val="0"/>
        <w:spacing w:line="360" w:lineRule="auto"/>
        <w:ind w:firstLine="482" w:firstLineChars="200"/>
        <w:outlineLvl w:val="1"/>
        <w:rPr>
          <w:rFonts w:ascii="宋体" w:hAnsi="宋体" w:cs="宋体"/>
          <w:b/>
          <w:kern w:val="0"/>
          <w:sz w:val="24"/>
          <w:highlight w:val="none"/>
        </w:rPr>
      </w:pPr>
      <w:bookmarkStart w:id="1" w:name="_Toc14574"/>
      <w:bookmarkStart w:id="2" w:name="_Toc30213"/>
      <w:bookmarkStart w:id="3" w:name="_Toc16574"/>
      <w:bookmarkStart w:id="4" w:name="_Toc24878"/>
      <w:bookmarkStart w:id="5" w:name="_Toc16175"/>
      <w:bookmarkStart w:id="6" w:name="_Toc24056"/>
      <w:bookmarkStart w:id="7" w:name="_Toc2253"/>
      <w:bookmarkStart w:id="8" w:name="_Toc6328"/>
      <w:bookmarkStart w:id="9" w:name="_Toc5584"/>
      <w:bookmarkStart w:id="10" w:name="_Toc15298"/>
      <w:bookmarkStart w:id="11" w:name="_Toc30791"/>
      <w:bookmarkStart w:id="12" w:name="_Toc19551"/>
      <w:r>
        <w:rPr>
          <w:rFonts w:hint="eastAsia" w:ascii="宋体" w:hAnsi="宋体" w:cs="宋体"/>
          <w:b/>
          <w:kern w:val="0"/>
          <w:sz w:val="24"/>
          <w:highlight w:val="none"/>
        </w:rPr>
        <w:t>3、本合同签订依据</w:t>
      </w:r>
      <w:bookmarkEnd w:id="1"/>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（1）中华人民共和国民法典；</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（2）中华人民共和国建筑法；</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（3）中华人民共和国城乡规划法；</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（4）建设工程勘察设计管理条例；</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（5）建设工程质量管理条例；</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（6）《建筑工程设计文件编制深度规定》；</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（7）《市政公用工程设计文件编制深度规定》；</w:t>
      </w:r>
    </w:p>
    <w:p>
      <w:pPr>
        <w:kinsoku w:val="0"/>
        <w:overflowPunct w:val="0"/>
        <w:autoSpaceDE w:val="0"/>
        <w:autoSpaceDN w:val="0"/>
        <w:adjustRightInd w:val="0"/>
        <w:snapToGrid w:val="0"/>
        <w:spacing w:line="360" w:lineRule="auto"/>
        <w:ind w:right="11" w:firstLine="480" w:firstLineChars="200"/>
        <w:jc w:val="left"/>
        <w:rPr>
          <w:rFonts w:ascii="宋体" w:hAnsi="宋体" w:cs="宋体"/>
          <w:kern w:val="0"/>
          <w:sz w:val="24"/>
          <w:highlight w:val="none"/>
          <w:u w:val="single"/>
        </w:rPr>
      </w:pPr>
      <w:r>
        <w:rPr>
          <w:rFonts w:hint="eastAsia" w:ascii="宋体" w:hAnsi="宋体" w:cs="宋体"/>
          <w:kern w:val="0"/>
          <w:sz w:val="24"/>
          <w:highlight w:val="none"/>
          <w:u w:val="single"/>
        </w:rPr>
        <w:t>（8）本合同协议书第4.1款第（1）项、第（4）项、第（6）项、第（7）项、第（8）项、第（9）项、第（10）项所约定的有关文件；</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9）发包人或发包人上级部门为满足保障性住房项目管理需要而发布的相关制度、指引、评价标准、负面清单等相关文件（如发包人或发包人上级部门对前述相关文件有局部的修订或新颁，则以最新版本为准）。本项目相关文件包括但不限于如下：</w:t>
      </w:r>
    </w:p>
    <w:p>
      <w:pPr>
        <w:adjustRightInd w:val="0"/>
        <w:snapToGrid w:val="0"/>
        <w:spacing w:line="360" w:lineRule="auto"/>
        <w:ind w:firstLine="480" w:firstLineChars="200"/>
        <w:rPr>
          <w:rFonts w:cs="宋体"/>
          <w:sz w:val="24"/>
          <w:highlight w:val="none"/>
          <w:u w:val="single"/>
        </w:rPr>
      </w:pPr>
      <w:r>
        <w:rPr>
          <w:rFonts w:hint="eastAsia" w:ascii="宋体" w:hAnsi="宋体" w:cs="宋体"/>
          <w:kern w:val="0"/>
          <w:sz w:val="24"/>
          <w:highlight w:val="none"/>
          <w:u w:val="single"/>
        </w:rPr>
        <w:t>1）《广州安居集团有限公司建设工程设计管理办法》（试行）；</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2）《安居“好房子”项目绿化苗木选用及种植技术指引》；</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3）《安居“好房子”项目小区道路及园林景观设计指引》；</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4）《广州安居集团保障性住房项目设计评价标准及负面清单》（试行）。</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（10）建设项目批准文件（包括但不限于立项批复文件、规划部门认可的用地红线和地形图、规划建设主管部门对本合同约定项目的规划设计要点）；</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（11）基础资料和设计任务书；</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（12）本合同约定的项目基础资料，包括用地红线坐标（表）、场地标高、现有市政设施图的资料（绿化、道路、管线、建构筑物等）、地质勘察资料等；</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（13）设计和建设过程中的政府审批意见，政府或发包人委托或组织的评审机构（会议）提出的或发包人发出的阶段性书面意见，双方来往的与双方权利义务有关的各类书面文件、会议纪要等；</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（14）设计人参加投标的方案、评标委员会的意见、发包人提出的修改意见，和版权属于发包人的其他投标方案。</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上述法律法规及有关文件应是现行有效的，如国家或有关部门对上述法律法规及有关文件进行修改或补充并提出新的要求，双方均应按新的要求执行，必要时另行签订补充合同。</w:t>
      </w:r>
    </w:p>
    <w:p>
      <w:pPr>
        <w:adjustRightInd w:val="0"/>
        <w:snapToGrid w:val="0"/>
        <w:spacing w:line="360" w:lineRule="auto"/>
        <w:ind w:firstLine="482" w:firstLineChars="200"/>
        <w:outlineLvl w:val="1"/>
        <w:rPr>
          <w:rFonts w:ascii="宋体" w:hAnsi="宋体" w:cs="宋体"/>
          <w:b/>
          <w:kern w:val="0"/>
          <w:sz w:val="24"/>
          <w:highlight w:val="none"/>
        </w:rPr>
      </w:pPr>
      <w:bookmarkStart w:id="13" w:name="_Toc8378"/>
      <w:bookmarkStart w:id="14" w:name="_Toc11879"/>
      <w:bookmarkStart w:id="15" w:name="_Toc15421"/>
      <w:bookmarkStart w:id="16" w:name="_Toc8360"/>
      <w:bookmarkStart w:id="17" w:name="_Toc11163"/>
      <w:bookmarkStart w:id="18" w:name="_Toc26796"/>
      <w:bookmarkStart w:id="19" w:name="_Toc5098"/>
      <w:bookmarkStart w:id="20" w:name="_Toc19883"/>
      <w:bookmarkStart w:id="21" w:name="_Toc2258"/>
      <w:bookmarkStart w:id="22" w:name="_Toc16388"/>
      <w:bookmarkStart w:id="23" w:name="_Toc8695"/>
      <w:bookmarkStart w:id="24" w:name="_Toc10358"/>
      <w:r>
        <w:rPr>
          <w:rFonts w:hint="eastAsia" w:ascii="宋体" w:hAnsi="宋体" w:cs="宋体"/>
          <w:b/>
          <w:kern w:val="0"/>
          <w:sz w:val="24"/>
          <w:highlight w:val="none"/>
        </w:rPr>
        <w:t>4、工程设计承包管理</w:t>
      </w:r>
      <w:bookmarkEnd w:id="13"/>
      <w:bookmarkEnd w:id="14"/>
      <w:bookmarkEnd w:id="15"/>
      <w:bookmarkEnd w:id="16"/>
      <w:bookmarkEnd w:id="17"/>
      <w:bookmarkEnd w:id="18"/>
      <w:bookmarkEnd w:id="19"/>
      <w:bookmarkEnd w:id="20"/>
      <w:bookmarkEnd w:id="21"/>
      <w:bookmarkEnd w:id="22"/>
      <w:bookmarkEnd w:id="23"/>
      <w:bookmarkEnd w:id="24"/>
    </w:p>
    <w:p>
      <w:pPr>
        <w:adjustRightInd w:val="0"/>
        <w:snapToGri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 xml:space="preserve">4.1 </w:t>
      </w:r>
      <w:r>
        <w:rPr>
          <w:rFonts w:hint="eastAsia" w:ascii="宋体" w:hAnsi="宋体" w:cs="宋体"/>
          <w:kern w:val="0"/>
          <w:sz w:val="24"/>
          <w:highlight w:val="none"/>
        </w:rPr>
        <w:t>如设计人为联合体，则联合体主办方代表设计人承担责任和接受发包人指令、指示和通知，并根据本合同条款的约定进行工程设计承包及配合协调服务工作。</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4.2</w:t>
      </w:r>
      <w:r>
        <w:rPr>
          <w:rFonts w:hint="eastAsia" w:ascii="宋体" w:hAnsi="宋体" w:cs="宋体"/>
          <w:kern w:val="0"/>
          <w:sz w:val="24"/>
          <w:highlight w:val="none"/>
        </w:rPr>
        <w:t>设计人应按合同约定及项目建设管理需要做好下列工程设计承包管理工作（包括但不限于）：</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对其承包管理范围内的设计进度、质量、安全、工程投资控制和设计配合协调、接口衔接等方面进行管理，确保设计界面和工作内容清晰，不出现设计重复或交叉的现象，并保证本合同工程各专业接口及与周边工程接口（包括与市政工程接口）的良好衔接。</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设计人应在实施本合同工程方案优化设计、初步设计、施工图设计、设计现场服务各阶段向发包人提供技术咨询与管理咨询，配合对本项目相关的可行性研究、节能评估、环境评价、地铁保护等报告中涉及的设计内容进行复核并给予确认，配合解决施工过程中有关工程设计问题，并协助发包人的工程实施、设备与材料的采购招标工作、隐蔽工程的验收、设备与材料的看样定板、技术验收及工程验收等活动。</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对于在设计人提交的设计成果文件的基础上由发包人另行发包的设计单位进行的初步设计、施工图设计等工作，设计人除须对于其提交给发包人的设计成果文件的完整性、有效性进行预审把关外，还须积极配合相关的设计工作，提供相关的设计成果文件（包括但不限于报告、数据、图表、设计图纸、设计说明、相关的计算原理和方法等），不得以专利和知识产权为借口拒绝配合。</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设计人应积极主动进行与项目有关的内、外协调工作，积极配合与规划、市政、交通、水利、电力、环保、消防、卫生、煤气、人防等部门和单位的协调，并负责向有关部门办理设计文件报建和审批工作，保证设计文件通过主管部门的审查。</w:t>
      </w:r>
    </w:p>
    <w:p>
      <w:pPr>
        <w:adjustRightInd w:val="0"/>
        <w:snapToGrid w:val="0"/>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5）设计人应编制并落实设计总进度计划、年度（季度）计划、实施性计划、月度（旬度）计划，定期进行月度（旬度）计划检查，并将相关的计划信息上传到发包人的计算机工程信息管理系统。同时要根据发包人信息管理系统要求及时把相关设计成果、设计变更等资料输入发包人信息管理系统（如有）。</w:t>
      </w:r>
    </w:p>
    <w:p>
      <w:pPr>
        <w:adjustRightInd w:val="0"/>
        <w:snapToGrid w:val="0"/>
        <w:spacing w:line="360" w:lineRule="auto"/>
        <w:ind w:firstLine="482" w:firstLineChars="200"/>
        <w:outlineLvl w:val="1"/>
        <w:rPr>
          <w:rFonts w:ascii="宋体" w:hAnsi="宋体" w:cs="宋体"/>
          <w:b/>
          <w:kern w:val="0"/>
          <w:sz w:val="24"/>
          <w:highlight w:val="none"/>
          <w:u w:val="single"/>
        </w:rPr>
      </w:pPr>
      <w:bookmarkStart w:id="25" w:name="_Toc23041"/>
      <w:bookmarkStart w:id="26" w:name="_Toc7565"/>
      <w:bookmarkStart w:id="27" w:name="_Toc16145"/>
      <w:bookmarkStart w:id="28" w:name="_Toc4365"/>
      <w:bookmarkStart w:id="29" w:name="_Toc3139"/>
      <w:bookmarkStart w:id="30" w:name="_Toc16198"/>
      <w:bookmarkStart w:id="31" w:name="_Toc9228"/>
      <w:bookmarkStart w:id="32" w:name="_Toc1578"/>
      <w:bookmarkStart w:id="33" w:name="_Toc24112"/>
      <w:bookmarkStart w:id="34" w:name="_Toc2834"/>
      <w:bookmarkStart w:id="35" w:name="_Toc5897"/>
      <w:bookmarkStart w:id="36" w:name="_Toc18286"/>
      <w:r>
        <w:rPr>
          <w:rFonts w:hint="eastAsia" w:ascii="宋体" w:hAnsi="宋体" w:cs="宋体"/>
          <w:b/>
          <w:kern w:val="0"/>
          <w:sz w:val="24"/>
          <w:highlight w:val="none"/>
        </w:rPr>
        <w:t>5、设计分包</w:t>
      </w:r>
      <w:bookmarkEnd w:id="25"/>
      <w:bookmarkEnd w:id="26"/>
      <w:bookmarkEnd w:id="27"/>
      <w:bookmarkEnd w:id="28"/>
      <w:bookmarkEnd w:id="29"/>
      <w:bookmarkEnd w:id="30"/>
      <w:bookmarkEnd w:id="31"/>
      <w:bookmarkEnd w:id="32"/>
      <w:bookmarkEnd w:id="33"/>
      <w:bookmarkEnd w:id="34"/>
      <w:bookmarkEnd w:id="35"/>
      <w:bookmarkEnd w:id="36"/>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5.1</w:t>
      </w:r>
      <w:r>
        <w:rPr>
          <w:rFonts w:hint="eastAsia" w:ascii="宋体" w:hAnsi="宋体" w:cs="宋体"/>
          <w:kern w:val="0"/>
          <w:sz w:val="24"/>
          <w:highlight w:val="none"/>
        </w:rPr>
        <w:t>本合同工程的主体及关键性工作必须由设计人自行完成，不得分包。</w:t>
      </w:r>
    </w:p>
    <w:p>
      <w:pPr>
        <w:adjustRightInd w:val="0"/>
        <w:snapToGrid w:val="0"/>
        <w:spacing w:line="360" w:lineRule="auto"/>
        <w:ind w:firstLine="482" w:firstLineChars="200"/>
        <w:rPr>
          <w:rFonts w:ascii="宋体" w:hAnsi="宋体" w:cs="宋体"/>
          <w:dstrike/>
          <w:kern w:val="0"/>
          <w:sz w:val="24"/>
          <w:highlight w:val="none"/>
        </w:rPr>
      </w:pPr>
      <w:r>
        <w:rPr>
          <w:rFonts w:hint="eastAsia" w:ascii="宋体" w:hAnsi="宋体" w:cs="宋体"/>
          <w:b/>
          <w:kern w:val="0"/>
          <w:sz w:val="24"/>
          <w:highlight w:val="none"/>
        </w:rPr>
        <w:t>5.2</w:t>
      </w:r>
      <w:r>
        <w:rPr>
          <w:rFonts w:hint="eastAsia" w:ascii="宋体" w:hAnsi="宋体" w:cs="宋体"/>
          <w:kern w:val="0"/>
          <w:sz w:val="24"/>
          <w:highlight w:val="none"/>
        </w:rPr>
        <w:t>设计人所承接的专项设计内容</w:t>
      </w:r>
      <w:r>
        <w:rPr>
          <w:rFonts w:hint="eastAsia" w:ascii="宋体" w:hAnsi="宋体" w:cs="宋体"/>
          <w:kern w:val="0"/>
          <w:sz w:val="24"/>
          <w:highlight w:val="none"/>
          <w:u w:val="single"/>
        </w:rPr>
        <w:t>（如：外水工程、外电工程、燃气工程、幕墙工程、人防工程、装饰装修工程等专业工程）</w:t>
      </w:r>
      <w:r>
        <w:rPr>
          <w:rFonts w:hint="eastAsia" w:ascii="宋体" w:hAnsi="宋体" w:cs="宋体"/>
          <w:kern w:val="0"/>
          <w:sz w:val="24"/>
          <w:highlight w:val="none"/>
        </w:rPr>
        <w:t>的设计专业要求高，若由于设计人自身的资质及所属设计人员的限制，或者设计人指定的专项设计分包单位不能满足发包人的要求，设计人可进行分包或由发包人将该项专业设计内容另行发包给专业设计单位；设计人需自行分包进行设计的，须事先征得发包人书面同意，并须根据国家有关规定分包给具有相应能力且获得发包人认可的专业单位实施。</w:t>
      </w:r>
      <w:r>
        <w:rPr>
          <w:rFonts w:hint="eastAsia" w:ascii="宋体" w:hAnsi="宋体" w:cs="宋体"/>
          <w:b/>
          <w:kern w:val="0"/>
          <w:sz w:val="24"/>
          <w:highlight w:val="none"/>
        </w:rPr>
        <w:t>专项分包设计费由设计人承担。设计人全面负责管理和协调专业分包单位。专项分包各阶段设计文件须由设计人校核确认，并由项目负责人及专项分包方人员进行会签、盖章确认（设计图要求含有两个单位的图签，双图签出图）。</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5.3</w:t>
      </w:r>
      <w:r>
        <w:rPr>
          <w:rFonts w:hint="eastAsia" w:ascii="宋体" w:hAnsi="宋体" w:cs="宋体"/>
          <w:kern w:val="0"/>
          <w:sz w:val="24"/>
          <w:highlight w:val="none"/>
        </w:rPr>
        <w:t>设计人应严格按照本合同约定及项目建设管理需要做好分包管理工作，禁止转包或违法分包，禁止转让、出借企业资质证书或者以其他方式允许他人以本企业名义承揽设计业务。</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5.3.1</w:t>
      </w:r>
      <w:r>
        <w:rPr>
          <w:rFonts w:hint="eastAsia" w:ascii="宋体" w:hAnsi="宋体" w:cs="宋体"/>
          <w:kern w:val="0"/>
          <w:sz w:val="24"/>
          <w:highlight w:val="none"/>
        </w:rPr>
        <w:t>设计人不得将其承包的全部设计项目转包给他人，或者将其承包的全部设计项目肢解后以分包的名义分别转包给他人；将设计项目分包后，未在设计现场设立项目管理机构和派驻相应人员，且未对该设计活动进行组织管理的，视同转包行为。</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5.3.2</w:t>
      </w:r>
      <w:r>
        <w:rPr>
          <w:rFonts w:hint="eastAsia" w:ascii="宋体" w:hAnsi="宋体" w:cs="宋体"/>
          <w:kern w:val="0"/>
          <w:sz w:val="24"/>
          <w:highlight w:val="none"/>
        </w:rPr>
        <w:t>下列行为，属于违法分包：</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（1）设计人将设计项目分包给不具备相应资质条件的分包人的；</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（2）本合同中未有约定，又未经发包人认可，设计人将承包的部分设计项目分包给他人的。</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5.3.3</w:t>
      </w:r>
      <w:r>
        <w:rPr>
          <w:rFonts w:hint="eastAsia" w:ascii="宋体" w:hAnsi="宋体" w:cs="宋体"/>
          <w:kern w:val="0"/>
          <w:sz w:val="24"/>
          <w:highlight w:val="none"/>
        </w:rPr>
        <w:t>设计人虽然没有将其承包的设计项目进行分包，但在设计现场所设项目管理机构的总负责人、设计承包管理负责人、各专业负责人、驻场总负责人和驻场代表不是设计人本单位人员的，视同允许他人以本企业名义承揽设计业务。</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5.3.4</w:t>
      </w:r>
      <w:r>
        <w:rPr>
          <w:rFonts w:hint="eastAsia" w:ascii="宋体" w:hAnsi="宋体" w:cs="宋体"/>
          <w:kern w:val="0"/>
          <w:sz w:val="24"/>
          <w:highlight w:val="none"/>
        </w:rPr>
        <w:t>分包单位必须自行完成所承包的设计，严禁再分包，并承担下列责任（包括但不限于）：</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接受发包人及工程设计承包单位的管理，无条件执行发包人及工程设计承包单位的指令。当发包人的指令与工程设计承包单位的指令相冲突时，以发包人的指令为准；其他指令之间发生冲突时，应立即提请发包人协调处理。</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（2）按本合同及分包合同约定按时、按质、按量完成分包的设计任务并提交设计成果文件，对分包设计的进度、质量、安全、工程投资控制等负责。</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（3）本合同及分包合同中与分包设计项目有关的其他工作内容。</w:t>
      </w:r>
    </w:p>
    <w:p>
      <w:pPr>
        <w:adjustRightInd w:val="0"/>
        <w:snapToGrid w:val="0"/>
        <w:spacing w:line="360" w:lineRule="auto"/>
        <w:ind w:firstLine="482" w:firstLineChars="200"/>
        <w:rPr>
          <w:rFonts w:ascii="宋体" w:hAnsi="宋体" w:cs="宋体"/>
          <w:kern w:val="0"/>
          <w:sz w:val="24"/>
          <w:highlight w:val="none"/>
          <w:u w:val="single"/>
        </w:rPr>
      </w:pPr>
      <w:r>
        <w:rPr>
          <w:rFonts w:hint="eastAsia" w:ascii="宋体" w:hAnsi="宋体" w:cs="宋体"/>
          <w:b/>
          <w:kern w:val="0"/>
          <w:sz w:val="24"/>
          <w:highlight w:val="none"/>
        </w:rPr>
        <w:t>5.4</w:t>
      </w:r>
      <w:r>
        <w:rPr>
          <w:rFonts w:hint="eastAsia" w:ascii="宋体" w:hAnsi="宋体" w:cs="宋体"/>
          <w:kern w:val="0"/>
          <w:sz w:val="24"/>
          <w:highlight w:val="none"/>
        </w:rPr>
        <w:t>设计人的设计承包管理部是设计人的分包项目管理机构，应当具有与所承包设计的规模、技术复杂程度相适应的技术、经济管理人员；</w:t>
      </w:r>
      <w:r>
        <w:rPr>
          <w:rFonts w:hint="eastAsia" w:ascii="宋体" w:hAnsi="宋体" w:cs="宋体"/>
          <w:kern w:val="0"/>
          <w:sz w:val="24"/>
          <w:highlight w:val="none"/>
          <w:u w:val="single"/>
        </w:rPr>
        <w:t>其中，设计总负责人及设计承包管理负责人必须是本单位的人员，设计总负责人必须是单位副总经理级别以上人员担任。</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设计人应按照本合同条款第8.1款等有关约定，在发包人批准分包后5天内将分包单位设计技术管理人员名单及设备仪器投入计划报送发包人且负责落实到位，并接受施工图审查单位和发包人代表的查验。</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设计人应严格按照本合同约定及发包人的要求加强对分包单位履行义务的管理，保证分包单位全面正确履行合同。分包单位的任何违约行为或疏忽导致工程损害或给发包人造成其他损失，由设计人承担连带责任。</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5.5专业设计分包单位的管理</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设计人负责各项专业设计的相关专业和接口、界面的协调工作。</w:t>
      </w:r>
    </w:p>
    <w:p>
      <w:pPr>
        <w:adjustRightInd w:val="0"/>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5.6</w:t>
      </w:r>
      <w:r>
        <w:rPr>
          <w:rFonts w:hint="eastAsia" w:ascii="宋体" w:hAnsi="宋体" w:cs="宋体"/>
          <w:sz w:val="24"/>
          <w:highlight w:val="none"/>
        </w:rPr>
        <w:t>专业</w:t>
      </w:r>
      <w:r>
        <w:rPr>
          <w:rFonts w:hint="eastAsia" w:ascii="宋体" w:hAnsi="宋体" w:cs="宋体"/>
          <w:kern w:val="0"/>
          <w:sz w:val="24"/>
          <w:highlight w:val="none"/>
        </w:rPr>
        <w:t>设计分包单位</w:t>
      </w:r>
      <w:r>
        <w:rPr>
          <w:rFonts w:hint="eastAsia" w:ascii="宋体" w:hAnsi="宋体" w:cs="宋体"/>
          <w:sz w:val="24"/>
          <w:highlight w:val="none"/>
        </w:rPr>
        <w:t>与施工图审查单位的关系</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无论是设计人分包的专业设计分包单位还是发包人另外发包的专业设计承包单位，都要接受施工图审查单位对其成果文件的审查。</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5.7</w:t>
      </w:r>
      <w:r>
        <w:rPr>
          <w:rFonts w:hint="eastAsia" w:ascii="宋体" w:hAnsi="宋体" w:cs="宋体"/>
          <w:kern w:val="0"/>
          <w:sz w:val="24"/>
          <w:highlight w:val="none"/>
        </w:rPr>
        <w:t>各专业设计单位的权利和义务详见各专项设计的分包合同。</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5.8</w:t>
      </w:r>
      <w:r>
        <w:rPr>
          <w:rFonts w:hint="eastAsia" w:ascii="宋体" w:hAnsi="宋体" w:cs="宋体"/>
          <w:kern w:val="0"/>
          <w:sz w:val="24"/>
          <w:highlight w:val="none"/>
        </w:rPr>
        <w:t>分包设计项目的价款由设计人与发包人结算。设计人应按本合同及分包合同的有关约定及时审核、申请支付各种设计款项。</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5.9</w:t>
      </w:r>
      <w:r>
        <w:rPr>
          <w:rFonts w:hint="eastAsia" w:ascii="宋体" w:hAnsi="宋体" w:cs="宋体"/>
          <w:kern w:val="0"/>
          <w:sz w:val="24"/>
          <w:highlight w:val="none"/>
        </w:rPr>
        <w:t>设计人对设计现场安全负责，并对专业设计单位的安全生产进行管理，发现事故隐患，应当及时作出处理。</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专业设计单位就其所在的设计现场安全向设计人负责，服从设计人对设计现场的安全管理。</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5.10</w:t>
      </w:r>
      <w:r>
        <w:rPr>
          <w:rFonts w:hint="eastAsia" w:ascii="宋体" w:hAnsi="宋体" w:cs="宋体"/>
          <w:kern w:val="0"/>
          <w:sz w:val="24"/>
          <w:highlight w:val="none"/>
        </w:rPr>
        <w:t>设计人应按照合同约定协调所有专业设计单位的工作，确保由不同专业单位所完成的设计之间的配合和接口顺利、有效和可靠。设计人应负责保证本合同工程设计的完整性和整体性。相关费用已经含于合同总价中。</w:t>
      </w:r>
    </w:p>
    <w:p>
      <w:pPr>
        <w:pStyle w:val="7"/>
        <w:rPr>
          <w:highlight w:val="none"/>
        </w:rPr>
      </w:pPr>
    </w:p>
    <w:p>
      <w:pPr>
        <w:adjustRightInd w:val="0"/>
        <w:snapToGrid w:val="0"/>
        <w:spacing w:line="360" w:lineRule="auto"/>
        <w:ind w:firstLine="482" w:firstLineChars="200"/>
        <w:outlineLvl w:val="1"/>
        <w:rPr>
          <w:rFonts w:ascii="宋体" w:hAnsi="宋体" w:cs="宋体"/>
          <w:b/>
          <w:kern w:val="0"/>
          <w:sz w:val="24"/>
          <w:highlight w:val="none"/>
        </w:rPr>
      </w:pPr>
      <w:bookmarkStart w:id="37" w:name="_Toc15252"/>
      <w:bookmarkStart w:id="38" w:name="_Toc842"/>
      <w:bookmarkStart w:id="39" w:name="_Toc7059"/>
      <w:bookmarkStart w:id="40" w:name="_Toc18048"/>
      <w:bookmarkStart w:id="41" w:name="_Toc17158"/>
      <w:bookmarkStart w:id="42" w:name="_Toc7189"/>
      <w:bookmarkStart w:id="43" w:name="_Toc13177"/>
      <w:bookmarkStart w:id="44" w:name="_Toc19452"/>
      <w:bookmarkStart w:id="45" w:name="_Toc29548"/>
      <w:bookmarkStart w:id="46" w:name="_Toc15053"/>
      <w:bookmarkStart w:id="47" w:name="_Toc29492"/>
      <w:bookmarkStart w:id="48" w:name="_Toc16197"/>
      <w:r>
        <w:rPr>
          <w:rFonts w:hint="eastAsia" w:ascii="宋体" w:hAnsi="宋体" w:cs="宋体"/>
          <w:b/>
          <w:kern w:val="0"/>
          <w:sz w:val="24"/>
          <w:highlight w:val="none"/>
        </w:rPr>
        <w:t>6、设计范围</w:t>
      </w:r>
      <w:bookmarkEnd w:id="37"/>
      <w:bookmarkEnd w:id="38"/>
      <w:bookmarkEnd w:id="39"/>
      <w:bookmarkEnd w:id="40"/>
      <w:bookmarkEnd w:id="41"/>
      <w:bookmarkEnd w:id="42"/>
      <w:bookmarkEnd w:id="43"/>
      <w:bookmarkEnd w:id="44"/>
      <w:bookmarkEnd w:id="45"/>
      <w:bookmarkEnd w:id="46"/>
      <w:bookmarkEnd w:id="47"/>
      <w:bookmarkEnd w:id="48"/>
    </w:p>
    <w:p>
      <w:pPr>
        <w:adjustRightInd w:val="0"/>
        <w:snapToGrid w:val="0"/>
        <w:spacing w:line="360" w:lineRule="auto"/>
        <w:ind w:firstLine="482" w:firstLineChars="200"/>
        <w:outlineLvl w:val="3"/>
        <w:rPr>
          <w:rFonts w:ascii="宋体" w:hAnsi="宋体" w:cs="宋体"/>
          <w:kern w:val="0"/>
          <w:sz w:val="24"/>
          <w:highlight w:val="none"/>
          <w:u w:val="single"/>
        </w:rPr>
      </w:pPr>
      <w:r>
        <w:rPr>
          <w:rFonts w:hint="eastAsia" w:ascii="宋体" w:hAnsi="宋体" w:cs="宋体"/>
          <w:b/>
          <w:kern w:val="0"/>
          <w:sz w:val="24"/>
          <w:highlight w:val="none"/>
        </w:rPr>
        <w:t>6.1</w:t>
      </w:r>
      <w:r>
        <w:rPr>
          <w:rFonts w:hint="eastAsia" w:ascii="宋体" w:hAnsi="宋体" w:cs="宋体"/>
          <w:kern w:val="0"/>
          <w:sz w:val="24"/>
          <w:highlight w:val="none"/>
        </w:rPr>
        <w:t xml:space="preserve"> 工程设计范围：根据基础资料、设计任务书等要求，完成</w:t>
      </w:r>
      <w:r>
        <w:rPr>
          <w:rFonts w:hint="eastAsia" w:ascii="宋体" w:hAnsi="宋体" w:cs="宋体"/>
          <w:sz w:val="24"/>
          <w:highlight w:val="none"/>
        </w:rPr>
        <w:t>本项目立项及可行性研究报告范围内所有建设内容（除北地块基坑设计）的设计工作</w:t>
      </w:r>
      <w:r>
        <w:rPr>
          <w:rFonts w:hint="eastAsia" w:ascii="宋体" w:hAnsi="宋体" w:cs="宋体"/>
          <w:kern w:val="0"/>
          <w:sz w:val="24"/>
          <w:highlight w:val="none"/>
        </w:rPr>
        <w:t>，以及满足项目验收与投入使用必须实施建设内容的设计工作，包括但不限于以下：</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（1）</w:t>
      </w:r>
      <w:r>
        <w:rPr>
          <w:rFonts w:hint="eastAsia" w:ascii="宋体" w:hAnsi="宋体" w:cs="宋体"/>
          <w:snapToGrid w:val="0"/>
          <w:kern w:val="0"/>
          <w:sz w:val="24"/>
          <w:highlight w:val="none"/>
          <w:u w:val="single"/>
        </w:rPr>
        <w:t>方案设计工作：</w:t>
      </w:r>
      <w:r>
        <w:rPr>
          <w:rFonts w:hint="eastAsia" w:ascii="宋体" w:hAnsi="宋体" w:cs="宋体"/>
          <w:snapToGrid w:val="0"/>
          <w:kern w:val="0"/>
          <w:sz w:val="24"/>
          <w:highlight w:val="none"/>
        </w:rPr>
        <w:t>根据项目特点、策划定位报告、技术要点、规划条件、保障性住房等要求，进行方案设计。形成的技术方案应能满足国土、规划、消防、人防、环保等政府行政部门要求的稳定方案。要求符合《建筑工程设计文件编制深度规定（2016版）》中关于方案设计应达到的设计深度要求</w:t>
      </w:r>
      <w:r>
        <w:rPr>
          <w:rFonts w:hint="eastAsia" w:ascii="宋体" w:hAnsi="宋体" w:cs="宋体"/>
          <w:kern w:val="0"/>
          <w:sz w:val="24"/>
          <w:highlight w:val="none"/>
        </w:rPr>
        <w:t>。</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（2）方案设计完善：</w:t>
      </w:r>
      <w:r>
        <w:rPr>
          <w:rFonts w:hint="eastAsia" w:ascii="宋体" w:hAnsi="宋体" w:cs="宋体"/>
          <w:kern w:val="0"/>
          <w:sz w:val="24"/>
          <w:highlight w:val="none"/>
        </w:rPr>
        <w:t>根据现行《建筑工程设计文件编制深度规定》、《市政公用工程设计文件编制深度规定》中关于方案设计应达到的设计深度要求及发包人各设计管理办法要求，同时根据专家评审意见及有关职能部门提出的修改意见，对发包人选定的设计方案进行修改和完善。</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（3）设计方案报审工作（含修建性详细规划调整工作）：</w:t>
      </w:r>
      <w:r>
        <w:rPr>
          <w:rFonts w:hint="eastAsia" w:ascii="宋体" w:hAnsi="宋体" w:cs="宋体"/>
          <w:kern w:val="0"/>
          <w:sz w:val="24"/>
          <w:highlight w:val="none"/>
        </w:rPr>
        <w:t>在编制设计方案过程中，根据发包人需求对实际功能布局进行深化优化，在现行政策规定下完成设计方案审查并同步推进控制性详细规划修正（如有）。设计方案审查范围包括总平面及竖向规划设计、管线综合设计、建筑布局、交通组织、景观绿化、建筑平立面、环境节能保护等（具体以发包人要求及规划报建主管部门最新政策要求为准）。</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（4）室外市政、园林工程设计：</w:t>
      </w:r>
      <w:r>
        <w:rPr>
          <w:rFonts w:hint="eastAsia" w:ascii="宋体" w:hAnsi="宋体" w:cs="宋体"/>
          <w:bCs/>
          <w:kern w:val="0"/>
          <w:sz w:val="24"/>
          <w:highlight w:val="none"/>
          <w:u w:val="single"/>
        </w:rPr>
        <w:t>本</w:t>
      </w:r>
      <w:r>
        <w:rPr>
          <w:rFonts w:hint="eastAsia" w:ascii="宋体" w:hAnsi="宋体" w:cs="宋体"/>
          <w:bCs/>
          <w:kern w:val="0"/>
          <w:sz w:val="24"/>
          <w:highlight w:val="none"/>
        </w:rPr>
        <w:t>项目</w:t>
      </w:r>
      <w:r>
        <w:rPr>
          <w:rFonts w:hint="eastAsia" w:ascii="宋体" w:hAnsi="宋体" w:cs="宋体"/>
          <w:kern w:val="0"/>
          <w:sz w:val="24"/>
          <w:highlight w:val="none"/>
        </w:rPr>
        <w:t>范围内的道路、园林景观绿化、停车场（含停车场系统交道指引及标识系统等）、供电系统（包括供电部门提供的供电点接驳及红线外路由到配电间的外电工程高低压配电，以及其他供配电系统的室外管线设备等）、照明系统、广播音响系统、安全防范监视系统、大屏幕显示系统、标识系统、室外给排水系统、自动喷淋系统、消防系统等设计，室外各种管线综合平衡设计，道路、外水、外电、临时设施（含临时板房、围墙、道路及临水、临电等）、燃气等市政接驳工程（含各类接口工程）以及其他室外配套工程系统等设计。</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（5）建筑设计：</w:t>
      </w:r>
      <w:r>
        <w:rPr>
          <w:rFonts w:hint="eastAsia" w:ascii="宋体" w:hAnsi="宋体" w:cs="宋体"/>
          <w:kern w:val="0"/>
          <w:sz w:val="24"/>
          <w:highlight w:val="none"/>
        </w:rPr>
        <w:t>本项目范围内的建筑设计。</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（6）结构设计：</w:t>
      </w:r>
      <w:r>
        <w:rPr>
          <w:rFonts w:hint="eastAsia" w:ascii="宋体" w:hAnsi="宋体" w:cs="宋体"/>
          <w:kern w:val="0"/>
          <w:sz w:val="24"/>
          <w:highlight w:val="none"/>
        </w:rPr>
        <w:t>本项目范围内建筑体的结构设计（含改造和加固设计&lt;如有&gt;）、溶（土）洞处理专项设计、钢结构设计（如有）、幕墙</w:t>
      </w:r>
      <w:r>
        <w:rPr>
          <w:rFonts w:hint="eastAsia" w:ascii="宋体" w:hAnsi="宋体" w:cs="宋体"/>
          <w:sz w:val="24"/>
          <w:highlight w:val="none"/>
          <w:u w:val="single"/>
        </w:rPr>
        <w:t>（如有）</w:t>
      </w:r>
      <w:r>
        <w:rPr>
          <w:rFonts w:hint="eastAsia" w:ascii="宋体" w:hAnsi="宋体" w:cs="宋体"/>
          <w:kern w:val="0"/>
          <w:sz w:val="24"/>
          <w:highlight w:val="none"/>
        </w:rPr>
        <w:t>、室内外装修工程的结构设计与验算等。进行装配式建筑的方案比选，以及完成改造范围建筑抗震等相关鉴定（如有）。</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（7）电气设计：</w:t>
      </w:r>
      <w:r>
        <w:rPr>
          <w:rFonts w:hint="eastAsia" w:ascii="宋体" w:hAnsi="宋体" w:cs="宋体"/>
          <w:kern w:val="0"/>
          <w:sz w:val="24"/>
          <w:highlight w:val="none"/>
        </w:rPr>
        <w:t>本项目高低压变配电系统（不含应由当地供电部门投资建设部分）、UPS不间断电源、备用电源系统、动力供电系统（指电梯、照明、水泵、空调机等设备的供电及消防应急供电）、室内外照明系统（含夜景设计、泛光照明）、防雷接地系统、外电接入（按照《广州市住房和城乡建设委员会 广州供电局有限公司关于供电设施投资界面调整有关工作的通知》（穗建公共〔2015〕982号，如有新规则按新规执行），需完成本项目投资建设界面内的供电设施设计），充电桩配电系统、红线内电力等管线平衡等。</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（8）建筑智能化系统设计：</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1）通信网络系统：</w:t>
      </w:r>
      <w:r>
        <w:rPr>
          <w:rFonts w:hint="eastAsia" w:ascii="宋体" w:hAnsi="宋体" w:cs="宋体"/>
          <w:kern w:val="0"/>
          <w:sz w:val="24"/>
          <w:highlight w:val="none"/>
        </w:rPr>
        <w:t>包括计算机网络系统、电话（语音）网络系统、综合布线系统、有线电视及卫星电视接收系统、公共广播及消防广播系统、信息发布（含大屏幕电子公告）、引导系统、手机信号覆盖系统、室内手机信号屏蔽系统、无线上网系统等；</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2）建筑设备监控系统；</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3）安全防范系统：</w:t>
      </w:r>
      <w:r>
        <w:rPr>
          <w:rFonts w:hint="eastAsia" w:ascii="宋体" w:hAnsi="宋体" w:cs="宋体"/>
          <w:kern w:val="0"/>
          <w:sz w:val="24"/>
          <w:highlight w:val="none"/>
        </w:rPr>
        <w:t>包括入侵报警系统、视频监控系统、出入口控制系统、电子巡更系统、停车场管理系统、智能卡系统、安全防范系统集成（设计范围内的所有建筑、公众区域、停车场、出入口通道等区域的安保设计）等；</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4）智能化系统集成；</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5）弱电防雷系统；</w:t>
      </w:r>
    </w:p>
    <w:p>
      <w:pPr>
        <w:adjustRightInd w:val="0"/>
        <w:snapToGrid w:val="0"/>
        <w:spacing w:line="360" w:lineRule="auto"/>
        <w:ind w:firstLine="480" w:firstLineChars="200"/>
        <w:rPr>
          <w:rFonts w:ascii="宋体" w:hAnsi="宋体" w:cs="宋体"/>
          <w:bCs/>
          <w:kern w:val="0"/>
          <w:sz w:val="24"/>
          <w:highlight w:val="none"/>
          <w:u w:val="single"/>
        </w:rPr>
      </w:pPr>
      <w:r>
        <w:rPr>
          <w:rFonts w:hint="eastAsia" w:ascii="宋体" w:hAnsi="宋体" w:cs="宋体"/>
          <w:kern w:val="0"/>
          <w:sz w:val="24"/>
          <w:highlight w:val="none"/>
          <w:u w:val="single"/>
        </w:rPr>
        <w:t>6）机房工程；</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7）监控中心；</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（9）给排水设计（含外水接入、接出部分，需设计接至主管部门指定接口）：</w:t>
      </w:r>
      <w:r>
        <w:rPr>
          <w:rFonts w:hint="eastAsia" w:ascii="宋体" w:hAnsi="宋体" w:cs="宋体"/>
          <w:kern w:val="0"/>
          <w:sz w:val="24"/>
          <w:highlight w:val="none"/>
        </w:rPr>
        <w:t>建筑给水、排水系统设计、用地内外与市政管线接驳、项目范围内雨污分流等设计、污水处理系统设计；永久用水设计及报装。</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（10）空调通风设计：</w:t>
      </w:r>
      <w:r>
        <w:rPr>
          <w:rFonts w:hint="eastAsia" w:ascii="宋体" w:hAnsi="宋体" w:cs="宋体"/>
          <w:kern w:val="0"/>
          <w:sz w:val="24"/>
          <w:highlight w:val="none"/>
        </w:rPr>
        <w:t>包括不限于建筑物内部通风系统、建筑物内部空气调节系统等的设计。</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（11）消防设计：</w:t>
      </w:r>
      <w:r>
        <w:rPr>
          <w:rFonts w:hint="eastAsia" w:ascii="宋体" w:hAnsi="宋体" w:cs="宋体"/>
          <w:kern w:val="0"/>
          <w:sz w:val="24"/>
          <w:highlight w:val="none"/>
        </w:rPr>
        <w:t>消火栓系统、自动喷淋系统、气体灭火系统、防排烟系统、火灾自动报警及联动控制系统。</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（12）电梯工程设计与相关配合。</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（13）按照项目的灯光、声学等特殊工艺设计要求进行建筑、结构及其配套设备专业的设计与相关配合。</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（14）管线综合平衡设计：</w:t>
      </w:r>
      <w:r>
        <w:rPr>
          <w:rFonts w:hint="eastAsia" w:ascii="宋体" w:hAnsi="宋体" w:cs="宋体"/>
          <w:kern w:val="0"/>
          <w:sz w:val="24"/>
          <w:highlight w:val="none"/>
        </w:rPr>
        <w:t>各种专业设备、系统的管线在建筑物内、外的路由平衡设计。建筑物内、外的管线综合平衡设计以专篇形式提交。</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（15）设备选型意见：</w:t>
      </w:r>
      <w:r>
        <w:rPr>
          <w:rFonts w:hint="eastAsia" w:ascii="宋体" w:hAnsi="宋体" w:cs="宋体"/>
          <w:kern w:val="0"/>
          <w:sz w:val="24"/>
          <w:highlight w:val="none"/>
        </w:rPr>
        <w:t>就拟采用的专用机电设备、专用电子设备（如大屏幕显示系统、广播音响系统等）的选型于施工图设计开始前向发包人提出书面意见并提供相关设备的技术参数规格书，但不设计专用设备。</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（16）建筑节能、绿色建筑、海绵城市、历史文化风貌保护、防范大规模拆建”等设计和申报、验收，以及新技术应用的研究和设计。</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（17）编制方案设计投资估算。</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（18）编制初步设计概算。</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（19）编制设计变更估算。</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（20）编制比选方案估算（如有）。</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（21）在规划红线范围内，设计人应保证按规划及建筑功能要求、配套设施要求完成本合同工程造价中包含的全部项目的专业专项设计。</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（22）对于专项分包设计文件，须由设计人及专项分包单位人员校核并会签盖章确认。</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（23）提供主要设备材料表及技术要求书，配合发包人的招标工作。</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地震评估、环境评估、防雷评估、风洞试验、振动台试验、点试验、消防性能分析及有关专项试验、研究与论证等不在设计人设计范畴内，但设计人应配合发包人的相关工作并提出相应意见和提供相应研究资料。</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（24）幕墙工程设计（如有）。</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（25）</w:t>
      </w:r>
      <w:r>
        <w:rPr>
          <w:rFonts w:hint="eastAsia" w:ascii="宋体" w:hAnsi="宋体" w:cs="宋体"/>
          <w:sz w:val="24"/>
          <w:highlight w:val="none"/>
          <w:u w:val="single"/>
        </w:rPr>
        <w:t>环保工程设计。</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（26）防雷设计。</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 xml:space="preserve"> （27）</w:t>
      </w:r>
      <w:r>
        <w:rPr>
          <w:rFonts w:hint="eastAsia" w:ascii="宋体" w:hAnsi="宋体" w:cs="宋体"/>
          <w:sz w:val="24"/>
          <w:highlight w:val="none"/>
          <w:u w:val="single"/>
        </w:rPr>
        <w:t>标识导引系统设计</w:t>
      </w:r>
      <w:r>
        <w:rPr>
          <w:rFonts w:hint="eastAsia" w:ascii="宋体" w:hAnsi="宋体" w:cs="宋体"/>
          <w:kern w:val="0"/>
          <w:sz w:val="24"/>
          <w:highlight w:val="none"/>
          <w:u w:val="single"/>
        </w:rPr>
        <w:t>。</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（28）临水、临电、施工围墙、施工便道、施工总平面等方案配合审核。</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（29）建设单位的驻地办公场所设计（临时板房、景观绿化、旗杆等）。</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（30）本项目实施过程中所涉及的现有设施拆除、苗木（古树）迁移、管线迁改等内容的设计。</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（31）人防工程设计。</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（32）机械停车设计（如有）。</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（33）项目各阶段设计重点、难点分析报告。</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 xml:space="preserve"> （34）装配式建筑设计。</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（35）室内外装修工程及标识系统设计，含特殊家具、软装设计（特指装修中需要以家具、软装相配合出效果的部分）。</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（36）其他：</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A.全过程BIM设计，在方案设计、初步设计、施工图设计等阶段均需提供BIM设计成果，并需无偿向发包人提供相应格式的电子文件，且需按发包人要求接入BIM中心平台（如有）。</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B.综合考虑项目所有建筑间的连接及交通设计。</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C.负责网上填报各阶段报建相关资料，并负责纸质报送材料的整理组卷盖章工作。</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D.</w:t>
      </w:r>
      <w:r>
        <w:rPr>
          <w:rFonts w:hint="eastAsia" w:ascii="宋体" w:hAnsi="宋体" w:cs="宋体"/>
          <w:sz w:val="24"/>
          <w:highlight w:val="none"/>
        </w:rPr>
        <w:t>在项目设计、建设期间，若有由国家、省、市有关部门颁发的新规范、标准、规定等，设计人必须按要求落实到设计和设计变更中。</w:t>
      </w:r>
    </w:p>
    <w:p>
      <w:pPr>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E.市政工程设计投标文件宜达到建设部《市政公用工程设计文件编制深度规定》相应设计阶段的要求。</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napToGrid w:val="0"/>
          <w:kern w:val="0"/>
          <w:sz w:val="24"/>
          <w:highlight w:val="none"/>
        </w:rPr>
        <w:t>F.直升机停机坪专项设计（如有）。</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备注：上述中的专业内容若既不属于本合同服务范围，也不属于为满足项目验收与投入使用需要而必须实施的建设内容所对应的设计工作的，则无需实施。反之，若属于前述任一情形的，均需实施。</w:t>
      </w:r>
    </w:p>
    <w:p>
      <w:pPr>
        <w:adjustRightInd w:val="0"/>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6.2 设计界面的划分</w:t>
      </w:r>
    </w:p>
    <w:p>
      <w:pPr>
        <w:adjustRightInd w:val="0"/>
        <w:snapToGrid w:val="0"/>
        <w:spacing w:line="360" w:lineRule="auto"/>
        <w:ind w:firstLine="480" w:firstLineChars="200"/>
        <w:outlineLvl w:val="3"/>
        <w:rPr>
          <w:rFonts w:ascii="宋体" w:hAnsi="宋体" w:cs="宋体"/>
          <w:kern w:val="0"/>
          <w:sz w:val="24"/>
          <w:highlight w:val="none"/>
        </w:rPr>
      </w:pPr>
      <w:r>
        <w:rPr>
          <w:rFonts w:hint="eastAsia" w:ascii="宋体" w:hAnsi="宋体" w:cs="宋体"/>
          <w:bCs/>
          <w:kern w:val="0"/>
          <w:sz w:val="24"/>
          <w:highlight w:val="none"/>
        </w:rPr>
        <w:t>本项目</w:t>
      </w:r>
      <w:r>
        <w:rPr>
          <w:rFonts w:hint="eastAsia" w:ascii="宋体" w:hAnsi="宋体" w:cs="宋体"/>
          <w:kern w:val="0"/>
          <w:sz w:val="24"/>
          <w:highlight w:val="none"/>
        </w:rPr>
        <w:t>立项范围内所有设计专业（除北地块基坑设计）均由设计人负责组织实施。</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6.3 工程设计的总体要求</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设计人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应满足广州市各专业主管部门的要求，如消防、人防、环保、卫生、交委、交警等部门的报建报审报批要求。</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（2）设计人应在设计成果文件中明确列出本合同工程设计涉及到的详细的设计规范、规定及标准（名称、编号与版本）。</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（3）设计人应认真贯彻执行ISO 9001质量管理体系，确保设计质量。设计人对其承担的本合同约定的设计工作的设计成果文件的正确性、完整性、有效性、经济合理性、可靠性、清晰性负责，发包人或政府相关部门对其的审查及审核并不减轻设计人的相关责任。</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设计人应在确定为中标单位后立即进行工程设计策划，建立质量目标，规定质量要求，根据发包人总体实施计划和本合同工程特点编制详细的设计计划，根据发包人或发包人上级管理单位的项目建设和资金计划管理制度的相关要求合理安排各项活动的实施时间，并保证设计的进度、质量，保证设计人设计范围内工程的施工进度不受影响。</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（5）如在项目运作中遇国家或地区颁布新的标准、规定和依据，按新标准、规定和依据执行。</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（6）设计人根据本合同约定进行设计、资料管理、技术管理、现场配合等工作时，必须同时遵守发包人的设计、技术、图文、图档、工程的相关管理办法、制度、规定和细则。</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（7）设计人应积极配合政府行政部门或行业主管部门的各项审批、施工图审查单位和发包人的审核、施工图强制审查及图纸会审，对审查过程中发现的设计质量问题，应及时解决并按规定出具修改图纸。</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rPr>
        <w:t>（8）设计人应对发包人提供的文件、资料进行认真研究，对本合同工程的特点和不确定因素进行认真考虑，并提出合理建议和评价，每个阶段各专业的主要技术方案、主要系统、重要设备材料选用、管线排布，均要提供至少两个的比选方案，比选项目包括但不限于基础形式、超大超长结构处理、建筑方案存在不同意见时、建筑防水设计、重要设备选型、泛光照明等，比选方案须在技术、经济投资、实施性、运营管理、工期上作比较分析，并应提供方案设计图及效果图、计算书、造价文件进行研究。</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（9）设计人的设计成果文件应尽可能减少施工难度，为施工创造方便合理的施工条件；应尽量减少施工对城市交通、市民生活以及水利的干扰，并尽可能减少对施工期的影响。</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10）设计人应确保其提交的施工图设计成果文件通过发包人、发包人委托的第三方、发包人认可的本合同工程施工投标人或其委托的具有施工图审查能力的单位的审查，如审查过程中发现设计问题，设计人应按发包人的时间要求及时解决并根据相关规定修改图纸，确保满足工程投资控制要求。设计人应及时提供修改图纸，确保发包人相关招标工作的有效推进。</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（11）在交付项目的部分或全部设计文件后，如获悉有更好的新工艺、新技术、新材料、新设备等适用于本合同工程，设计人应向发包人推荐并提供科学的评估。</w:t>
      </w:r>
    </w:p>
    <w:p>
      <w:pPr>
        <w:adjustRightInd w:val="0"/>
        <w:snapToGrid w:val="0"/>
        <w:spacing w:line="360" w:lineRule="auto"/>
        <w:ind w:firstLine="482" w:firstLineChars="200"/>
        <w:outlineLvl w:val="3"/>
        <w:rPr>
          <w:rFonts w:ascii="宋体" w:hAnsi="宋体" w:cs="宋体"/>
          <w:b/>
          <w:kern w:val="0"/>
          <w:sz w:val="24"/>
          <w:highlight w:val="none"/>
          <w:u w:val="single"/>
        </w:rPr>
      </w:pPr>
      <w:r>
        <w:rPr>
          <w:rFonts w:hint="eastAsia" w:ascii="宋体" w:hAnsi="宋体" w:cs="宋体"/>
          <w:b/>
          <w:kern w:val="0"/>
          <w:sz w:val="24"/>
          <w:highlight w:val="none"/>
          <w:u w:val="single"/>
        </w:rPr>
        <w:t>6.4方案设计阶段的主要工作及要求</w:t>
      </w:r>
    </w:p>
    <w:p>
      <w:pPr>
        <w:adjustRightInd w:val="0"/>
        <w:snapToGrid w:val="0"/>
        <w:spacing w:line="360" w:lineRule="auto"/>
        <w:ind w:firstLine="482" w:firstLineChars="200"/>
        <w:outlineLvl w:val="4"/>
        <w:rPr>
          <w:rFonts w:ascii="宋体" w:hAnsi="宋体" w:cs="宋体"/>
          <w:kern w:val="0"/>
          <w:sz w:val="24"/>
          <w:highlight w:val="none"/>
        </w:rPr>
      </w:pPr>
      <w:r>
        <w:rPr>
          <w:rFonts w:hint="eastAsia" w:ascii="宋体" w:hAnsi="宋体" w:cs="宋体"/>
          <w:b/>
          <w:kern w:val="0"/>
          <w:sz w:val="24"/>
          <w:highlight w:val="none"/>
        </w:rPr>
        <w:t>6.4.1</w:t>
      </w:r>
      <w:r>
        <w:rPr>
          <w:rFonts w:hint="eastAsia" w:ascii="宋体" w:hAnsi="宋体" w:cs="宋体"/>
          <w:kern w:val="0"/>
          <w:sz w:val="24"/>
          <w:highlight w:val="none"/>
        </w:rPr>
        <w:t>方案设计阶段的主要工作</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（1）提交方案设计成果文件</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方案设计成果文件应为发包人最终确定方案的设计文件，文件的内容应按照发包人的要求、有权审核部门的审批意见、设计招标文件和投标文件、住建部现行有效《建筑工程设计文件编制深度规定》、《市政公用工程设计文件编制深度规定》方案设计阶段规定的要求进行编制，包括如下设计文件（包括但不限于）：</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1）封面（写明方案的名称、方案编制单位、编制时间）；</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2）扉页（方案编制单位行政及技术负责人、具体编制总负责人签名）；</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3）方案设计文件目录；</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4）方案设计说明书；</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5）方案设计图纸（A3图）（具体图纸要求按设计任务书）；</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设计人应按本合同条款第9.1款约定向发包人提交方案设计成果文件（含图纸及相关文本文件）；</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6）三维数据模型：设计方案通过确认后30天内提交三维数据模型（通用3ds max格式）。设计人有责任协助发包人将其他设计单位提供的三维数据模型进行整合工作；</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7）多媒体文件：设计稳定后，提供一份修改稳定版的多媒体演示文件，限时10分钟。</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（2）按照规划主管部门的规划报建要求，提供规划报建所需相关设计成果文件（包括但不限于以下内容）：</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1）总平面规划图（包括各项技术经济指标）；</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2）绿地规划图；</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3）道路交通系统规划图；</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4）用地竖向规划图；</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5）管线综合规划图；</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6）规划方案说明书；</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7）模型（依据规划主管部门的报建要求、发包人要求提交）。</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设计人应按规划主管部门的规划报建要求提交规划报建所需的设计成果文件（含图纸及相关文本文件、电子文档光盘、工作模型），成果文件需加盖规划报建章、设计单位出图章、注册建筑师章；根据相关的审批意见对设计成果文件进行相应修改，并按规划报建要求向发包人</w:t>
      </w:r>
      <w:r>
        <w:rPr>
          <w:rFonts w:hint="eastAsia" w:ascii="宋体" w:hAnsi="宋体" w:cs="宋体"/>
          <w:kern w:val="0"/>
          <w:sz w:val="24"/>
          <w:highlight w:val="none"/>
          <w:u w:val="single"/>
        </w:rPr>
        <w:t>提交最终的设计成果文件及电子文档光盘</w:t>
      </w:r>
      <w:r>
        <w:rPr>
          <w:rFonts w:hint="eastAsia" w:ascii="宋体" w:hAnsi="宋体" w:cs="宋体"/>
          <w:kern w:val="0"/>
          <w:sz w:val="24"/>
          <w:highlight w:val="none"/>
        </w:rPr>
        <w:t>。</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（3）按照规划主管部门的报建要求，提供方案设计报建所需相关设计成果文件并根据相关的审批意见对设计成果文件进行相应修改。相关设计成果文件包括但不限于以下内容：</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1）总平面图（比例按报建要求，包括各项技术经济指标）；</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2）设计方案图；</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3）设计说明；</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4）工程投资估算（含非标设备、材料、构配件的报价）。</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设计人应向发包人提交方案设计报建所需要的设计成果文件（含图纸及相关文本文件、电子文档光盘，具体数量以报建要求为准）；成果文件均须加盖设计单位出图章、注册建筑师章。</w:t>
      </w:r>
    </w:p>
    <w:p>
      <w:pPr>
        <w:adjustRightInd w:val="0"/>
        <w:snapToGrid w:val="0"/>
        <w:spacing w:line="360" w:lineRule="auto"/>
        <w:ind w:firstLine="482" w:firstLineChars="200"/>
        <w:outlineLvl w:val="4"/>
        <w:rPr>
          <w:rFonts w:ascii="宋体" w:hAnsi="宋体" w:cs="宋体"/>
          <w:kern w:val="0"/>
          <w:sz w:val="24"/>
          <w:highlight w:val="none"/>
        </w:rPr>
      </w:pPr>
      <w:r>
        <w:rPr>
          <w:rFonts w:hint="eastAsia" w:ascii="宋体" w:hAnsi="宋体" w:cs="宋体"/>
          <w:b/>
          <w:kern w:val="0"/>
          <w:sz w:val="24"/>
          <w:highlight w:val="none"/>
        </w:rPr>
        <w:t>6.4.2</w:t>
      </w:r>
      <w:r>
        <w:rPr>
          <w:rFonts w:hint="eastAsia" w:ascii="宋体" w:hAnsi="宋体" w:cs="宋体"/>
          <w:kern w:val="0"/>
          <w:sz w:val="24"/>
          <w:highlight w:val="none"/>
        </w:rPr>
        <w:t>方案设计阶段的要求</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（1）设计人应在发包人选定方案的基础上，按专家意见和发包人要求进行完善，达到报建送审方案要求，并根据规划部门提出的设计条件进行调整。</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（2）方案设计应对本合同条款第6.3（8）款所述比选项目，提供至少两个比选方案，实施性方案应达到和满足进行初步设计的要求。</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（3）设计人设计方案中应包含节能环保篇，采用节能环保的新技术、新工艺。方案设计应对设计中采用的新技术及节能技术的应用进行两个或以上方案技术经济比较，提出比较分析报告和推荐方案。</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（4）设计人应根据实施方案提交工程投资估算编制说明及投资估算表。</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（5）结构体系应进行初步的计算，保证结构方案是可行的。</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（6）设计人对各专业采用的新技术应作详细的介绍，以便进行评审和据以进行下一步的设计。</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（7）在深化方案设计时，设计人应以书面形式明确设计中确有需要进行试验的项目，并在初步设计之前提交给发包人审查确认；经发包人确认后，设计人应及时提供试验方案及相关技术要求。</w:t>
      </w:r>
    </w:p>
    <w:p>
      <w:pPr>
        <w:adjustRightInd w:val="0"/>
        <w:snapToGrid w:val="0"/>
        <w:spacing w:line="360" w:lineRule="auto"/>
        <w:ind w:firstLine="482" w:firstLineChars="200"/>
        <w:outlineLvl w:val="3"/>
        <w:rPr>
          <w:rFonts w:ascii="宋体" w:hAnsi="宋体" w:cs="宋体"/>
          <w:b/>
          <w:kern w:val="0"/>
          <w:sz w:val="24"/>
          <w:highlight w:val="none"/>
          <w:u w:val="single"/>
        </w:rPr>
      </w:pPr>
      <w:r>
        <w:rPr>
          <w:rFonts w:hint="eastAsia" w:ascii="宋体" w:hAnsi="宋体" w:cs="宋体"/>
          <w:b/>
          <w:kern w:val="0"/>
          <w:sz w:val="24"/>
          <w:highlight w:val="none"/>
          <w:u w:val="single"/>
        </w:rPr>
        <w:t>6.5初步设计阶段的主要工作及要求</w:t>
      </w:r>
    </w:p>
    <w:p>
      <w:pPr>
        <w:adjustRightInd w:val="0"/>
        <w:snapToGrid w:val="0"/>
        <w:spacing w:line="360" w:lineRule="auto"/>
        <w:ind w:firstLine="482" w:firstLineChars="200"/>
        <w:outlineLvl w:val="4"/>
        <w:rPr>
          <w:rFonts w:ascii="宋体" w:hAnsi="宋体" w:cs="宋体"/>
          <w:kern w:val="0"/>
          <w:sz w:val="24"/>
          <w:highlight w:val="none"/>
        </w:rPr>
      </w:pPr>
      <w:r>
        <w:rPr>
          <w:rFonts w:hint="eastAsia" w:ascii="宋体" w:hAnsi="宋体" w:cs="宋体"/>
          <w:b/>
          <w:kern w:val="0"/>
          <w:sz w:val="24"/>
          <w:highlight w:val="none"/>
        </w:rPr>
        <w:t>6.5.1</w:t>
      </w:r>
      <w:r>
        <w:rPr>
          <w:rFonts w:hint="eastAsia" w:ascii="宋体" w:hAnsi="宋体" w:cs="宋体"/>
          <w:kern w:val="0"/>
          <w:sz w:val="24"/>
          <w:highlight w:val="none"/>
        </w:rPr>
        <w:t>提交初步设计成果文件</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初步设计成果文件应按住建部批准的现行有效《建筑工程设计文件编制深度规定》、《市政公用工程设计文件编制深度规定》初步设计阶段的要求进行编制，由总章和各专业设计文件分章编制而成，应包括如下设计成果文件（包括但不限于）：</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（1）初步设计方案编制；</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（2）设计说明书（含设计总说明、各专业的设计说明书、结构计算书）；</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（3）设计图纸（由各专业设计图纸组成）；</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（4）设计概算（发包人另行发包的专项设计由专项设计单位提供相应的概算文件，由设计人负责汇总）；</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（5）效果图及透视图；</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（6）报批模型（按报建审批部门的要求提交）；</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（7）主要材料样板；</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（8）设计方案全专业BIM文件；</w:t>
      </w:r>
    </w:p>
    <w:p>
      <w:pPr>
        <w:adjustRightInd w:val="0"/>
        <w:snapToGrid w:val="0"/>
        <w:spacing w:line="360" w:lineRule="auto"/>
        <w:ind w:firstLine="480" w:firstLineChars="200"/>
        <w:rPr>
          <w:rFonts w:ascii="宋体" w:hAnsi="宋体" w:cs="宋体"/>
          <w:kern w:val="0"/>
          <w:sz w:val="24"/>
          <w:highlight w:val="none"/>
        </w:rPr>
      </w:pPr>
      <w:r>
        <w:rPr>
          <w:rFonts w:hint="eastAsia" w:ascii="仿宋" w:hAnsi="仿宋" w:cs="宋体"/>
          <w:sz w:val="24"/>
          <w:highlight w:val="none"/>
        </w:rPr>
        <w:t>（9）苗木迁移方案（图）（如有）</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设计人应按本合同条款第9.1款约定向发包人提交初步设计成果文件（含图纸及相关文本文件）、效果图，专业报建（交通、市政、人防、消防、环保、卫生、绿化）所需设计成果文件数量</w:t>
      </w:r>
      <w:r>
        <w:rPr>
          <w:rFonts w:hint="eastAsia" w:ascii="宋体" w:hAnsi="宋体" w:cs="宋体"/>
          <w:kern w:val="0"/>
          <w:sz w:val="24"/>
          <w:highlight w:val="none"/>
          <w:u w:val="single"/>
        </w:rPr>
        <w:t>按报建要求提供</w:t>
      </w:r>
      <w:r>
        <w:rPr>
          <w:rFonts w:hint="eastAsia" w:ascii="宋体" w:hAnsi="宋体" w:cs="宋体"/>
          <w:kern w:val="0"/>
          <w:sz w:val="24"/>
          <w:highlight w:val="none"/>
        </w:rPr>
        <w:t>；成果文件加盖设计单位出图章、注册建筑师章、注册结构工程师章，各专业负责人、设计人签署。</w:t>
      </w:r>
    </w:p>
    <w:p>
      <w:pPr>
        <w:adjustRightInd w:val="0"/>
        <w:snapToGrid w:val="0"/>
        <w:spacing w:line="360" w:lineRule="auto"/>
        <w:ind w:firstLine="482" w:firstLineChars="200"/>
        <w:outlineLvl w:val="4"/>
        <w:rPr>
          <w:rFonts w:ascii="宋体" w:hAnsi="宋体" w:cs="宋体"/>
          <w:kern w:val="0"/>
          <w:sz w:val="24"/>
          <w:highlight w:val="none"/>
        </w:rPr>
      </w:pPr>
      <w:r>
        <w:rPr>
          <w:rFonts w:hint="eastAsia" w:ascii="宋体" w:hAnsi="宋体" w:cs="宋体"/>
          <w:b/>
          <w:kern w:val="0"/>
          <w:sz w:val="24"/>
          <w:highlight w:val="none"/>
        </w:rPr>
        <w:t>6.5.2</w:t>
      </w:r>
      <w:r>
        <w:rPr>
          <w:rFonts w:hint="eastAsia" w:ascii="宋体" w:hAnsi="宋体" w:cs="宋体"/>
          <w:kern w:val="0"/>
          <w:sz w:val="24"/>
          <w:highlight w:val="none"/>
        </w:rPr>
        <w:t>初步设计阶段的工作要求</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（1）初步设计文件均以各工程子项为编制单位。</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（2）初步设计阶段须对本合同条款第6.3（8）款所述比选项目，至少提供两个比选方案，使设计具备先进性、可靠性和经济合理性，并满足以下要求：</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1）应符合发包人批准的设计方案和实施性方案；</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2）能据以准备各主要设备、材料及饰面材料（送板）；</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3）能据以编制、审核工程设计概算；</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4）能据以进行施工准备；</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5）能作为各专业施工图设计的依据。</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（3）初步设计中的结构设计文件，应对结构的选型、布置、截面尺寸、材料用量等予以明确。</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设计人须根据发包人的相关规定和要求进行工程设计概算的编制，概算文件中的开项必须齐全完整，造价指标必须准确，须满足工程投资控制的要求。设计人编制的工程概算须同时满足发包人信息化管理的相关要求（本合同条款第18条）。</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如果设计人的概算编制质量和进度不能满足本合同约定或发包人要求，则发包人可另行委托专业造价咨询单位实施设计概算编制工作，所发生的费用根据《关于调整我省建设工程造价咨询服务收费的复函》（粤价函〔2011〕742号，如有新规则按新规执行）规定并结合专业造价咨询单位实际工作比例计取，由设计人负责支付。</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（5）设计人应重点对设计范围内的给水、排水、电气、采暖通风、空调、动力等管线进行各专业综合分析，协调并解决其中矛盾， 成果包括室内外管线综合平衡图、场外管线综合总图和相关专业图纸及说明书。</w:t>
      </w:r>
    </w:p>
    <w:p>
      <w:pPr>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rPr>
        <w:t>（6）设计人必须准确计算建筑面积，完善建设规模及经济指标说明。</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（7）设计人应确保相关的初步设计成果文件深度能够有效满足专项施工图设计工程投资控制的要求。本合同范围如包含以下专业工程，设计人提供的相关初步设计成果文件应满足以下要求：</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①钢结构工程（如有）：</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设计人提供的设计成果文件应满足住建部初步设计文件深度要求的相关规定，结构形式、布置、受力杆件、构件型号、材料种类、节点类型等设计内容须成熟稳定，具体要求如下：</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a.设计成果文件中应提供杆件的控制内力，设计计算应考虑施工工序及稳定应力。</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b.补充钢结构设计总说明：详细材料要求、加工要求、连接要求、焊接质量要求、防腐、防火要求，并对安装条件做出说明。</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c.主桁架未有桁架剪力墙的连接大样的，典型节点应作有限之分析，关键节点应作有关试验。</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d.优化结构体系，取消或减少部分主、次桁架，完善支撑系统，支撑的布置应考虑结构的整体稳定。</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设计人须保证，在其提供的设计成果文件的基础上进行的达至施工图设计程度的专项设计，其总用钢量增加在5%以内。</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②幕墙工程</w:t>
      </w:r>
      <w:r>
        <w:rPr>
          <w:rFonts w:hint="eastAsia" w:ascii="宋体" w:hAnsi="宋体" w:cs="宋体"/>
          <w:sz w:val="24"/>
          <w:highlight w:val="none"/>
          <w:u w:val="single"/>
        </w:rPr>
        <w:t>（如有）</w:t>
      </w:r>
      <w:r>
        <w:rPr>
          <w:rFonts w:hint="eastAsia" w:ascii="宋体" w:hAnsi="宋体" w:cs="宋体"/>
          <w:kern w:val="0"/>
          <w:sz w:val="24"/>
          <w:highlight w:val="none"/>
        </w:rPr>
        <w:t>：</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设计人提供的设计成果文件中幕墙外观、应用材料品种档次、幕墙主要受力体系、预埋件设计、细部节点和幕墙与其他专业的界面处理等设计内容须成熟稳定。</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③室内装饰工程：</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设计人提供的设计成果文件中，以下内容须成熟稳定：</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a.所有室内可视范围内的装饰风格、空间效果、构件尺寸等主要设计要素；</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b.室内装饰设计部分中，所有与其他专业关联的技术界面（特别是给排水、消防、建筑声学、机电、智能化、扩声等专业的技术界面）；</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c.室内装饰设计部分中，所有相关专业要求室内装饰专业须满足的技术条件；</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d.室内装饰设计部分中，主要机电管线的综合平衡；</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e.室内装饰设计部分中，所有的主要装饰材料的技术要求。</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④机电设备安装工程：</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设计人提供的设计成果文件中，系统的构成、强制性的系统功能要求（功能要求点表）、设备技术参数中的强制性条目要求等设计内容须成熟稳定。</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⑤弱电智能化工程：</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设计人提供的设计成果文件中，系统的构成、强制性的系统功能要求（系统图及功能要求点表）、主要设备材料技术参数中的强制性条目要求等设计内容须成熟稳定。</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⑥其他：详见基础资料和设计任务书。</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（8）对于各类专项技术的设计，设计人须按照发包人建设需求和专项单位最终确定的研究成果、相关技术指标和标准，开展设计工作。</w:t>
      </w:r>
    </w:p>
    <w:p>
      <w:pPr>
        <w:adjustRightInd w:val="0"/>
        <w:snapToGrid w:val="0"/>
        <w:spacing w:line="360" w:lineRule="auto"/>
        <w:ind w:firstLine="482" w:firstLineChars="200"/>
        <w:outlineLvl w:val="3"/>
        <w:rPr>
          <w:rFonts w:ascii="宋体" w:hAnsi="宋体" w:cs="宋体"/>
          <w:b/>
          <w:kern w:val="0"/>
          <w:sz w:val="24"/>
          <w:highlight w:val="none"/>
          <w:u w:val="single"/>
        </w:rPr>
      </w:pPr>
      <w:r>
        <w:rPr>
          <w:rFonts w:hint="eastAsia" w:ascii="宋体" w:hAnsi="宋体" w:cs="宋体"/>
          <w:b/>
          <w:kern w:val="0"/>
          <w:sz w:val="24"/>
          <w:highlight w:val="none"/>
          <w:u w:val="single"/>
        </w:rPr>
        <w:t>6.6施工图设计阶段的主要工作及要求</w:t>
      </w:r>
    </w:p>
    <w:p>
      <w:pPr>
        <w:adjustRightInd w:val="0"/>
        <w:snapToGrid w:val="0"/>
        <w:spacing w:line="360" w:lineRule="auto"/>
        <w:ind w:firstLine="482" w:firstLineChars="200"/>
        <w:outlineLvl w:val="4"/>
        <w:rPr>
          <w:rFonts w:ascii="宋体" w:hAnsi="宋体" w:cs="宋体"/>
          <w:kern w:val="0"/>
          <w:sz w:val="24"/>
          <w:highlight w:val="none"/>
        </w:rPr>
      </w:pPr>
      <w:r>
        <w:rPr>
          <w:rFonts w:hint="eastAsia" w:ascii="宋体" w:hAnsi="宋体" w:cs="宋体"/>
          <w:b/>
          <w:kern w:val="0"/>
          <w:sz w:val="24"/>
          <w:highlight w:val="none"/>
        </w:rPr>
        <w:t>6.6.1</w:t>
      </w:r>
      <w:r>
        <w:rPr>
          <w:rFonts w:hint="eastAsia" w:ascii="宋体" w:hAnsi="宋体" w:cs="宋体"/>
          <w:kern w:val="0"/>
          <w:sz w:val="24"/>
          <w:highlight w:val="none"/>
        </w:rPr>
        <w:t>施工图设计阶段的主要工作</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（1）将施工图设计阶段的成果文件送施工图审查单位及发包人审查，并根据审查意见修改相关设计成果文件。</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（2）按照规划主管部门的报建要求，提供建筑施工报建所需相关设计成果文件并根据相关的审批意见对设计成果文件进行相应修改。相关设计成果文件包括但不限于以下内容： </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1）总平面图（比例按报建要求，包括各项技术经济指标）；</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2）建筑构造和主要建筑材料说明；</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3）建筑平、立、剖面图；</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4）建筑综合管线图；</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5）规划主管部门要求的其他报建设计文件。</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设计人应按报建要求向发包人提交建筑施工报建所需相关设计成果文件，含文件、图纸、电子文档光盘（具体数量以报建要求为准）；成果文件加盖设计单位出图章、注册建筑师章。</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对各专项设计施工图的技术接口进行审核并进行设计联络及完善；</w:t>
      </w:r>
      <w:r>
        <w:rPr>
          <w:rFonts w:hint="eastAsia" w:ascii="宋体" w:hAnsi="宋体" w:cs="宋体"/>
          <w:kern w:val="0"/>
          <w:sz w:val="24"/>
          <w:highlight w:val="none"/>
        </w:rPr>
        <w:t>对本合同范围内的所有的施工图设计成果文件（包括发包人另行发包的专项设计的成果及设计人自行分包的设计成果文件）进行总体设计协调，提交本合同范围内的全部施工图，包括但不限于如下设计成果文件：</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1）总平面图；</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2）合同要求所涉及的所有专业（包括道路、隧道、建筑、结构、给排水、电气、空调、园林景观等专业及各专项设计）的设计图纸及设计说明、计算书；</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3）设备材料表以及满足招投标要求的技术规格书；</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4）管线综合图（室外管线迁移图）；</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5）苗木迁移方案（图）（如有）；</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6）全专业BIM文件。</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设计人应按本合同条款第9.1款约定向发包人提交施工图设计成果文件（含图纸及相关文本文件）；成果文件加盖设计单位出图章、注册建筑师章。</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在项目全部设计变更完成后，核实工程实施过程中发生的所有设计变更，并将全部设计变更内容综合汇总并将其反映在设计图纸上而形成完整版施工图，并按如下要求在竣工验收前向发包人提供完整版施工图：</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设计人应按本合同条款第9.1款约定向发包人提交施工图设计成果文件（含图纸及相关文本文件）；成果文件加盖设计单位出图章、注册建筑师章。</w:t>
      </w:r>
    </w:p>
    <w:p>
      <w:pPr>
        <w:adjustRightInd w:val="0"/>
        <w:snapToGrid w:val="0"/>
        <w:spacing w:line="360" w:lineRule="auto"/>
        <w:ind w:firstLine="482" w:firstLineChars="200"/>
        <w:outlineLvl w:val="4"/>
        <w:rPr>
          <w:rFonts w:ascii="宋体" w:hAnsi="宋体" w:cs="宋体"/>
          <w:kern w:val="0"/>
          <w:sz w:val="24"/>
          <w:highlight w:val="none"/>
        </w:rPr>
      </w:pPr>
      <w:r>
        <w:rPr>
          <w:rFonts w:hint="eastAsia" w:ascii="宋体" w:hAnsi="宋体" w:cs="宋体"/>
          <w:b/>
          <w:kern w:val="0"/>
          <w:sz w:val="24"/>
          <w:highlight w:val="none"/>
        </w:rPr>
        <w:t>6.6.2</w:t>
      </w:r>
      <w:r>
        <w:rPr>
          <w:rFonts w:hint="eastAsia" w:ascii="宋体" w:hAnsi="宋体" w:cs="宋体"/>
          <w:kern w:val="0"/>
          <w:sz w:val="24"/>
          <w:highlight w:val="none"/>
        </w:rPr>
        <w:t>施工图设计阶段的工作要求</w:t>
      </w:r>
    </w:p>
    <w:p>
      <w:pPr>
        <w:adjustRightInd w:val="0"/>
        <w:snapToGrid w:val="0"/>
        <w:spacing w:line="360" w:lineRule="auto"/>
        <w:ind w:firstLine="480" w:firstLineChars="200"/>
        <w:outlineLvl w:val="4"/>
        <w:rPr>
          <w:rFonts w:ascii="宋体" w:hAnsi="宋体" w:cs="宋体"/>
          <w:kern w:val="0"/>
          <w:sz w:val="24"/>
          <w:highlight w:val="none"/>
        </w:rPr>
      </w:pPr>
      <w:r>
        <w:rPr>
          <w:rFonts w:hint="eastAsia" w:ascii="宋体" w:hAnsi="宋体" w:cs="宋体"/>
          <w:kern w:val="0"/>
          <w:sz w:val="24"/>
          <w:highlight w:val="none"/>
        </w:rPr>
        <w:t>（1）施工图设计文件均以各工程子项为编制单位。</w:t>
      </w:r>
    </w:p>
    <w:p>
      <w:pPr>
        <w:adjustRightInd w:val="0"/>
        <w:snapToGrid w:val="0"/>
        <w:spacing w:line="360" w:lineRule="auto"/>
        <w:ind w:firstLine="480" w:firstLineChars="200"/>
        <w:outlineLvl w:val="4"/>
        <w:rPr>
          <w:rFonts w:ascii="宋体" w:hAnsi="宋体" w:cs="宋体"/>
          <w:kern w:val="0"/>
          <w:sz w:val="24"/>
          <w:highlight w:val="none"/>
        </w:rPr>
      </w:pPr>
      <w:r>
        <w:rPr>
          <w:rFonts w:hint="eastAsia" w:ascii="宋体" w:hAnsi="宋体" w:cs="宋体"/>
          <w:kern w:val="0"/>
          <w:sz w:val="24"/>
          <w:highlight w:val="none"/>
        </w:rPr>
        <w:t>（2）施工图设计文件的深度要满足以下要求：</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1）应根据经批准的初步设计进行编制；</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2）满足住建部批准的现行有效《建筑工程设计文件编制深度规定》、《市政公用工程设计文件编制深度规定》施工图设计阶段的要求；</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3）能据以编制施工图预算和招标最高投标限价及招标工程量清单；</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4）能据以编制招标文件；</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5）能据以安排材料、设备订货和非标准设备的制作；</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6）能据以进行施工和安装；</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7）能据以进行工程竣工验收。</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（3）设计人提交给发包人的施工图设计成果文件应不存在错、漏、碰等问题。</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（4）设计人应重点对设计范围内的给水、排水、电气、采暖通风、空调、动力等管线进行专业综合分析，协调并解决其中矛盾， 并提供相关的成果文件（包括但不限于室内外管线综合平衡图、场外管线综合总图和相关专业图纸及说明书），同时完成土建、机电设备选型意见、技术要求文件，并为设备材料推荐品牌。</w:t>
      </w:r>
    </w:p>
    <w:p>
      <w:pPr>
        <w:adjustRightInd w:val="0"/>
        <w:snapToGrid w:val="0"/>
        <w:spacing w:line="360" w:lineRule="auto"/>
        <w:ind w:right="11" w:firstLine="480" w:firstLineChars="200"/>
        <w:rPr>
          <w:rFonts w:ascii="宋体" w:hAnsi="宋体" w:cs="宋体"/>
          <w:kern w:val="0"/>
          <w:sz w:val="24"/>
          <w:highlight w:val="none"/>
        </w:rPr>
      </w:pPr>
      <w:r>
        <w:rPr>
          <w:rFonts w:hint="eastAsia" w:ascii="宋体" w:hAnsi="宋体" w:cs="宋体"/>
          <w:kern w:val="0"/>
          <w:sz w:val="24"/>
          <w:highlight w:val="none"/>
        </w:rPr>
        <w:t>（5）设计人应确保设计成果的完整性、有效性、正确性、可靠性及经济合理性。</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对于需要进一步深化设计的专业工程，设计人应在施工图初稿审核阶段，列出清单和深化设计具体要求，报发包人审核确认。经发包人审核确认后，设计人须提供施工图及用于指导深化设计的设计文件和资料（明确系统、设备、材料的技术指标及深化设计范围），并对深化设计成果文件进行完整性、有效性、正确性、可靠性及经济合理性审核。具体工作职责包括但不限于如下：</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1）审核深化设计文件是否符合原设计文件的要求；</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2）审核是否符合国家的法律法规、国家规范规程、行业标准、地区标准；</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3）审核是否满足功能要求、使用要求及实施的可行性；</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4）审核技术经济性；</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5）对相关各专业的协调性进行审核；</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6）复核及审查深化后的结构安全性及稳定性；</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7）结合施工图审查单位及发包人的审核意见督促专项工程的深化设计单位修改完善相关的深化设计文件；</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8）设计人须根据最终完善的深化设计文件对其设计范围内的相关专业的设计成果文件的接口、界面进行修改完善，并确保最终通过发包人及施工图审查单位的审核；</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9）</w:t>
      </w:r>
      <w:r>
        <w:rPr>
          <w:rFonts w:hint="eastAsia" w:ascii="宋体" w:hAnsi="宋体" w:cs="宋体"/>
          <w:sz w:val="24"/>
          <w:highlight w:val="none"/>
        </w:rPr>
        <w:t>对各专项设计施工图的技术接口进行审核并进行设计联络及完善，并结合二次装修施工图提供各相关设备专业末端设计施工图；</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10）</w:t>
      </w:r>
      <w:r>
        <w:rPr>
          <w:rFonts w:hint="eastAsia" w:ascii="宋体" w:hAnsi="宋体" w:cs="宋体"/>
          <w:sz w:val="24"/>
          <w:highlight w:val="none"/>
        </w:rPr>
        <w:t>对通过审核的各专项施工工程深化设计图纸进行签章确认。</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（7）设计人应根据工程设计的特点，提供施工安装操作、安全防护的有关要求。</w:t>
      </w:r>
    </w:p>
    <w:p>
      <w:pPr>
        <w:adjustRightInd w:val="0"/>
        <w:snapToGrid w:val="0"/>
        <w:spacing w:line="360" w:lineRule="auto"/>
        <w:ind w:firstLine="482" w:firstLineChars="200"/>
        <w:outlineLvl w:val="3"/>
        <w:rPr>
          <w:rFonts w:ascii="宋体" w:hAnsi="宋体" w:cs="宋体"/>
          <w:b/>
          <w:kern w:val="0"/>
          <w:sz w:val="24"/>
          <w:highlight w:val="none"/>
          <w:u w:val="single"/>
        </w:rPr>
      </w:pPr>
      <w:r>
        <w:rPr>
          <w:rFonts w:hint="eastAsia" w:ascii="宋体" w:hAnsi="宋体" w:cs="宋体"/>
          <w:b/>
          <w:kern w:val="0"/>
          <w:sz w:val="24"/>
          <w:highlight w:val="none"/>
          <w:u w:val="single"/>
        </w:rPr>
        <w:t>6.7材料、设备选型的设计配合</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6.7.1</w:t>
      </w:r>
      <w:r>
        <w:rPr>
          <w:rFonts w:hint="eastAsia" w:ascii="宋体" w:hAnsi="宋体" w:cs="宋体"/>
          <w:kern w:val="0"/>
          <w:sz w:val="24"/>
          <w:highlight w:val="none"/>
        </w:rPr>
        <w:t>设计成果文件中选用的建筑材料、建筑构配件和设备，其质量标准必须符合国家规范、标准要求。</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6.7.2</w:t>
      </w:r>
      <w:r>
        <w:rPr>
          <w:rFonts w:hint="eastAsia" w:ascii="宋体" w:hAnsi="宋体" w:cs="宋体"/>
          <w:kern w:val="0"/>
          <w:sz w:val="24"/>
          <w:highlight w:val="none"/>
        </w:rPr>
        <w:t>设计人应负责编制设备、材料采购的技术文件，内容包括设备、材料采购清单、技术规格书、必要的附图、技术参数表、推荐档次及品牌建议、采购说明和采购时间表等，并包含施工要求、安装说明，同时对国内规范以外设计文件所涉及的内容提出验收标准。</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6.7.3</w:t>
      </w:r>
      <w:r>
        <w:rPr>
          <w:rFonts w:hint="eastAsia" w:ascii="宋体" w:hAnsi="宋体" w:cs="宋体"/>
          <w:kern w:val="0"/>
          <w:sz w:val="24"/>
          <w:highlight w:val="none"/>
        </w:rPr>
        <w:t>设计文件对于工艺、技术、材料、设备的选用应该满足施工工期的要求，充分考虑设计的可实施性，重视和吸收施工单位对施工安装提出的意见，并充分考虑国内承建商的施工能力。</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6.7.4</w:t>
      </w:r>
      <w:r>
        <w:rPr>
          <w:rFonts w:hint="eastAsia" w:ascii="宋体" w:hAnsi="宋体" w:cs="宋体"/>
          <w:kern w:val="0"/>
          <w:sz w:val="24"/>
          <w:highlight w:val="none"/>
        </w:rPr>
        <w:t>设计所选用的建筑材料及设备（包括各专业采用的材料、设备），应提交性能价格的分析比较报告，不应选用不节能或已淘汰的产品；设备的选用必须考虑相关的系统配套，原则上应优先采用国内产品。国内没有的建筑材料和设备或国内材料和设备性能无法达到设计要求或其价格高于进口价格时，才采用进口材料和设备。设计中采用的材料和设备均须按中国、广东省、广州市有关法律、行政法规和规章的要求，提供明确的技术资料（包括性能指标、规格、型号等方面的资料）。</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6.7.5</w:t>
      </w:r>
      <w:r>
        <w:rPr>
          <w:rFonts w:hint="eastAsia" w:ascii="宋体" w:hAnsi="宋体" w:cs="宋体"/>
          <w:kern w:val="0"/>
          <w:sz w:val="24"/>
          <w:highlight w:val="none"/>
        </w:rPr>
        <w:t>设计人应及时提供工程的各主要建筑材料和设备的生产厂商及价格等资料，供发包人选择时参考。</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6.7.6</w:t>
      </w:r>
      <w:r>
        <w:rPr>
          <w:rFonts w:hint="eastAsia" w:ascii="宋体" w:hAnsi="宋体" w:cs="宋体"/>
          <w:kern w:val="0"/>
          <w:sz w:val="24"/>
          <w:highlight w:val="none"/>
        </w:rPr>
        <w:t>设计人的设计文件在对本合同工程设备材料的技术要求进行描述时不得带有倾向性、排它性、指向某一特定厂商品牌或指向某一具有独一性的材料设备。如根据项目的定位、功能等的要求必须选用某种品牌或某一具有独一性的材料、设备时，设计人应事前书面详细报告发包人并获得发包人批准。</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6.7.7</w:t>
      </w:r>
      <w:r>
        <w:rPr>
          <w:rFonts w:hint="eastAsia" w:ascii="宋体" w:hAnsi="宋体" w:cs="宋体"/>
          <w:kern w:val="0"/>
          <w:sz w:val="24"/>
          <w:highlight w:val="none"/>
        </w:rPr>
        <w:t>对于由发包人拟定的候选建筑材料和设备，在厂商提供符合设计要求的技术资料后，设计人须协助发包人鉴别其优劣并提供相关咨询意见。同时，设计人应派本项目专业负责人参与发包人组织的相关看样定板工作，出具材料核设备选型的相关技术意见。</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6.7.8</w:t>
      </w:r>
      <w:r>
        <w:rPr>
          <w:rFonts w:hint="eastAsia" w:ascii="宋体" w:hAnsi="宋体" w:cs="宋体"/>
          <w:kern w:val="0"/>
          <w:sz w:val="24"/>
          <w:highlight w:val="none"/>
        </w:rPr>
        <w:t>由于本合同工程中采用新工艺而导致需要采用的新材料、新设备的，设计人原则上须在项目档次定位的基础上向发包人推荐三家以上可供货的国内或国外厂商名称、以往业绩、产品质量标准、价格资料及样板等，所推荐的三家单位的材料、设备应该在价格水平上处于同一档次。</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6.7.9</w:t>
      </w:r>
      <w:r>
        <w:rPr>
          <w:rFonts w:hint="eastAsia" w:ascii="宋体" w:hAnsi="宋体" w:cs="宋体"/>
          <w:kern w:val="0"/>
          <w:sz w:val="24"/>
          <w:highlight w:val="none"/>
        </w:rPr>
        <w:t>设计人应对本合同工程中可能采用的特殊设备和材料进行分析，若在设计过程中需要预先选定相关的材料、设备供应商，以便为设计过程提供必要的技术支持，设计人应提前向发包人提出选定材料设备供应商（包括国产和国外进口）的建议。</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6.7.10</w:t>
      </w:r>
      <w:r>
        <w:rPr>
          <w:rFonts w:hint="eastAsia" w:ascii="宋体" w:hAnsi="宋体" w:cs="宋体"/>
          <w:kern w:val="0"/>
          <w:sz w:val="24"/>
          <w:highlight w:val="none"/>
        </w:rPr>
        <w:t>设计人应详细了解市场上本合同工程的主要材料和设备生产商的供货能力和供货周期（包括生产时间和运输时间），并据此向发包人提出各种主要材料和设备（包括国产和国外进口）的提前订货时间的建议。</w:t>
      </w:r>
    </w:p>
    <w:p>
      <w:pPr>
        <w:adjustRightInd w:val="0"/>
        <w:snapToGrid w:val="0"/>
        <w:spacing w:line="360" w:lineRule="auto"/>
        <w:ind w:firstLine="482" w:firstLineChars="200"/>
        <w:outlineLvl w:val="1"/>
        <w:rPr>
          <w:rFonts w:ascii="宋体" w:hAnsi="宋体" w:cs="宋体"/>
          <w:kern w:val="0"/>
          <w:sz w:val="24"/>
          <w:highlight w:val="none"/>
        </w:rPr>
      </w:pPr>
      <w:bookmarkStart w:id="49" w:name="_Toc26833"/>
      <w:bookmarkStart w:id="50" w:name="_Toc28252"/>
      <w:bookmarkStart w:id="51" w:name="_Toc30246"/>
      <w:bookmarkStart w:id="52" w:name="_Toc21843"/>
      <w:bookmarkStart w:id="53" w:name="_Toc11002"/>
      <w:bookmarkStart w:id="54" w:name="_Toc11792"/>
      <w:bookmarkStart w:id="55" w:name="_Toc32543"/>
      <w:bookmarkStart w:id="56" w:name="_Toc1703"/>
      <w:bookmarkStart w:id="57" w:name="_Toc19881"/>
      <w:bookmarkStart w:id="58" w:name="_Toc6931"/>
      <w:bookmarkStart w:id="59" w:name="_Toc15579"/>
      <w:bookmarkStart w:id="60" w:name="_Toc26248"/>
      <w:r>
        <w:rPr>
          <w:rFonts w:hint="eastAsia" w:ascii="宋体" w:hAnsi="宋体" w:cs="宋体"/>
          <w:b/>
          <w:kern w:val="0"/>
          <w:sz w:val="24"/>
          <w:highlight w:val="none"/>
        </w:rPr>
        <w:t>7、设计服务</w:t>
      </w:r>
      <w:bookmarkEnd w:id="49"/>
      <w:bookmarkEnd w:id="50"/>
      <w:bookmarkEnd w:id="51"/>
      <w:bookmarkEnd w:id="52"/>
      <w:bookmarkEnd w:id="53"/>
      <w:bookmarkEnd w:id="54"/>
      <w:bookmarkEnd w:id="55"/>
      <w:bookmarkEnd w:id="56"/>
      <w:bookmarkEnd w:id="57"/>
      <w:bookmarkEnd w:id="58"/>
      <w:bookmarkEnd w:id="59"/>
      <w:bookmarkEnd w:id="60"/>
    </w:p>
    <w:p>
      <w:pPr>
        <w:adjustRightInd w:val="0"/>
        <w:snapToGrid w:val="0"/>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设计人的服务应符合国际通用的ISO—9000质量管理体系对于工程设计所规定的标准及质量要求。设计人应及时地提供服务，满足发包人在时间上的要求。</w:t>
      </w:r>
    </w:p>
    <w:p>
      <w:pPr>
        <w:adjustRightInd w:val="0"/>
        <w:snapToGrid w:val="0"/>
        <w:spacing w:line="360" w:lineRule="auto"/>
        <w:ind w:firstLine="482" w:firstLineChars="200"/>
        <w:outlineLvl w:val="3"/>
        <w:rPr>
          <w:rFonts w:ascii="宋体" w:hAnsi="宋体" w:cs="宋体"/>
          <w:b/>
          <w:kern w:val="0"/>
          <w:sz w:val="24"/>
          <w:highlight w:val="none"/>
          <w:u w:val="single"/>
        </w:rPr>
      </w:pPr>
      <w:r>
        <w:rPr>
          <w:rFonts w:hint="eastAsia" w:ascii="宋体" w:hAnsi="宋体" w:cs="宋体"/>
          <w:b/>
          <w:kern w:val="0"/>
          <w:sz w:val="24"/>
          <w:highlight w:val="none"/>
          <w:u w:val="single"/>
        </w:rPr>
        <w:t>7.1驻场设计及服务</w:t>
      </w:r>
    </w:p>
    <w:p>
      <w:pPr>
        <w:adjustRightInd w:val="0"/>
        <w:snapToGri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7.1.1</w:t>
      </w:r>
      <w:r>
        <w:rPr>
          <w:rFonts w:hint="eastAsia" w:ascii="宋体" w:hAnsi="宋体" w:cs="宋体"/>
          <w:kern w:val="0"/>
          <w:sz w:val="24"/>
          <w:highlight w:val="none"/>
        </w:rPr>
        <w:t>驻场设计</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根据项目进度，设计人根据发包人要求选派不少于</w:t>
      </w:r>
      <w:r>
        <w:rPr>
          <w:rFonts w:hint="eastAsia" w:ascii="宋体" w:hAnsi="宋体" w:cs="宋体"/>
          <w:kern w:val="0"/>
          <w:sz w:val="24"/>
          <w:highlight w:val="none"/>
          <w:u w:val="single"/>
        </w:rPr>
        <w:t xml:space="preserve"> 1 </w:t>
      </w:r>
      <w:r>
        <w:rPr>
          <w:rFonts w:hint="eastAsia" w:ascii="宋体" w:hAnsi="宋体" w:cs="宋体"/>
          <w:kern w:val="0"/>
          <w:sz w:val="24"/>
          <w:highlight w:val="none"/>
        </w:rPr>
        <w:t>名具有</w:t>
      </w:r>
      <w:r>
        <w:rPr>
          <w:rFonts w:hint="eastAsia" w:ascii="宋体" w:hAnsi="宋体" w:cs="宋体"/>
          <w:kern w:val="0"/>
          <w:sz w:val="24"/>
          <w:highlight w:val="none"/>
          <w:u w:val="single"/>
        </w:rPr>
        <w:t xml:space="preserve"> 建筑或机电 </w:t>
      </w:r>
      <w:r>
        <w:rPr>
          <w:rFonts w:hint="eastAsia" w:ascii="宋体" w:hAnsi="宋体" w:cs="宋体"/>
          <w:kern w:val="0"/>
          <w:sz w:val="24"/>
          <w:highlight w:val="none"/>
        </w:rPr>
        <w:t>相应专业（含相近专业）中级或以上技术职称的人员驻场。驻场人员费用已包含在设计费用中，不另外计费。</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若设计工作不满足工程进度要求，发包人有权要求设计人全部设计人员（包括各专业设计人员和项目负责人员）在发包人指定地点驻场设计，时间可从签订设计合同开始到施工图完成为止。</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实施驻场设计所需的场地、办公、交通等均由设计人自行解决。</w:t>
      </w:r>
    </w:p>
    <w:p>
      <w:pPr>
        <w:adjustRightInd w:val="0"/>
        <w:snapToGri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7.1.2</w:t>
      </w:r>
      <w:r>
        <w:rPr>
          <w:rFonts w:hint="eastAsia" w:ascii="宋体" w:hAnsi="宋体" w:cs="宋体"/>
          <w:kern w:val="0"/>
          <w:sz w:val="24"/>
          <w:highlight w:val="none"/>
        </w:rPr>
        <w:t>驻场服务</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为便于发包人与设计人及时沟通及协调，保证报批报建验收及设计人统筹协调管理等工作的顺利开展，本项目要求设计人派驻驻场服务人员提供驻场服务。服务时间从签订设计合同开始到项目验收为止。服务的主要工作内容包括统筹协调、报批报建报验、资料整理、与设计人单位对接等工作。</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（2）驻场服务人员的办公场地和家具由发包人提供；办公设备和办公用品（包括电脑、彩色打印机、复印机、扫描仪等）由设计人自备；驻场服务人员交通保障由设计人自行解决。</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（3）设计人驻场服务人员应满足招标文件及合同条款的相关要求，并全部统一纳入发包人的统一管理，其出勤、休假等考勤由发包人负责，具体工作由发包人统一安排。</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（4）设计人驻场服务人员的名单须在进场前提交发包人审核，具体要求按设计任务书，所有人员必须通过发包人现场面试确认。发包人有权根据实际情况在驻场服务过程中对设计人的驻场人员进行适当调整。</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（5）设计人应保证驻场人员的稳定性，原则在驻场期间上不得更换，确须更换的应向发包人提出书面报告且征得同意后方可更换。</w:t>
      </w:r>
    </w:p>
    <w:p>
      <w:pPr>
        <w:adjustRightInd w:val="0"/>
        <w:snapToGrid w:val="0"/>
        <w:spacing w:line="360" w:lineRule="auto"/>
        <w:ind w:firstLine="482" w:firstLineChars="200"/>
        <w:outlineLvl w:val="3"/>
        <w:rPr>
          <w:rFonts w:ascii="宋体" w:hAnsi="宋体" w:cs="宋体"/>
          <w:b/>
          <w:kern w:val="0"/>
          <w:sz w:val="24"/>
          <w:highlight w:val="none"/>
          <w:u w:val="single"/>
        </w:rPr>
      </w:pPr>
      <w:r>
        <w:rPr>
          <w:rFonts w:hint="eastAsia" w:ascii="宋体" w:hAnsi="宋体" w:cs="宋体"/>
          <w:b/>
          <w:kern w:val="0"/>
          <w:sz w:val="24"/>
          <w:highlight w:val="none"/>
          <w:u w:val="single"/>
        </w:rPr>
        <w:t>7.2报审报建配合服务</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7.2.1</w:t>
      </w:r>
      <w:r>
        <w:rPr>
          <w:rFonts w:hint="eastAsia" w:ascii="宋体" w:hAnsi="宋体" w:cs="宋体"/>
          <w:kern w:val="0"/>
          <w:sz w:val="24"/>
          <w:highlight w:val="none"/>
        </w:rPr>
        <w:t>设计人应安排专人（1名）全面配合跟进所有报审报建工作，在设计过程各阶段按照本项目报审报建的要求，提交所有必需的文件、图纸及其相应的电子文件（刻制成光盘），并配合报审报建过程中必要的技术协调、送审技术性文件等工作，直至完成所有审批手续。</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7.2.2</w:t>
      </w:r>
      <w:r>
        <w:rPr>
          <w:rFonts w:hint="eastAsia" w:ascii="宋体" w:hAnsi="宋体" w:cs="宋体"/>
          <w:kern w:val="0"/>
          <w:sz w:val="24"/>
          <w:highlight w:val="none"/>
        </w:rPr>
        <w:t>对设计人提交报审报建资料的要求：提交的文件、图纸及其相应的电子文件按照相关报审报建职能部门或主管部门的提交要求和份数要求。报建涉及的费用（除行政事业性收费由发包人负责缴纳外）包括但不限于</w:t>
      </w:r>
      <w:r>
        <w:rPr>
          <w:rFonts w:hint="eastAsia" w:ascii="宋体" w:hAnsi="宋体" w:cs="宋体"/>
          <w:kern w:val="0"/>
          <w:sz w:val="24"/>
          <w:highlight w:val="none"/>
          <w:u w:val="single"/>
        </w:rPr>
        <w:t>报建所需的书面文件和电子文件、地形图、各类证照（含公示牌等）费用、各阶段测量及放线册等费用、管线图纸、报建通编制、竣工通配合编制、各阶段的汇报文件和送审文件晒制、加晒加印图纸资料费用</w:t>
      </w:r>
      <w:r>
        <w:rPr>
          <w:rFonts w:hint="eastAsia" w:ascii="宋体" w:hAnsi="宋体" w:cs="宋体"/>
          <w:kern w:val="0"/>
          <w:sz w:val="24"/>
          <w:highlight w:val="none"/>
        </w:rPr>
        <w:t>等均包含在设计费中，不再单独计取。</w:t>
      </w:r>
    </w:p>
    <w:p>
      <w:pPr>
        <w:adjustRightInd w:val="0"/>
        <w:snapToGrid w:val="0"/>
        <w:spacing w:line="360" w:lineRule="auto"/>
        <w:ind w:firstLine="482" w:firstLineChars="200"/>
        <w:outlineLvl w:val="3"/>
        <w:rPr>
          <w:rFonts w:ascii="宋体" w:hAnsi="宋体" w:cs="宋体"/>
          <w:b/>
          <w:kern w:val="0"/>
          <w:sz w:val="24"/>
          <w:highlight w:val="none"/>
          <w:u w:val="single"/>
        </w:rPr>
      </w:pPr>
      <w:r>
        <w:rPr>
          <w:rFonts w:hint="eastAsia" w:ascii="宋体" w:hAnsi="宋体" w:cs="宋体"/>
          <w:b/>
          <w:kern w:val="0"/>
          <w:sz w:val="24"/>
          <w:highlight w:val="none"/>
          <w:u w:val="single"/>
        </w:rPr>
        <w:t>7.3招标配合服务</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7.3.1</w:t>
      </w:r>
      <w:r>
        <w:rPr>
          <w:rFonts w:hint="eastAsia" w:ascii="宋体" w:hAnsi="宋体" w:cs="宋体"/>
          <w:kern w:val="0"/>
          <w:sz w:val="24"/>
          <w:highlight w:val="none"/>
        </w:rPr>
        <w:t>设计人应在发包人进行的工程施工招标、设备材料采购招标过程中提供技术指导，编制用户需求书，制定技术文件（包括设备、材料采购清单、技术规格书、性能要求、必要的附图、技术参数表、推荐档次及品牌建议、采购说明和采购时间表等），根据发包人的要求进行设计交底（图纸交底、设备、材料采购的技术文件交底）、参加招投标答疑会、及时答复招投标答疑文件，审核及签署设备、材料供货合同技术附件，并根据发包人的要求配合发包人进行合同技术条款的谈判工作。</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7.3.2</w:t>
      </w:r>
      <w:r>
        <w:rPr>
          <w:rFonts w:hint="eastAsia" w:ascii="宋体" w:hAnsi="宋体" w:cs="宋体"/>
          <w:kern w:val="0"/>
          <w:sz w:val="24"/>
          <w:highlight w:val="none"/>
        </w:rPr>
        <w:t>对于发包人召开的相关招标会议（如招投标答疑会、预算及招标控制价编制工作协调会议等），设计人应根据发包人的要求派出相关专业人员参加，并积极配合发包人做好投标答疑文件、招标澄清文件等的编制工作。</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7.3.3</w:t>
      </w:r>
      <w:r>
        <w:rPr>
          <w:rFonts w:hint="eastAsia" w:ascii="宋体" w:hAnsi="宋体" w:cs="宋体"/>
          <w:kern w:val="0"/>
          <w:sz w:val="24"/>
          <w:highlight w:val="none"/>
        </w:rPr>
        <w:t xml:space="preserve"> 设计人根据发包人要求（包括时间要求、深度要求等）提供本合同工程进行招标所需的设计成果文件，包括必要的施工图、材料说明书、设备技术说明书等文本文件10套、电子光盘2张。</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7.3.4</w:t>
      </w:r>
      <w:r>
        <w:rPr>
          <w:rFonts w:hint="eastAsia" w:ascii="宋体" w:hAnsi="宋体" w:cs="宋体"/>
          <w:kern w:val="0"/>
          <w:sz w:val="24"/>
          <w:highlight w:val="none"/>
        </w:rPr>
        <w:t>设计人应负责协调各专业设计单位编写工程施工、材料设备等招标文件中的技术和质量标准。</w:t>
      </w:r>
    </w:p>
    <w:p>
      <w:pPr>
        <w:adjustRightInd w:val="0"/>
        <w:snapToGri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7.3.5</w:t>
      </w:r>
      <w:r>
        <w:rPr>
          <w:rFonts w:hint="eastAsia" w:ascii="宋体" w:hAnsi="宋体" w:cs="宋体"/>
          <w:kern w:val="0"/>
          <w:sz w:val="24"/>
          <w:highlight w:val="none"/>
        </w:rPr>
        <w:t>在发包人组织采购招标或项目施工阶段，如需由投标单位或实施单位制作实体模型的，设计人须提供需制作模型的具体要求和必要的模型图纸。</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7.3.6</w:t>
      </w:r>
      <w:r>
        <w:rPr>
          <w:rFonts w:hint="eastAsia" w:ascii="宋体" w:hAnsi="宋体" w:cs="宋体"/>
          <w:kern w:val="0"/>
          <w:sz w:val="24"/>
          <w:highlight w:val="none"/>
        </w:rPr>
        <w:t>对于需要进行整套系统采购的设备，设计人应在施工图或设备、材料采购的技术文件中予以明确。</w:t>
      </w:r>
    </w:p>
    <w:p>
      <w:pPr>
        <w:adjustRightInd w:val="0"/>
        <w:snapToGrid w:val="0"/>
        <w:spacing w:line="360" w:lineRule="auto"/>
        <w:ind w:firstLine="482" w:firstLineChars="200"/>
        <w:outlineLvl w:val="3"/>
        <w:rPr>
          <w:rFonts w:ascii="宋体" w:hAnsi="宋体" w:cs="宋体"/>
          <w:kern w:val="0"/>
          <w:sz w:val="24"/>
          <w:highlight w:val="none"/>
          <w:u w:val="single"/>
        </w:rPr>
      </w:pPr>
      <w:r>
        <w:rPr>
          <w:rFonts w:hint="eastAsia" w:ascii="宋体" w:hAnsi="宋体" w:cs="宋体"/>
          <w:b/>
          <w:kern w:val="0"/>
          <w:sz w:val="24"/>
          <w:highlight w:val="none"/>
          <w:u w:val="single"/>
        </w:rPr>
        <w:t>7.4施工阶段的现场服务</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7.4.1</w:t>
      </w:r>
      <w:r>
        <w:rPr>
          <w:rFonts w:hint="eastAsia" w:ascii="宋体" w:hAnsi="宋体" w:cs="宋体"/>
          <w:kern w:val="0"/>
          <w:sz w:val="24"/>
          <w:highlight w:val="none"/>
        </w:rPr>
        <w:t>设计人承诺将根据本合同工程建设进展情况和发包人的要求提供现场服务，及时派出各专业工程师解决工程中涉及到的设计问题。设计人现场服务期从本合同工程正式开工之日起，直至本合同工程正式通过工程验收之日止，预计共</w:t>
      </w:r>
      <w:r>
        <w:rPr>
          <w:rFonts w:ascii="宋体" w:hAnsi="宋体" w:cs="宋体"/>
          <w:kern w:val="0"/>
          <w:sz w:val="24"/>
          <w:highlight w:val="none"/>
          <w:u w:val="single"/>
        </w:rPr>
        <w:t>41</w:t>
      </w:r>
      <w:r>
        <w:rPr>
          <w:rFonts w:hint="eastAsia" w:ascii="宋体" w:hAnsi="宋体" w:cs="宋体"/>
          <w:kern w:val="0"/>
          <w:sz w:val="24"/>
          <w:highlight w:val="none"/>
        </w:rPr>
        <w:t>个月。主要工作如下（包括但不限于）：</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参与设计的技术协调会，做好设计交底工作。在工程施工招标、设备材料采购完成评标工作的前一周内，设计人根据发包人要求提供对应采购招标范围的施工图、材料说明书及设备技术说明书等设计成果文件共10套、电子光盘2张。</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（2）各施工阶段开始前，参与图纸会审，解答有关设计问题，并按规定及时出具相应的修改图纸、补充图纸及技术文件。</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项目实施过程中，设计人的设计项目负责人、各专业设计负责人及相关专业人员（可按照专业施工进度分专业参加）需参加由发包人在施工现场组织召开的设计交底会、图纸会审会、设计例会和工程例会、技术问题协调会、看样定板会、设计巡场，及时解决现场技术问题，并按照发包人相应管理制度和管理办法开展相应工作。</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设计人应做好本合同工程全部设计项目的管理服务工作，按发包人要求进行现场巡查并相应提交巡场报告，直至工程竣工验收合格时止。当建设过程中对设计文件有疑问时，设计人在接到通知后，应及时派出专业工程师解决。属于一般设计问题，若无特殊情况，应在1天内解决；属于重大设计问题，可在5天内书面提出解决意见；对设计图纸与现场不符之处，应及时提出解决办法。</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（5）设计人应参加本合同工程的监理例会，并及时解决会议提出的应由设计人解决的技术问题。</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设计人应指导施工单位按照设计文件施工；参加工程地基基础、主体结构（含主要隐蔽工程）和竣工质量验收；及时派出能独立解决现场问题的技术人员进行现场服务，处理现场问题；参加工程质量事故调查并提出技术处理方案。</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（7）设计人应在设备、材料采购订货前对有关性能、参数、规格及主要设备数量进行确认；按发包人要求对已订购的主要设备、材料进行到货验收。</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（8）设计人应协助制订设备系统的调试计划和参与设备试车调试。</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（9）设计人应参与工程的报建与竣工验收，参与编写工程总结。</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（10）设计人项目负责人应参加发包人召开的协调会、调度会。</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7.4.2</w:t>
      </w:r>
      <w:r>
        <w:rPr>
          <w:rFonts w:hint="eastAsia" w:ascii="宋体" w:hAnsi="宋体" w:cs="宋体"/>
          <w:kern w:val="0"/>
          <w:sz w:val="24"/>
          <w:highlight w:val="none"/>
        </w:rPr>
        <w:t>根据工程进展情况和需要，对一些特殊工程，设计人应向发包人提供施工组织设计的书面建议，配合编写工程施工技术标准（施工作业指导书），对设计各部分所应满足的规范、标准进行总说明，对各条文进行摘录汇编；对超规范（标准）之处，应初拟技术标准，供专家论证后执行。</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7.4.</w:t>
      </w:r>
      <w:r>
        <w:rPr>
          <w:rFonts w:hint="eastAsia" w:ascii="宋体" w:hAnsi="宋体" w:cs="宋体"/>
          <w:b/>
          <w:sz w:val="24"/>
          <w:highlight w:val="none"/>
        </w:rPr>
        <w:t>3</w:t>
      </w:r>
      <w:r>
        <w:rPr>
          <w:rFonts w:hint="eastAsia" w:ascii="宋体" w:hAnsi="宋体" w:cs="宋体"/>
          <w:kern w:val="0"/>
          <w:sz w:val="24"/>
          <w:highlight w:val="none"/>
        </w:rPr>
        <w:t>参加隐蔽工程验收、分部子分部及工程竣工验收，根据国家、省、市相关规定出具隐蔽工程验收、分部子分部工程和工程竣工验收意见。在工程竣工验收时按时提交《设计文件质量检查报告》一式六份。</w:t>
      </w:r>
    </w:p>
    <w:p>
      <w:pPr>
        <w:adjustRightInd w:val="0"/>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7.4.4</w:t>
      </w:r>
      <w:r>
        <w:rPr>
          <w:rFonts w:hint="eastAsia" w:ascii="宋体" w:hAnsi="宋体" w:cs="宋体"/>
          <w:sz w:val="24"/>
          <w:highlight w:val="none"/>
        </w:rPr>
        <w:t xml:space="preserve"> 对项目各专项工程（包括规划、防雷、卫生防预、环保、煤气、给水、消防、电梯、人防、节能、园林绿化等）的验收、备案工作予以配合，具体验收配合工作包括但不限于：</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（1）于各专项验收申请表送达后3天内，出具设计单位意见；</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（2）对因专项工程验收、备案需增加晒制的图纸，在收到发包人通知后3天内提交，相关费用按合同条款第16.8条的相关约定执行。</w:t>
      </w:r>
    </w:p>
    <w:p>
      <w:pPr>
        <w:adjustRightInd w:val="0"/>
        <w:snapToGrid w:val="0"/>
        <w:spacing w:line="360" w:lineRule="auto"/>
        <w:ind w:firstLine="482" w:firstLineChars="200"/>
        <w:outlineLvl w:val="3"/>
        <w:rPr>
          <w:rFonts w:ascii="宋体" w:hAnsi="宋体" w:cs="宋体"/>
          <w:b/>
          <w:kern w:val="0"/>
          <w:sz w:val="24"/>
          <w:highlight w:val="none"/>
          <w:u w:val="single"/>
        </w:rPr>
      </w:pPr>
      <w:r>
        <w:rPr>
          <w:rFonts w:hint="eastAsia" w:ascii="宋体" w:hAnsi="宋体" w:cs="宋体"/>
          <w:b/>
          <w:kern w:val="0"/>
          <w:sz w:val="24"/>
          <w:highlight w:val="none"/>
          <w:u w:val="single"/>
        </w:rPr>
        <w:t>7.5工程结算配合服务</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7.5.1</w:t>
      </w:r>
      <w:r>
        <w:rPr>
          <w:rFonts w:hint="eastAsia" w:ascii="宋体" w:hAnsi="宋体" w:cs="宋体"/>
          <w:kern w:val="0"/>
          <w:sz w:val="24"/>
          <w:highlight w:val="none"/>
        </w:rPr>
        <w:t>设计人应根据发包人指令提交本合同工程的结算配合服务工作计划，根据经批准的工作计划积极参与并配合发包人或发包人委托的第三方组织的本合同工程设计人设计范围内的工程结算工作，及时提交设计变更确认资料并确保其有效性、准确性和及时性，以保证工程结算工作的顺利推进。</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7.5.2</w:t>
      </w:r>
      <w:r>
        <w:rPr>
          <w:rFonts w:hint="eastAsia" w:ascii="宋体" w:hAnsi="宋体" w:cs="宋体"/>
          <w:kern w:val="0"/>
          <w:sz w:val="24"/>
          <w:highlight w:val="none"/>
        </w:rPr>
        <w:t>设计人应根据发包人的要求提供结算工作所涉及的设计变更的相关设计文件（如设计变更估算书等）。</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7.5.3</w:t>
      </w:r>
      <w:r>
        <w:rPr>
          <w:rFonts w:hint="eastAsia" w:ascii="宋体" w:hAnsi="宋体" w:cs="宋体"/>
          <w:kern w:val="0"/>
          <w:sz w:val="24"/>
          <w:highlight w:val="none"/>
        </w:rPr>
        <w:t xml:space="preserve"> 设计人应积极完成其设计范围内的竣工图的编制工作，包括但不限于以下工作（相关费用已含于设计费用中）：</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（1）编制竣工图纸，并进行签章确认；</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（2）编制规划验收竣工图纸及规划验收电子报批文件（即“验收通”）。</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 xml:space="preserve">7.5.4 </w:t>
      </w:r>
      <w:r>
        <w:rPr>
          <w:rFonts w:hint="eastAsia" w:ascii="宋体" w:hAnsi="宋体" w:cs="宋体"/>
          <w:kern w:val="0"/>
          <w:sz w:val="24"/>
          <w:highlight w:val="none"/>
        </w:rPr>
        <w:t>设计人应根据发包人要求在工程结算过程中提供相关的技术支持。</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7.5.5</w:t>
      </w:r>
      <w:r>
        <w:rPr>
          <w:rFonts w:hint="eastAsia" w:ascii="宋体" w:hAnsi="宋体" w:cs="宋体"/>
          <w:kern w:val="0"/>
          <w:sz w:val="24"/>
          <w:highlight w:val="none"/>
        </w:rPr>
        <w:t>本合同设计范围内存在发包人另行发包的专项工程设计服务内容的，设计人负责整理汇总其合同设计范围内所有设计单位的结算工作。</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7.5.6</w:t>
      </w:r>
      <w:r>
        <w:rPr>
          <w:rFonts w:hint="eastAsia" w:ascii="宋体" w:hAnsi="宋体" w:cs="宋体"/>
          <w:kern w:val="0"/>
          <w:sz w:val="24"/>
          <w:highlight w:val="none"/>
        </w:rPr>
        <w:t xml:space="preserve"> 为确保本合同工程结算的顺利进行，发包人可能对本合同工程按分部分项或单位工程进行分段结算，设计人在接到发包人关于分段结算配合工作的指令后7天内向发包人提交相关的分段结算配合服务工作计划。</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设计人应根据经过发包人批准的分段结算配合服务工作计划积极配合相关的分段结算工作。</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7.5.7</w:t>
      </w:r>
      <w:r>
        <w:rPr>
          <w:rFonts w:hint="eastAsia" w:ascii="宋体" w:hAnsi="宋体" w:cs="宋体"/>
          <w:kern w:val="0"/>
          <w:sz w:val="24"/>
          <w:highlight w:val="none"/>
        </w:rPr>
        <w:t xml:space="preserve"> 设计人应将结算配合服务工作计划（包括分段结算配合服务工作计划）录入发包人的计算机工程信息管理系统（如有），并根据实际工作进展情况及时更新。</w:t>
      </w:r>
    </w:p>
    <w:p>
      <w:pPr>
        <w:adjustRightInd w:val="0"/>
        <w:snapToGrid w:val="0"/>
        <w:spacing w:line="360" w:lineRule="auto"/>
        <w:ind w:firstLine="482" w:firstLineChars="200"/>
        <w:outlineLvl w:val="3"/>
        <w:rPr>
          <w:rFonts w:ascii="宋体" w:hAnsi="宋体" w:cs="宋体"/>
          <w:kern w:val="0"/>
          <w:sz w:val="24"/>
          <w:highlight w:val="none"/>
          <w:u w:val="single"/>
        </w:rPr>
      </w:pPr>
      <w:r>
        <w:rPr>
          <w:rFonts w:hint="eastAsia" w:ascii="宋体" w:hAnsi="宋体" w:cs="宋体"/>
          <w:b/>
          <w:kern w:val="0"/>
          <w:sz w:val="24"/>
          <w:highlight w:val="none"/>
          <w:u w:val="single"/>
        </w:rPr>
        <w:t>7.6保修阶段的服务</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设计人应根据发包人的要求积极配合并参与工程的保修工作，提供相应的技术支持，对</w:t>
      </w:r>
      <w:r>
        <w:rPr>
          <w:rFonts w:hint="eastAsia" w:ascii="宋体" w:hAnsi="宋体" w:cs="宋体"/>
          <w:sz w:val="24"/>
          <w:highlight w:val="none"/>
        </w:rPr>
        <w:t>工程保修阶段（竣工证书发出之日起两年）</w:t>
      </w:r>
      <w:r>
        <w:rPr>
          <w:rFonts w:hint="eastAsia" w:ascii="宋体" w:hAnsi="宋体" w:cs="宋体"/>
          <w:kern w:val="0"/>
          <w:sz w:val="24"/>
          <w:highlight w:val="none"/>
        </w:rPr>
        <w:t>发生的工程问题提交书面的技术建议及相关的工程设计资料。</w:t>
      </w:r>
    </w:p>
    <w:p>
      <w:pPr>
        <w:adjustRightInd w:val="0"/>
        <w:snapToGrid w:val="0"/>
        <w:spacing w:line="360" w:lineRule="auto"/>
        <w:ind w:firstLine="482" w:firstLineChars="200"/>
        <w:rPr>
          <w:rFonts w:ascii="宋体" w:hAnsi="宋体" w:cs="宋体"/>
          <w:b/>
          <w:kern w:val="0"/>
          <w:sz w:val="24"/>
          <w:highlight w:val="none"/>
          <w:u w:val="single"/>
        </w:rPr>
      </w:pPr>
      <w:r>
        <w:rPr>
          <w:rFonts w:hint="eastAsia" w:ascii="宋体" w:hAnsi="宋体" w:cs="宋体"/>
          <w:b/>
          <w:kern w:val="0"/>
          <w:sz w:val="24"/>
          <w:highlight w:val="none"/>
          <w:u w:val="single"/>
        </w:rPr>
        <w:t>7.7规划设计、文件编制</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7.7.1</w:t>
      </w:r>
      <w:r>
        <w:rPr>
          <w:rFonts w:hint="eastAsia" w:ascii="宋体" w:hAnsi="宋体" w:cs="宋体"/>
          <w:kern w:val="0"/>
          <w:sz w:val="24"/>
          <w:highlight w:val="none"/>
        </w:rPr>
        <w:t>在编制设计方案过程中，根据发包人需求对实际功能布局进行深化优化，在现行政策规定下完成设计方案审查并同步推进控制性详细规划修正（如有）。设计方案审查范围包括总平面及竖向规划设计、管线综合设计、建筑布局、交通组织、景观绿化、建筑平立面、环境节能保护等（具体以发包人要求及规划报建主管部门最新政策要求为准）。</w:t>
      </w:r>
    </w:p>
    <w:p>
      <w:pPr>
        <w:adjustRightInd w:val="0"/>
        <w:snapToGrid w:val="0"/>
        <w:spacing w:line="360" w:lineRule="auto"/>
        <w:ind w:firstLine="482" w:firstLineChars="200"/>
        <w:outlineLvl w:val="2"/>
        <w:rPr>
          <w:rFonts w:ascii="宋体" w:hAnsi="宋体" w:cs="宋体"/>
          <w:dstrike/>
          <w:kern w:val="0"/>
          <w:sz w:val="24"/>
          <w:highlight w:val="none"/>
        </w:rPr>
      </w:pPr>
      <w:r>
        <w:rPr>
          <w:rFonts w:hint="eastAsia" w:ascii="宋体" w:hAnsi="宋体" w:cs="宋体"/>
          <w:b/>
          <w:kern w:val="0"/>
          <w:sz w:val="24"/>
          <w:highlight w:val="none"/>
        </w:rPr>
        <w:t>7.7.2</w:t>
      </w:r>
      <w:r>
        <w:rPr>
          <w:rFonts w:hint="eastAsia" w:ascii="宋体" w:hAnsi="宋体" w:cs="宋体"/>
          <w:kern w:val="0"/>
          <w:sz w:val="24"/>
          <w:highlight w:val="none"/>
        </w:rPr>
        <w:t>设计人应按照批复文件完成修订版设计文件编制。设计人项目总负责人和规划设计人员应参加技术上门沟通解释工作。</w:t>
      </w:r>
    </w:p>
    <w:p>
      <w:pPr>
        <w:adjustRightInd w:val="0"/>
        <w:snapToGrid w:val="0"/>
        <w:spacing w:line="360" w:lineRule="auto"/>
        <w:ind w:firstLine="482" w:firstLineChars="200"/>
        <w:outlineLvl w:val="2"/>
        <w:rPr>
          <w:rFonts w:ascii="宋体" w:hAnsi="宋体" w:cs="宋体"/>
          <w:kern w:val="0"/>
          <w:sz w:val="24"/>
          <w:highlight w:val="none"/>
        </w:rPr>
      </w:pPr>
      <w:r>
        <w:rPr>
          <w:rFonts w:hint="eastAsia" w:ascii="宋体" w:hAnsi="宋体" w:cs="宋体"/>
          <w:b/>
          <w:kern w:val="0"/>
          <w:sz w:val="24"/>
          <w:highlight w:val="none"/>
        </w:rPr>
        <w:t>7.7.3</w:t>
      </w:r>
      <w:r>
        <w:rPr>
          <w:rFonts w:hint="eastAsia" w:ascii="宋体" w:hAnsi="宋体" w:cs="宋体"/>
          <w:kern w:val="0"/>
          <w:sz w:val="24"/>
          <w:highlight w:val="none"/>
        </w:rPr>
        <w:t>设计人应无条件按照主管部门的相关批复意见，修改好设计和相关文件，并提交修改后的终稿5份。</w:t>
      </w:r>
    </w:p>
    <w:p>
      <w:pPr>
        <w:adjustRightInd w:val="0"/>
        <w:snapToGrid w:val="0"/>
        <w:spacing w:line="360" w:lineRule="auto"/>
        <w:ind w:firstLine="482" w:firstLineChars="200"/>
        <w:outlineLvl w:val="1"/>
        <w:rPr>
          <w:rFonts w:ascii="宋体" w:hAnsi="宋体" w:cs="宋体"/>
          <w:b/>
          <w:kern w:val="0"/>
          <w:sz w:val="24"/>
          <w:highlight w:val="none"/>
        </w:rPr>
      </w:pPr>
      <w:bookmarkStart w:id="61" w:name="_Toc825"/>
      <w:bookmarkStart w:id="62" w:name="_Toc142"/>
      <w:bookmarkStart w:id="63" w:name="_Toc5281"/>
      <w:bookmarkStart w:id="64" w:name="_Toc9655"/>
      <w:bookmarkStart w:id="65" w:name="_Toc12257"/>
      <w:bookmarkStart w:id="66" w:name="_Toc25574"/>
      <w:bookmarkStart w:id="67" w:name="_Toc28480"/>
      <w:bookmarkStart w:id="68" w:name="_Toc14141"/>
      <w:bookmarkStart w:id="69" w:name="_Toc9676"/>
      <w:bookmarkStart w:id="70" w:name="_Toc2806"/>
      <w:bookmarkStart w:id="71" w:name="_Toc8471"/>
      <w:bookmarkStart w:id="72" w:name="_Toc4167"/>
      <w:r>
        <w:rPr>
          <w:rFonts w:hint="eastAsia" w:ascii="宋体" w:hAnsi="宋体" w:cs="宋体"/>
          <w:b/>
          <w:kern w:val="0"/>
          <w:sz w:val="24"/>
          <w:highlight w:val="none"/>
        </w:rPr>
        <w:t>8、设计人员</w:t>
      </w:r>
      <w:bookmarkEnd w:id="61"/>
      <w:bookmarkEnd w:id="62"/>
      <w:bookmarkEnd w:id="63"/>
      <w:bookmarkEnd w:id="64"/>
      <w:bookmarkEnd w:id="65"/>
      <w:bookmarkEnd w:id="66"/>
      <w:bookmarkEnd w:id="67"/>
      <w:bookmarkEnd w:id="68"/>
      <w:bookmarkEnd w:id="69"/>
      <w:bookmarkEnd w:id="70"/>
      <w:bookmarkEnd w:id="71"/>
      <w:bookmarkEnd w:id="72"/>
    </w:p>
    <w:p>
      <w:pPr>
        <w:adjustRightInd w:val="0"/>
        <w:snapToGrid w:val="0"/>
        <w:spacing w:line="360" w:lineRule="auto"/>
        <w:ind w:firstLine="482" w:firstLineChars="200"/>
        <w:outlineLvl w:val="3"/>
        <w:rPr>
          <w:rFonts w:ascii="宋体" w:hAnsi="宋体" w:cs="宋体"/>
          <w:b/>
          <w:kern w:val="0"/>
          <w:sz w:val="24"/>
          <w:highlight w:val="none"/>
          <w:u w:val="single"/>
        </w:rPr>
      </w:pPr>
      <w:r>
        <w:rPr>
          <w:rFonts w:hint="eastAsia" w:ascii="宋体" w:hAnsi="宋体" w:cs="宋体"/>
          <w:b/>
          <w:kern w:val="0"/>
          <w:sz w:val="24"/>
          <w:highlight w:val="none"/>
          <w:u w:val="single"/>
        </w:rPr>
        <w:t>无论是投标文件中承诺的相关人员或者是根据发包人要求更换、增加的相关人员，均必须是设计人在职人员（需提供社保证明，不含返聘人员）。本合同履行期间，发包人有权要求设计人提供相应人员近一个月或以上的在本单位的有效社保缴纳证明文件。设计人无法提供的，视为未按合同约定投入人员。</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8.1</w:t>
      </w:r>
      <w:r>
        <w:rPr>
          <w:rFonts w:hint="eastAsia" w:ascii="宋体" w:hAnsi="宋体" w:cs="宋体"/>
          <w:kern w:val="0"/>
          <w:sz w:val="24"/>
          <w:highlight w:val="none"/>
        </w:rPr>
        <w:t>为确保本合同工程的设计质量，在明确分工各负其责的基础上，设计人（包括设计人分包单位）在本合同履行期内为本合同工程派出的设计总负责人、设计驻场总负责人、各专业设计负责人、各专业设计驻场代表的职务、资历、资格须满足招标文件及合同约定。在本合同履行期间，未经发包人同意，不得更换或再参与本合同项目以外的其他工作。设计总负责人可以参与学术及公司经营，但设计总负责人必须履行负责人职责，不得缺席要求由总负责人参加的会议。</w:t>
      </w:r>
    </w:p>
    <w:p>
      <w:pPr>
        <w:adjustRightInd w:val="0"/>
        <w:snapToGrid w:val="0"/>
        <w:spacing w:line="360" w:lineRule="auto"/>
        <w:ind w:firstLine="480" w:firstLineChars="200"/>
        <w:outlineLvl w:val="3"/>
        <w:rPr>
          <w:rFonts w:ascii="宋体" w:hAnsi="宋体" w:cs="宋体"/>
          <w:kern w:val="0"/>
          <w:sz w:val="24"/>
          <w:highlight w:val="none"/>
        </w:rPr>
      </w:pPr>
      <w:r>
        <w:rPr>
          <w:rFonts w:hint="eastAsia" w:ascii="宋体" w:hAnsi="宋体" w:cs="宋体"/>
          <w:kern w:val="0"/>
          <w:sz w:val="24"/>
          <w:highlight w:val="none"/>
        </w:rPr>
        <w:t>项目总负责人及各专业负责人须参加与本项目相关的勘察设计联席会议、各阶段设计成果汇报会议、重大技术问题协调会议、方案比选研究会议、专家评审会议等，并做好汇报工作。</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u w:val="single"/>
        </w:rPr>
        <w:t>8.2</w:t>
      </w:r>
      <w:r>
        <w:rPr>
          <w:rFonts w:hint="eastAsia" w:ascii="宋体" w:hAnsi="宋体" w:cs="宋体"/>
          <w:kern w:val="0"/>
          <w:sz w:val="24"/>
          <w:highlight w:val="none"/>
          <w:u w:val="single"/>
        </w:rPr>
        <w:t>设计人应根据设计任务建立项目组，项目组设组长1名。</w:t>
      </w:r>
      <w:r>
        <w:rPr>
          <w:rFonts w:hint="eastAsia" w:ascii="宋体" w:hAnsi="宋体" w:cs="宋体"/>
          <w:kern w:val="0"/>
          <w:sz w:val="24"/>
          <w:highlight w:val="none"/>
        </w:rPr>
        <w:t>设计人须从组织上保证投入的人力、物力能满足设计开展的需要，保证不同设计时段设计工作的连续性和外部条件接口衔接的连贯性。</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8.3</w:t>
      </w:r>
      <w:r>
        <w:rPr>
          <w:rFonts w:hint="eastAsia" w:ascii="宋体" w:hAnsi="宋体" w:cs="宋体"/>
          <w:kern w:val="0"/>
          <w:sz w:val="24"/>
          <w:highlight w:val="none"/>
        </w:rPr>
        <w:t>设计人如为境外机构，必须自行配备专业翻译一名。</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8.4</w:t>
      </w:r>
      <w:r>
        <w:rPr>
          <w:rFonts w:hint="eastAsia" w:ascii="宋体" w:hAnsi="宋体" w:cs="宋体"/>
          <w:kern w:val="0"/>
          <w:sz w:val="24"/>
          <w:highlight w:val="none"/>
        </w:rPr>
        <w:t>专业设计单位（如有）必须成立设计项目组按照发包人的指令在规定的时间和指定的场所，在设计人的统一管理和协调下开展各项设计工作，确保设计进度和质量。设计项目组人员组成必须满足招标文件及合同约定的要求。</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8.5</w:t>
      </w:r>
      <w:r>
        <w:rPr>
          <w:rFonts w:hint="eastAsia" w:ascii="宋体" w:hAnsi="宋体" w:cs="宋体"/>
          <w:kern w:val="0"/>
          <w:sz w:val="24"/>
          <w:highlight w:val="none"/>
        </w:rPr>
        <w:t>发包人认为设计总负责人、设计驻场总负责人、各专业设计负责人、各专业设计驻场代表不称职时，有权向设计人发出书面更换人员通知，设计人应当在收到发包人的书面通知后5天内更换，更换人员的职务、资历、资格不得低于本合同相应条款的要求，且更换人员须经发包人确认。若设计人对发包人要求更换人员有异议时，可申请复议一次，若经复议后发包人仍然要求更换，则设计人应无条件按时更换，否则视设计人该人员从发包人发出更换通知的时间开始擅自离岗。</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8.6</w:t>
      </w:r>
      <w:r>
        <w:rPr>
          <w:rFonts w:hint="eastAsia" w:ascii="宋体" w:hAnsi="宋体" w:cs="宋体"/>
          <w:kern w:val="0"/>
          <w:sz w:val="24"/>
          <w:highlight w:val="none"/>
        </w:rPr>
        <w:t>当发包人认为设计人及其分包单位的设计人员及管理服务人员的数量、专业水平、专业配套等达不到设计所需时，发包人有权要求设计人更换及补充相关人员，直至满足设计工作要求为止，否则发包人有权扣减设计费直至解除合同等。</w:t>
      </w:r>
    </w:p>
    <w:p>
      <w:pPr>
        <w:adjustRightInd w:val="0"/>
        <w:snapToGrid w:val="0"/>
        <w:spacing w:line="360" w:lineRule="auto"/>
        <w:ind w:firstLine="482" w:firstLineChars="200"/>
        <w:rPr>
          <w:rFonts w:ascii="宋体" w:hAnsi="宋体" w:cs="宋体"/>
          <w:dstrike/>
          <w:kern w:val="0"/>
          <w:sz w:val="24"/>
          <w:highlight w:val="none"/>
        </w:rPr>
      </w:pPr>
      <w:r>
        <w:rPr>
          <w:rFonts w:hint="eastAsia" w:ascii="宋体" w:hAnsi="宋体" w:cs="宋体"/>
          <w:b/>
          <w:kern w:val="0"/>
          <w:sz w:val="24"/>
          <w:highlight w:val="none"/>
        </w:rPr>
        <w:t>8.7</w:t>
      </w:r>
      <w:r>
        <w:rPr>
          <w:rFonts w:hint="eastAsia" w:ascii="宋体" w:hAnsi="宋体" w:cs="宋体"/>
          <w:kern w:val="0"/>
          <w:sz w:val="24"/>
          <w:highlight w:val="none"/>
        </w:rPr>
        <w:t>在设计高峰或发包人认为有必要时，设计人必须集中力量确保设计进度。</w:t>
      </w:r>
    </w:p>
    <w:p>
      <w:pPr>
        <w:adjustRightInd w:val="0"/>
        <w:snapToGrid w:val="0"/>
        <w:spacing w:line="360" w:lineRule="auto"/>
        <w:ind w:firstLine="218" w:firstLineChars="91"/>
        <w:outlineLvl w:val="3"/>
        <w:rPr>
          <w:rFonts w:ascii="宋体" w:hAnsi="宋体" w:cs="宋体"/>
          <w:sz w:val="24"/>
          <w:highlight w:val="none"/>
        </w:rPr>
      </w:pPr>
      <w:r>
        <w:rPr>
          <w:rFonts w:hint="eastAsia" w:cs="宋体"/>
          <w:sz w:val="24"/>
          <w:highlight w:val="none"/>
        </w:rPr>
        <w:t>☒</w:t>
      </w:r>
      <w:r>
        <w:rPr>
          <w:rFonts w:hint="eastAsia" w:ascii="宋体" w:hAnsi="宋体" w:cs="宋体"/>
          <w:b/>
          <w:kern w:val="0"/>
          <w:sz w:val="24"/>
          <w:highlight w:val="none"/>
        </w:rPr>
        <w:t>8.8</w:t>
      </w:r>
      <w:r>
        <w:rPr>
          <w:rFonts w:hint="eastAsia" w:ascii="宋体" w:hAnsi="宋体" w:cs="宋体"/>
          <w:kern w:val="0"/>
          <w:sz w:val="24"/>
          <w:highlight w:val="none"/>
        </w:rPr>
        <w:t>为保证项目组人员的稳定性，对设计人员实施拍照式管理，要求设计人提供项目全部设计人员及驻场服务人员的照片和签字证明，在项目实施过程中不可随意撤换，且短时离开本地须向发包人请假并指定离开后的协调人，否则必须承担相应责任。</w:t>
      </w:r>
    </w:p>
    <w:p>
      <w:pPr>
        <w:kinsoku w:val="0"/>
        <w:autoSpaceDE w:val="0"/>
        <w:autoSpaceDN w:val="0"/>
        <w:adjustRightInd w:val="0"/>
        <w:snapToGrid w:val="0"/>
        <w:spacing w:line="360" w:lineRule="auto"/>
        <w:ind w:firstLine="482" w:firstLineChars="200"/>
        <w:outlineLvl w:val="1"/>
        <w:rPr>
          <w:rFonts w:ascii="宋体" w:hAnsi="宋体" w:cs="宋体"/>
          <w:b/>
          <w:kern w:val="0"/>
          <w:sz w:val="24"/>
          <w:highlight w:val="none"/>
          <w:u w:val="single"/>
        </w:rPr>
      </w:pPr>
      <w:bookmarkStart w:id="73" w:name="_Toc16865"/>
      <w:bookmarkStart w:id="74" w:name="_Toc6542"/>
      <w:bookmarkStart w:id="75" w:name="_Toc66"/>
      <w:bookmarkStart w:id="76" w:name="_Toc3256"/>
      <w:bookmarkStart w:id="77" w:name="_Toc25354"/>
      <w:bookmarkStart w:id="78" w:name="_Toc29533"/>
      <w:bookmarkStart w:id="79" w:name="_Toc25518"/>
      <w:bookmarkStart w:id="80" w:name="_Toc18771"/>
      <w:bookmarkStart w:id="81" w:name="_Toc196"/>
      <w:bookmarkStart w:id="82" w:name="_Toc28666"/>
      <w:bookmarkStart w:id="83" w:name="_Toc412"/>
      <w:bookmarkStart w:id="84" w:name="_Toc10889"/>
      <w:r>
        <w:rPr>
          <w:rFonts w:hint="eastAsia" w:ascii="宋体" w:hAnsi="宋体" w:cs="宋体"/>
          <w:b/>
          <w:kern w:val="0"/>
          <w:sz w:val="24"/>
          <w:highlight w:val="none"/>
          <w:u w:val="single"/>
        </w:rPr>
        <w:t>9、设计成果文件的提交</w:t>
      </w:r>
      <w:bookmarkEnd w:id="73"/>
      <w:bookmarkEnd w:id="74"/>
      <w:bookmarkEnd w:id="75"/>
      <w:bookmarkEnd w:id="76"/>
      <w:bookmarkEnd w:id="77"/>
      <w:bookmarkEnd w:id="78"/>
      <w:bookmarkEnd w:id="79"/>
      <w:bookmarkEnd w:id="80"/>
      <w:bookmarkEnd w:id="81"/>
      <w:bookmarkEnd w:id="82"/>
      <w:bookmarkEnd w:id="83"/>
      <w:bookmarkEnd w:id="84"/>
    </w:p>
    <w:p>
      <w:pPr>
        <w:autoSpaceDE w:val="0"/>
        <w:autoSpaceDN w:val="0"/>
        <w:adjustRightInd w:val="0"/>
        <w:snapToGrid w:val="0"/>
        <w:spacing w:line="360" w:lineRule="auto"/>
        <w:ind w:firstLine="482" w:firstLineChars="200"/>
        <w:rPr>
          <w:rFonts w:ascii="宋体" w:hAnsi="宋体" w:cs="宋体"/>
          <w:sz w:val="24"/>
          <w:highlight w:val="none"/>
        </w:rPr>
      </w:pPr>
      <w:r>
        <w:rPr>
          <w:rFonts w:hint="eastAsia" w:ascii="宋体" w:hAnsi="宋体" w:cs="宋体"/>
          <w:b/>
          <w:kern w:val="0"/>
          <w:sz w:val="24"/>
          <w:highlight w:val="none"/>
        </w:rPr>
        <w:t>9.1</w:t>
      </w:r>
      <w:r>
        <w:rPr>
          <w:rFonts w:hint="eastAsia" w:ascii="宋体" w:hAnsi="宋体" w:cs="宋体"/>
          <w:sz w:val="24"/>
          <w:highlight w:val="none"/>
        </w:rPr>
        <w:t>设计人提交的设计成果文件应满足合同约定的时间要求；相关设计成果文件的质量须一次性通过发包人或发包人委托的第三方根据合同约定标准进行的审核。设计人设计成果文件的提交时间以符合合同约定质量的设计成果文件的提交时间为准。</w:t>
      </w:r>
      <w:r>
        <w:rPr>
          <w:rFonts w:hint="eastAsia" w:ascii="宋体" w:hAnsi="宋体" w:cs="宋体"/>
          <w:b/>
          <w:sz w:val="24"/>
          <w:highlight w:val="none"/>
          <w:u w:val="single"/>
        </w:rPr>
        <w:t>设计人除应按以下要求向发包人交付设计成果文件外，还应提交模型、施工图设计文件中所引用图集的复印件、专业工程施工大样图、材料设备技术要求书等。</w:t>
      </w:r>
      <w:r>
        <w:rPr>
          <w:rFonts w:hint="eastAsia" w:ascii="宋体" w:hAnsi="宋体" w:cs="宋体"/>
          <w:sz w:val="24"/>
          <w:highlight w:val="none"/>
        </w:rPr>
        <w:t>设计成果文件的提交时间及套数要求如下，设计人对应本合同范围内各阶段相应提交：</w:t>
      </w:r>
    </w:p>
    <w:tbl>
      <w:tblPr>
        <w:tblStyle w:val="15"/>
        <w:tblW w:w="9144" w:type="dxa"/>
        <w:jc w:val="center"/>
        <w:tblLayout w:type="fixed"/>
        <w:tblCellMar>
          <w:top w:w="0" w:type="dxa"/>
          <w:left w:w="108" w:type="dxa"/>
          <w:bottom w:w="0" w:type="dxa"/>
          <w:right w:w="108" w:type="dxa"/>
        </w:tblCellMar>
      </w:tblPr>
      <w:tblGrid>
        <w:gridCol w:w="738"/>
        <w:gridCol w:w="1865"/>
        <w:gridCol w:w="112"/>
        <w:gridCol w:w="1473"/>
        <w:gridCol w:w="2127"/>
        <w:gridCol w:w="1074"/>
        <w:gridCol w:w="1755"/>
      </w:tblGrid>
      <w:tr>
        <w:tblPrEx>
          <w:tblCellMar>
            <w:top w:w="0" w:type="dxa"/>
            <w:left w:w="108" w:type="dxa"/>
            <w:bottom w:w="0" w:type="dxa"/>
            <w:right w:w="108" w:type="dxa"/>
          </w:tblCellMar>
        </w:tblPrEx>
        <w:trPr>
          <w:trHeight w:val="641" w:hRule="atLeast"/>
          <w:tblHeader/>
          <w:jc w:val="center"/>
        </w:trPr>
        <w:tc>
          <w:tcPr>
            <w:tcW w:w="738" w:type="dxa"/>
            <w:tcBorders>
              <w:top w:val="single" w:color="auto" w:sz="4" w:space="0"/>
              <w:left w:val="single" w:color="auto" w:sz="4" w:space="0"/>
              <w:bottom w:val="single" w:color="auto" w:sz="6" w:space="0"/>
              <w:right w:val="single" w:color="auto" w:sz="6" w:space="0"/>
            </w:tcBorders>
            <w:vAlign w:val="center"/>
          </w:tcPr>
          <w:p>
            <w:pPr>
              <w:widowControl/>
              <w:spacing w:line="360" w:lineRule="auto"/>
              <w:jc w:val="center"/>
              <w:rPr>
                <w:b/>
                <w:bCs/>
                <w:szCs w:val="22"/>
                <w:highlight w:val="none"/>
              </w:rPr>
            </w:pPr>
            <w:r>
              <w:rPr>
                <w:b/>
                <w:bCs/>
                <w:szCs w:val="22"/>
                <w:highlight w:val="none"/>
              </w:rPr>
              <w:t>序号</w:t>
            </w:r>
          </w:p>
        </w:tc>
        <w:tc>
          <w:tcPr>
            <w:tcW w:w="3450" w:type="dxa"/>
            <w:gridSpan w:val="3"/>
            <w:tcBorders>
              <w:top w:val="single" w:color="auto" w:sz="4" w:space="0"/>
              <w:left w:val="single" w:color="auto" w:sz="6" w:space="0"/>
              <w:bottom w:val="single" w:color="auto" w:sz="6" w:space="0"/>
              <w:right w:val="single" w:color="auto" w:sz="6" w:space="0"/>
            </w:tcBorders>
            <w:vAlign w:val="center"/>
          </w:tcPr>
          <w:p>
            <w:pPr>
              <w:widowControl/>
              <w:spacing w:line="360" w:lineRule="auto"/>
              <w:jc w:val="center"/>
              <w:rPr>
                <w:b/>
                <w:bCs/>
                <w:szCs w:val="22"/>
                <w:highlight w:val="none"/>
              </w:rPr>
            </w:pPr>
            <w:r>
              <w:rPr>
                <w:b/>
                <w:bCs/>
                <w:szCs w:val="22"/>
                <w:highlight w:val="none"/>
              </w:rPr>
              <w:t>资料及文件名称</w:t>
            </w:r>
          </w:p>
        </w:tc>
        <w:tc>
          <w:tcPr>
            <w:tcW w:w="2127" w:type="dxa"/>
            <w:tcBorders>
              <w:top w:val="single" w:color="auto" w:sz="4" w:space="0"/>
              <w:left w:val="single" w:color="auto" w:sz="6" w:space="0"/>
              <w:bottom w:val="single" w:color="auto" w:sz="6" w:space="0"/>
              <w:right w:val="single" w:color="auto" w:sz="6" w:space="0"/>
            </w:tcBorders>
            <w:vAlign w:val="center"/>
          </w:tcPr>
          <w:p>
            <w:pPr>
              <w:widowControl/>
              <w:spacing w:line="360" w:lineRule="auto"/>
              <w:jc w:val="center"/>
              <w:rPr>
                <w:b/>
                <w:bCs/>
                <w:szCs w:val="22"/>
                <w:highlight w:val="none"/>
              </w:rPr>
            </w:pPr>
            <w:r>
              <w:rPr>
                <w:b/>
                <w:bCs/>
                <w:szCs w:val="22"/>
                <w:highlight w:val="none"/>
              </w:rPr>
              <w:t>提交日期</w:t>
            </w:r>
          </w:p>
        </w:tc>
        <w:tc>
          <w:tcPr>
            <w:tcW w:w="1074" w:type="dxa"/>
            <w:tcBorders>
              <w:top w:val="single" w:color="auto" w:sz="4" w:space="0"/>
              <w:left w:val="single" w:color="auto" w:sz="6" w:space="0"/>
              <w:bottom w:val="single" w:color="auto" w:sz="6" w:space="0"/>
              <w:right w:val="single" w:color="auto" w:sz="6" w:space="0"/>
            </w:tcBorders>
            <w:vAlign w:val="center"/>
          </w:tcPr>
          <w:p>
            <w:pPr>
              <w:widowControl/>
              <w:spacing w:line="360" w:lineRule="auto"/>
              <w:jc w:val="center"/>
              <w:rPr>
                <w:b/>
                <w:bCs/>
                <w:szCs w:val="22"/>
                <w:highlight w:val="none"/>
              </w:rPr>
            </w:pPr>
            <w:r>
              <w:rPr>
                <w:b/>
                <w:bCs/>
                <w:szCs w:val="22"/>
                <w:highlight w:val="none"/>
              </w:rPr>
              <w:t>纸质文件份数</w:t>
            </w:r>
          </w:p>
        </w:tc>
        <w:tc>
          <w:tcPr>
            <w:tcW w:w="1755" w:type="dxa"/>
            <w:tcBorders>
              <w:top w:val="single" w:color="auto" w:sz="4" w:space="0"/>
              <w:left w:val="single" w:color="auto" w:sz="6" w:space="0"/>
              <w:bottom w:val="single" w:color="auto" w:sz="6" w:space="0"/>
              <w:right w:val="single" w:color="auto" w:sz="4" w:space="0"/>
            </w:tcBorders>
            <w:vAlign w:val="center"/>
          </w:tcPr>
          <w:p>
            <w:pPr>
              <w:widowControl/>
              <w:spacing w:line="360" w:lineRule="auto"/>
              <w:jc w:val="center"/>
              <w:rPr>
                <w:b/>
                <w:bCs/>
                <w:szCs w:val="22"/>
                <w:highlight w:val="none"/>
              </w:rPr>
            </w:pPr>
            <w:r>
              <w:rPr>
                <w:b/>
                <w:bCs/>
                <w:szCs w:val="22"/>
                <w:highlight w:val="none"/>
              </w:rPr>
              <w:t>备注</w:t>
            </w:r>
          </w:p>
        </w:tc>
      </w:tr>
      <w:tr>
        <w:tblPrEx>
          <w:tblCellMar>
            <w:top w:w="0" w:type="dxa"/>
            <w:left w:w="108" w:type="dxa"/>
            <w:bottom w:w="0" w:type="dxa"/>
            <w:right w:w="108" w:type="dxa"/>
          </w:tblCellMar>
        </w:tblPrEx>
        <w:trPr>
          <w:trHeight w:val="324" w:hRule="atLeast"/>
          <w:jc w:val="center"/>
        </w:trPr>
        <w:tc>
          <w:tcPr>
            <w:tcW w:w="738"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szCs w:val="22"/>
                <w:highlight w:val="none"/>
                <w:u w:val="single"/>
              </w:rPr>
            </w:pPr>
            <w:r>
              <w:rPr>
                <w:szCs w:val="22"/>
                <w:highlight w:val="none"/>
                <w:u w:val="single"/>
              </w:rPr>
              <w:t>1</w:t>
            </w:r>
          </w:p>
        </w:tc>
        <w:tc>
          <w:tcPr>
            <w:tcW w:w="3450" w:type="dxa"/>
            <w:gridSpan w:val="3"/>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方案设计</w:t>
            </w:r>
            <w:r>
              <w:rPr>
                <w:rFonts w:hint="eastAsia"/>
                <w:szCs w:val="22"/>
                <w:highlight w:val="none"/>
                <w:u w:val="single"/>
              </w:rPr>
              <w:t>成果文件</w:t>
            </w:r>
          </w:p>
        </w:tc>
        <w:tc>
          <w:tcPr>
            <w:tcW w:w="212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中标后6天内</w:t>
            </w:r>
          </w:p>
        </w:tc>
        <w:tc>
          <w:tcPr>
            <w:tcW w:w="1074" w:type="dxa"/>
            <w:tcBorders>
              <w:top w:val="single" w:color="auto" w:sz="6" w:space="0"/>
              <w:left w:val="single" w:color="auto" w:sz="6" w:space="0"/>
              <w:bottom w:val="single" w:color="auto" w:sz="6" w:space="0"/>
              <w:right w:val="single" w:color="auto" w:sz="6" w:space="0"/>
            </w:tcBorders>
            <w:vAlign w:val="center"/>
          </w:tcPr>
          <w:p>
            <w:pPr>
              <w:widowControl/>
              <w:jc w:val="center"/>
              <w:rPr>
                <w:highlight w:val="none"/>
              </w:rPr>
            </w:pPr>
            <w:r>
              <w:rPr>
                <w:szCs w:val="22"/>
                <w:highlight w:val="none"/>
                <w:u w:val="single"/>
              </w:rPr>
              <w:t>15</w:t>
            </w:r>
          </w:p>
        </w:tc>
        <w:tc>
          <w:tcPr>
            <w:tcW w:w="1755" w:type="dxa"/>
            <w:tcBorders>
              <w:top w:val="single" w:color="auto" w:sz="6" w:space="0"/>
              <w:left w:val="single" w:color="auto" w:sz="6" w:space="0"/>
              <w:bottom w:val="single" w:color="auto" w:sz="6" w:space="0"/>
              <w:right w:val="single" w:color="auto" w:sz="4" w:space="0"/>
            </w:tcBorders>
            <w:vAlign w:val="center"/>
          </w:tcPr>
          <w:p>
            <w:pPr>
              <w:widowControl/>
              <w:rPr>
                <w:szCs w:val="22"/>
                <w:highlight w:val="none"/>
                <w:u w:val="single"/>
              </w:rPr>
            </w:pPr>
            <w:r>
              <w:rPr>
                <w:rFonts w:hint="eastAsia"/>
                <w:szCs w:val="22"/>
                <w:highlight w:val="none"/>
                <w:u w:val="single"/>
              </w:rPr>
              <w:t>实际份数以发包人要求为准，另加电子文件1份</w:t>
            </w:r>
          </w:p>
        </w:tc>
      </w:tr>
      <w:tr>
        <w:tblPrEx>
          <w:tblCellMar>
            <w:top w:w="0" w:type="dxa"/>
            <w:left w:w="108" w:type="dxa"/>
            <w:bottom w:w="0" w:type="dxa"/>
            <w:right w:w="108" w:type="dxa"/>
          </w:tblCellMar>
        </w:tblPrEx>
        <w:trPr>
          <w:trHeight w:val="669" w:hRule="atLeast"/>
          <w:jc w:val="center"/>
        </w:trPr>
        <w:tc>
          <w:tcPr>
            <w:tcW w:w="738" w:type="dxa"/>
            <w:vMerge w:val="restart"/>
            <w:tcBorders>
              <w:top w:val="single" w:color="auto" w:sz="6" w:space="0"/>
              <w:left w:val="single" w:color="auto" w:sz="4" w:space="0"/>
              <w:right w:val="single" w:color="auto" w:sz="6" w:space="0"/>
            </w:tcBorders>
            <w:vAlign w:val="center"/>
          </w:tcPr>
          <w:p>
            <w:pPr>
              <w:widowControl/>
              <w:spacing w:line="360" w:lineRule="auto"/>
              <w:jc w:val="center"/>
              <w:rPr>
                <w:szCs w:val="22"/>
                <w:highlight w:val="none"/>
                <w:u w:val="single"/>
              </w:rPr>
            </w:pPr>
            <w:r>
              <w:rPr>
                <w:szCs w:val="22"/>
                <w:highlight w:val="none"/>
                <w:u w:val="single"/>
              </w:rPr>
              <w:t>2</w:t>
            </w:r>
          </w:p>
        </w:tc>
        <w:tc>
          <w:tcPr>
            <w:tcW w:w="3450" w:type="dxa"/>
            <w:gridSpan w:val="3"/>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修建性详细规划设计（总平面规划设计）（含平面户型）评审稿</w:t>
            </w:r>
          </w:p>
        </w:tc>
        <w:tc>
          <w:tcPr>
            <w:tcW w:w="212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rFonts w:hint="eastAsia"/>
                <w:szCs w:val="22"/>
                <w:highlight w:val="none"/>
                <w:u w:val="single"/>
              </w:rPr>
              <w:t>方案设计成果文件完成后</w:t>
            </w:r>
            <w:r>
              <w:rPr>
                <w:szCs w:val="22"/>
                <w:highlight w:val="none"/>
                <w:u w:val="single"/>
              </w:rPr>
              <w:t>8天内</w:t>
            </w:r>
          </w:p>
        </w:tc>
        <w:tc>
          <w:tcPr>
            <w:tcW w:w="1074" w:type="dxa"/>
            <w:tcBorders>
              <w:top w:val="single" w:color="auto" w:sz="6" w:space="0"/>
              <w:left w:val="single" w:color="auto" w:sz="6" w:space="0"/>
              <w:bottom w:val="single" w:color="auto" w:sz="6" w:space="0"/>
              <w:right w:val="single" w:color="auto" w:sz="6" w:space="0"/>
            </w:tcBorders>
            <w:vAlign w:val="center"/>
          </w:tcPr>
          <w:p>
            <w:pPr>
              <w:widowControl/>
              <w:jc w:val="center"/>
              <w:rPr>
                <w:szCs w:val="22"/>
                <w:highlight w:val="none"/>
                <w:u w:val="single"/>
              </w:rPr>
            </w:pPr>
            <w:r>
              <w:rPr>
                <w:szCs w:val="22"/>
                <w:highlight w:val="none"/>
                <w:u w:val="single"/>
              </w:rPr>
              <w:t>15</w:t>
            </w:r>
          </w:p>
        </w:tc>
        <w:tc>
          <w:tcPr>
            <w:tcW w:w="1755" w:type="dxa"/>
            <w:tcBorders>
              <w:top w:val="single" w:color="auto" w:sz="6" w:space="0"/>
              <w:left w:val="single" w:color="auto" w:sz="6" w:space="0"/>
              <w:bottom w:val="single" w:color="auto" w:sz="6" w:space="0"/>
              <w:right w:val="single" w:color="auto" w:sz="4" w:space="0"/>
            </w:tcBorders>
            <w:vAlign w:val="center"/>
          </w:tcPr>
          <w:p>
            <w:pPr>
              <w:widowControl/>
              <w:rPr>
                <w:szCs w:val="22"/>
                <w:highlight w:val="none"/>
                <w:u w:val="single"/>
              </w:rPr>
            </w:pPr>
            <w:r>
              <w:rPr>
                <w:rFonts w:hint="eastAsia"/>
                <w:szCs w:val="22"/>
                <w:highlight w:val="none"/>
                <w:u w:val="single"/>
              </w:rPr>
              <w:t>实际份数以评审要求为准</w:t>
            </w:r>
          </w:p>
        </w:tc>
      </w:tr>
      <w:tr>
        <w:tblPrEx>
          <w:tblCellMar>
            <w:top w:w="0" w:type="dxa"/>
            <w:left w:w="108" w:type="dxa"/>
            <w:bottom w:w="0" w:type="dxa"/>
            <w:right w:w="108" w:type="dxa"/>
          </w:tblCellMar>
        </w:tblPrEx>
        <w:trPr>
          <w:trHeight w:val="702" w:hRule="atLeast"/>
          <w:jc w:val="center"/>
        </w:trPr>
        <w:tc>
          <w:tcPr>
            <w:tcW w:w="738" w:type="dxa"/>
            <w:vMerge w:val="continue"/>
            <w:tcBorders>
              <w:left w:val="single" w:color="auto" w:sz="4" w:space="0"/>
              <w:bottom w:val="single" w:color="auto" w:sz="6" w:space="0"/>
              <w:right w:val="single" w:color="auto" w:sz="6" w:space="0"/>
            </w:tcBorders>
            <w:vAlign w:val="center"/>
          </w:tcPr>
          <w:p>
            <w:pPr>
              <w:widowControl/>
              <w:spacing w:line="360" w:lineRule="auto"/>
              <w:jc w:val="center"/>
              <w:rPr>
                <w:szCs w:val="22"/>
                <w:highlight w:val="none"/>
                <w:u w:val="single"/>
              </w:rPr>
            </w:pPr>
          </w:p>
        </w:tc>
        <w:tc>
          <w:tcPr>
            <w:tcW w:w="3450" w:type="dxa"/>
            <w:gridSpan w:val="3"/>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建筑工程设计方案审查（修建性详细规划）报建文件</w:t>
            </w:r>
          </w:p>
        </w:tc>
        <w:tc>
          <w:tcPr>
            <w:tcW w:w="212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rFonts w:hint="eastAsia"/>
                <w:szCs w:val="22"/>
                <w:highlight w:val="none"/>
                <w:u w:val="single"/>
              </w:rPr>
              <w:t>方案设计成果文件完成后</w:t>
            </w:r>
            <w:r>
              <w:rPr>
                <w:szCs w:val="22"/>
                <w:highlight w:val="none"/>
                <w:u w:val="single"/>
              </w:rPr>
              <w:t>8天内</w:t>
            </w:r>
          </w:p>
        </w:tc>
        <w:tc>
          <w:tcPr>
            <w:tcW w:w="1074" w:type="dxa"/>
            <w:tcBorders>
              <w:top w:val="single" w:color="auto" w:sz="6" w:space="0"/>
              <w:left w:val="single" w:color="auto" w:sz="6" w:space="0"/>
              <w:bottom w:val="single" w:color="auto" w:sz="6" w:space="0"/>
              <w:right w:val="single" w:color="auto" w:sz="6" w:space="0"/>
            </w:tcBorders>
            <w:vAlign w:val="center"/>
          </w:tcPr>
          <w:p>
            <w:pPr>
              <w:widowControl/>
              <w:jc w:val="center"/>
              <w:rPr>
                <w:szCs w:val="22"/>
                <w:highlight w:val="none"/>
                <w:u w:val="single"/>
              </w:rPr>
            </w:pPr>
            <w:r>
              <w:rPr>
                <w:szCs w:val="22"/>
                <w:highlight w:val="none"/>
                <w:u w:val="single"/>
              </w:rPr>
              <w:t>15</w:t>
            </w:r>
          </w:p>
        </w:tc>
        <w:tc>
          <w:tcPr>
            <w:tcW w:w="1755" w:type="dxa"/>
            <w:tcBorders>
              <w:top w:val="single" w:color="auto" w:sz="6" w:space="0"/>
              <w:left w:val="single" w:color="auto" w:sz="6" w:space="0"/>
              <w:bottom w:val="single" w:color="auto" w:sz="6" w:space="0"/>
              <w:right w:val="single" w:color="auto" w:sz="4" w:space="0"/>
            </w:tcBorders>
            <w:vAlign w:val="center"/>
          </w:tcPr>
          <w:p>
            <w:pPr>
              <w:widowControl/>
              <w:rPr>
                <w:szCs w:val="22"/>
                <w:highlight w:val="none"/>
                <w:u w:val="single"/>
              </w:rPr>
            </w:pPr>
            <w:r>
              <w:rPr>
                <w:rFonts w:hint="eastAsia"/>
                <w:szCs w:val="22"/>
                <w:highlight w:val="none"/>
                <w:u w:val="single"/>
              </w:rPr>
              <w:t>实际份数</w:t>
            </w:r>
            <w:r>
              <w:rPr>
                <w:szCs w:val="22"/>
                <w:highlight w:val="none"/>
                <w:u w:val="single"/>
              </w:rPr>
              <w:t>以报建要求为准</w:t>
            </w:r>
            <w:r>
              <w:rPr>
                <w:rFonts w:hint="eastAsia"/>
                <w:szCs w:val="22"/>
                <w:highlight w:val="none"/>
                <w:u w:val="single"/>
              </w:rPr>
              <w:t>，</w:t>
            </w:r>
            <w:r>
              <w:rPr>
                <w:szCs w:val="22"/>
                <w:highlight w:val="none"/>
                <w:u w:val="single"/>
              </w:rPr>
              <w:t>另加电子文件</w:t>
            </w:r>
            <w:r>
              <w:rPr>
                <w:rFonts w:hint="eastAsia"/>
                <w:szCs w:val="22"/>
                <w:highlight w:val="none"/>
                <w:u w:val="single"/>
              </w:rPr>
              <w:t>1</w:t>
            </w:r>
            <w:r>
              <w:rPr>
                <w:szCs w:val="22"/>
                <w:highlight w:val="none"/>
                <w:u w:val="single"/>
              </w:rPr>
              <w:t>份</w:t>
            </w:r>
          </w:p>
        </w:tc>
      </w:tr>
      <w:tr>
        <w:tblPrEx>
          <w:tblCellMar>
            <w:top w:w="0" w:type="dxa"/>
            <w:left w:w="108" w:type="dxa"/>
            <w:bottom w:w="0" w:type="dxa"/>
            <w:right w:w="108" w:type="dxa"/>
          </w:tblCellMar>
        </w:tblPrEx>
        <w:trPr>
          <w:trHeight w:val="463" w:hRule="atLeast"/>
          <w:jc w:val="center"/>
        </w:trPr>
        <w:tc>
          <w:tcPr>
            <w:tcW w:w="738" w:type="dxa"/>
            <w:tcBorders>
              <w:left w:val="single" w:color="auto" w:sz="4" w:space="0"/>
              <w:bottom w:val="single" w:color="auto" w:sz="6" w:space="0"/>
              <w:right w:val="single" w:color="auto" w:sz="6" w:space="0"/>
            </w:tcBorders>
            <w:vAlign w:val="center"/>
          </w:tcPr>
          <w:p>
            <w:pPr>
              <w:widowControl/>
              <w:spacing w:line="360" w:lineRule="auto"/>
              <w:jc w:val="center"/>
              <w:rPr>
                <w:szCs w:val="22"/>
                <w:highlight w:val="none"/>
                <w:u w:val="single"/>
              </w:rPr>
            </w:pPr>
            <w:r>
              <w:rPr>
                <w:szCs w:val="22"/>
                <w:highlight w:val="none"/>
                <w:u w:val="single"/>
              </w:rPr>
              <w:t>3</w:t>
            </w:r>
          </w:p>
        </w:tc>
        <w:tc>
          <w:tcPr>
            <w:tcW w:w="3450" w:type="dxa"/>
            <w:gridSpan w:val="3"/>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管线综合设计</w:t>
            </w:r>
          </w:p>
        </w:tc>
        <w:tc>
          <w:tcPr>
            <w:tcW w:w="212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rFonts w:hint="eastAsia"/>
                <w:szCs w:val="22"/>
                <w:highlight w:val="none"/>
                <w:u w:val="single"/>
              </w:rPr>
              <w:t>方案设计成果文件完成后</w:t>
            </w:r>
            <w:r>
              <w:rPr>
                <w:szCs w:val="22"/>
                <w:highlight w:val="none"/>
                <w:u w:val="single"/>
              </w:rPr>
              <w:t>8天内</w:t>
            </w:r>
          </w:p>
        </w:tc>
        <w:tc>
          <w:tcPr>
            <w:tcW w:w="1074" w:type="dxa"/>
            <w:tcBorders>
              <w:top w:val="single" w:color="auto" w:sz="6" w:space="0"/>
              <w:left w:val="single" w:color="auto" w:sz="6" w:space="0"/>
              <w:bottom w:val="single" w:color="auto" w:sz="6" w:space="0"/>
              <w:right w:val="single" w:color="auto" w:sz="6" w:space="0"/>
            </w:tcBorders>
            <w:vAlign w:val="center"/>
          </w:tcPr>
          <w:p>
            <w:pPr>
              <w:widowControl/>
              <w:jc w:val="center"/>
              <w:rPr>
                <w:szCs w:val="22"/>
                <w:highlight w:val="none"/>
                <w:u w:val="single"/>
                <w:lang w:eastAsia="zh-TW"/>
              </w:rPr>
            </w:pPr>
            <w:r>
              <w:rPr>
                <w:szCs w:val="22"/>
                <w:highlight w:val="none"/>
                <w:u w:val="single"/>
                <w:lang w:eastAsia="zh-TW"/>
              </w:rPr>
              <w:t>8</w:t>
            </w:r>
          </w:p>
        </w:tc>
        <w:tc>
          <w:tcPr>
            <w:tcW w:w="1755" w:type="dxa"/>
            <w:tcBorders>
              <w:top w:val="single" w:color="auto" w:sz="6" w:space="0"/>
              <w:left w:val="single" w:color="auto" w:sz="6" w:space="0"/>
              <w:bottom w:val="single" w:color="auto" w:sz="6" w:space="0"/>
              <w:right w:val="single" w:color="auto" w:sz="4" w:space="0"/>
            </w:tcBorders>
            <w:vAlign w:val="center"/>
          </w:tcPr>
          <w:p>
            <w:pPr>
              <w:widowControl/>
              <w:rPr>
                <w:szCs w:val="22"/>
                <w:highlight w:val="none"/>
                <w:u w:val="single"/>
              </w:rPr>
            </w:pPr>
            <w:r>
              <w:rPr>
                <w:rFonts w:hint="eastAsia"/>
                <w:szCs w:val="22"/>
                <w:highlight w:val="none"/>
                <w:u w:val="single"/>
              </w:rPr>
              <w:t>实际份数</w:t>
            </w:r>
            <w:r>
              <w:rPr>
                <w:szCs w:val="22"/>
                <w:highlight w:val="none"/>
                <w:u w:val="single"/>
              </w:rPr>
              <w:t>以报建要求为准</w:t>
            </w:r>
            <w:r>
              <w:rPr>
                <w:rFonts w:hint="eastAsia"/>
                <w:szCs w:val="22"/>
                <w:highlight w:val="none"/>
                <w:u w:val="single"/>
              </w:rPr>
              <w:t>，</w:t>
            </w:r>
            <w:r>
              <w:rPr>
                <w:szCs w:val="22"/>
                <w:highlight w:val="none"/>
                <w:u w:val="single"/>
              </w:rPr>
              <w:t>另加电子文件</w:t>
            </w:r>
            <w:r>
              <w:rPr>
                <w:rFonts w:hint="eastAsia"/>
                <w:szCs w:val="22"/>
                <w:highlight w:val="none"/>
                <w:u w:val="single"/>
              </w:rPr>
              <w:t>1</w:t>
            </w:r>
            <w:r>
              <w:rPr>
                <w:szCs w:val="22"/>
                <w:highlight w:val="none"/>
                <w:u w:val="single"/>
              </w:rPr>
              <w:t>份</w:t>
            </w:r>
          </w:p>
        </w:tc>
      </w:tr>
      <w:tr>
        <w:tblPrEx>
          <w:tblCellMar>
            <w:top w:w="0" w:type="dxa"/>
            <w:left w:w="108" w:type="dxa"/>
            <w:bottom w:w="0" w:type="dxa"/>
            <w:right w:w="108" w:type="dxa"/>
          </w:tblCellMar>
        </w:tblPrEx>
        <w:trPr>
          <w:trHeight w:val="555" w:hRule="atLeast"/>
          <w:jc w:val="center"/>
        </w:trPr>
        <w:tc>
          <w:tcPr>
            <w:tcW w:w="738" w:type="dxa"/>
            <w:tcBorders>
              <w:top w:val="single" w:color="auto" w:sz="6" w:space="0"/>
              <w:left w:val="single" w:color="auto" w:sz="4" w:space="0"/>
              <w:bottom w:val="single" w:color="auto" w:sz="4" w:space="0"/>
              <w:right w:val="single" w:color="auto" w:sz="6" w:space="0"/>
            </w:tcBorders>
            <w:vAlign w:val="center"/>
          </w:tcPr>
          <w:p>
            <w:pPr>
              <w:widowControl/>
              <w:spacing w:line="360" w:lineRule="auto"/>
              <w:jc w:val="center"/>
              <w:rPr>
                <w:szCs w:val="22"/>
                <w:highlight w:val="none"/>
                <w:u w:val="single"/>
              </w:rPr>
            </w:pPr>
            <w:r>
              <w:rPr>
                <w:szCs w:val="22"/>
                <w:highlight w:val="none"/>
                <w:u w:val="single"/>
              </w:rPr>
              <w:t>4</w:t>
            </w:r>
          </w:p>
        </w:tc>
        <w:tc>
          <w:tcPr>
            <w:tcW w:w="3450" w:type="dxa"/>
            <w:gridSpan w:val="3"/>
            <w:tcBorders>
              <w:top w:val="single" w:color="auto" w:sz="6" w:space="0"/>
              <w:left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单体方案评审稿</w:t>
            </w:r>
          </w:p>
        </w:tc>
        <w:tc>
          <w:tcPr>
            <w:tcW w:w="212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rFonts w:hint="eastAsia"/>
                <w:szCs w:val="22"/>
                <w:highlight w:val="none"/>
                <w:u w:val="single"/>
              </w:rPr>
              <w:t>方案设计成果文件完成后</w:t>
            </w:r>
            <w:r>
              <w:rPr>
                <w:szCs w:val="22"/>
                <w:highlight w:val="none"/>
                <w:u w:val="single"/>
              </w:rPr>
              <w:t>8天内</w:t>
            </w:r>
          </w:p>
        </w:tc>
        <w:tc>
          <w:tcPr>
            <w:tcW w:w="1074" w:type="dxa"/>
            <w:tcBorders>
              <w:top w:val="single" w:color="auto" w:sz="6" w:space="0"/>
              <w:left w:val="single" w:color="auto" w:sz="6" w:space="0"/>
              <w:bottom w:val="single" w:color="auto" w:sz="6" w:space="0"/>
              <w:right w:val="single" w:color="auto" w:sz="6" w:space="0"/>
            </w:tcBorders>
            <w:vAlign w:val="center"/>
          </w:tcPr>
          <w:p>
            <w:pPr>
              <w:widowControl/>
              <w:jc w:val="center"/>
              <w:rPr>
                <w:szCs w:val="22"/>
                <w:highlight w:val="none"/>
                <w:u w:val="single"/>
              </w:rPr>
            </w:pPr>
            <w:r>
              <w:rPr>
                <w:szCs w:val="22"/>
                <w:highlight w:val="none"/>
                <w:u w:val="single"/>
              </w:rPr>
              <w:t>15</w:t>
            </w:r>
          </w:p>
        </w:tc>
        <w:tc>
          <w:tcPr>
            <w:tcW w:w="1755" w:type="dxa"/>
            <w:tcBorders>
              <w:top w:val="single" w:color="auto" w:sz="6" w:space="0"/>
              <w:left w:val="single" w:color="auto" w:sz="6" w:space="0"/>
              <w:bottom w:val="single" w:color="auto" w:sz="6" w:space="0"/>
              <w:right w:val="single" w:color="auto" w:sz="6" w:space="0"/>
            </w:tcBorders>
            <w:vAlign w:val="center"/>
          </w:tcPr>
          <w:p>
            <w:pPr>
              <w:widowControl/>
              <w:rPr>
                <w:szCs w:val="22"/>
                <w:highlight w:val="none"/>
                <w:u w:val="single"/>
              </w:rPr>
            </w:pPr>
            <w:r>
              <w:rPr>
                <w:rFonts w:hint="eastAsia"/>
                <w:szCs w:val="22"/>
                <w:highlight w:val="none"/>
                <w:u w:val="single"/>
              </w:rPr>
              <w:t>实际份数以评审要求为准</w:t>
            </w:r>
          </w:p>
        </w:tc>
      </w:tr>
      <w:tr>
        <w:tblPrEx>
          <w:tblCellMar>
            <w:top w:w="0" w:type="dxa"/>
            <w:left w:w="108" w:type="dxa"/>
            <w:bottom w:w="0" w:type="dxa"/>
            <w:right w:w="108" w:type="dxa"/>
          </w:tblCellMar>
        </w:tblPrEx>
        <w:trPr>
          <w:trHeight w:val="390" w:hRule="atLeast"/>
          <w:jc w:val="center"/>
        </w:trPr>
        <w:tc>
          <w:tcPr>
            <w:tcW w:w="738" w:type="dxa"/>
            <w:vMerge w:val="restart"/>
            <w:tcBorders>
              <w:top w:val="single" w:color="auto" w:sz="4" w:space="0"/>
              <w:left w:val="single" w:color="auto" w:sz="4" w:space="0"/>
              <w:right w:val="single" w:color="auto" w:sz="4" w:space="0"/>
            </w:tcBorders>
            <w:vAlign w:val="center"/>
          </w:tcPr>
          <w:p>
            <w:pPr>
              <w:widowControl/>
              <w:spacing w:line="360" w:lineRule="auto"/>
              <w:jc w:val="center"/>
              <w:rPr>
                <w:szCs w:val="22"/>
                <w:highlight w:val="none"/>
                <w:u w:val="single"/>
              </w:rPr>
            </w:pPr>
            <w:r>
              <w:rPr>
                <w:szCs w:val="22"/>
                <w:highlight w:val="none"/>
                <w:u w:val="single"/>
              </w:rPr>
              <w:t>5</w:t>
            </w:r>
          </w:p>
        </w:tc>
        <w:tc>
          <w:tcPr>
            <w:tcW w:w="1865" w:type="dxa"/>
            <w:vMerge w:val="restart"/>
            <w:tcBorders>
              <w:top w:val="single" w:color="auto" w:sz="6" w:space="0"/>
              <w:left w:val="single" w:color="auto" w:sz="4" w:space="0"/>
              <w:right w:val="single" w:color="auto" w:sz="6" w:space="0"/>
            </w:tcBorders>
            <w:vAlign w:val="center"/>
          </w:tcPr>
          <w:p>
            <w:pPr>
              <w:widowControl/>
              <w:spacing w:line="360" w:lineRule="auto"/>
              <w:rPr>
                <w:szCs w:val="22"/>
                <w:highlight w:val="none"/>
                <w:u w:val="single"/>
              </w:rPr>
            </w:pPr>
            <w:r>
              <w:rPr>
                <w:szCs w:val="22"/>
                <w:highlight w:val="none"/>
                <w:u w:val="single"/>
              </w:rPr>
              <w:t>评审稿</w:t>
            </w:r>
          </w:p>
        </w:tc>
        <w:tc>
          <w:tcPr>
            <w:tcW w:w="1585" w:type="dxa"/>
            <w:gridSpan w:val="2"/>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初步设计</w:t>
            </w:r>
          </w:p>
          <w:p>
            <w:pPr>
              <w:widowControl/>
              <w:spacing w:line="360" w:lineRule="auto"/>
              <w:rPr>
                <w:szCs w:val="22"/>
                <w:highlight w:val="none"/>
                <w:u w:val="single"/>
              </w:rPr>
            </w:pPr>
            <w:r>
              <w:rPr>
                <w:szCs w:val="22"/>
                <w:highlight w:val="none"/>
                <w:u w:val="single"/>
              </w:rPr>
              <w:t>评审稿</w:t>
            </w:r>
          </w:p>
        </w:tc>
        <w:tc>
          <w:tcPr>
            <w:tcW w:w="212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单体方案报建批准后14天内</w:t>
            </w:r>
          </w:p>
        </w:tc>
        <w:tc>
          <w:tcPr>
            <w:tcW w:w="1074" w:type="dxa"/>
            <w:tcBorders>
              <w:top w:val="single" w:color="auto" w:sz="6" w:space="0"/>
              <w:left w:val="single" w:color="auto" w:sz="6" w:space="0"/>
              <w:bottom w:val="single" w:color="auto" w:sz="6" w:space="0"/>
              <w:right w:val="single" w:color="auto" w:sz="6" w:space="0"/>
            </w:tcBorders>
            <w:vAlign w:val="center"/>
          </w:tcPr>
          <w:p>
            <w:pPr>
              <w:widowControl/>
              <w:jc w:val="center"/>
              <w:rPr>
                <w:szCs w:val="22"/>
                <w:highlight w:val="none"/>
                <w:u w:val="single"/>
              </w:rPr>
            </w:pPr>
            <w:r>
              <w:rPr>
                <w:szCs w:val="22"/>
                <w:highlight w:val="none"/>
                <w:u w:val="single"/>
              </w:rPr>
              <w:t>15</w:t>
            </w:r>
          </w:p>
        </w:tc>
        <w:tc>
          <w:tcPr>
            <w:tcW w:w="1755" w:type="dxa"/>
            <w:tcBorders>
              <w:top w:val="single" w:color="auto" w:sz="6" w:space="0"/>
              <w:left w:val="single" w:color="auto" w:sz="6" w:space="0"/>
              <w:right w:val="single" w:color="auto" w:sz="4" w:space="0"/>
            </w:tcBorders>
            <w:vAlign w:val="center"/>
          </w:tcPr>
          <w:p>
            <w:pPr>
              <w:widowControl/>
              <w:rPr>
                <w:szCs w:val="22"/>
                <w:highlight w:val="none"/>
                <w:u w:val="single"/>
              </w:rPr>
            </w:pPr>
            <w:r>
              <w:rPr>
                <w:rFonts w:hint="eastAsia"/>
                <w:szCs w:val="22"/>
                <w:highlight w:val="none"/>
                <w:u w:val="single"/>
              </w:rPr>
              <w:t>实际份数以评审要求为准，</w:t>
            </w:r>
            <w:r>
              <w:rPr>
                <w:szCs w:val="22"/>
                <w:highlight w:val="none"/>
                <w:u w:val="single"/>
              </w:rPr>
              <w:t>另加电子文件</w:t>
            </w:r>
            <w:r>
              <w:rPr>
                <w:rFonts w:hint="eastAsia"/>
                <w:szCs w:val="22"/>
                <w:highlight w:val="none"/>
                <w:u w:val="single"/>
              </w:rPr>
              <w:t>1</w:t>
            </w:r>
            <w:r>
              <w:rPr>
                <w:szCs w:val="22"/>
                <w:highlight w:val="none"/>
                <w:u w:val="single"/>
              </w:rPr>
              <w:t>份</w:t>
            </w:r>
          </w:p>
        </w:tc>
      </w:tr>
      <w:tr>
        <w:tblPrEx>
          <w:tblCellMar>
            <w:top w:w="0" w:type="dxa"/>
            <w:left w:w="108" w:type="dxa"/>
            <w:bottom w:w="0" w:type="dxa"/>
            <w:right w:w="108" w:type="dxa"/>
          </w:tblCellMar>
        </w:tblPrEx>
        <w:trPr>
          <w:trHeight w:val="390" w:hRule="atLeast"/>
          <w:jc w:val="center"/>
        </w:trPr>
        <w:tc>
          <w:tcPr>
            <w:tcW w:w="738" w:type="dxa"/>
            <w:vMerge w:val="continue"/>
            <w:tcBorders>
              <w:left w:val="single" w:color="auto" w:sz="4" w:space="0"/>
              <w:right w:val="single" w:color="auto" w:sz="4" w:space="0"/>
            </w:tcBorders>
            <w:vAlign w:val="center"/>
          </w:tcPr>
          <w:p>
            <w:pPr>
              <w:widowControl/>
              <w:spacing w:line="360" w:lineRule="auto"/>
              <w:jc w:val="center"/>
              <w:rPr>
                <w:szCs w:val="22"/>
                <w:highlight w:val="none"/>
                <w:u w:val="single"/>
              </w:rPr>
            </w:pPr>
          </w:p>
        </w:tc>
        <w:tc>
          <w:tcPr>
            <w:tcW w:w="1865" w:type="dxa"/>
            <w:vMerge w:val="continue"/>
            <w:tcBorders>
              <w:left w:val="single" w:color="auto" w:sz="4" w:space="0"/>
              <w:bottom w:val="single" w:color="auto" w:sz="6" w:space="0"/>
              <w:right w:val="single" w:color="auto" w:sz="6" w:space="0"/>
            </w:tcBorders>
            <w:vAlign w:val="center"/>
          </w:tcPr>
          <w:p>
            <w:pPr>
              <w:widowControl/>
              <w:spacing w:line="360" w:lineRule="auto"/>
              <w:rPr>
                <w:szCs w:val="22"/>
                <w:highlight w:val="none"/>
                <w:u w:val="single"/>
              </w:rPr>
            </w:pPr>
          </w:p>
        </w:tc>
        <w:tc>
          <w:tcPr>
            <w:tcW w:w="1585" w:type="dxa"/>
            <w:gridSpan w:val="2"/>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评审概算</w:t>
            </w:r>
          </w:p>
        </w:tc>
        <w:tc>
          <w:tcPr>
            <w:tcW w:w="212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p>
        </w:tc>
        <w:tc>
          <w:tcPr>
            <w:tcW w:w="1074" w:type="dxa"/>
            <w:tcBorders>
              <w:top w:val="single" w:color="auto" w:sz="6" w:space="0"/>
              <w:left w:val="single" w:color="auto" w:sz="6" w:space="0"/>
              <w:bottom w:val="single" w:color="auto" w:sz="6" w:space="0"/>
              <w:right w:val="single" w:color="auto" w:sz="6" w:space="0"/>
            </w:tcBorders>
            <w:vAlign w:val="center"/>
          </w:tcPr>
          <w:p>
            <w:pPr>
              <w:widowControl/>
              <w:jc w:val="center"/>
              <w:rPr>
                <w:szCs w:val="22"/>
                <w:highlight w:val="none"/>
                <w:u w:val="single"/>
                <w:lang w:eastAsia="zh-TW"/>
              </w:rPr>
            </w:pPr>
            <w:r>
              <w:rPr>
                <w:szCs w:val="22"/>
                <w:highlight w:val="none"/>
                <w:u w:val="single"/>
              </w:rPr>
              <w:t>8</w:t>
            </w:r>
          </w:p>
        </w:tc>
        <w:tc>
          <w:tcPr>
            <w:tcW w:w="1755" w:type="dxa"/>
            <w:tcBorders>
              <w:top w:val="single" w:color="auto" w:sz="6" w:space="0"/>
              <w:left w:val="single" w:color="auto" w:sz="6" w:space="0"/>
              <w:right w:val="single" w:color="auto" w:sz="4" w:space="0"/>
            </w:tcBorders>
            <w:vAlign w:val="center"/>
          </w:tcPr>
          <w:p>
            <w:pPr>
              <w:widowControl/>
              <w:rPr>
                <w:szCs w:val="22"/>
                <w:highlight w:val="none"/>
                <w:u w:val="single"/>
              </w:rPr>
            </w:pPr>
            <w:r>
              <w:rPr>
                <w:rFonts w:hint="eastAsia"/>
                <w:szCs w:val="22"/>
                <w:highlight w:val="none"/>
                <w:u w:val="single"/>
              </w:rPr>
              <w:t>实际份数以评审要求为准</w:t>
            </w:r>
          </w:p>
        </w:tc>
      </w:tr>
      <w:tr>
        <w:tblPrEx>
          <w:tblCellMar>
            <w:top w:w="0" w:type="dxa"/>
            <w:left w:w="108" w:type="dxa"/>
            <w:bottom w:w="0" w:type="dxa"/>
            <w:right w:w="108" w:type="dxa"/>
          </w:tblCellMar>
        </w:tblPrEx>
        <w:trPr>
          <w:trHeight w:val="390" w:hRule="atLeast"/>
          <w:jc w:val="center"/>
        </w:trPr>
        <w:tc>
          <w:tcPr>
            <w:tcW w:w="738" w:type="dxa"/>
            <w:vMerge w:val="continue"/>
            <w:tcBorders>
              <w:left w:val="single" w:color="auto" w:sz="4" w:space="0"/>
              <w:bottom w:val="single" w:color="auto" w:sz="4" w:space="0"/>
              <w:right w:val="single" w:color="auto" w:sz="4" w:space="0"/>
            </w:tcBorders>
            <w:vAlign w:val="center"/>
          </w:tcPr>
          <w:p>
            <w:pPr>
              <w:widowControl/>
              <w:spacing w:line="360" w:lineRule="auto"/>
              <w:jc w:val="center"/>
              <w:rPr>
                <w:szCs w:val="22"/>
                <w:highlight w:val="none"/>
                <w:u w:val="single"/>
              </w:rPr>
            </w:pPr>
          </w:p>
        </w:tc>
        <w:tc>
          <w:tcPr>
            <w:tcW w:w="3450" w:type="dxa"/>
            <w:gridSpan w:val="3"/>
            <w:tcBorders>
              <w:top w:val="single" w:color="auto" w:sz="6" w:space="0"/>
              <w:left w:val="single" w:color="auto" w:sz="4"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初步设计存档（含概算、BIM模型）</w:t>
            </w:r>
          </w:p>
        </w:tc>
        <w:tc>
          <w:tcPr>
            <w:tcW w:w="212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初步设计审查通过后3天内</w:t>
            </w:r>
          </w:p>
        </w:tc>
        <w:tc>
          <w:tcPr>
            <w:tcW w:w="1074" w:type="dxa"/>
            <w:tcBorders>
              <w:top w:val="single" w:color="auto" w:sz="6" w:space="0"/>
              <w:left w:val="single" w:color="auto" w:sz="6" w:space="0"/>
              <w:bottom w:val="single" w:color="auto" w:sz="6" w:space="0"/>
              <w:right w:val="single" w:color="auto" w:sz="6" w:space="0"/>
            </w:tcBorders>
            <w:vAlign w:val="center"/>
          </w:tcPr>
          <w:p>
            <w:pPr>
              <w:widowControl/>
              <w:jc w:val="center"/>
              <w:rPr>
                <w:szCs w:val="22"/>
                <w:highlight w:val="none"/>
                <w:u w:val="single"/>
                <w:lang w:eastAsia="zh-CN"/>
              </w:rPr>
            </w:pPr>
            <w:r>
              <w:rPr>
                <w:szCs w:val="22"/>
                <w:highlight w:val="none"/>
                <w:u w:val="single"/>
                <w:lang w:eastAsia="zh-TW"/>
              </w:rPr>
              <w:t>8</w:t>
            </w:r>
          </w:p>
        </w:tc>
        <w:tc>
          <w:tcPr>
            <w:tcW w:w="1755" w:type="dxa"/>
            <w:tcBorders>
              <w:top w:val="single" w:color="auto" w:sz="6" w:space="0"/>
              <w:left w:val="single" w:color="auto" w:sz="6" w:space="0"/>
              <w:bottom w:val="single" w:color="auto" w:sz="6" w:space="0"/>
              <w:right w:val="single" w:color="auto" w:sz="4" w:space="0"/>
            </w:tcBorders>
            <w:vAlign w:val="center"/>
          </w:tcPr>
          <w:p>
            <w:pPr>
              <w:widowControl/>
              <w:rPr>
                <w:szCs w:val="22"/>
                <w:highlight w:val="none"/>
                <w:u w:val="single"/>
              </w:rPr>
            </w:pPr>
            <w:r>
              <w:rPr>
                <w:rFonts w:hint="eastAsia"/>
                <w:szCs w:val="22"/>
                <w:highlight w:val="none"/>
                <w:u w:val="single"/>
              </w:rPr>
              <w:t>实际份数以发包人要求为准，另加电子文件1份</w:t>
            </w:r>
          </w:p>
        </w:tc>
      </w:tr>
      <w:tr>
        <w:tblPrEx>
          <w:tblCellMar>
            <w:top w:w="0" w:type="dxa"/>
            <w:left w:w="108" w:type="dxa"/>
            <w:bottom w:w="0" w:type="dxa"/>
            <w:right w:w="108" w:type="dxa"/>
          </w:tblCellMar>
        </w:tblPrEx>
        <w:trPr>
          <w:trHeight w:val="390" w:hRule="atLeast"/>
          <w:jc w:val="center"/>
        </w:trPr>
        <w:tc>
          <w:tcPr>
            <w:tcW w:w="738" w:type="dxa"/>
            <w:vMerge w:val="restart"/>
            <w:tcBorders>
              <w:top w:val="single" w:color="auto" w:sz="4" w:space="0"/>
              <w:left w:val="single" w:color="auto" w:sz="4" w:space="0"/>
              <w:right w:val="single" w:color="auto" w:sz="6" w:space="0"/>
            </w:tcBorders>
            <w:vAlign w:val="center"/>
          </w:tcPr>
          <w:p>
            <w:pPr>
              <w:widowControl/>
              <w:spacing w:line="360" w:lineRule="auto"/>
              <w:jc w:val="center"/>
              <w:rPr>
                <w:szCs w:val="22"/>
                <w:highlight w:val="none"/>
                <w:u w:val="single"/>
              </w:rPr>
            </w:pPr>
            <w:r>
              <w:rPr>
                <w:szCs w:val="22"/>
                <w:highlight w:val="none"/>
                <w:u w:val="single"/>
              </w:rPr>
              <w:t>6</w:t>
            </w:r>
          </w:p>
        </w:tc>
        <w:tc>
          <w:tcPr>
            <w:tcW w:w="3450" w:type="dxa"/>
            <w:gridSpan w:val="3"/>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各专业报建图（教育、消防、人防、卫生、城管、市政等）</w:t>
            </w:r>
          </w:p>
        </w:tc>
        <w:tc>
          <w:tcPr>
            <w:tcW w:w="212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修规批复10天内</w:t>
            </w:r>
          </w:p>
        </w:tc>
        <w:tc>
          <w:tcPr>
            <w:tcW w:w="1074" w:type="dxa"/>
            <w:tcBorders>
              <w:top w:val="single" w:color="auto" w:sz="6" w:space="0"/>
              <w:left w:val="single" w:color="auto" w:sz="6" w:space="0"/>
              <w:bottom w:val="single" w:color="auto" w:sz="6" w:space="0"/>
              <w:right w:val="single" w:color="auto" w:sz="6" w:space="0"/>
            </w:tcBorders>
            <w:vAlign w:val="center"/>
          </w:tcPr>
          <w:p>
            <w:pPr>
              <w:widowControl/>
              <w:jc w:val="center"/>
              <w:rPr>
                <w:szCs w:val="22"/>
                <w:highlight w:val="none"/>
                <w:u w:val="single"/>
              </w:rPr>
            </w:pPr>
            <w:r>
              <w:rPr>
                <w:szCs w:val="22"/>
                <w:highlight w:val="none"/>
                <w:u w:val="single"/>
                <w:lang w:eastAsia="zh-TW"/>
              </w:rPr>
              <w:t>8</w:t>
            </w:r>
            <w:r>
              <w:rPr>
                <w:szCs w:val="22"/>
                <w:highlight w:val="none"/>
                <w:u w:val="single"/>
              </w:rPr>
              <w:t>份纸质文件</w:t>
            </w:r>
          </w:p>
        </w:tc>
        <w:tc>
          <w:tcPr>
            <w:tcW w:w="1755" w:type="dxa"/>
            <w:tcBorders>
              <w:top w:val="single" w:color="auto" w:sz="6" w:space="0"/>
              <w:left w:val="single" w:color="auto" w:sz="6" w:space="0"/>
              <w:bottom w:val="single" w:color="auto" w:sz="6" w:space="0"/>
              <w:right w:val="single" w:color="auto" w:sz="4" w:space="0"/>
            </w:tcBorders>
            <w:vAlign w:val="center"/>
          </w:tcPr>
          <w:p>
            <w:pPr>
              <w:widowControl/>
              <w:rPr>
                <w:szCs w:val="22"/>
                <w:highlight w:val="none"/>
                <w:u w:val="single"/>
              </w:rPr>
            </w:pPr>
            <w:r>
              <w:rPr>
                <w:szCs w:val="22"/>
                <w:highlight w:val="none"/>
                <w:u w:val="single"/>
              </w:rPr>
              <w:t>各专业报建图（教育、消防、人防、卫生、城管等），</w:t>
            </w:r>
            <w:r>
              <w:rPr>
                <w:rFonts w:hint="eastAsia"/>
                <w:szCs w:val="22"/>
                <w:highlight w:val="none"/>
                <w:u w:val="single"/>
              </w:rPr>
              <w:t>实际份数</w:t>
            </w:r>
            <w:r>
              <w:rPr>
                <w:szCs w:val="22"/>
                <w:highlight w:val="none"/>
                <w:u w:val="single"/>
              </w:rPr>
              <w:t>以报建要求为准</w:t>
            </w:r>
            <w:r>
              <w:rPr>
                <w:rFonts w:hint="eastAsia"/>
                <w:szCs w:val="22"/>
                <w:highlight w:val="none"/>
                <w:u w:val="single"/>
              </w:rPr>
              <w:t>，另加</w:t>
            </w:r>
            <w:r>
              <w:rPr>
                <w:szCs w:val="22"/>
                <w:highlight w:val="none"/>
                <w:u w:val="single"/>
              </w:rPr>
              <w:t>电子文件1份</w:t>
            </w:r>
          </w:p>
        </w:tc>
      </w:tr>
      <w:tr>
        <w:tblPrEx>
          <w:tblCellMar>
            <w:top w:w="0" w:type="dxa"/>
            <w:left w:w="108" w:type="dxa"/>
            <w:bottom w:w="0" w:type="dxa"/>
            <w:right w:w="108" w:type="dxa"/>
          </w:tblCellMar>
        </w:tblPrEx>
        <w:trPr>
          <w:trHeight w:val="390" w:hRule="atLeast"/>
          <w:jc w:val="center"/>
        </w:trPr>
        <w:tc>
          <w:tcPr>
            <w:tcW w:w="738" w:type="dxa"/>
            <w:vMerge w:val="continue"/>
            <w:tcBorders>
              <w:left w:val="single" w:color="auto" w:sz="4" w:space="0"/>
              <w:right w:val="single" w:color="auto" w:sz="6" w:space="0"/>
            </w:tcBorders>
            <w:vAlign w:val="center"/>
          </w:tcPr>
          <w:p>
            <w:pPr>
              <w:widowControl/>
              <w:spacing w:line="360" w:lineRule="auto"/>
              <w:jc w:val="center"/>
              <w:rPr>
                <w:szCs w:val="22"/>
                <w:highlight w:val="none"/>
                <w:u w:val="single"/>
              </w:rPr>
            </w:pPr>
          </w:p>
        </w:tc>
        <w:tc>
          <w:tcPr>
            <w:tcW w:w="3450" w:type="dxa"/>
            <w:gridSpan w:val="3"/>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建设工程规划许可证报建图</w:t>
            </w:r>
          </w:p>
        </w:tc>
        <w:tc>
          <w:tcPr>
            <w:tcW w:w="212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各专业报建批复后10天内</w:t>
            </w:r>
          </w:p>
        </w:tc>
        <w:tc>
          <w:tcPr>
            <w:tcW w:w="1074" w:type="dxa"/>
            <w:tcBorders>
              <w:top w:val="single" w:color="auto" w:sz="6" w:space="0"/>
              <w:left w:val="single" w:color="auto" w:sz="6" w:space="0"/>
              <w:bottom w:val="single" w:color="auto" w:sz="6" w:space="0"/>
              <w:right w:val="single" w:color="auto" w:sz="6" w:space="0"/>
            </w:tcBorders>
            <w:vAlign w:val="center"/>
          </w:tcPr>
          <w:p>
            <w:pPr>
              <w:widowControl/>
              <w:jc w:val="center"/>
              <w:rPr>
                <w:szCs w:val="22"/>
                <w:highlight w:val="none"/>
                <w:u w:val="single"/>
                <w:lang w:eastAsia="zh-TW"/>
              </w:rPr>
            </w:pPr>
            <w:r>
              <w:rPr>
                <w:szCs w:val="22"/>
                <w:highlight w:val="none"/>
                <w:u w:val="single"/>
                <w:lang w:eastAsia="zh-TW"/>
              </w:rPr>
              <w:t>8</w:t>
            </w:r>
          </w:p>
        </w:tc>
        <w:tc>
          <w:tcPr>
            <w:tcW w:w="1755" w:type="dxa"/>
            <w:tcBorders>
              <w:top w:val="single" w:color="auto" w:sz="6" w:space="0"/>
              <w:left w:val="single" w:color="auto" w:sz="6" w:space="0"/>
              <w:bottom w:val="single" w:color="auto" w:sz="6" w:space="0"/>
              <w:right w:val="single" w:color="auto" w:sz="4" w:space="0"/>
            </w:tcBorders>
            <w:vAlign w:val="center"/>
          </w:tcPr>
          <w:p>
            <w:pPr>
              <w:widowControl/>
              <w:rPr>
                <w:szCs w:val="22"/>
                <w:highlight w:val="none"/>
                <w:u w:val="single"/>
              </w:rPr>
            </w:pPr>
            <w:r>
              <w:rPr>
                <w:rFonts w:hint="eastAsia"/>
                <w:szCs w:val="22"/>
                <w:highlight w:val="none"/>
                <w:u w:val="single"/>
              </w:rPr>
              <w:t>实际份数</w:t>
            </w:r>
            <w:r>
              <w:rPr>
                <w:szCs w:val="22"/>
                <w:highlight w:val="none"/>
                <w:u w:val="single"/>
              </w:rPr>
              <w:t>以报建要求为准</w:t>
            </w:r>
            <w:r>
              <w:rPr>
                <w:rFonts w:hint="eastAsia"/>
                <w:szCs w:val="22"/>
                <w:highlight w:val="none"/>
                <w:u w:val="single"/>
              </w:rPr>
              <w:t>，</w:t>
            </w:r>
            <w:r>
              <w:rPr>
                <w:szCs w:val="22"/>
                <w:highlight w:val="none"/>
                <w:u w:val="single"/>
              </w:rPr>
              <w:t>另加电子文件</w:t>
            </w:r>
            <w:r>
              <w:rPr>
                <w:rFonts w:hint="eastAsia"/>
                <w:szCs w:val="22"/>
                <w:highlight w:val="none"/>
                <w:u w:val="single"/>
              </w:rPr>
              <w:t>1</w:t>
            </w:r>
            <w:r>
              <w:rPr>
                <w:szCs w:val="22"/>
                <w:highlight w:val="none"/>
                <w:u w:val="single"/>
              </w:rPr>
              <w:t>份</w:t>
            </w:r>
          </w:p>
        </w:tc>
      </w:tr>
      <w:tr>
        <w:tblPrEx>
          <w:tblCellMar>
            <w:top w:w="0" w:type="dxa"/>
            <w:left w:w="108" w:type="dxa"/>
            <w:bottom w:w="0" w:type="dxa"/>
            <w:right w:w="108" w:type="dxa"/>
          </w:tblCellMar>
        </w:tblPrEx>
        <w:trPr>
          <w:trHeight w:val="795" w:hRule="atLeast"/>
          <w:jc w:val="center"/>
        </w:trPr>
        <w:tc>
          <w:tcPr>
            <w:tcW w:w="738" w:type="dxa"/>
            <w:vMerge w:val="continue"/>
            <w:tcBorders>
              <w:left w:val="single" w:color="auto" w:sz="4" w:space="0"/>
              <w:right w:val="single" w:color="auto" w:sz="6" w:space="0"/>
            </w:tcBorders>
            <w:vAlign w:val="center"/>
          </w:tcPr>
          <w:p>
            <w:pPr>
              <w:widowControl/>
              <w:spacing w:line="360" w:lineRule="auto"/>
              <w:jc w:val="center"/>
              <w:rPr>
                <w:szCs w:val="22"/>
                <w:highlight w:val="none"/>
                <w:u w:val="single"/>
              </w:rPr>
            </w:pPr>
          </w:p>
        </w:tc>
        <w:tc>
          <w:tcPr>
            <w:tcW w:w="1977" w:type="dxa"/>
            <w:gridSpan w:val="2"/>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审图机构审查稿</w:t>
            </w:r>
          </w:p>
        </w:tc>
        <w:tc>
          <w:tcPr>
            <w:tcW w:w="1473" w:type="dxa"/>
            <w:tcBorders>
              <w:top w:val="single" w:color="auto" w:sz="6" w:space="0"/>
              <w:left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施工图</w:t>
            </w:r>
          </w:p>
        </w:tc>
        <w:tc>
          <w:tcPr>
            <w:tcW w:w="2127" w:type="dxa"/>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取得初步设计批文</w:t>
            </w:r>
          </w:p>
          <w:p>
            <w:pPr>
              <w:widowControl/>
              <w:spacing w:line="360" w:lineRule="auto"/>
              <w:rPr>
                <w:szCs w:val="22"/>
                <w:highlight w:val="none"/>
                <w:u w:val="single"/>
              </w:rPr>
            </w:pPr>
            <w:r>
              <w:rPr>
                <w:szCs w:val="22"/>
                <w:highlight w:val="none"/>
                <w:u w:val="single"/>
              </w:rPr>
              <w:t>后30天内</w:t>
            </w:r>
          </w:p>
        </w:tc>
        <w:tc>
          <w:tcPr>
            <w:tcW w:w="1074" w:type="dxa"/>
            <w:tcBorders>
              <w:top w:val="single" w:color="auto" w:sz="6" w:space="0"/>
              <w:left w:val="single" w:color="auto" w:sz="6" w:space="0"/>
              <w:right w:val="single" w:color="auto" w:sz="6" w:space="0"/>
            </w:tcBorders>
            <w:vAlign w:val="center"/>
          </w:tcPr>
          <w:p>
            <w:pPr>
              <w:widowControl/>
              <w:jc w:val="center"/>
              <w:rPr>
                <w:szCs w:val="22"/>
                <w:highlight w:val="none"/>
                <w:u w:val="single"/>
                <w:lang w:eastAsia="zh-TW"/>
              </w:rPr>
            </w:pPr>
            <w:r>
              <w:rPr>
                <w:rFonts w:hint="eastAsia"/>
                <w:szCs w:val="22"/>
                <w:highlight w:val="none"/>
                <w:u w:val="single"/>
              </w:rPr>
              <w:t>1</w:t>
            </w:r>
          </w:p>
        </w:tc>
        <w:tc>
          <w:tcPr>
            <w:tcW w:w="1755" w:type="dxa"/>
            <w:tcBorders>
              <w:top w:val="single" w:color="auto" w:sz="6" w:space="0"/>
              <w:left w:val="single" w:color="auto" w:sz="6" w:space="0"/>
              <w:right w:val="single" w:color="auto" w:sz="4" w:space="0"/>
            </w:tcBorders>
            <w:vAlign w:val="center"/>
          </w:tcPr>
          <w:p>
            <w:pPr>
              <w:widowControl/>
              <w:rPr>
                <w:szCs w:val="22"/>
                <w:highlight w:val="none"/>
                <w:u w:val="single"/>
              </w:rPr>
            </w:pPr>
            <w:r>
              <w:rPr>
                <w:szCs w:val="22"/>
                <w:highlight w:val="none"/>
                <w:u w:val="single"/>
              </w:rPr>
              <w:t>另加电子文件1份</w:t>
            </w:r>
          </w:p>
        </w:tc>
      </w:tr>
      <w:tr>
        <w:tblPrEx>
          <w:tblCellMar>
            <w:top w:w="0" w:type="dxa"/>
            <w:left w:w="108" w:type="dxa"/>
            <w:bottom w:w="0" w:type="dxa"/>
            <w:right w:w="108" w:type="dxa"/>
          </w:tblCellMar>
        </w:tblPrEx>
        <w:trPr>
          <w:trHeight w:val="702" w:hRule="atLeast"/>
          <w:jc w:val="center"/>
        </w:trPr>
        <w:tc>
          <w:tcPr>
            <w:tcW w:w="738" w:type="dxa"/>
            <w:vMerge w:val="continue"/>
            <w:tcBorders>
              <w:left w:val="single" w:color="auto" w:sz="4" w:space="0"/>
              <w:bottom w:val="single" w:color="auto" w:sz="4" w:space="0"/>
              <w:right w:val="single" w:color="auto" w:sz="6" w:space="0"/>
            </w:tcBorders>
            <w:vAlign w:val="center"/>
          </w:tcPr>
          <w:p>
            <w:pPr>
              <w:widowControl/>
              <w:spacing w:line="360" w:lineRule="auto"/>
              <w:jc w:val="center"/>
              <w:rPr>
                <w:szCs w:val="22"/>
                <w:highlight w:val="none"/>
                <w:u w:val="single"/>
              </w:rPr>
            </w:pPr>
          </w:p>
        </w:tc>
        <w:tc>
          <w:tcPr>
            <w:tcW w:w="1977" w:type="dxa"/>
            <w:gridSpan w:val="2"/>
            <w:tcBorders>
              <w:top w:val="single" w:color="auto" w:sz="6" w:space="0"/>
              <w:left w:val="single" w:color="auto" w:sz="6" w:space="0"/>
              <w:bottom w:val="single" w:color="auto" w:sz="4" w:space="0"/>
              <w:right w:val="single" w:color="auto" w:sz="6" w:space="0"/>
            </w:tcBorders>
            <w:vAlign w:val="center"/>
          </w:tcPr>
          <w:p>
            <w:pPr>
              <w:widowControl/>
              <w:spacing w:line="360" w:lineRule="auto"/>
              <w:rPr>
                <w:szCs w:val="22"/>
                <w:highlight w:val="none"/>
                <w:u w:val="single"/>
              </w:rPr>
            </w:pPr>
            <w:r>
              <w:rPr>
                <w:szCs w:val="22"/>
                <w:highlight w:val="none"/>
                <w:u w:val="single"/>
              </w:rPr>
              <w:t>正式施工图（含BIM模型）</w:t>
            </w:r>
          </w:p>
        </w:tc>
        <w:tc>
          <w:tcPr>
            <w:tcW w:w="1473" w:type="dxa"/>
            <w:tcBorders>
              <w:top w:val="single" w:color="auto" w:sz="6" w:space="0"/>
              <w:left w:val="single" w:color="auto" w:sz="6" w:space="0"/>
              <w:bottom w:val="single" w:color="auto" w:sz="4" w:space="0"/>
              <w:right w:val="single" w:color="auto" w:sz="6" w:space="0"/>
            </w:tcBorders>
            <w:vAlign w:val="center"/>
          </w:tcPr>
          <w:p>
            <w:pPr>
              <w:widowControl/>
              <w:spacing w:line="360" w:lineRule="auto"/>
              <w:rPr>
                <w:szCs w:val="22"/>
                <w:highlight w:val="none"/>
                <w:u w:val="single"/>
              </w:rPr>
            </w:pPr>
            <w:r>
              <w:rPr>
                <w:szCs w:val="22"/>
                <w:highlight w:val="none"/>
                <w:u w:val="single"/>
              </w:rPr>
              <w:t>施工图</w:t>
            </w:r>
          </w:p>
        </w:tc>
        <w:tc>
          <w:tcPr>
            <w:tcW w:w="2127" w:type="dxa"/>
            <w:tcBorders>
              <w:top w:val="single" w:color="auto" w:sz="6" w:space="0"/>
              <w:left w:val="single" w:color="auto" w:sz="6" w:space="0"/>
              <w:bottom w:val="single" w:color="auto" w:sz="4" w:space="0"/>
              <w:right w:val="single" w:color="auto" w:sz="6" w:space="0"/>
            </w:tcBorders>
            <w:vAlign w:val="center"/>
          </w:tcPr>
          <w:p>
            <w:pPr>
              <w:widowControl/>
              <w:spacing w:line="360" w:lineRule="auto"/>
              <w:rPr>
                <w:szCs w:val="22"/>
                <w:highlight w:val="none"/>
                <w:u w:val="single"/>
              </w:rPr>
            </w:pPr>
            <w:r>
              <w:rPr>
                <w:szCs w:val="22"/>
                <w:highlight w:val="none"/>
                <w:u w:val="single"/>
              </w:rPr>
              <w:t>施工图审查通过后5天内</w:t>
            </w:r>
          </w:p>
        </w:tc>
        <w:tc>
          <w:tcPr>
            <w:tcW w:w="1074" w:type="dxa"/>
            <w:tcBorders>
              <w:top w:val="single" w:color="auto" w:sz="6" w:space="0"/>
              <w:left w:val="single" w:color="auto" w:sz="6" w:space="0"/>
              <w:bottom w:val="single" w:color="auto" w:sz="4" w:space="0"/>
              <w:right w:val="single" w:color="auto" w:sz="6" w:space="0"/>
            </w:tcBorders>
            <w:vAlign w:val="center"/>
          </w:tcPr>
          <w:p>
            <w:pPr>
              <w:widowControl/>
              <w:jc w:val="center"/>
              <w:rPr>
                <w:szCs w:val="22"/>
                <w:highlight w:val="none"/>
                <w:u w:val="single"/>
              </w:rPr>
            </w:pPr>
            <w:r>
              <w:rPr>
                <w:szCs w:val="22"/>
                <w:highlight w:val="none"/>
                <w:u w:val="single"/>
              </w:rPr>
              <w:t>20</w:t>
            </w:r>
          </w:p>
        </w:tc>
        <w:tc>
          <w:tcPr>
            <w:tcW w:w="1755" w:type="dxa"/>
            <w:tcBorders>
              <w:top w:val="single" w:color="auto" w:sz="6" w:space="0"/>
              <w:left w:val="single" w:color="auto" w:sz="6" w:space="0"/>
              <w:bottom w:val="single" w:color="auto" w:sz="4" w:space="0"/>
              <w:right w:val="single" w:color="auto" w:sz="4" w:space="0"/>
            </w:tcBorders>
            <w:vAlign w:val="center"/>
          </w:tcPr>
          <w:p>
            <w:pPr>
              <w:widowControl/>
              <w:rPr>
                <w:szCs w:val="22"/>
                <w:highlight w:val="none"/>
                <w:u w:val="single"/>
              </w:rPr>
            </w:pPr>
            <w:r>
              <w:rPr>
                <w:rFonts w:hint="eastAsia"/>
                <w:szCs w:val="22"/>
                <w:highlight w:val="none"/>
                <w:u w:val="single"/>
              </w:rPr>
              <w:t>实际份数以发包人要求为准，</w:t>
            </w:r>
            <w:r>
              <w:rPr>
                <w:szCs w:val="22"/>
                <w:highlight w:val="none"/>
                <w:u w:val="single"/>
              </w:rPr>
              <w:t>另加电子文件</w:t>
            </w:r>
            <w:r>
              <w:rPr>
                <w:rFonts w:hint="eastAsia"/>
                <w:szCs w:val="22"/>
                <w:highlight w:val="none"/>
                <w:u w:val="single"/>
              </w:rPr>
              <w:t>1</w:t>
            </w:r>
            <w:r>
              <w:rPr>
                <w:szCs w:val="22"/>
                <w:highlight w:val="none"/>
                <w:u w:val="single"/>
              </w:rPr>
              <w:t>份</w:t>
            </w:r>
          </w:p>
        </w:tc>
      </w:tr>
      <w:tr>
        <w:tblPrEx>
          <w:tblCellMar>
            <w:top w:w="0" w:type="dxa"/>
            <w:left w:w="108" w:type="dxa"/>
            <w:bottom w:w="0" w:type="dxa"/>
            <w:right w:w="108" w:type="dxa"/>
          </w:tblCellMar>
        </w:tblPrEx>
        <w:trPr>
          <w:trHeight w:val="6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szCs w:val="22"/>
                <w:highlight w:val="none"/>
                <w:u w:val="single"/>
              </w:rPr>
            </w:pPr>
            <w:r>
              <w:rPr>
                <w:szCs w:val="22"/>
                <w:highlight w:val="none"/>
                <w:u w:val="single"/>
              </w:rPr>
              <w:t>7</w:t>
            </w:r>
          </w:p>
        </w:tc>
        <w:tc>
          <w:tcPr>
            <w:tcW w:w="345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2"/>
                <w:highlight w:val="none"/>
                <w:u w:val="single"/>
              </w:rPr>
            </w:pPr>
            <w:r>
              <w:rPr>
                <w:szCs w:val="22"/>
                <w:highlight w:val="none"/>
                <w:u w:val="single"/>
              </w:rPr>
              <w:t>装配式施工图</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2"/>
                <w:highlight w:val="none"/>
                <w:u w:val="single"/>
              </w:rPr>
            </w:pPr>
            <w:r>
              <w:rPr>
                <w:szCs w:val="22"/>
                <w:highlight w:val="none"/>
                <w:u w:val="single"/>
              </w:rPr>
              <w:t>施工图审查通过后5天内</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szCs w:val="22"/>
                <w:highlight w:val="none"/>
                <w:u w:val="single"/>
              </w:rPr>
            </w:pPr>
            <w:r>
              <w:rPr>
                <w:szCs w:val="22"/>
                <w:highlight w:val="none"/>
                <w:u w:val="single"/>
              </w:rPr>
              <w:t>20</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rPr>
                <w:szCs w:val="22"/>
                <w:highlight w:val="none"/>
                <w:u w:val="single"/>
              </w:rPr>
            </w:pPr>
            <w:r>
              <w:rPr>
                <w:rFonts w:hint="eastAsia"/>
                <w:szCs w:val="22"/>
                <w:highlight w:val="none"/>
                <w:u w:val="single"/>
              </w:rPr>
              <w:t>实际份数以发包人要求为准，</w:t>
            </w:r>
            <w:r>
              <w:rPr>
                <w:szCs w:val="22"/>
                <w:highlight w:val="none"/>
                <w:u w:val="single"/>
              </w:rPr>
              <w:t>另加电子文件</w:t>
            </w:r>
            <w:r>
              <w:rPr>
                <w:rFonts w:hint="eastAsia"/>
                <w:szCs w:val="22"/>
                <w:highlight w:val="none"/>
                <w:u w:val="single"/>
              </w:rPr>
              <w:t>1</w:t>
            </w:r>
            <w:r>
              <w:rPr>
                <w:szCs w:val="22"/>
                <w:highlight w:val="none"/>
                <w:u w:val="single"/>
              </w:rPr>
              <w:t>份</w:t>
            </w:r>
          </w:p>
        </w:tc>
      </w:tr>
      <w:tr>
        <w:tblPrEx>
          <w:tblCellMar>
            <w:top w:w="0" w:type="dxa"/>
            <w:left w:w="108" w:type="dxa"/>
            <w:bottom w:w="0" w:type="dxa"/>
            <w:right w:w="108" w:type="dxa"/>
          </w:tblCellMar>
        </w:tblPrEx>
        <w:trPr>
          <w:trHeight w:val="511" w:hRule="atLeast"/>
          <w:jc w:val="center"/>
        </w:trPr>
        <w:tc>
          <w:tcPr>
            <w:tcW w:w="738" w:type="dxa"/>
            <w:vMerge w:val="restart"/>
            <w:tcBorders>
              <w:top w:val="single" w:color="auto" w:sz="4" w:space="0"/>
              <w:left w:val="single" w:color="auto" w:sz="4" w:space="0"/>
              <w:right w:val="single" w:color="auto" w:sz="6" w:space="0"/>
            </w:tcBorders>
            <w:vAlign w:val="center"/>
          </w:tcPr>
          <w:p>
            <w:pPr>
              <w:widowControl/>
              <w:spacing w:line="360" w:lineRule="auto"/>
              <w:jc w:val="center"/>
              <w:rPr>
                <w:szCs w:val="22"/>
                <w:highlight w:val="none"/>
                <w:u w:val="single"/>
              </w:rPr>
            </w:pPr>
            <w:r>
              <w:rPr>
                <w:szCs w:val="22"/>
                <w:highlight w:val="none"/>
                <w:u w:val="single"/>
              </w:rPr>
              <w:t>8</w:t>
            </w:r>
          </w:p>
        </w:tc>
        <w:tc>
          <w:tcPr>
            <w:tcW w:w="3450" w:type="dxa"/>
            <w:gridSpan w:val="3"/>
            <w:tcBorders>
              <w:top w:val="single" w:color="auto" w:sz="4"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沙盘模型</w:t>
            </w:r>
          </w:p>
        </w:tc>
        <w:tc>
          <w:tcPr>
            <w:tcW w:w="2127" w:type="dxa"/>
            <w:tcBorders>
              <w:top w:val="single" w:color="auto" w:sz="4" w:space="0"/>
              <w:left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按</w:t>
            </w:r>
            <w:r>
              <w:rPr>
                <w:rFonts w:hint="eastAsia"/>
                <w:szCs w:val="22"/>
                <w:highlight w:val="none"/>
                <w:u w:val="single"/>
              </w:rPr>
              <w:t>发包人</w:t>
            </w:r>
            <w:r>
              <w:rPr>
                <w:szCs w:val="22"/>
                <w:highlight w:val="none"/>
                <w:u w:val="single"/>
              </w:rPr>
              <w:t>要求</w:t>
            </w:r>
          </w:p>
        </w:tc>
        <w:tc>
          <w:tcPr>
            <w:tcW w:w="1074" w:type="dxa"/>
            <w:tcBorders>
              <w:top w:val="single" w:color="auto" w:sz="4" w:space="0"/>
              <w:left w:val="single" w:color="auto" w:sz="6" w:space="0"/>
              <w:bottom w:val="single" w:color="auto" w:sz="6" w:space="0"/>
              <w:right w:val="single" w:color="auto" w:sz="6" w:space="0"/>
            </w:tcBorders>
            <w:vAlign w:val="center"/>
          </w:tcPr>
          <w:p>
            <w:pPr>
              <w:widowControl/>
              <w:jc w:val="center"/>
              <w:rPr>
                <w:szCs w:val="22"/>
                <w:highlight w:val="none"/>
                <w:u w:val="single"/>
              </w:rPr>
            </w:pPr>
            <w:r>
              <w:rPr>
                <w:szCs w:val="22"/>
                <w:highlight w:val="none"/>
                <w:u w:val="single"/>
              </w:rPr>
              <w:t>1</w:t>
            </w:r>
          </w:p>
        </w:tc>
        <w:tc>
          <w:tcPr>
            <w:tcW w:w="1755" w:type="dxa"/>
            <w:tcBorders>
              <w:top w:val="single" w:color="auto" w:sz="4" w:space="0"/>
              <w:left w:val="single" w:color="auto" w:sz="6" w:space="0"/>
              <w:bottom w:val="single" w:color="auto" w:sz="6" w:space="0"/>
              <w:right w:val="single" w:color="auto" w:sz="4" w:space="0"/>
            </w:tcBorders>
            <w:vAlign w:val="center"/>
          </w:tcPr>
          <w:p>
            <w:pPr>
              <w:widowControl/>
              <w:rPr>
                <w:szCs w:val="22"/>
                <w:highlight w:val="none"/>
                <w:u w:val="single"/>
              </w:rPr>
            </w:pPr>
            <w:r>
              <w:rPr>
                <w:szCs w:val="22"/>
                <w:highlight w:val="none"/>
                <w:u w:val="single"/>
              </w:rPr>
              <w:t>模型1套</w:t>
            </w:r>
          </w:p>
        </w:tc>
      </w:tr>
      <w:tr>
        <w:tblPrEx>
          <w:tblCellMar>
            <w:top w:w="0" w:type="dxa"/>
            <w:left w:w="108" w:type="dxa"/>
            <w:bottom w:w="0" w:type="dxa"/>
            <w:right w:w="108" w:type="dxa"/>
          </w:tblCellMar>
        </w:tblPrEx>
        <w:trPr>
          <w:trHeight w:val="436" w:hRule="atLeast"/>
          <w:jc w:val="center"/>
        </w:trPr>
        <w:tc>
          <w:tcPr>
            <w:tcW w:w="738" w:type="dxa"/>
            <w:vMerge w:val="continue"/>
            <w:tcBorders>
              <w:left w:val="single" w:color="auto" w:sz="4" w:space="0"/>
              <w:right w:val="single" w:color="auto" w:sz="6" w:space="0"/>
            </w:tcBorders>
            <w:vAlign w:val="center"/>
          </w:tcPr>
          <w:p>
            <w:pPr>
              <w:widowControl/>
              <w:spacing w:line="360" w:lineRule="auto"/>
              <w:jc w:val="center"/>
              <w:rPr>
                <w:szCs w:val="22"/>
                <w:highlight w:val="none"/>
                <w:u w:val="single"/>
              </w:rPr>
            </w:pPr>
          </w:p>
        </w:tc>
        <w:tc>
          <w:tcPr>
            <w:tcW w:w="3450" w:type="dxa"/>
            <w:gridSpan w:val="3"/>
            <w:tcBorders>
              <w:top w:val="single" w:color="auto" w:sz="6" w:space="0"/>
              <w:left w:val="single" w:color="auto" w:sz="6" w:space="0"/>
              <w:bottom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户型模型</w:t>
            </w:r>
          </w:p>
        </w:tc>
        <w:tc>
          <w:tcPr>
            <w:tcW w:w="2127" w:type="dxa"/>
            <w:tcBorders>
              <w:top w:val="single" w:color="auto" w:sz="6" w:space="0"/>
              <w:left w:val="single" w:color="auto" w:sz="6" w:space="0"/>
              <w:right w:val="single" w:color="auto" w:sz="6" w:space="0"/>
            </w:tcBorders>
            <w:vAlign w:val="center"/>
          </w:tcPr>
          <w:p>
            <w:pPr>
              <w:widowControl/>
              <w:spacing w:line="360" w:lineRule="auto"/>
              <w:rPr>
                <w:szCs w:val="22"/>
                <w:highlight w:val="none"/>
                <w:u w:val="single"/>
              </w:rPr>
            </w:pPr>
            <w:r>
              <w:rPr>
                <w:szCs w:val="22"/>
                <w:highlight w:val="none"/>
                <w:u w:val="single"/>
              </w:rPr>
              <w:t>按</w:t>
            </w:r>
            <w:r>
              <w:rPr>
                <w:rFonts w:hint="eastAsia"/>
                <w:szCs w:val="22"/>
                <w:highlight w:val="none"/>
                <w:u w:val="single"/>
              </w:rPr>
              <w:t>发包人</w:t>
            </w:r>
            <w:r>
              <w:rPr>
                <w:szCs w:val="22"/>
                <w:highlight w:val="none"/>
                <w:u w:val="single"/>
              </w:rPr>
              <w:t>要求</w:t>
            </w:r>
          </w:p>
        </w:tc>
        <w:tc>
          <w:tcPr>
            <w:tcW w:w="1074" w:type="dxa"/>
            <w:tcBorders>
              <w:top w:val="single" w:color="auto" w:sz="6" w:space="0"/>
              <w:left w:val="single" w:color="auto" w:sz="6" w:space="0"/>
              <w:bottom w:val="single" w:color="auto" w:sz="6" w:space="0"/>
              <w:right w:val="single" w:color="auto" w:sz="6" w:space="0"/>
            </w:tcBorders>
            <w:vAlign w:val="center"/>
          </w:tcPr>
          <w:p>
            <w:pPr>
              <w:widowControl/>
              <w:jc w:val="center"/>
              <w:rPr>
                <w:szCs w:val="22"/>
                <w:highlight w:val="none"/>
                <w:u w:val="single"/>
              </w:rPr>
            </w:pPr>
            <w:r>
              <w:rPr>
                <w:szCs w:val="22"/>
                <w:highlight w:val="none"/>
                <w:u w:val="single"/>
              </w:rPr>
              <w:t>1</w:t>
            </w:r>
          </w:p>
        </w:tc>
        <w:tc>
          <w:tcPr>
            <w:tcW w:w="1755" w:type="dxa"/>
            <w:tcBorders>
              <w:top w:val="single" w:color="auto" w:sz="6" w:space="0"/>
              <w:left w:val="single" w:color="auto" w:sz="6" w:space="0"/>
              <w:bottom w:val="single" w:color="auto" w:sz="6" w:space="0"/>
              <w:right w:val="single" w:color="auto" w:sz="4" w:space="0"/>
            </w:tcBorders>
            <w:vAlign w:val="center"/>
          </w:tcPr>
          <w:p>
            <w:pPr>
              <w:widowControl/>
              <w:rPr>
                <w:szCs w:val="22"/>
                <w:highlight w:val="none"/>
                <w:u w:val="single"/>
              </w:rPr>
            </w:pPr>
            <w:r>
              <w:rPr>
                <w:szCs w:val="22"/>
                <w:highlight w:val="none"/>
                <w:u w:val="single"/>
              </w:rPr>
              <w:t>模型1套</w:t>
            </w:r>
          </w:p>
        </w:tc>
      </w:tr>
      <w:tr>
        <w:tblPrEx>
          <w:tblCellMar>
            <w:top w:w="0" w:type="dxa"/>
            <w:left w:w="108" w:type="dxa"/>
            <w:bottom w:w="0" w:type="dxa"/>
            <w:right w:w="108" w:type="dxa"/>
          </w:tblCellMar>
        </w:tblPrEx>
        <w:trPr>
          <w:trHeight w:val="436" w:hRule="atLeast"/>
          <w:jc w:val="center"/>
        </w:trPr>
        <w:tc>
          <w:tcPr>
            <w:tcW w:w="738" w:type="dxa"/>
            <w:vMerge w:val="continue"/>
            <w:tcBorders>
              <w:left w:val="single" w:color="auto" w:sz="4" w:space="0"/>
              <w:bottom w:val="single" w:color="auto" w:sz="4" w:space="0"/>
              <w:right w:val="single" w:color="auto" w:sz="6" w:space="0"/>
            </w:tcBorders>
            <w:vAlign w:val="center"/>
          </w:tcPr>
          <w:p>
            <w:pPr>
              <w:widowControl/>
              <w:spacing w:line="360" w:lineRule="auto"/>
              <w:jc w:val="center"/>
              <w:rPr>
                <w:szCs w:val="22"/>
                <w:highlight w:val="none"/>
                <w:u w:val="single"/>
              </w:rPr>
            </w:pPr>
          </w:p>
        </w:tc>
        <w:tc>
          <w:tcPr>
            <w:tcW w:w="3450" w:type="dxa"/>
            <w:gridSpan w:val="3"/>
            <w:tcBorders>
              <w:top w:val="single" w:color="auto" w:sz="6" w:space="0"/>
              <w:left w:val="single" w:color="auto" w:sz="6" w:space="0"/>
              <w:bottom w:val="single" w:color="auto" w:sz="4" w:space="0"/>
              <w:right w:val="single" w:color="auto" w:sz="6" w:space="0"/>
            </w:tcBorders>
            <w:vAlign w:val="center"/>
          </w:tcPr>
          <w:p>
            <w:pPr>
              <w:widowControl/>
              <w:spacing w:line="360" w:lineRule="auto"/>
              <w:rPr>
                <w:szCs w:val="22"/>
                <w:highlight w:val="none"/>
                <w:u w:val="single"/>
              </w:rPr>
            </w:pPr>
            <w:r>
              <w:rPr>
                <w:szCs w:val="22"/>
                <w:highlight w:val="none"/>
                <w:u w:val="single"/>
              </w:rPr>
              <w:t>三维动画</w:t>
            </w:r>
          </w:p>
        </w:tc>
        <w:tc>
          <w:tcPr>
            <w:tcW w:w="2127" w:type="dxa"/>
            <w:tcBorders>
              <w:top w:val="single" w:color="auto" w:sz="6" w:space="0"/>
              <w:left w:val="single" w:color="auto" w:sz="6" w:space="0"/>
              <w:bottom w:val="single" w:color="auto" w:sz="4" w:space="0"/>
              <w:right w:val="single" w:color="auto" w:sz="6" w:space="0"/>
            </w:tcBorders>
            <w:vAlign w:val="center"/>
          </w:tcPr>
          <w:p>
            <w:pPr>
              <w:widowControl/>
              <w:spacing w:line="360" w:lineRule="auto"/>
              <w:rPr>
                <w:szCs w:val="22"/>
                <w:highlight w:val="none"/>
                <w:u w:val="single"/>
              </w:rPr>
            </w:pPr>
            <w:r>
              <w:rPr>
                <w:szCs w:val="22"/>
                <w:highlight w:val="none"/>
                <w:u w:val="single"/>
              </w:rPr>
              <w:t>按</w:t>
            </w:r>
            <w:r>
              <w:rPr>
                <w:rFonts w:hint="eastAsia"/>
                <w:szCs w:val="22"/>
                <w:highlight w:val="none"/>
                <w:u w:val="single"/>
              </w:rPr>
              <w:t>发包人</w:t>
            </w:r>
            <w:r>
              <w:rPr>
                <w:szCs w:val="22"/>
                <w:highlight w:val="none"/>
                <w:u w:val="single"/>
              </w:rPr>
              <w:t>要求</w:t>
            </w:r>
          </w:p>
        </w:tc>
        <w:tc>
          <w:tcPr>
            <w:tcW w:w="1074" w:type="dxa"/>
            <w:tcBorders>
              <w:top w:val="single" w:color="auto" w:sz="6" w:space="0"/>
              <w:left w:val="single" w:color="auto" w:sz="6" w:space="0"/>
              <w:bottom w:val="single" w:color="auto" w:sz="4" w:space="0"/>
              <w:right w:val="single" w:color="auto" w:sz="6" w:space="0"/>
            </w:tcBorders>
            <w:vAlign w:val="center"/>
          </w:tcPr>
          <w:p>
            <w:pPr>
              <w:widowControl/>
              <w:jc w:val="center"/>
              <w:rPr>
                <w:szCs w:val="22"/>
                <w:highlight w:val="none"/>
                <w:u w:val="single"/>
              </w:rPr>
            </w:pPr>
            <w:r>
              <w:rPr>
                <w:szCs w:val="22"/>
                <w:highlight w:val="none"/>
                <w:u w:val="single"/>
              </w:rPr>
              <w:t>1</w:t>
            </w:r>
          </w:p>
        </w:tc>
        <w:tc>
          <w:tcPr>
            <w:tcW w:w="1755" w:type="dxa"/>
            <w:tcBorders>
              <w:top w:val="single" w:color="auto" w:sz="6" w:space="0"/>
              <w:left w:val="single" w:color="auto" w:sz="6" w:space="0"/>
              <w:bottom w:val="single" w:color="auto" w:sz="4" w:space="0"/>
              <w:right w:val="single" w:color="auto" w:sz="4" w:space="0"/>
            </w:tcBorders>
            <w:vAlign w:val="center"/>
          </w:tcPr>
          <w:p>
            <w:pPr>
              <w:widowControl/>
              <w:rPr>
                <w:szCs w:val="22"/>
                <w:highlight w:val="none"/>
                <w:u w:val="single"/>
              </w:rPr>
            </w:pPr>
            <w:r>
              <w:rPr>
                <w:szCs w:val="22"/>
                <w:highlight w:val="none"/>
                <w:u w:val="single"/>
              </w:rPr>
              <w:t>电子文件</w:t>
            </w:r>
            <w:r>
              <w:rPr>
                <w:rFonts w:hint="eastAsia"/>
                <w:szCs w:val="22"/>
                <w:highlight w:val="none"/>
                <w:u w:val="single"/>
              </w:rPr>
              <w:t>1</w:t>
            </w:r>
            <w:r>
              <w:rPr>
                <w:szCs w:val="22"/>
                <w:highlight w:val="none"/>
                <w:u w:val="single"/>
              </w:rPr>
              <w:t>份</w:t>
            </w:r>
          </w:p>
        </w:tc>
      </w:tr>
      <w:tr>
        <w:tblPrEx>
          <w:tblCellMar>
            <w:top w:w="0" w:type="dxa"/>
            <w:left w:w="108" w:type="dxa"/>
            <w:bottom w:w="0" w:type="dxa"/>
            <w:right w:w="108" w:type="dxa"/>
          </w:tblCellMar>
        </w:tblPrEx>
        <w:trPr>
          <w:trHeight w:val="436" w:hRule="atLeast"/>
          <w:jc w:val="center"/>
        </w:trPr>
        <w:tc>
          <w:tcPr>
            <w:tcW w:w="738" w:type="dxa"/>
            <w:tcBorders>
              <w:top w:val="single" w:color="auto" w:sz="4" w:space="0"/>
              <w:left w:val="single" w:color="auto" w:sz="4" w:space="0"/>
              <w:bottom w:val="single" w:color="auto" w:sz="4" w:space="0"/>
              <w:right w:val="single" w:color="auto" w:sz="6" w:space="0"/>
            </w:tcBorders>
            <w:vAlign w:val="center"/>
          </w:tcPr>
          <w:p>
            <w:pPr>
              <w:widowControl/>
              <w:spacing w:line="360" w:lineRule="auto"/>
              <w:jc w:val="center"/>
              <w:rPr>
                <w:szCs w:val="22"/>
                <w:highlight w:val="none"/>
                <w:u w:val="single"/>
              </w:rPr>
            </w:pPr>
            <w:r>
              <w:rPr>
                <w:szCs w:val="22"/>
                <w:highlight w:val="none"/>
                <w:u w:val="single"/>
              </w:rPr>
              <w:t>9</w:t>
            </w:r>
          </w:p>
        </w:tc>
        <w:tc>
          <w:tcPr>
            <w:tcW w:w="3450" w:type="dxa"/>
            <w:gridSpan w:val="3"/>
            <w:tcBorders>
              <w:top w:val="single" w:color="auto" w:sz="4" w:space="0"/>
              <w:left w:val="single" w:color="auto" w:sz="6" w:space="0"/>
              <w:bottom w:val="single" w:color="auto" w:sz="4" w:space="0"/>
              <w:right w:val="single" w:color="auto" w:sz="6" w:space="0"/>
            </w:tcBorders>
            <w:vAlign w:val="center"/>
          </w:tcPr>
          <w:p>
            <w:pPr>
              <w:widowControl/>
              <w:spacing w:line="360" w:lineRule="auto"/>
              <w:rPr>
                <w:szCs w:val="22"/>
                <w:highlight w:val="none"/>
                <w:u w:val="single"/>
              </w:rPr>
            </w:pPr>
            <w:r>
              <w:rPr>
                <w:szCs w:val="22"/>
                <w:highlight w:val="none"/>
                <w:u w:val="single"/>
              </w:rPr>
              <w:t>竣工图（含BIM模型）</w:t>
            </w:r>
          </w:p>
        </w:tc>
        <w:tc>
          <w:tcPr>
            <w:tcW w:w="2127" w:type="dxa"/>
            <w:tcBorders>
              <w:top w:val="single" w:color="auto" w:sz="4" w:space="0"/>
              <w:left w:val="single" w:color="auto" w:sz="6" w:space="0"/>
              <w:bottom w:val="single" w:color="auto" w:sz="4" w:space="0"/>
              <w:right w:val="single" w:color="auto" w:sz="6" w:space="0"/>
            </w:tcBorders>
            <w:vAlign w:val="center"/>
          </w:tcPr>
          <w:p>
            <w:pPr>
              <w:widowControl/>
              <w:spacing w:line="360" w:lineRule="auto"/>
              <w:rPr>
                <w:szCs w:val="22"/>
                <w:highlight w:val="none"/>
                <w:u w:val="single"/>
              </w:rPr>
            </w:pPr>
            <w:r>
              <w:rPr>
                <w:szCs w:val="22"/>
                <w:highlight w:val="none"/>
                <w:u w:val="single"/>
              </w:rPr>
              <w:t>按</w:t>
            </w:r>
            <w:r>
              <w:rPr>
                <w:rFonts w:hint="eastAsia"/>
                <w:szCs w:val="22"/>
                <w:highlight w:val="none"/>
                <w:u w:val="single"/>
              </w:rPr>
              <w:t>发包人</w:t>
            </w:r>
            <w:r>
              <w:rPr>
                <w:szCs w:val="22"/>
                <w:highlight w:val="none"/>
                <w:u w:val="single"/>
              </w:rPr>
              <w:t>要求</w:t>
            </w:r>
          </w:p>
        </w:tc>
        <w:tc>
          <w:tcPr>
            <w:tcW w:w="1074" w:type="dxa"/>
            <w:tcBorders>
              <w:top w:val="single" w:color="auto" w:sz="4" w:space="0"/>
              <w:left w:val="single" w:color="auto" w:sz="6" w:space="0"/>
              <w:bottom w:val="single" w:color="auto" w:sz="4" w:space="0"/>
              <w:right w:val="single" w:color="auto" w:sz="6" w:space="0"/>
            </w:tcBorders>
            <w:vAlign w:val="center"/>
          </w:tcPr>
          <w:p>
            <w:pPr>
              <w:widowControl/>
              <w:jc w:val="center"/>
              <w:rPr>
                <w:szCs w:val="22"/>
                <w:highlight w:val="none"/>
                <w:u w:val="single"/>
              </w:rPr>
            </w:pPr>
            <w:r>
              <w:rPr>
                <w:szCs w:val="22"/>
                <w:highlight w:val="none"/>
                <w:u w:val="single"/>
              </w:rPr>
              <w:t>10</w:t>
            </w:r>
          </w:p>
        </w:tc>
        <w:tc>
          <w:tcPr>
            <w:tcW w:w="1755" w:type="dxa"/>
            <w:tcBorders>
              <w:top w:val="single" w:color="auto" w:sz="4" w:space="0"/>
              <w:left w:val="single" w:color="auto" w:sz="6" w:space="0"/>
              <w:bottom w:val="single" w:color="auto" w:sz="4" w:space="0"/>
              <w:right w:val="single" w:color="auto" w:sz="4" w:space="0"/>
            </w:tcBorders>
            <w:vAlign w:val="center"/>
          </w:tcPr>
          <w:p>
            <w:pPr>
              <w:widowControl/>
              <w:rPr>
                <w:szCs w:val="22"/>
                <w:highlight w:val="none"/>
                <w:u w:val="single"/>
              </w:rPr>
            </w:pPr>
            <w:r>
              <w:rPr>
                <w:rFonts w:hint="eastAsia"/>
                <w:szCs w:val="22"/>
                <w:highlight w:val="none"/>
                <w:u w:val="single"/>
              </w:rPr>
              <w:t>实际份数以发包人要求为准，</w:t>
            </w:r>
            <w:r>
              <w:rPr>
                <w:szCs w:val="22"/>
                <w:highlight w:val="none"/>
                <w:u w:val="single"/>
              </w:rPr>
              <w:t>另加电子文件</w:t>
            </w:r>
            <w:r>
              <w:rPr>
                <w:rFonts w:hint="eastAsia"/>
                <w:szCs w:val="22"/>
                <w:highlight w:val="none"/>
                <w:u w:val="single"/>
              </w:rPr>
              <w:t>1</w:t>
            </w:r>
            <w:r>
              <w:rPr>
                <w:szCs w:val="22"/>
                <w:highlight w:val="none"/>
                <w:u w:val="single"/>
              </w:rPr>
              <w:t>份</w:t>
            </w:r>
          </w:p>
        </w:tc>
      </w:tr>
    </w:tbl>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备注：上述各阶段成果提交时间由发包人控制，可根据实际情况调整；各配合阶段〈如招标阶段、施工阶段〉及设计变更等所需文件份数及时间按合同约定和发包人要求执行。</w:t>
      </w:r>
    </w:p>
    <w:p>
      <w:pPr>
        <w:pStyle w:val="12"/>
        <w:adjustRightInd w:val="0"/>
        <w:snapToGrid w:val="0"/>
        <w:spacing w:line="360" w:lineRule="auto"/>
        <w:ind w:firstLine="482" w:firstLineChars="200"/>
        <w:outlineLvl w:val="4"/>
        <w:rPr>
          <w:rFonts w:ascii="宋体" w:hAnsi="宋体" w:cs="宋体"/>
          <w:highlight w:val="none"/>
        </w:rPr>
      </w:pPr>
      <w:r>
        <w:rPr>
          <w:rFonts w:ascii="宋体" w:hAnsi="宋体" w:cs="宋体"/>
          <w:b/>
          <w:highlight w:val="none"/>
        </w:rPr>
        <w:t>9.2</w:t>
      </w:r>
      <w:r>
        <w:rPr>
          <w:rFonts w:hint="eastAsia" w:ascii="宋体" w:hAnsi="宋体" w:cs="宋体"/>
          <w:highlight w:val="none"/>
        </w:rPr>
        <w:t>设计人</w:t>
      </w:r>
      <w:r>
        <w:rPr>
          <w:rFonts w:ascii="宋体" w:hAnsi="宋体" w:cs="宋体"/>
          <w:highlight w:val="none"/>
        </w:rPr>
        <w:t>必须按照经</w:t>
      </w:r>
      <w:r>
        <w:rPr>
          <w:rFonts w:hint="eastAsia" w:ascii="宋体" w:hAnsi="宋体" w:cs="宋体"/>
          <w:highlight w:val="none"/>
        </w:rPr>
        <w:t>发包人</w:t>
      </w:r>
      <w:r>
        <w:rPr>
          <w:rFonts w:ascii="宋体" w:hAnsi="宋体" w:cs="宋体"/>
          <w:highlight w:val="none"/>
        </w:rPr>
        <w:t>审批确定的设计进度计划及时提交设计中间资料，以满足</w:t>
      </w:r>
      <w:r>
        <w:rPr>
          <w:rFonts w:hint="eastAsia" w:ascii="宋体" w:hAnsi="宋体" w:cs="宋体"/>
          <w:highlight w:val="none"/>
        </w:rPr>
        <w:t>发包人</w:t>
      </w:r>
      <w:r>
        <w:rPr>
          <w:rFonts w:ascii="宋体" w:hAnsi="宋体" w:cs="宋体"/>
          <w:highlight w:val="none"/>
        </w:rPr>
        <w:t>开展有关工作的需要，有关费用已包含在本合同约定的设计费用之内。</w:t>
      </w:r>
    </w:p>
    <w:p>
      <w:pPr>
        <w:pStyle w:val="12"/>
        <w:adjustRightInd w:val="0"/>
        <w:snapToGrid w:val="0"/>
        <w:spacing w:line="360" w:lineRule="auto"/>
        <w:ind w:firstLine="480" w:firstLineChars="200"/>
        <w:outlineLvl w:val="4"/>
        <w:rPr>
          <w:rFonts w:ascii="宋体" w:hAnsi="宋体" w:cs="宋体"/>
          <w:highlight w:val="none"/>
        </w:rPr>
      </w:pPr>
      <w:r>
        <w:rPr>
          <w:rFonts w:ascii="宋体" w:hAnsi="宋体" w:cs="宋体"/>
          <w:highlight w:val="none"/>
        </w:rPr>
        <w:t>由于项目工期紧迫，</w:t>
      </w:r>
      <w:r>
        <w:rPr>
          <w:rFonts w:hint="eastAsia" w:ascii="宋体" w:hAnsi="宋体" w:cs="宋体"/>
          <w:highlight w:val="none"/>
        </w:rPr>
        <w:t>设计人</w:t>
      </w:r>
      <w:r>
        <w:rPr>
          <w:rFonts w:ascii="宋体" w:hAnsi="宋体" w:cs="宋体"/>
          <w:highlight w:val="none"/>
        </w:rPr>
        <w:t>必须按照经过</w:t>
      </w:r>
      <w:r>
        <w:rPr>
          <w:rFonts w:hint="eastAsia" w:ascii="宋体" w:hAnsi="宋体" w:cs="宋体"/>
          <w:highlight w:val="none"/>
        </w:rPr>
        <w:t>发包人</w:t>
      </w:r>
      <w:r>
        <w:rPr>
          <w:rFonts w:ascii="宋体" w:hAnsi="宋体" w:cs="宋体"/>
          <w:highlight w:val="none"/>
        </w:rPr>
        <w:t>审批确定的设计进度计划采用适当穿插推进的方式开展方案设计、初步设计、施工图设计，以及提供设计服务（包括报审报建配合服务、招标配合服务和现场服务工作等）。在方案设计获得确定后开展初步设计，在初步设计获得</w:t>
      </w:r>
      <w:r>
        <w:rPr>
          <w:rFonts w:hint="eastAsia" w:ascii="宋体" w:hAnsi="宋体" w:cs="宋体"/>
          <w:highlight w:val="none"/>
        </w:rPr>
        <w:t>发包人</w:t>
      </w:r>
      <w:r>
        <w:rPr>
          <w:rFonts w:ascii="宋体" w:hAnsi="宋体" w:cs="宋体"/>
          <w:highlight w:val="none"/>
        </w:rPr>
        <w:t>确认后同时开展初步设计报建及启动施工图设计工作；在各专业施工图经过</w:t>
      </w:r>
      <w:r>
        <w:rPr>
          <w:rFonts w:hint="eastAsia" w:ascii="宋体" w:hAnsi="宋体" w:cs="宋体"/>
          <w:highlight w:val="none"/>
        </w:rPr>
        <w:t>发包人</w:t>
      </w:r>
      <w:r>
        <w:rPr>
          <w:rFonts w:ascii="宋体" w:hAnsi="宋体" w:cs="宋体"/>
          <w:highlight w:val="none"/>
        </w:rPr>
        <w:t>确认后，同步配合</w:t>
      </w:r>
      <w:r>
        <w:rPr>
          <w:rFonts w:hint="eastAsia" w:ascii="宋体" w:hAnsi="宋体" w:cs="宋体"/>
          <w:highlight w:val="none"/>
        </w:rPr>
        <w:t>发包人</w:t>
      </w:r>
      <w:r>
        <w:rPr>
          <w:rFonts w:ascii="宋体" w:hAnsi="宋体" w:cs="宋体"/>
          <w:highlight w:val="none"/>
        </w:rPr>
        <w:t>进行施工招标工作，并按</w:t>
      </w:r>
      <w:r>
        <w:rPr>
          <w:rFonts w:hint="eastAsia" w:ascii="宋体" w:hAnsi="宋体" w:cs="宋体"/>
          <w:highlight w:val="none"/>
        </w:rPr>
        <w:t>发包人</w:t>
      </w:r>
      <w:r>
        <w:rPr>
          <w:rFonts w:ascii="宋体" w:hAnsi="宋体" w:cs="宋体"/>
          <w:highlight w:val="none"/>
        </w:rPr>
        <w:t>要求提交施工图、设备、材料采购的技术文件等相关设计成果文件供招标使用。</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9.3</w:t>
      </w:r>
      <w:r>
        <w:rPr>
          <w:rFonts w:hint="eastAsia" w:ascii="宋体" w:hAnsi="宋体" w:cs="宋体"/>
          <w:kern w:val="0"/>
          <w:sz w:val="24"/>
          <w:highlight w:val="none"/>
        </w:rPr>
        <w:t>设计人向发包人提交的各版次设计成果文件应满足设计文件审批的要求及本合同工程各阶段建设的需要。同时，设计人应按照《广州市工程建设项目审批制度改革试点工作领导小组办公室关于开展房屋建筑工程电子图纸全过程流转应用工作的通知》的程序及要求，上传并进行电子图纸（CAD、BIM模型）的全过程流转工作。</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9.4</w:t>
      </w:r>
      <w:r>
        <w:rPr>
          <w:rFonts w:hint="eastAsia" w:ascii="宋体" w:hAnsi="宋体" w:cs="宋体"/>
          <w:kern w:val="0"/>
          <w:sz w:val="24"/>
          <w:highlight w:val="none"/>
        </w:rPr>
        <w:t>设计人按合同约定的时限将设计成果文件或资料交付至发包人指定的地点，相关费用（包括运输、邮寄、电传、关税等费用）已经含于设计费中。</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9.5</w:t>
      </w:r>
      <w:r>
        <w:rPr>
          <w:rFonts w:hint="eastAsia" w:ascii="宋体" w:hAnsi="宋体" w:cs="宋体"/>
          <w:kern w:val="0"/>
          <w:sz w:val="24"/>
          <w:highlight w:val="none"/>
        </w:rPr>
        <w:t>在报建过程中需要提供设计成果文件或设计中间资料的电子文档的，设计人应无偿提供。</w:t>
      </w:r>
    </w:p>
    <w:p>
      <w:pPr>
        <w:adjustRightInd w:val="0"/>
        <w:snapToGri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9.6</w:t>
      </w:r>
      <w:r>
        <w:rPr>
          <w:rFonts w:hint="eastAsia" w:ascii="宋体" w:hAnsi="宋体" w:cs="宋体"/>
          <w:kern w:val="0"/>
          <w:sz w:val="24"/>
          <w:highlight w:val="none"/>
        </w:rPr>
        <w:t>造价文件编制及报审工作</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a.编制合同设计范围内方案估算、初步设计概算；</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b.概算、招标控制价（包括概算复核、配合施工招标工作</w:t>
      </w:r>
      <w:r>
        <w:rPr>
          <w:rFonts w:hint="eastAsia" w:ascii="宋体" w:hAnsi="宋体" w:cs="宋体"/>
          <w:sz w:val="24"/>
          <w:highlight w:val="none"/>
        </w:rPr>
        <w:t>等</w:t>
      </w:r>
      <w:r>
        <w:rPr>
          <w:rFonts w:hint="eastAsia" w:ascii="宋体" w:hAnsi="宋体" w:cs="宋体"/>
          <w:kern w:val="0"/>
          <w:sz w:val="24"/>
          <w:highlight w:val="none"/>
        </w:rPr>
        <w:t>）、设计变更估算；</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c.负责配合初步设计概算送报审、评审、对数工作，</w:t>
      </w:r>
      <w:r>
        <w:rPr>
          <w:rFonts w:hint="eastAsia" w:ascii="宋体" w:hAnsi="宋体" w:cs="宋体"/>
          <w:sz w:val="24"/>
          <w:highlight w:val="none"/>
        </w:rPr>
        <w:t>配合发包人或发包人委托的第三方对施工图预算的审核工作</w:t>
      </w:r>
      <w:r>
        <w:rPr>
          <w:rFonts w:hint="eastAsia" w:ascii="宋体" w:hAnsi="宋体" w:cs="宋体"/>
          <w:kern w:val="0"/>
          <w:sz w:val="24"/>
          <w:highlight w:val="none"/>
        </w:rPr>
        <w:t>；</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d.各设计阶段进行各类方案比选时编制造价分析材料，给出造价分析结论；施工阶段，编制设计变更相应造价增减说明。</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 xml:space="preserve">9.7 </w:t>
      </w:r>
      <w:r>
        <w:rPr>
          <w:rFonts w:hint="eastAsia" w:ascii="宋体" w:hAnsi="宋体" w:cs="宋体"/>
          <w:kern w:val="0"/>
          <w:sz w:val="24"/>
          <w:highlight w:val="none"/>
        </w:rPr>
        <w:t>造价文件的提交。设计人提交的各阶段造价文件的数量及格式（含电子文件份数与格式）需同时满足合同及有权审核部门的要求。各阶段造价文件份数要求按本合同条款第9.1款执行。其他造价文件，均要求提供5份纸质文件及电子光盘两份。</w:t>
      </w:r>
    </w:p>
    <w:p>
      <w:pPr>
        <w:adjustRightInd w:val="0"/>
        <w:snapToGrid w:val="0"/>
        <w:spacing w:line="360" w:lineRule="auto"/>
        <w:ind w:firstLine="482" w:firstLineChars="200"/>
        <w:outlineLvl w:val="3"/>
        <w:rPr>
          <w:rFonts w:cs="宋体"/>
          <w:highlight w:val="none"/>
        </w:rPr>
      </w:pPr>
      <w:r>
        <w:rPr>
          <w:rFonts w:hint="eastAsia" w:ascii="宋体" w:hAnsi="宋体" w:cs="宋体"/>
          <w:b/>
          <w:kern w:val="0"/>
          <w:sz w:val="24"/>
          <w:highlight w:val="none"/>
        </w:rPr>
        <w:t>9.8</w:t>
      </w:r>
      <w:r>
        <w:rPr>
          <w:rFonts w:hint="eastAsia" w:ascii="宋体" w:hAnsi="宋体" w:cs="宋体"/>
          <w:bCs/>
          <w:kern w:val="0"/>
          <w:sz w:val="24"/>
          <w:highlight w:val="none"/>
        </w:rPr>
        <w:t>设计人提交的设计成果文件中图纸图签栏签名必须由设计人在投标文件中承诺的（或根据本合同条款第8.5款约定发包人要求更换并被接受的）项目负责人及各相应专业负责人签字或加盖私章，不得以印刷字代替。其中，根据本合同条款第5条的约定，经发包人同意分包的专项设计成果文件必须由设计人负责审核，并由设计人项目负责人签字或加盖私章。</w:t>
      </w:r>
    </w:p>
    <w:p>
      <w:pPr>
        <w:pStyle w:val="4"/>
        <w:keepNext w:val="0"/>
        <w:keepLines w:val="0"/>
        <w:adjustRightInd w:val="0"/>
        <w:snapToGrid w:val="0"/>
        <w:spacing w:before="0" w:after="0" w:line="360" w:lineRule="auto"/>
        <w:rPr>
          <w:rFonts w:ascii="宋体" w:hAnsi="宋体" w:cs="宋体"/>
          <w:color w:val="auto"/>
          <w:highlight w:val="none"/>
        </w:rPr>
      </w:pPr>
      <w:bookmarkStart w:id="85" w:name="_Toc3664"/>
      <w:bookmarkStart w:id="86" w:name="_Toc31880"/>
      <w:bookmarkStart w:id="87" w:name="_Toc11791"/>
      <w:bookmarkStart w:id="88" w:name="_Toc17555"/>
      <w:bookmarkStart w:id="89" w:name="_Toc17965"/>
      <w:bookmarkStart w:id="90" w:name="_Toc16362"/>
      <w:bookmarkStart w:id="91" w:name="_Toc31792"/>
    </w:p>
    <w:p>
      <w:pPr>
        <w:pStyle w:val="4"/>
        <w:keepNext w:val="0"/>
        <w:keepLines w:val="0"/>
        <w:adjustRightInd w:val="0"/>
        <w:snapToGrid w:val="0"/>
        <w:spacing w:before="0" w:after="0" w:line="360" w:lineRule="auto"/>
        <w:rPr>
          <w:rFonts w:ascii="宋体" w:hAnsi="宋体" w:cs="宋体"/>
          <w:color w:val="auto"/>
          <w:highlight w:val="none"/>
        </w:rPr>
      </w:pPr>
      <w:bookmarkStart w:id="92" w:name="_Toc2767"/>
      <w:bookmarkStart w:id="93" w:name="_Toc31025"/>
      <w:bookmarkStart w:id="94" w:name="_Toc21170"/>
      <w:bookmarkStart w:id="95" w:name="_Toc12399"/>
      <w:bookmarkStart w:id="96" w:name="_Toc31638"/>
      <w:r>
        <w:rPr>
          <w:rFonts w:hint="eastAsia" w:ascii="宋体" w:hAnsi="宋体" w:cs="宋体"/>
          <w:color w:val="auto"/>
          <w:highlight w:val="none"/>
        </w:rPr>
        <w:t xml:space="preserve">第四章 </w:t>
      </w:r>
      <w:r>
        <w:rPr>
          <w:rFonts w:hint="eastAsia" w:ascii="宋体" w:hAnsi="宋体" w:cs="宋体"/>
          <w:color w:val="auto"/>
          <w:highlight w:val="none"/>
          <w:lang w:val="en-US"/>
        </w:rPr>
        <w:t xml:space="preserve"> </w:t>
      </w:r>
      <w:r>
        <w:rPr>
          <w:rFonts w:hint="eastAsia" w:ascii="宋体" w:hAnsi="宋体" w:cs="宋体"/>
          <w:color w:val="auto"/>
          <w:highlight w:val="none"/>
        </w:rPr>
        <w:t>设计质量</w:t>
      </w:r>
      <w:bookmarkEnd w:id="85"/>
      <w:bookmarkEnd w:id="86"/>
      <w:bookmarkEnd w:id="87"/>
      <w:bookmarkEnd w:id="88"/>
      <w:bookmarkEnd w:id="89"/>
      <w:bookmarkEnd w:id="90"/>
      <w:bookmarkEnd w:id="91"/>
      <w:bookmarkEnd w:id="92"/>
      <w:bookmarkEnd w:id="93"/>
      <w:bookmarkEnd w:id="94"/>
      <w:bookmarkEnd w:id="95"/>
      <w:bookmarkEnd w:id="96"/>
    </w:p>
    <w:p>
      <w:pPr>
        <w:adjustRightInd w:val="0"/>
        <w:snapToGrid w:val="0"/>
        <w:spacing w:line="360" w:lineRule="auto"/>
        <w:ind w:firstLine="482" w:firstLineChars="200"/>
        <w:rPr>
          <w:rFonts w:ascii="宋体" w:hAnsi="宋体" w:cs="宋体"/>
          <w:b/>
          <w:kern w:val="0"/>
          <w:sz w:val="24"/>
          <w:highlight w:val="none"/>
        </w:rPr>
      </w:pPr>
    </w:p>
    <w:p>
      <w:pPr>
        <w:adjustRightInd w:val="0"/>
        <w:snapToGrid w:val="0"/>
        <w:spacing w:line="360" w:lineRule="auto"/>
        <w:ind w:firstLine="482" w:firstLineChars="200"/>
        <w:outlineLvl w:val="1"/>
        <w:rPr>
          <w:rFonts w:ascii="宋体" w:hAnsi="宋体" w:cs="宋体"/>
          <w:kern w:val="0"/>
          <w:sz w:val="24"/>
          <w:highlight w:val="none"/>
        </w:rPr>
      </w:pPr>
      <w:bookmarkStart w:id="97" w:name="_Toc2837"/>
      <w:bookmarkStart w:id="98" w:name="_Toc26426"/>
      <w:bookmarkStart w:id="99" w:name="_Toc29669"/>
      <w:bookmarkStart w:id="100" w:name="_Toc29564"/>
      <w:bookmarkStart w:id="101" w:name="_Toc8230"/>
      <w:bookmarkStart w:id="102" w:name="_Toc28931"/>
      <w:bookmarkStart w:id="103" w:name="_Toc24348"/>
      <w:bookmarkStart w:id="104" w:name="_Toc17038"/>
      <w:bookmarkStart w:id="105" w:name="_Toc11154"/>
      <w:bookmarkStart w:id="106" w:name="_Toc4349"/>
      <w:bookmarkStart w:id="107" w:name="_Toc7085"/>
      <w:bookmarkStart w:id="108" w:name="_Toc22948"/>
      <w:r>
        <w:rPr>
          <w:rFonts w:hint="eastAsia" w:ascii="宋体" w:hAnsi="宋体" w:cs="宋体"/>
          <w:b/>
          <w:kern w:val="0"/>
          <w:sz w:val="24"/>
          <w:highlight w:val="none"/>
        </w:rPr>
        <w:t>10、设计的质量要求</w:t>
      </w:r>
      <w:bookmarkEnd w:id="97"/>
      <w:bookmarkEnd w:id="98"/>
      <w:bookmarkEnd w:id="99"/>
      <w:bookmarkEnd w:id="100"/>
      <w:bookmarkEnd w:id="101"/>
      <w:bookmarkEnd w:id="102"/>
      <w:bookmarkEnd w:id="103"/>
      <w:bookmarkEnd w:id="104"/>
      <w:bookmarkEnd w:id="105"/>
      <w:bookmarkEnd w:id="106"/>
      <w:bookmarkEnd w:id="107"/>
      <w:bookmarkEnd w:id="108"/>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10.1</w:t>
      </w:r>
      <w:r>
        <w:rPr>
          <w:rFonts w:hint="eastAsia" w:ascii="宋体" w:hAnsi="宋体" w:cs="宋体"/>
          <w:kern w:val="0"/>
          <w:sz w:val="24"/>
          <w:highlight w:val="none"/>
        </w:rPr>
        <w:t>设计应体现发包人的建设意图，应符合有关法律、法规的规定，符合建设工程质量、安全标准，符合建设工程设计的技术规范（尤其是强制性规范），达到设计任务书的要求，满足本合同工程的功能需求。在控制投资的同时，做到美观、适用、安全、经济，并具备良好的节能环保特性，取得良好的社会效益。</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10.2</w:t>
      </w:r>
      <w:r>
        <w:rPr>
          <w:rFonts w:hint="eastAsia" w:ascii="宋体" w:hAnsi="宋体" w:cs="宋体"/>
          <w:kern w:val="0"/>
          <w:sz w:val="24"/>
          <w:highlight w:val="none"/>
        </w:rPr>
        <w:t>设计人的设计成果文件应满足现行有效的《建筑工程设计文件编制深度规定》</w:t>
      </w:r>
      <w:r>
        <w:rPr>
          <w:rFonts w:hint="eastAsia" w:ascii="宋体" w:hAnsi="宋体" w:cs="宋体"/>
          <w:bCs/>
          <w:kern w:val="0"/>
          <w:sz w:val="24"/>
          <w:highlight w:val="none"/>
        </w:rPr>
        <w:t>《市政公用工程设计文件编制深度规定》及其他设计文件编制深度要求</w:t>
      </w:r>
      <w:r>
        <w:rPr>
          <w:rFonts w:hint="eastAsia" w:ascii="宋体" w:hAnsi="宋体" w:cs="宋体"/>
          <w:kern w:val="0"/>
          <w:sz w:val="24"/>
          <w:highlight w:val="none"/>
        </w:rPr>
        <w:t>及</w:t>
      </w:r>
      <w:r>
        <w:rPr>
          <w:rFonts w:hint="eastAsia" w:ascii="宋体" w:hAnsi="宋体" w:cs="宋体"/>
          <w:bCs/>
          <w:kern w:val="0"/>
          <w:sz w:val="24"/>
          <w:highlight w:val="none"/>
        </w:rPr>
        <w:t>本项目基础资料和设计任务书</w:t>
      </w:r>
      <w:r>
        <w:rPr>
          <w:rFonts w:hint="eastAsia" w:ascii="宋体" w:hAnsi="宋体" w:cs="宋体"/>
          <w:kern w:val="0"/>
          <w:sz w:val="24"/>
          <w:highlight w:val="none"/>
        </w:rPr>
        <w:t>中的相关要求，并按照专家评审意见和发包人要求对设计进行深化、优化。设计人对本合同范围内的设计成果文件达到合同约定的相应设计深度负总体责任。</w:t>
      </w:r>
    </w:p>
    <w:p>
      <w:pPr>
        <w:adjustRightInd w:val="0"/>
        <w:snapToGrid w:val="0"/>
        <w:spacing w:line="360" w:lineRule="auto"/>
        <w:ind w:firstLine="482" w:firstLineChars="200"/>
        <w:rPr>
          <w:rFonts w:ascii="宋体" w:hAnsi="宋体" w:cs="宋体"/>
          <w:b/>
          <w:kern w:val="0"/>
          <w:sz w:val="24"/>
          <w:highlight w:val="none"/>
          <w:u w:val="single"/>
        </w:rPr>
      </w:pPr>
      <w:r>
        <w:rPr>
          <w:rFonts w:hint="eastAsia" w:ascii="宋体" w:hAnsi="宋体" w:cs="宋体"/>
          <w:b/>
          <w:sz w:val="24"/>
          <w:highlight w:val="none"/>
          <w:u w:val="single"/>
        </w:rPr>
        <w:t>10.3</w:t>
      </w:r>
      <w:r>
        <w:rPr>
          <w:rFonts w:hint="eastAsia" w:ascii="宋体" w:hAnsi="宋体" w:cs="宋体"/>
          <w:kern w:val="0"/>
          <w:sz w:val="24"/>
          <w:highlight w:val="none"/>
          <w:u w:val="single"/>
        </w:rPr>
        <w:t>设计人应遵守发包人或发包人上级单位发布的相关制度文件，遵照《广州安居集团有限公司建设工程设计管理办法》（试行）、《安居“好房子”项目绿化苗木选用及种植技术指引》《安居“好房子”项目小区道路及园林景观设计指引》等要求完成本项目的设计任务，按“好房子”的标准严把设计质量关、认真做好保障房的设计工作，杜绝出现《广州安居集团保障性住房项目设计评价标准及负面清单》（试行）中负面清单问题。</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本项目实行总建筑师负责制，总建筑师对设计方案及设计成果负责。设计人根据发包人管理要求开展看样定板相关工作，总建筑师全程参与看样定板，对定板材料签字确认；设计人须按发包人管理要求积极参与发包人组织的设计劳动竞赛，并无条件接受发包人作出的劳动竞赛结论。</w:t>
      </w:r>
    </w:p>
    <w:p>
      <w:pPr>
        <w:adjustRightInd w:val="0"/>
        <w:snapToGri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 xml:space="preserve">10.4 </w:t>
      </w:r>
      <w:r>
        <w:rPr>
          <w:rFonts w:hint="eastAsia" w:ascii="宋体" w:hAnsi="宋体" w:cs="宋体"/>
          <w:kern w:val="0"/>
          <w:sz w:val="24"/>
          <w:highlight w:val="none"/>
        </w:rPr>
        <w:t>设计人在设计过程中应考虑工程实施的可操作性，对工序方案提出相应的技术要求，应明确提出关键工序的工艺要求、质量控制要求及安全技术措施方案。</w:t>
      </w:r>
    </w:p>
    <w:p>
      <w:pPr>
        <w:adjustRightInd w:val="0"/>
        <w:snapToGrid w:val="0"/>
        <w:spacing w:line="360" w:lineRule="auto"/>
        <w:ind w:firstLine="482" w:firstLineChars="200"/>
        <w:rPr>
          <w:rFonts w:ascii="宋体" w:hAnsi="宋体" w:cs="宋体"/>
          <w:strike/>
          <w:kern w:val="0"/>
          <w:sz w:val="24"/>
          <w:highlight w:val="none"/>
        </w:rPr>
      </w:pPr>
      <w:r>
        <w:rPr>
          <w:rFonts w:hint="eastAsia" w:ascii="宋体" w:hAnsi="宋体" w:cs="宋体"/>
          <w:b/>
          <w:kern w:val="0"/>
          <w:sz w:val="24"/>
          <w:highlight w:val="none"/>
        </w:rPr>
        <w:t>10.5</w:t>
      </w:r>
      <w:r>
        <w:rPr>
          <w:rFonts w:hint="eastAsia" w:ascii="宋体" w:hAnsi="宋体" w:cs="宋体"/>
          <w:kern w:val="0"/>
          <w:sz w:val="24"/>
          <w:highlight w:val="none"/>
        </w:rPr>
        <w:t>设计成果文件的计量单位均应采用国际标准计量单位。</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10.6</w:t>
      </w:r>
      <w:r>
        <w:rPr>
          <w:rFonts w:hint="eastAsia" w:ascii="宋体" w:hAnsi="宋体" w:cs="宋体"/>
          <w:kern w:val="0"/>
          <w:sz w:val="24"/>
          <w:highlight w:val="none"/>
        </w:rPr>
        <w:t>设计图纸必须按照国家对工程图纸规格的规定绘制，保持同类图纸规格统一。</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10.7</w:t>
      </w:r>
      <w:r>
        <w:rPr>
          <w:rFonts w:hint="eastAsia" w:ascii="宋体" w:hAnsi="宋体" w:cs="宋体"/>
          <w:kern w:val="0"/>
          <w:sz w:val="24"/>
          <w:highlight w:val="none"/>
        </w:rPr>
        <w:t>设计人应根据政府主管部门、发包人及发包人委托的第三方对设计成果文件的审核意见对设计进行必要的修改。当设计人提交的设计成果文件不符合本合同所约定的质量要求时，设计人应在收到政府主管部门、发包人、发包人委托的第三方的通知后5天内将经过修改的符合规定的设计文件交付发包人。</w:t>
      </w:r>
    </w:p>
    <w:p>
      <w:pPr>
        <w:pStyle w:val="12"/>
        <w:adjustRightInd w:val="0"/>
        <w:snapToGrid w:val="0"/>
        <w:spacing w:line="360" w:lineRule="auto"/>
        <w:ind w:firstLine="482" w:firstLineChars="200"/>
        <w:rPr>
          <w:rFonts w:ascii="宋体" w:hAnsi="宋体" w:cs="宋体"/>
          <w:highlight w:val="none"/>
        </w:rPr>
      </w:pPr>
      <w:r>
        <w:rPr>
          <w:rFonts w:ascii="宋体" w:hAnsi="宋体" w:cs="宋体"/>
          <w:b/>
          <w:highlight w:val="none"/>
        </w:rPr>
        <w:t>10.</w:t>
      </w:r>
      <w:r>
        <w:rPr>
          <w:rFonts w:hint="eastAsia" w:cs="宋体"/>
          <w:b/>
          <w:highlight w:val="none"/>
        </w:rPr>
        <w:t>8</w:t>
      </w:r>
      <w:r>
        <w:rPr>
          <w:rFonts w:hint="eastAsia" w:ascii="宋体" w:hAnsi="宋体" w:cs="宋体"/>
          <w:highlight w:val="none"/>
        </w:rPr>
        <w:t>设计人</w:t>
      </w:r>
      <w:r>
        <w:rPr>
          <w:rFonts w:ascii="宋体" w:hAnsi="宋体" w:cs="宋体"/>
          <w:highlight w:val="none"/>
        </w:rPr>
        <w:t>应提供国际权威机构或国内有关部门对新材料及特殊结构的试验报告，并提供相应新材料及特殊结构在工程中应用的经验供</w:t>
      </w:r>
      <w:r>
        <w:rPr>
          <w:rFonts w:hint="eastAsia" w:ascii="宋体" w:hAnsi="宋体" w:cs="宋体"/>
          <w:highlight w:val="none"/>
        </w:rPr>
        <w:t>发包人</w:t>
      </w:r>
      <w:r>
        <w:rPr>
          <w:rFonts w:ascii="宋体" w:hAnsi="宋体" w:cs="宋体"/>
          <w:highlight w:val="none"/>
        </w:rPr>
        <w:t>参考。</w:t>
      </w:r>
    </w:p>
    <w:p>
      <w:pPr>
        <w:pStyle w:val="19"/>
        <w:adjustRightInd w:val="0"/>
        <w:snapToGrid w:val="0"/>
        <w:spacing w:line="360" w:lineRule="auto"/>
        <w:rPr>
          <w:rFonts w:cs="宋体"/>
          <w:highlight w:val="none"/>
        </w:rPr>
      </w:pPr>
      <w:bookmarkStart w:id="109" w:name="_Toc23009"/>
      <w:bookmarkStart w:id="110" w:name="_Toc15927"/>
      <w:bookmarkStart w:id="111" w:name="_Toc7421"/>
      <w:bookmarkStart w:id="112" w:name="_Toc20047"/>
      <w:bookmarkStart w:id="113" w:name="_Toc5255"/>
      <w:bookmarkStart w:id="114" w:name="_Toc24453"/>
    </w:p>
    <w:p>
      <w:pPr>
        <w:pStyle w:val="4"/>
        <w:keepNext w:val="0"/>
        <w:keepLines w:val="0"/>
        <w:adjustRightInd w:val="0"/>
        <w:snapToGrid w:val="0"/>
        <w:spacing w:before="0" w:after="0" w:line="360" w:lineRule="auto"/>
        <w:rPr>
          <w:rFonts w:ascii="宋体" w:hAnsi="宋体" w:cs="宋体"/>
          <w:color w:val="auto"/>
          <w:highlight w:val="none"/>
        </w:rPr>
      </w:pPr>
      <w:bookmarkStart w:id="115" w:name="_Toc25041"/>
      <w:bookmarkStart w:id="116" w:name="_Toc31746"/>
      <w:bookmarkStart w:id="117" w:name="_Toc11711"/>
      <w:bookmarkStart w:id="118" w:name="_Toc16379"/>
      <w:bookmarkStart w:id="119" w:name="_Toc24374"/>
      <w:bookmarkStart w:id="120" w:name="_Toc18957"/>
      <w:r>
        <w:rPr>
          <w:rFonts w:hint="eastAsia" w:ascii="宋体" w:hAnsi="宋体" w:cs="宋体"/>
          <w:color w:val="auto"/>
          <w:highlight w:val="none"/>
        </w:rPr>
        <w:t xml:space="preserve">第五章 </w:t>
      </w:r>
      <w:r>
        <w:rPr>
          <w:rFonts w:hint="eastAsia" w:ascii="宋体" w:hAnsi="宋体" w:cs="宋体"/>
          <w:color w:val="auto"/>
          <w:highlight w:val="none"/>
          <w:lang w:val="en-US"/>
        </w:rPr>
        <w:t xml:space="preserve"> </w:t>
      </w:r>
      <w:r>
        <w:rPr>
          <w:rFonts w:hint="eastAsia" w:ascii="宋体" w:hAnsi="宋体" w:cs="宋体"/>
          <w:color w:val="auto"/>
          <w:highlight w:val="none"/>
        </w:rPr>
        <w:t>设计事故</w:t>
      </w:r>
      <w:bookmarkEnd w:id="109"/>
      <w:bookmarkEnd w:id="110"/>
      <w:bookmarkEnd w:id="111"/>
      <w:bookmarkEnd w:id="112"/>
      <w:bookmarkEnd w:id="113"/>
      <w:bookmarkEnd w:id="114"/>
      <w:bookmarkEnd w:id="115"/>
      <w:bookmarkEnd w:id="116"/>
      <w:bookmarkEnd w:id="117"/>
      <w:bookmarkEnd w:id="118"/>
      <w:bookmarkEnd w:id="119"/>
      <w:bookmarkEnd w:id="120"/>
    </w:p>
    <w:p>
      <w:pPr>
        <w:pStyle w:val="12"/>
        <w:adjustRightInd w:val="0"/>
        <w:snapToGrid w:val="0"/>
        <w:spacing w:line="360" w:lineRule="auto"/>
        <w:ind w:firstLine="482" w:firstLineChars="200"/>
        <w:rPr>
          <w:rFonts w:ascii="宋体" w:hAnsi="宋体" w:cs="宋体"/>
          <w:b/>
          <w:highlight w:val="none"/>
        </w:rPr>
      </w:pPr>
    </w:p>
    <w:p>
      <w:pPr>
        <w:pStyle w:val="12"/>
        <w:adjustRightInd w:val="0"/>
        <w:snapToGrid w:val="0"/>
        <w:spacing w:line="360" w:lineRule="auto"/>
        <w:ind w:firstLine="482" w:firstLineChars="200"/>
        <w:outlineLvl w:val="1"/>
        <w:rPr>
          <w:rFonts w:ascii="宋体" w:hAnsi="宋体" w:cs="宋体"/>
          <w:b/>
          <w:highlight w:val="none"/>
        </w:rPr>
      </w:pPr>
      <w:bookmarkStart w:id="121" w:name="_Toc24230"/>
      <w:bookmarkStart w:id="122" w:name="_Toc17218"/>
      <w:bookmarkStart w:id="123" w:name="_Toc15786"/>
      <w:bookmarkStart w:id="124" w:name="_Toc31395"/>
      <w:bookmarkStart w:id="125" w:name="_Toc32091"/>
      <w:bookmarkStart w:id="126" w:name="_Toc12926"/>
      <w:bookmarkStart w:id="127" w:name="_Toc24957"/>
      <w:bookmarkStart w:id="128" w:name="_Toc7939"/>
      <w:bookmarkStart w:id="129" w:name="_Toc24382"/>
      <w:bookmarkStart w:id="130" w:name="_Toc29292"/>
      <w:bookmarkStart w:id="131" w:name="_Toc1683"/>
      <w:bookmarkStart w:id="132" w:name="_Toc17228"/>
      <w:r>
        <w:rPr>
          <w:rFonts w:ascii="宋体" w:hAnsi="宋体" w:cs="宋体"/>
          <w:b/>
          <w:highlight w:val="none"/>
        </w:rPr>
        <w:t>11、设计事故</w:t>
      </w:r>
      <w:bookmarkEnd w:id="121"/>
      <w:bookmarkEnd w:id="122"/>
      <w:bookmarkEnd w:id="123"/>
      <w:bookmarkEnd w:id="124"/>
      <w:bookmarkEnd w:id="125"/>
      <w:bookmarkEnd w:id="126"/>
      <w:bookmarkEnd w:id="127"/>
      <w:bookmarkEnd w:id="128"/>
      <w:bookmarkEnd w:id="129"/>
      <w:bookmarkEnd w:id="130"/>
      <w:bookmarkEnd w:id="131"/>
      <w:bookmarkEnd w:id="132"/>
    </w:p>
    <w:p>
      <w:pPr>
        <w:pStyle w:val="12"/>
        <w:adjustRightInd w:val="0"/>
        <w:snapToGrid w:val="0"/>
        <w:spacing w:line="360" w:lineRule="auto"/>
        <w:ind w:firstLine="482" w:firstLineChars="200"/>
        <w:outlineLvl w:val="3"/>
        <w:rPr>
          <w:rFonts w:ascii="宋体" w:hAnsi="宋体" w:cs="宋体"/>
          <w:highlight w:val="none"/>
        </w:rPr>
      </w:pPr>
      <w:r>
        <w:rPr>
          <w:rFonts w:ascii="宋体" w:hAnsi="宋体" w:cs="宋体"/>
          <w:b/>
          <w:highlight w:val="none"/>
        </w:rPr>
        <w:t>11.1</w:t>
      </w:r>
      <w:r>
        <w:rPr>
          <w:rFonts w:ascii="宋体" w:hAnsi="宋体" w:cs="宋体"/>
          <w:highlight w:val="none"/>
        </w:rPr>
        <w:t>按</w:t>
      </w:r>
      <w:r>
        <w:rPr>
          <w:rFonts w:hint="eastAsia" w:ascii="宋体" w:hAnsi="宋体" w:cs="宋体"/>
          <w:highlight w:val="none"/>
        </w:rPr>
        <w:t>设计人</w:t>
      </w:r>
      <w:r>
        <w:rPr>
          <w:rFonts w:ascii="宋体" w:hAnsi="宋体" w:cs="宋体"/>
          <w:highlight w:val="none"/>
        </w:rPr>
        <w:t>违约行为的严重，设计事故分为一类设计事故及二类设计事故，具体如下：</w:t>
      </w:r>
    </w:p>
    <w:p>
      <w:pPr>
        <w:pStyle w:val="12"/>
        <w:adjustRightInd w:val="0"/>
        <w:snapToGrid w:val="0"/>
        <w:spacing w:line="360" w:lineRule="auto"/>
        <w:ind w:firstLine="480" w:firstLineChars="200"/>
        <w:rPr>
          <w:rFonts w:ascii="宋体" w:hAnsi="宋体" w:cs="宋体"/>
          <w:highlight w:val="none"/>
        </w:rPr>
      </w:pPr>
      <w:r>
        <w:rPr>
          <w:rFonts w:ascii="宋体" w:hAnsi="宋体" w:cs="宋体"/>
          <w:highlight w:val="none"/>
        </w:rPr>
        <w:t>（1）一类设计事故（符合下列条件之一，但未达到二类设计事故标准的）：</w:t>
      </w:r>
    </w:p>
    <w:p>
      <w:pPr>
        <w:pStyle w:val="12"/>
        <w:adjustRightInd w:val="0"/>
        <w:snapToGrid w:val="0"/>
        <w:spacing w:line="360" w:lineRule="auto"/>
        <w:ind w:firstLine="480" w:firstLineChars="200"/>
        <w:rPr>
          <w:rFonts w:ascii="宋体" w:hAnsi="宋体" w:cs="宋体"/>
          <w:highlight w:val="none"/>
        </w:rPr>
      </w:pPr>
      <w:r>
        <w:rPr>
          <w:rFonts w:ascii="宋体" w:hAnsi="宋体" w:cs="宋体"/>
          <w:highlight w:val="none"/>
        </w:rPr>
        <w:t>①</w:t>
      </w:r>
      <w:r>
        <w:rPr>
          <w:rFonts w:hint="eastAsia" w:ascii="宋体" w:hAnsi="宋体" w:cs="宋体"/>
          <w:highlight w:val="none"/>
        </w:rPr>
        <w:t>设计人</w:t>
      </w:r>
      <w:r>
        <w:rPr>
          <w:rFonts w:ascii="宋体" w:hAnsi="宋体" w:cs="宋体"/>
          <w:highlight w:val="none"/>
        </w:rPr>
        <w:t>逾期提交设计成果文件10天以上（含10天）</w:t>
      </w:r>
      <w:r>
        <w:rPr>
          <w:rFonts w:hint="eastAsia" w:cs="宋体"/>
          <w:highlight w:val="none"/>
        </w:rPr>
        <w:t>，</w:t>
      </w:r>
      <w:r>
        <w:rPr>
          <w:rFonts w:ascii="宋体" w:hAnsi="宋体" w:cs="宋体"/>
          <w:highlight w:val="none"/>
        </w:rPr>
        <w:t>或累计达15天以上（含15天）；</w:t>
      </w:r>
    </w:p>
    <w:p>
      <w:pPr>
        <w:pStyle w:val="12"/>
        <w:adjustRightInd w:val="0"/>
        <w:snapToGrid w:val="0"/>
        <w:spacing w:line="360" w:lineRule="auto"/>
        <w:ind w:firstLine="480" w:firstLineChars="200"/>
        <w:rPr>
          <w:rFonts w:ascii="宋体" w:hAnsi="宋体" w:cs="宋体"/>
          <w:highlight w:val="none"/>
        </w:rPr>
      </w:pPr>
      <w:r>
        <w:rPr>
          <w:rFonts w:ascii="宋体" w:hAnsi="宋体" w:cs="宋体"/>
          <w:highlight w:val="none"/>
        </w:rPr>
        <w:t>②</w:t>
      </w:r>
      <w:r>
        <w:rPr>
          <w:rFonts w:hint="eastAsia" w:ascii="宋体" w:hAnsi="宋体" w:cs="宋体"/>
          <w:highlight w:val="none"/>
        </w:rPr>
        <w:t>设计人</w:t>
      </w:r>
      <w:r>
        <w:rPr>
          <w:rFonts w:ascii="宋体" w:hAnsi="宋体" w:cs="宋体"/>
          <w:highlight w:val="none"/>
        </w:rPr>
        <w:t>提交的设计成果文件违反国家相关强制性规定累计发生5例（含5例，设计成果文件中每1处违反1条强制性规定的为1例）；</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③如经过发包人或施工图审查单位或发包人委托的第三方对设计变更的审核，发现设计人违反合同约定对设计变更随意进行合并、分拆的累计出现4次以上（含4次）；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④如</w:t>
      </w:r>
      <w:r>
        <w:rPr>
          <w:rFonts w:hint="eastAsia" w:ascii="宋体" w:hAnsi="宋体" w:cs="宋体"/>
          <w:kern w:val="0"/>
          <w:sz w:val="24"/>
          <w:highlight w:val="none"/>
        </w:rPr>
        <w:t>设计人的设计成果文件中含有明显倾向于某一专门厂商生产的设备、材料的描述，或</w:t>
      </w:r>
      <w:r>
        <w:rPr>
          <w:rFonts w:hint="eastAsia" w:ascii="宋体" w:hAnsi="宋体" w:cs="宋体"/>
          <w:sz w:val="24"/>
          <w:highlight w:val="none"/>
        </w:rPr>
        <w:t xml:space="preserve">在其设计成果文件中选用了具有专一性、排他性的材料、设备而又未事先向发包人书面报告并详细说明理由的，累计出现4次以上（含4次）； </w:t>
      </w:r>
    </w:p>
    <w:p>
      <w:pPr>
        <w:pStyle w:val="12"/>
        <w:adjustRightInd w:val="0"/>
        <w:snapToGrid w:val="0"/>
        <w:spacing w:line="360" w:lineRule="auto"/>
        <w:ind w:firstLine="480" w:firstLineChars="200"/>
        <w:rPr>
          <w:rFonts w:ascii="宋体" w:hAnsi="宋体" w:cs="宋体"/>
          <w:highlight w:val="none"/>
        </w:rPr>
      </w:pPr>
      <w:r>
        <w:rPr>
          <w:rFonts w:ascii="宋体" w:hAnsi="宋体" w:cs="宋体"/>
          <w:highlight w:val="none"/>
        </w:rPr>
        <w:t>⑤</w:t>
      </w:r>
      <w:r>
        <w:rPr>
          <w:rFonts w:hint="eastAsia" w:ascii="宋体" w:hAnsi="宋体" w:cs="宋体"/>
          <w:highlight w:val="none"/>
        </w:rPr>
        <w:t>设计人</w:t>
      </w:r>
      <w:r>
        <w:rPr>
          <w:rFonts w:ascii="宋体" w:hAnsi="宋体" w:cs="宋体"/>
          <w:highlight w:val="none"/>
        </w:rPr>
        <w:t>设计成果文件出现错、漏、碰，直接导致</w:t>
      </w:r>
      <w:r>
        <w:rPr>
          <w:rFonts w:hint="eastAsia" w:ascii="宋体" w:hAnsi="宋体" w:cs="宋体"/>
          <w:highlight w:val="none"/>
        </w:rPr>
        <w:t>发包人</w:t>
      </w:r>
      <w:r>
        <w:rPr>
          <w:rFonts w:ascii="宋体" w:hAnsi="宋体" w:cs="宋体"/>
          <w:highlight w:val="none"/>
        </w:rPr>
        <w:t>招标工作进度、项目施工进度逾期累计7天以上（含7天），或累计达10天（含10天）以上的。</w:t>
      </w:r>
    </w:p>
    <w:p>
      <w:pPr>
        <w:pStyle w:val="12"/>
        <w:adjustRightInd w:val="0"/>
        <w:snapToGrid w:val="0"/>
        <w:spacing w:line="360" w:lineRule="auto"/>
        <w:ind w:firstLine="480" w:firstLineChars="200"/>
        <w:rPr>
          <w:rFonts w:ascii="宋体" w:hAnsi="宋体" w:cs="宋体"/>
          <w:highlight w:val="none"/>
        </w:rPr>
      </w:pPr>
      <w:r>
        <w:rPr>
          <w:rFonts w:ascii="宋体" w:hAnsi="宋体" w:cs="宋体"/>
          <w:highlight w:val="none"/>
        </w:rPr>
        <w:t>（2）二类设计事故（符合下列条件之一）：</w:t>
      </w:r>
    </w:p>
    <w:p>
      <w:pPr>
        <w:pStyle w:val="12"/>
        <w:adjustRightInd w:val="0"/>
        <w:snapToGrid w:val="0"/>
        <w:spacing w:line="360" w:lineRule="auto"/>
        <w:ind w:firstLine="480" w:firstLineChars="200"/>
        <w:rPr>
          <w:rFonts w:ascii="宋体" w:hAnsi="宋体" w:cs="宋体"/>
          <w:highlight w:val="none"/>
        </w:rPr>
      </w:pPr>
      <w:r>
        <w:rPr>
          <w:rFonts w:ascii="宋体" w:hAnsi="宋体" w:cs="宋体"/>
          <w:highlight w:val="none"/>
        </w:rPr>
        <w:t>①</w:t>
      </w:r>
      <w:r>
        <w:rPr>
          <w:rFonts w:hint="eastAsia" w:ascii="宋体" w:hAnsi="宋体" w:cs="宋体"/>
          <w:highlight w:val="none"/>
        </w:rPr>
        <w:t>设计人</w:t>
      </w:r>
      <w:r>
        <w:rPr>
          <w:rFonts w:ascii="宋体" w:hAnsi="宋体" w:cs="宋体"/>
          <w:highlight w:val="none"/>
        </w:rPr>
        <w:t>逾期提交设计成果文件15天（含15天），或累计达20天（含20天）的；</w:t>
      </w:r>
    </w:p>
    <w:p>
      <w:pPr>
        <w:pStyle w:val="12"/>
        <w:adjustRightInd w:val="0"/>
        <w:snapToGrid w:val="0"/>
        <w:spacing w:line="360" w:lineRule="auto"/>
        <w:ind w:firstLine="480" w:firstLineChars="200"/>
        <w:rPr>
          <w:rFonts w:ascii="宋体" w:hAnsi="宋体" w:cs="宋体"/>
          <w:highlight w:val="none"/>
        </w:rPr>
      </w:pPr>
      <w:r>
        <w:rPr>
          <w:rFonts w:ascii="宋体" w:hAnsi="宋体" w:cs="宋体"/>
          <w:highlight w:val="none"/>
        </w:rPr>
        <w:t>②</w:t>
      </w:r>
      <w:r>
        <w:rPr>
          <w:rFonts w:hint="eastAsia" w:ascii="宋体" w:hAnsi="宋体" w:cs="宋体"/>
          <w:highlight w:val="none"/>
        </w:rPr>
        <w:t>设计人</w:t>
      </w:r>
      <w:r>
        <w:rPr>
          <w:rFonts w:ascii="宋体" w:hAnsi="宋体" w:cs="宋体"/>
          <w:highlight w:val="none"/>
        </w:rPr>
        <w:t>提交的设计成果文件违反国家相关强制性规定累计发生7例（含7例，设计成果文件中每1处违反1条强制性规定的为1例）；</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③如经过发包人或施工图审查单位或发包人委托的第三方对设计变更的审核，发现设计人违反合同约定对设计变更随意进行合并、分拆的，累计出现7次（含7次）以上的；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④如</w:t>
      </w:r>
      <w:r>
        <w:rPr>
          <w:rFonts w:hint="eastAsia" w:ascii="宋体" w:hAnsi="宋体" w:cs="宋体"/>
          <w:kern w:val="0"/>
          <w:sz w:val="24"/>
          <w:highlight w:val="none"/>
        </w:rPr>
        <w:t>设计人的设计成果文件中含有明显倾向于某一专门厂商生产的设备、材料的描述，或</w:t>
      </w:r>
      <w:r>
        <w:rPr>
          <w:rFonts w:hint="eastAsia" w:ascii="宋体" w:hAnsi="宋体" w:cs="宋体"/>
          <w:sz w:val="24"/>
          <w:highlight w:val="none"/>
        </w:rPr>
        <w:t>在其设计成果文件中选用了具有专一性、排他性的材料、设备而又未事先向发包人书面报告并详细说明理由的，累计出现7次（含7次）以上的；</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⑤设计人的设计成果文件无法实施的（包括设计人的设计成果文件中明示的施工方案、工艺及措施难度极大或现有的施工条件无法实现的；设计成果文件中拟采用的材料设备无法采购的）；</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⑥设计人设计成果文件出现错、漏、碰，直接导致发包人招标工作进度、项目施工进度逾期累计10天（含10天），或累计达15天（含15天）以上的。</w:t>
      </w:r>
    </w:p>
    <w:p>
      <w:pPr>
        <w:adjustRightInd w:val="0"/>
        <w:snapToGrid w:val="0"/>
        <w:spacing w:line="360" w:lineRule="auto"/>
        <w:ind w:firstLine="482" w:firstLineChars="200"/>
        <w:outlineLvl w:val="3"/>
        <w:rPr>
          <w:rFonts w:ascii="宋体" w:hAnsi="宋体" w:cs="宋体"/>
          <w:sz w:val="24"/>
          <w:highlight w:val="none"/>
        </w:rPr>
      </w:pPr>
      <w:r>
        <w:rPr>
          <w:rFonts w:hint="eastAsia" w:ascii="宋体" w:hAnsi="宋体" w:cs="宋体"/>
          <w:b/>
          <w:sz w:val="24"/>
          <w:highlight w:val="none"/>
        </w:rPr>
        <w:t>11.2</w:t>
      </w:r>
      <w:r>
        <w:rPr>
          <w:rFonts w:hint="eastAsia" w:ascii="宋体" w:hAnsi="宋体" w:cs="宋体"/>
          <w:sz w:val="24"/>
          <w:highlight w:val="none"/>
        </w:rPr>
        <w:t>如发生设计事故，经过发包人审定，发包人有权部分解除合同或解除合同。</w:t>
      </w:r>
    </w:p>
    <w:p>
      <w:pPr>
        <w:adjustRightInd w:val="0"/>
        <w:snapToGrid w:val="0"/>
        <w:spacing w:line="360" w:lineRule="auto"/>
        <w:ind w:firstLine="482" w:firstLineChars="200"/>
        <w:outlineLvl w:val="3"/>
        <w:rPr>
          <w:rFonts w:ascii="宋体" w:hAnsi="宋体" w:cs="宋体"/>
          <w:sz w:val="24"/>
          <w:highlight w:val="none"/>
        </w:rPr>
      </w:pPr>
      <w:r>
        <w:rPr>
          <w:rFonts w:hint="eastAsia" w:ascii="宋体" w:hAnsi="宋体" w:cs="宋体"/>
          <w:b/>
          <w:sz w:val="24"/>
          <w:highlight w:val="none"/>
        </w:rPr>
        <w:t>11.3</w:t>
      </w:r>
      <w:r>
        <w:rPr>
          <w:rFonts w:hint="eastAsia" w:ascii="宋体" w:hAnsi="宋体" w:cs="宋体"/>
          <w:sz w:val="24"/>
          <w:highlight w:val="none"/>
        </w:rPr>
        <w:t>设计事故的认定方式及文件送达程序参照本合同条款第22.10款执行。</w:t>
      </w:r>
    </w:p>
    <w:p>
      <w:pPr>
        <w:adjustRightInd w:val="0"/>
        <w:snapToGrid w:val="0"/>
        <w:spacing w:line="360" w:lineRule="auto"/>
        <w:rPr>
          <w:rFonts w:ascii="宋体" w:hAnsi="宋体" w:cs="宋体"/>
          <w:b/>
          <w:sz w:val="24"/>
          <w:highlight w:val="none"/>
        </w:rPr>
      </w:pPr>
    </w:p>
    <w:p>
      <w:pPr>
        <w:adjustRightInd w:val="0"/>
        <w:snapToGrid w:val="0"/>
        <w:spacing w:line="360" w:lineRule="auto"/>
        <w:jc w:val="center"/>
        <w:outlineLvl w:val="0"/>
        <w:rPr>
          <w:rFonts w:ascii="宋体" w:hAnsi="宋体" w:cs="宋体"/>
          <w:b/>
          <w:sz w:val="24"/>
          <w:highlight w:val="none"/>
        </w:rPr>
      </w:pPr>
      <w:bookmarkStart w:id="133" w:name="_Toc15093"/>
      <w:bookmarkStart w:id="134" w:name="_Toc31932"/>
      <w:bookmarkStart w:id="135" w:name="_Toc22223"/>
      <w:bookmarkStart w:id="136" w:name="_Toc1228"/>
      <w:bookmarkStart w:id="137" w:name="_Toc7125"/>
      <w:bookmarkStart w:id="138" w:name="_Toc2347"/>
      <w:bookmarkStart w:id="139" w:name="_Toc30526"/>
      <w:bookmarkStart w:id="140" w:name="_Toc22220"/>
      <w:bookmarkStart w:id="141" w:name="_Toc7330"/>
      <w:bookmarkStart w:id="142" w:name="_Toc14042"/>
      <w:bookmarkStart w:id="143" w:name="_Toc30440"/>
      <w:bookmarkStart w:id="144" w:name="_Toc9439"/>
      <w:r>
        <w:rPr>
          <w:rFonts w:hint="eastAsia" w:ascii="宋体" w:hAnsi="宋体" w:cs="宋体"/>
          <w:b/>
          <w:sz w:val="24"/>
          <w:highlight w:val="none"/>
        </w:rPr>
        <w:t>第六章  设计变更</w:t>
      </w:r>
      <w:bookmarkEnd w:id="133"/>
      <w:bookmarkEnd w:id="134"/>
      <w:bookmarkEnd w:id="135"/>
      <w:bookmarkEnd w:id="136"/>
      <w:bookmarkEnd w:id="137"/>
      <w:bookmarkEnd w:id="138"/>
      <w:bookmarkEnd w:id="139"/>
      <w:bookmarkEnd w:id="140"/>
      <w:bookmarkEnd w:id="141"/>
      <w:bookmarkEnd w:id="142"/>
      <w:bookmarkEnd w:id="143"/>
      <w:bookmarkEnd w:id="144"/>
    </w:p>
    <w:p>
      <w:pPr>
        <w:adjustRightInd w:val="0"/>
        <w:snapToGrid w:val="0"/>
        <w:spacing w:line="360" w:lineRule="auto"/>
        <w:rPr>
          <w:rFonts w:ascii="宋体" w:hAnsi="宋体" w:cs="宋体"/>
          <w:b/>
          <w:kern w:val="0"/>
          <w:sz w:val="24"/>
          <w:highlight w:val="none"/>
        </w:rPr>
      </w:pPr>
    </w:p>
    <w:p>
      <w:pPr>
        <w:adjustRightInd w:val="0"/>
        <w:snapToGrid w:val="0"/>
        <w:spacing w:line="360" w:lineRule="auto"/>
        <w:ind w:firstLine="482" w:firstLineChars="200"/>
        <w:outlineLvl w:val="1"/>
        <w:rPr>
          <w:rFonts w:ascii="宋体" w:hAnsi="宋体" w:cs="宋体"/>
          <w:b/>
          <w:kern w:val="0"/>
          <w:sz w:val="24"/>
          <w:highlight w:val="none"/>
        </w:rPr>
      </w:pPr>
      <w:bookmarkStart w:id="145" w:name="_Toc22239"/>
      <w:bookmarkStart w:id="146" w:name="_Toc5937"/>
      <w:bookmarkStart w:id="147" w:name="_Toc15268"/>
      <w:bookmarkStart w:id="148" w:name="_Toc11524"/>
      <w:bookmarkStart w:id="149" w:name="_Toc23722"/>
      <w:bookmarkStart w:id="150" w:name="_Toc22724"/>
      <w:bookmarkStart w:id="151" w:name="_Toc14967"/>
      <w:bookmarkStart w:id="152" w:name="_Toc14270"/>
      <w:bookmarkStart w:id="153" w:name="_Toc26035"/>
      <w:bookmarkStart w:id="154" w:name="_Toc26253"/>
      <w:bookmarkStart w:id="155" w:name="_Toc18664"/>
      <w:bookmarkStart w:id="156" w:name="_Toc9915"/>
      <w:r>
        <w:rPr>
          <w:rFonts w:hint="eastAsia" w:ascii="宋体" w:hAnsi="宋体" w:cs="宋体"/>
          <w:b/>
          <w:kern w:val="0"/>
          <w:sz w:val="24"/>
          <w:highlight w:val="none"/>
        </w:rPr>
        <w:t>12、设计变更</w:t>
      </w:r>
      <w:bookmarkEnd w:id="145"/>
      <w:bookmarkEnd w:id="146"/>
      <w:bookmarkEnd w:id="147"/>
      <w:bookmarkEnd w:id="148"/>
      <w:bookmarkEnd w:id="149"/>
      <w:bookmarkEnd w:id="150"/>
      <w:bookmarkEnd w:id="151"/>
      <w:bookmarkEnd w:id="152"/>
      <w:bookmarkEnd w:id="153"/>
      <w:bookmarkEnd w:id="154"/>
      <w:bookmarkEnd w:id="155"/>
      <w:bookmarkEnd w:id="156"/>
    </w:p>
    <w:p>
      <w:pPr>
        <w:pStyle w:val="12"/>
        <w:adjustRightInd w:val="0"/>
        <w:snapToGrid w:val="0"/>
        <w:spacing w:line="360" w:lineRule="auto"/>
        <w:ind w:firstLine="482" w:firstLineChars="200"/>
        <w:rPr>
          <w:rFonts w:ascii="宋体" w:hAnsi="宋体" w:cs="宋体"/>
          <w:bCs/>
          <w:highlight w:val="none"/>
        </w:rPr>
      </w:pPr>
      <w:r>
        <w:rPr>
          <w:rFonts w:ascii="宋体" w:hAnsi="宋体" w:cs="宋体"/>
          <w:b/>
          <w:highlight w:val="none"/>
        </w:rPr>
        <w:t xml:space="preserve">12.1 </w:t>
      </w:r>
      <w:r>
        <w:rPr>
          <w:rFonts w:hint="eastAsia" w:ascii="宋体" w:hAnsi="宋体" w:cs="宋体"/>
          <w:bCs/>
          <w:highlight w:val="none"/>
        </w:rPr>
        <w:t>设计人</w:t>
      </w:r>
      <w:r>
        <w:rPr>
          <w:rFonts w:ascii="宋体" w:hAnsi="宋体" w:cs="宋体"/>
          <w:bCs/>
          <w:highlight w:val="none"/>
        </w:rPr>
        <w:t>应本着对工程质量、工期、投资等三大控制相结合的原则及</w:t>
      </w:r>
      <w:r>
        <w:rPr>
          <w:rFonts w:hint="eastAsia" w:ascii="宋体" w:hAnsi="宋体" w:cs="宋体"/>
          <w:bCs/>
          <w:highlight w:val="none"/>
        </w:rPr>
        <w:t>发包人</w:t>
      </w:r>
      <w:r>
        <w:rPr>
          <w:rFonts w:ascii="宋体" w:hAnsi="宋体" w:cs="宋体"/>
          <w:bCs/>
          <w:highlight w:val="none"/>
        </w:rPr>
        <w:t>现行《设计变更管理办法》中的相关规定对设计变更进行管理。</w:t>
      </w:r>
    </w:p>
    <w:p>
      <w:pPr>
        <w:pStyle w:val="12"/>
        <w:adjustRightInd w:val="0"/>
        <w:snapToGrid w:val="0"/>
        <w:spacing w:line="360" w:lineRule="auto"/>
        <w:ind w:firstLine="482" w:firstLineChars="200"/>
        <w:rPr>
          <w:rFonts w:ascii="宋体" w:hAnsi="宋体" w:cs="宋体"/>
          <w:highlight w:val="none"/>
        </w:rPr>
      </w:pPr>
      <w:r>
        <w:rPr>
          <w:rFonts w:ascii="宋体" w:hAnsi="宋体" w:cs="宋体"/>
          <w:b/>
          <w:highlight w:val="none"/>
        </w:rPr>
        <w:t>12.2</w:t>
      </w:r>
      <w:r>
        <w:rPr>
          <w:rFonts w:ascii="宋体" w:hAnsi="宋体" w:cs="宋体"/>
          <w:highlight w:val="none"/>
        </w:rPr>
        <w:t>由于</w:t>
      </w:r>
      <w:r>
        <w:rPr>
          <w:rFonts w:hint="eastAsia" w:ascii="宋体" w:hAnsi="宋体" w:cs="宋体"/>
          <w:highlight w:val="none"/>
        </w:rPr>
        <w:t>设计人</w:t>
      </w:r>
      <w:r>
        <w:rPr>
          <w:rFonts w:ascii="宋体" w:hAnsi="宋体" w:cs="宋体"/>
          <w:highlight w:val="none"/>
        </w:rPr>
        <w:t>的成果文件的完整性及有效性问题、设计错误、对设计基础资料选用不当、专业间接口出现矛盾等造成的设计更改（包括因此而发生的</w:t>
      </w:r>
      <w:r>
        <w:rPr>
          <w:rFonts w:hint="eastAsia" w:ascii="宋体" w:hAnsi="宋体" w:cs="宋体"/>
          <w:highlight w:val="none"/>
        </w:rPr>
        <w:t>发包人</w:t>
      </w:r>
      <w:r>
        <w:rPr>
          <w:rFonts w:ascii="宋体" w:hAnsi="宋体" w:cs="宋体"/>
          <w:highlight w:val="none"/>
        </w:rPr>
        <w:t>另外发包的专项工程设计变更），</w:t>
      </w:r>
      <w:r>
        <w:rPr>
          <w:rFonts w:hint="eastAsia" w:ascii="宋体" w:hAnsi="宋体" w:cs="宋体"/>
          <w:highlight w:val="none"/>
        </w:rPr>
        <w:t>设计人</w:t>
      </w:r>
      <w:r>
        <w:rPr>
          <w:rFonts w:ascii="宋体" w:hAnsi="宋体" w:cs="宋体"/>
          <w:highlight w:val="none"/>
        </w:rPr>
        <w:t>应按照</w:t>
      </w:r>
      <w:r>
        <w:rPr>
          <w:rFonts w:hint="eastAsia" w:ascii="宋体" w:hAnsi="宋体" w:cs="宋体"/>
          <w:highlight w:val="none"/>
        </w:rPr>
        <w:t>发包人</w:t>
      </w:r>
      <w:r>
        <w:rPr>
          <w:rFonts w:ascii="宋体" w:hAnsi="宋体" w:cs="宋体"/>
          <w:highlight w:val="none"/>
        </w:rPr>
        <w:t>规定的时间提交设计变更，并按本合同条款第22条的相关约定承担违约责任。</w:t>
      </w:r>
    </w:p>
    <w:p>
      <w:pPr>
        <w:pStyle w:val="12"/>
        <w:adjustRightInd w:val="0"/>
        <w:snapToGrid w:val="0"/>
        <w:spacing w:line="360" w:lineRule="auto"/>
        <w:ind w:firstLine="482" w:firstLineChars="200"/>
        <w:rPr>
          <w:rFonts w:ascii="宋体" w:hAnsi="宋体" w:cs="宋体"/>
          <w:highlight w:val="none"/>
        </w:rPr>
      </w:pPr>
      <w:r>
        <w:rPr>
          <w:rFonts w:ascii="宋体" w:hAnsi="宋体" w:cs="宋体"/>
          <w:b/>
          <w:highlight w:val="none"/>
        </w:rPr>
        <w:t>12.3</w:t>
      </w:r>
      <w:r>
        <w:rPr>
          <w:rFonts w:hint="eastAsia" w:ascii="宋体" w:hAnsi="宋体" w:cs="宋体"/>
          <w:highlight w:val="none"/>
        </w:rPr>
        <w:t>设计人</w:t>
      </w:r>
      <w:r>
        <w:rPr>
          <w:rFonts w:ascii="宋体" w:hAnsi="宋体" w:cs="宋体"/>
          <w:highlight w:val="none"/>
        </w:rPr>
        <w:t>应充分考虑中国的施工安装条件和水平、材料供应的条件（即充分考虑设计与施工的衔接），若由于设计错误导致无法施工或采购材料，</w:t>
      </w:r>
      <w:r>
        <w:rPr>
          <w:rFonts w:hint="eastAsia" w:ascii="宋体" w:hAnsi="宋体" w:cs="宋体"/>
          <w:highlight w:val="none"/>
        </w:rPr>
        <w:t>设计人</w:t>
      </w:r>
      <w:r>
        <w:rPr>
          <w:rFonts w:ascii="宋体" w:hAnsi="宋体" w:cs="宋体"/>
          <w:highlight w:val="none"/>
        </w:rPr>
        <w:t>应无条件修改或重新设计，并按本合同条款第22条的相关约定承担违约责任。</w:t>
      </w:r>
    </w:p>
    <w:p>
      <w:pPr>
        <w:pStyle w:val="12"/>
        <w:adjustRightInd w:val="0"/>
        <w:snapToGrid w:val="0"/>
        <w:spacing w:line="360" w:lineRule="auto"/>
        <w:ind w:firstLine="482" w:firstLineChars="200"/>
        <w:rPr>
          <w:rFonts w:ascii="宋体" w:hAnsi="宋体" w:cs="宋体"/>
          <w:highlight w:val="none"/>
        </w:rPr>
      </w:pPr>
      <w:r>
        <w:rPr>
          <w:rFonts w:ascii="宋体" w:hAnsi="宋体" w:cs="宋体"/>
          <w:b/>
          <w:highlight w:val="none"/>
        </w:rPr>
        <w:t>12.4</w:t>
      </w:r>
      <w:r>
        <w:rPr>
          <w:rFonts w:hint="eastAsia" w:ascii="宋体" w:hAnsi="宋体" w:cs="宋体"/>
          <w:highlight w:val="none"/>
        </w:rPr>
        <w:t>设计人</w:t>
      </w:r>
      <w:r>
        <w:rPr>
          <w:rFonts w:ascii="宋体" w:hAnsi="宋体" w:cs="宋体"/>
          <w:highlight w:val="none"/>
        </w:rPr>
        <w:t>负责根据国家及地方的相关规范、规定及</w:t>
      </w:r>
      <w:r>
        <w:rPr>
          <w:rFonts w:hint="eastAsia" w:ascii="宋体" w:hAnsi="宋体" w:cs="宋体"/>
          <w:bCs/>
          <w:highlight w:val="none"/>
          <w:u w:val="single"/>
        </w:rPr>
        <w:t>发包人</w:t>
      </w:r>
      <w:r>
        <w:rPr>
          <w:rFonts w:ascii="宋体" w:hAnsi="宋体" w:cs="宋体"/>
          <w:bCs/>
          <w:highlight w:val="none"/>
          <w:u w:val="single"/>
        </w:rPr>
        <w:t>现行《设计变更管理办法》</w:t>
      </w:r>
      <w:r>
        <w:rPr>
          <w:rFonts w:ascii="宋体" w:hAnsi="宋体" w:cs="宋体"/>
          <w:highlight w:val="none"/>
        </w:rPr>
        <w:t>对本合同实施过程中产生的图纸会审记录进行审核；图纸会审记录中的内容须</w:t>
      </w:r>
      <w:r>
        <w:rPr>
          <w:rFonts w:hint="eastAsia" w:ascii="宋体" w:hAnsi="宋体" w:cs="宋体"/>
          <w:highlight w:val="none"/>
        </w:rPr>
        <w:t>设计人</w:t>
      </w:r>
      <w:r>
        <w:rPr>
          <w:rFonts w:ascii="宋体" w:hAnsi="宋体" w:cs="宋体"/>
          <w:highlight w:val="none"/>
        </w:rPr>
        <w:t>核准并转化为设计变更后方可作为正式的设计文件执行。</w:t>
      </w:r>
    </w:p>
    <w:p>
      <w:pPr>
        <w:pStyle w:val="12"/>
        <w:adjustRightInd w:val="0"/>
        <w:snapToGrid w:val="0"/>
        <w:spacing w:line="360" w:lineRule="auto"/>
        <w:ind w:firstLine="482" w:firstLineChars="200"/>
        <w:rPr>
          <w:rFonts w:ascii="宋体" w:hAnsi="宋体" w:cs="宋体"/>
          <w:highlight w:val="none"/>
        </w:rPr>
      </w:pPr>
      <w:r>
        <w:rPr>
          <w:rFonts w:ascii="宋体" w:hAnsi="宋体" w:cs="宋体"/>
          <w:b/>
          <w:highlight w:val="none"/>
        </w:rPr>
        <w:t>12.5</w:t>
      </w:r>
      <w:r>
        <w:rPr>
          <w:rFonts w:hint="eastAsia" w:ascii="宋体" w:hAnsi="宋体" w:cs="宋体"/>
          <w:highlight w:val="none"/>
        </w:rPr>
        <w:t>设计人</w:t>
      </w:r>
      <w:r>
        <w:rPr>
          <w:rFonts w:ascii="宋体" w:hAnsi="宋体" w:cs="宋体"/>
          <w:highlight w:val="none"/>
        </w:rPr>
        <w:t>应在设计变更正式发出前对可能的方案进行比选，综合考虑工期、质量、造价等方面的因素，确保设计变更的经济性及有效性。</w:t>
      </w:r>
    </w:p>
    <w:p>
      <w:pPr>
        <w:pStyle w:val="12"/>
        <w:adjustRightInd w:val="0"/>
        <w:snapToGrid w:val="0"/>
        <w:spacing w:line="360" w:lineRule="auto"/>
        <w:ind w:firstLine="482" w:firstLineChars="200"/>
        <w:rPr>
          <w:rFonts w:ascii="宋体" w:hAnsi="宋体" w:cs="宋体"/>
          <w:highlight w:val="none"/>
        </w:rPr>
      </w:pPr>
      <w:r>
        <w:rPr>
          <w:rFonts w:ascii="宋体" w:hAnsi="宋体" w:cs="宋体"/>
          <w:b/>
          <w:highlight w:val="none"/>
        </w:rPr>
        <w:t>12.6</w:t>
      </w:r>
      <w:r>
        <w:rPr>
          <w:rFonts w:hint="eastAsia" w:ascii="宋体" w:hAnsi="宋体" w:cs="宋体"/>
          <w:highlight w:val="none"/>
        </w:rPr>
        <w:t>设计人</w:t>
      </w:r>
      <w:r>
        <w:rPr>
          <w:rFonts w:ascii="宋体" w:hAnsi="宋体" w:cs="宋体"/>
          <w:highlight w:val="none"/>
        </w:rPr>
        <w:t>应对本合同范围内的由其他设计单位发出的设计变更（包括由</w:t>
      </w:r>
      <w:r>
        <w:rPr>
          <w:rFonts w:hint="eastAsia" w:ascii="宋体" w:hAnsi="宋体" w:cs="宋体"/>
          <w:highlight w:val="none"/>
        </w:rPr>
        <w:t>发包人</w:t>
      </w:r>
      <w:r>
        <w:rPr>
          <w:rFonts w:ascii="宋体" w:hAnsi="宋体" w:cs="宋体"/>
          <w:highlight w:val="none"/>
        </w:rPr>
        <w:t>另行发包的专项工程设计的设计变更和</w:t>
      </w:r>
      <w:r>
        <w:rPr>
          <w:rFonts w:hint="eastAsia" w:ascii="宋体" w:hAnsi="宋体" w:cs="宋体"/>
          <w:highlight w:val="none"/>
        </w:rPr>
        <w:t>设计人</w:t>
      </w:r>
      <w:r>
        <w:rPr>
          <w:rFonts w:ascii="宋体" w:hAnsi="宋体" w:cs="宋体"/>
          <w:highlight w:val="none"/>
        </w:rPr>
        <w:t>分包的设计项目的设计变更）进行预审把关、审核及确认，确保本合同工程设计的总体性、完整性及相关专项设计满足工程投资控制的要求。</w:t>
      </w:r>
    </w:p>
    <w:p>
      <w:pPr>
        <w:pStyle w:val="12"/>
        <w:adjustRightInd w:val="0"/>
        <w:snapToGrid w:val="0"/>
        <w:spacing w:line="360" w:lineRule="auto"/>
        <w:ind w:firstLine="482" w:firstLineChars="200"/>
        <w:rPr>
          <w:rFonts w:ascii="宋体" w:hAnsi="宋体" w:cs="宋体"/>
          <w:highlight w:val="none"/>
        </w:rPr>
      </w:pPr>
      <w:r>
        <w:rPr>
          <w:rFonts w:ascii="宋体" w:hAnsi="宋体" w:cs="宋体"/>
          <w:b/>
          <w:highlight w:val="none"/>
        </w:rPr>
        <w:t>12.7</w:t>
      </w:r>
      <w:r>
        <w:rPr>
          <w:rFonts w:hint="eastAsia" w:ascii="宋体" w:hAnsi="宋体" w:cs="宋体"/>
          <w:highlight w:val="none"/>
        </w:rPr>
        <w:t>设计人</w:t>
      </w:r>
      <w:r>
        <w:rPr>
          <w:rFonts w:ascii="宋体" w:hAnsi="宋体" w:cs="宋体"/>
          <w:highlight w:val="none"/>
        </w:rPr>
        <w:t>应对本合同范围内的设计变更（包括由</w:t>
      </w:r>
      <w:r>
        <w:rPr>
          <w:rFonts w:hint="eastAsia" w:ascii="宋体" w:hAnsi="宋体" w:cs="宋体"/>
          <w:highlight w:val="none"/>
        </w:rPr>
        <w:t>发包人</w:t>
      </w:r>
      <w:r>
        <w:rPr>
          <w:rFonts w:ascii="宋体" w:hAnsi="宋体" w:cs="宋体"/>
          <w:highlight w:val="none"/>
        </w:rPr>
        <w:t>另行发包的专项工程设计的设计变更和</w:t>
      </w:r>
      <w:r>
        <w:rPr>
          <w:rFonts w:hint="eastAsia" w:ascii="宋体" w:hAnsi="宋体" w:cs="宋体"/>
          <w:highlight w:val="none"/>
        </w:rPr>
        <w:t>设计人</w:t>
      </w:r>
      <w:r>
        <w:rPr>
          <w:rFonts w:ascii="宋体" w:hAnsi="宋体" w:cs="宋体"/>
          <w:highlight w:val="none"/>
        </w:rPr>
        <w:t>分包的设计部分的设计变更）的完整性、有效性、正确性、可靠性、可操作性、经济性负总体责任，</w:t>
      </w:r>
      <w:r>
        <w:rPr>
          <w:rFonts w:hint="eastAsia" w:ascii="宋体" w:hAnsi="宋体" w:cs="宋体"/>
          <w:highlight w:val="none"/>
        </w:rPr>
        <w:t>设计人</w:t>
      </w:r>
      <w:r>
        <w:rPr>
          <w:rFonts w:ascii="宋体" w:hAnsi="宋体" w:cs="宋体"/>
          <w:highlight w:val="none"/>
        </w:rPr>
        <w:t>应按</w:t>
      </w:r>
      <w:r>
        <w:rPr>
          <w:rFonts w:hint="eastAsia" w:ascii="宋体" w:hAnsi="宋体" w:cs="宋体"/>
          <w:bCs/>
          <w:highlight w:val="none"/>
        </w:rPr>
        <w:t>发包人</w:t>
      </w:r>
      <w:r>
        <w:rPr>
          <w:rFonts w:ascii="宋体" w:hAnsi="宋体" w:cs="宋体"/>
          <w:bCs/>
          <w:highlight w:val="none"/>
        </w:rPr>
        <w:t>现行《设计变更管理办法》</w:t>
      </w:r>
      <w:r>
        <w:rPr>
          <w:rFonts w:ascii="宋体" w:hAnsi="宋体" w:cs="宋体"/>
          <w:highlight w:val="none"/>
        </w:rPr>
        <w:t>的相关要求对设计变更进行管理，不得随意分拆、合并设计变更。</w:t>
      </w:r>
    </w:p>
    <w:p>
      <w:pPr>
        <w:pStyle w:val="12"/>
        <w:adjustRightInd w:val="0"/>
        <w:snapToGrid w:val="0"/>
        <w:spacing w:line="360" w:lineRule="auto"/>
        <w:ind w:firstLine="482" w:firstLineChars="200"/>
        <w:rPr>
          <w:rFonts w:ascii="宋体" w:hAnsi="宋体" w:cs="宋体"/>
          <w:highlight w:val="none"/>
        </w:rPr>
      </w:pPr>
      <w:r>
        <w:rPr>
          <w:rFonts w:ascii="宋体" w:hAnsi="宋体" w:cs="宋体"/>
          <w:b/>
          <w:highlight w:val="none"/>
        </w:rPr>
        <w:t>12.8</w:t>
      </w:r>
      <w:r>
        <w:rPr>
          <w:rFonts w:hint="eastAsia" w:ascii="宋体" w:hAnsi="宋体" w:cs="宋体"/>
          <w:highlight w:val="none"/>
        </w:rPr>
        <w:t>设计人</w:t>
      </w:r>
      <w:r>
        <w:rPr>
          <w:rFonts w:ascii="宋体" w:hAnsi="宋体" w:cs="宋体"/>
          <w:highlight w:val="none"/>
        </w:rPr>
        <w:t>应准确判定设计变更的类别，对因设计变更而引起的工程造价变化须提出</w:t>
      </w:r>
      <w:r>
        <w:rPr>
          <w:rFonts w:hint="eastAsia" w:ascii="宋体" w:hAnsi="宋体" w:cs="宋体"/>
          <w:highlight w:val="none"/>
        </w:rPr>
        <w:t>估算</w:t>
      </w:r>
      <w:r>
        <w:rPr>
          <w:rFonts w:ascii="宋体" w:hAnsi="宋体" w:cs="宋体"/>
          <w:highlight w:val="none"/>
        </w:rPr>
        <w:t>造价分析，提交设计变更对工期影响评估的书面意见。</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12.9</w:t>
      </w:r>
      <w:r>
        <w:rPr>
          <w:rFonts w:hint="eastAsia" w:ascii="宋体" w:hAnsi="宋体" w:cs="宋体"/>
          <w:kern w:val="0"/>
          <w:sz w:val="24"/>
          <w:highlight w:val="none"/>
        </w:rPr>
        <w:t>设计人有关设计的任何修改、变动或由于修改设计所引起的工艺、技术、材料、设备的变更均须经过发包人的同意。</w:t>
      </w:r>
    </w:p>
    <w:p>
      <w:pPr>
        <w:adjustRightInd w:val="0"/>
        <w:snapToGrid w:val="0"/>
        <w:spacing w:line="360" w:lineRule="auto"/>
        <w:ind w:firstLine="472" w:firstLineChars="196"/>
        <w:rPr>
          <w:rFonts w:ascii="宋体" w:hAnsi="宋体" w:cs="宋体"/>
          <w:b/>
          <w:kern w:val="0"/>
          <w:sz w:val="24"/>
          <w:highlight w:val="none"/>
        </w:rPr>
      </w:pPr>
    </w:p>
    <w:p>
      <w:pPr>
        <w:pStyle w:val="4"/>
        <w:keepNext w:val="0"/>
        <w:keepLines w:val="0"/>
        <w:adjustRightInd w:val="0"/>
        <w:snapToGrid w:val="0"/>
        <w:spacing w:before="0" w:after="0" w:line="360" w:lineRule="auto"/>
        <w:rPr>
          <w:rFonts w:ascii="宋体" w:hAnsi="宋体" w:cs="宋体"/>
          <w:color w:val="auto"/>
          <w:highlight w:val="none"/>
        </w:rPr>
      </w:pPr>
      <w:bookmarkStart w:id="157" w:name="_Toc22501"/>
      <w:bookmarkStart w:id="158" w:name="_Toc3973"/>
      <w:bookmarkStart w:id="159" w:name="_Toc19847"/>
      <w:bookmarkStart w:id="160" w:name="_Toc25913"/>
      <w:bookmarkStart w:id="161" w:name="_Toc29825"/>
      <w:bookmarkStart w:id="162" w:name="_Toc24790"/>
      <w:bookmarkStart w:id="163" w:name="_Toc9508"/>
      <w:bookmarkStart w:id="164" w:name="_Toc31448"/>
      <w:bookmarkStart w:id="165" w:name="_Toc1368"/>
      <w:bookmarkStart w:id="166" w:name="_Toc5473"/>
      <w:bookmarkStart w:id="167" w:name="_Toc6329"/>
      <w:bookmarkStart w:id="168" w:name="_Toc4374"/>
      <w:r>
        <w:rPr>
          <w:rFonts w:hint="eastAsia" w:ascii="宋体" w:hAnsi="宋体" w:cs="宋体"/>
          <w:color w:val="auto"/>
          <w:highlight w:val="none"/>
        </w:rPr>
        <w:t>第七章</w:t>
      </w:r>
      <w:r>
        <w:rPr>
          <w:rFonts w:hint="eastAsia" w:ascii="宋体" w:hAnsi="宋体" w:cs="宋体"/>
          <w:color w:val="auto"/>
          <w:highlight w:val="none"/>
          <w:lang w:val="en-US"/>
        </w:rPr>
        <w:t xml:space="preserve"> </w:t>
      </w:r>
      <w:r>
        <w:rPr>
          <w:rFonts w:hint="eastAsia" w:ascii="宋体" w:hAnsi="宋体" w:cs="宋体"/>
          <w:color w:val="auto"/>
          <w:highlight w:val="none"/>
        </w:rPr>
        <w:t xml:space="preserve"> 工程投资控制</w:t>
      </w:r>
      <w:bookmarkEnd w:id="157"/>
      <w:bookmarkEnd w:id="158"/>
      <w:bookmarkEnd w:id="159"/>
      <w:bookmarkEnd w:id="160"/>
      <w:bookmarkEnd w:id="161"/>
      <w:bookmarkEnd w:id="162"/>
      <w:bookmarkEnd w:id="163"/>
      <w:bookmarkEnd w:id="164"/>
      <w:bookmarkEnd w:id="165"/>
      <w:bookmarkEnd w:id="166"/>
      <w:bookmarkEnd w:id="167"/>
      <w:bookmarkEnd w:id="168"/>
    </w:p>
    <w:p>
      <w:pPr>
        <w:adjustRightInd w:val="0"/>
        <w:snapToGrid w:val="0"/>
        <w:spacing w:line="360" w:lineRule="auto"/>
        <w:ind w:firstLine="482" w:firstLineChars="200"/>
        <w:rPr>
          <w:rFonts w:ascii="宋体" w:hAnsi="宋体" w:cs="宋体"/>
          <w:b/>
          <w:kern w:val="0"/>
          <w:sz w:val="24"/>
          <w:highlight w:val="none"/>
        </w:rPr>
      </w:pPr>
    </w:p>
    <w:p>
      <w:pPr>
        <w:adjustRightInd w:val="0"/>
        <w:snapToGrid w:val="0"/>
        <w:spacing w:line="360" w:lineRule="auto"/>
        <w:ind w:firstLine="482" w:firstLineChars="200"/>
        <w:outlineLvl w:val="1"/>
        <w:rPr>
          <w:rFonts w:ascii="宋体" w:hAnsi="宋体" w:cs="宋体"/>
          <w:b/>
          <w:kern w:val="0"/>
          <w:sz w:val="24"/>
          <w:highlight w:val="none"/>
        </w:rPr>
      </w:pPr>
      <w:bookmarkStart w:id="169" w:name="_Toc19216"/>
      <w:bookmarkStart w:id="170" w:name="_Toc11645"/>
      <w:bookmarkStart w:id="171" w:name="_Toc30471"/>
      <w:bookmarkStart w:id="172" w:name="_Toc11207"/>
      <w:bookmarkStart w:id="173" w:name="_Toc1536"/>
      <w:bookmarkStart w:id="174" w:name="_Toc18555"/>
      <w:bookmarkStart w:id="175" w:name="_Toc19540"/>
      <w:bookmarkStart w:id="176" w:name="_Toc28560"/>
      <w:bookmarkStart w:id="177" w:name="_Toc27259"/>
      <w:bookmarkStart w:id="178" w:name="_Toc3276"/>
      <w:bookmarkStart w:id="179" w:name="_Toc21051"/>
      <w:bookmarkStart w:id="180" w:name="_Toc30328"/>
      <w:r>
        <w:rPr>
          <w:rFonts w:hint="eastAsia" w:ascii="宋体" w:hAnsi="宋体" w:cs="宋体"/>
          <w:b/>
          <w:kern w:val="0"/>
          <w:sz w:val="24"/>
          <w:highlight w:val="none"/>
        </w:rPr>
        <w:t>13、工程投资控制</w:t>
      </w:r>
      <w:bookmarkEnd w:id="169"/>
      <w:bookmarkEnd w:id="170"/>
      <w:bookmarkEnd w:id="171"/>
      <w:bookmarkEnd w:id="172"/>
      <w:bookmarkEnd w:id="173"/>
      <w:bookmarkEnd w:id="174"/>
      <w:bookmarkEnd w:id="175"/>
      <w:bookmarkEnd w:id="176"/>
      <w:bookmarkEnd w:id="177"/>
      <w:bookmarkEnd w:id="178"/>
      <w:bookmarkEnd w:id="179"/>
      <w:bookmarkEnd w:id="180"/>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13.1</w:t>
      </w:r>
      <w:r>
        <w:rPr>
          <w:rFonts w:hint="eastAsia" w:ascii="宋体" w:hAnsi="宋体" w:cs="宋体"/>
          <w:kern w:val="0"/>
          <w:sz w:val="24"/>
          <w:highlight w:val="none"/>
        </w:rPr>
        <w:t>设计人须严格落实限额设计要求。设计人承诺在不降低设计任务书中的主要设计指标（建筑高度、建筑面积等）的前提下，确保工程设计概算不超过有权审批（核准）部门审批（核准）的工程投资估算总额，施工图预算不超过有权审核部门审定工程设计概算中的建安工程费总额。</w:t>
      </w:r>
    </w:p>
    <w:p>
      <w:pPr>
        <w:adjustRightInd w:val="0"/>
        <w:snapToGrid w:val="0"/>
        <w:spacing w:line="360" w:lineRule="auto"/>
        <w:ind w:firstLine="482" w:firstLineChars="200"/>
        <w:outlineLvl w:val="3"/>
        <w:rPr>
          <w:rFonts w:ascii="宋体" w:hAnsi="宋体" w:cs="宋体"/>
          <w:kern w:val="0"/>
          <w:sz w:val="24"/>
          <w:highlight w:val="none"/>
          <w:u w:val="single"/>
        </w:rPr>
      </w:pPr>
      <w:r>
        <w:rPr>
          <w:rFonts w:hint="eastAsia" w:ascii="宋体" w:hAnsi="宋体" w:cs="宋体"/>
          <w:b/>
          <w:kern w:val="0"/>
          <w:sz w:val="24"/>
          <w:highlight w:val="none"/>
        </w:rPr>
        <w:t>13.2</w:t>
      </w:r>
      <w:r>
        <w:rPr>
          <w:rFonts w:hint="eastAsia" w:ascii="宋体" w:hAnsi="宋体" w:cs="宋体"/>
          <w:kern w:val="0"/>
          <w:sz w:val="24"/>
          <w:highlight w:val="none"/>
        </w:rPr>
        <w:t>设计人编制的方案估算需达到工程设计概算总表深度，编制的工程设计概算需满足有权审核部门评审的要求，编制的设计变更估算达到施工图预算深度要求，其他各阶段的造价文件编制需满足对应阶段造价文件深度要求。</w:t>
      </w:r>
      <w:r>
        <w:rPr>
          <w:rFonts w:hint="eastAsia" w:ascii="宋体" w:hAnsi="宋体" w:cs="宋体"/>
          <w:kern w:val="0"/>
          <w:sz w:val="24"/>
          <w:highlight w:val="none"/>
          <w:u w:val="single"/>
        </w:rPr>
        <w:t>编制投资估算、概算等建设工程造价文件的质量偏差率，分别不得超过规定的20%、10%。</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13.3</w:t>
      </w:r>
      <w:r>
        <w:rPr>
          <w:rFonts w:hint="eastAsia" w:ascii="宋体" w:hAnsi="宋体" w:cs="宋体"/>
          <w:kern w:val="0"/>
          <w:sz w:val="24"/>
          <w:highlight w:val="none"/>
        </w:rPr>
        <w:t>设计人须保证所提供的初步设计成果文件中的工程设计概算的准确性。工程设计概算应是依据初步设计中主要材料及设备的量、价清单编制的，是客观、准确、可行的，并已包括依据国家、广东省、广州市有关法律、行政法规和政策性造价管理文件所规定的所有计费内容。发包人及时提供与本合同工程有关的资料和协助。</w:t>
      </w:r>
    </w:p>
    <w:p>
      <w:pPr>
        <w:adjustRightInd w:val="0"/>
        <w:snapToGrid w:val="0"/>
        <w:spacing w:line="360" w:lineRule="auto"/>
        <w:ind w:firstLine="482" w:firstLineChars="200"/>
        <w:rPr>
          <w:rFonts w:ascii="宋体" w:hAnsi="宋体" w:cs="宋体"/>
          <w:kern w:val="0"/>
          <w:sz w:val="24"/>
          <w:highlight w:val="none"/>
        </w:rPr>
      </w:pPr>
      <w:r>
        <w:rPr>
          <w:rFonts w:hint="eastAsia" w:ascii="宋体" w:hAnsi="宋体" w:cs="宋体"/>
          <w:b/>
          <w:bCs/>
          <w:kern w:val="0"/>
          <w:sz w:val="24"/>
          <w:highlight w:val="none"/>
        </w:rPr>
        <w:t>13.</w:t>
      </w:r>
      <w:r>
        <w:rPr>
          <w:rFonts w:hint="eastAsia" w:ascii="宋体" w:hAnsi="宋体" w:cs="宋体"/>
          <w:b/>
          <w:kern w:val="0"/>
          <w:sz w:val="24"/>
          <w:highlight w:val="none"/>
        </w:rPr>
        <w:t>4</w:t>
      </w:r>
      <w:r>
        <w:rPr>
          <w:rFonts w:hint="eastAsia" w:ascii="宋体" w:hAnsi="宋体" w:cs="宋体"/>
          <w:kern w:val="0"/>
          <w:sz w:val="24"/>
          <w:highlight w:val="none"/>
        </w:rPr>
        <w:t>设计人须严格落实限额设计，配合发包人或施工单位编制及审核施工图预算，并保证施工图预算不超经审定的概算建安工程费总额。如因设计人过错导致施工图预算超经审定的概算建安工程费总额，设计人需无条件修正施工图设计，保证设计质量和施工进度，并承担相应责任。</w:t>
      </w:r>
    </w:p>
    <w:p>
      <w:pPr>
        <w:pStyle w:val="12"/>
        <w:adjustRightInd w:val="0"/>
        <w:snapToGrid w:val="0"/>
        <w:spacing w:line="360" w:lineRule="auto"/>
        <w:ind w:firstLine="480" w:firstLineChars="200"/>
        <w:rPr>
          <w:rFonts w:ascii="宋体" w:hAnsi="宋体" w:cs="宋体"/>
          <w:highlight w:val="none"/>
        </w:rPr>
      </w:pPr>
    </w:p>
    <w:p>
      <w:pPr>
        <w:pStyle w:val="4"/>
        <w:keepNext w:val="0"/>
        <w:keepLines w:val="0"/>
        <w:adjustRightInd w:val="0"/>
        <w:snapToGrid w:val="0"/>
        <w:spacing w:before="0" w:after="0" w:line="360" w:lineRule="auto"/>
        <w:rPr>
          <w:rFonts w:ascii="宋体" w:hAnsi="宋体" w:cs="宋体"/>
          <w:color w:val="auto"/>
          <w:highlight w:val="none"/>
        </w:rPr>
      </w:pPr>
      <w:bookmarkStart w:id="181" w:name="_Toc23600"/>
      <w:bookmarkStart w:id="182" w:name="_Toc12729"/>
      <w:bookmarkStart w:id="183" w:name="_Toc27858"/>
      <w:bookmarkStart w:id="184" w:name="_Toc30469"/>
      <w:bookmarkStart w:id="185" w:name="_Toc6905"/>
      <w:bookmarkStart w:id="186" w:name="_Toc24536"/>
      <w:bookmarkStart w:id="187" w:name="_Toc19933"/>
      <w:bookmarkStart w:id="188" w:name="_Toc5122"/>
      <w:bookmarkStart w:id="189" w:name="_Toc12408"/>
      <w:bookmarkStart w:id="190" w:name="_Toc23782"/>
      <w:bookmarkStart w:id="191" w:name="_Toc27597"/>
      <w:bookmarkStart w:id="192" w:name="_Toc20046"/>
      <w:r>
        <w:rPr>
          <w:rFonts w:hint="eastAsia" w:ascii="宋体" w:hAnsi="宋体" w:cs="宋体"/>
          <w:color w:val="auto"/>
          <w:highlight w:val="none"/>
        </w:rPr>
        <w:t xml:space="preserve">第八章 </w:t>
      </w:r>
      <w:r>
        <w:rPr>
          <w:rFonts w:hint="eastAsia" w:ascii="宋体" w:hAnsi="宋体" w:cs="宋体"/>
          <w:color w:val="auto"/>
          <w:highlight w:val="none"/>
          <w:lang w:val="en-US"/>
        </w:rPr>
        <w:t xml:space="preserve"> </w:t>
      </w:r>
      <w:r>
        <w:rPr>
          <w:rFonts w:hint="eastAsia" w:ascii="宋体" w:hAnsi="宋体" w:cs="宋体"/>
          <w:color w:val="auto"/>
          <w:highlight w:val="none"/>
        </w:rPr>
        <w:t>设计评审</w:t>
      </w:r>
      <w:bookmarkEnd w:id="181"/>
      <w:bookmarkEnd w:id="182"/>
      <w:bookmarkEnd w:id="183"/>
      <w:bookmarkEnd w:id="184"/>
      <w:bookmarkEnd w:id="185"/>
      <w:bookmarkEnd w:id="186"/>
      <w:bookmarkEnd w:id="187"/>
      <w:bookmarkEnd w:id="188"/>
      <w:bookmarkEnd w:id="189"/>
      <w:bookmarkEnd w:id="190"/>
      <w:bookmarkEnd w:id="191"/>
      <w:bookmarkEnd w:id="192"/>
    </w:p>
    <w:p>
      <w:pPr>
        <w:adjustRightInd w:val="0"/>
        <w:snapToGrid w:val="0"/>
        <w:spacing w:line="360" w:lineRule="auto"/>
        <w:ind w:firstLine="480"/>
        <w:rPr>
          <w:rFonts w:ascii="宋体" w:hAnsi="宋体" w:cs="宋体"/>
          <w:b/>
          <w:kern w:val="0"/>
          <w:sz w:val="24"/>
          <w:highlight w:val="none"/>
        </w:rPr>
      </w:pPr>
    </w:p>
    <w:p>
      <w:pPr>
        <w:adjustRightInd w:val="0"/>
        <w:snapToGrid w:val="0"/>
        <w:spacing w:line="360" w:lineRule="auto"/>
        <w:ind w:firstLine="482" w:firstLineChars="200"/>
        <w:outlineLvl w:val="1"/>
        <w:rPr>
          <w:rFonts w:ascii="宋体" w:hAnsi="宋体" w:cs="宋体"/>
          <w:b/>
          <w:kern w:val="0"/>
          <w:sz w:val="24"/>
          <w:highlight w:val="none"/>
        </w:rPr>
      </w:pPr>
      <w:bookmarkStart w:id="193" w:name="_Toc30292"/>
      <w:bookmarkStart w:id="194" w:name="_Toc12327"/>
      <w:bookmarkStart w:id="195" w:name="_Toc9939"/>
      <w:bookmarkStart w:id="196" w:name="_Toc14439"/>
      <w:bookmarkStart w:id="197" w:name="_Toc2537"/>
      <w:bookmarkStart w:id="198" w:name="_Toc9339"/>
      <w:bookmarkStart w:id="199" w:name="_Toc23796"/>
      <w:bookmarkStart w:id="200" w:name="_Toc14447"/>
      <w:bookmarkStart w:id="201" w:name="_Toc6802"/>
      <w:bookmarkStart w:id="202" w:name="_Toc22585"/>
      <w:bookmarkStart w:id="203" w:name="_Toc9516"/>
      <w:bookmarkStart w:id="204" w:name="_Toc12679"/>
      <w:r>
        <w:rPr>
          <w:rFonts w:hint="eastAsia" w:ascii="宋体" w:hAnsi="宋体" w:cs="宋体"/>
          <w:b/>
          <w:kern w:val="0"/>
          <w:sz w:val="24"/>
          <w:highlight w:val="none"/>
        </w:rPr>
        <w:t>14、设计评审</w:t>
      </w:r>
      <w:bookmarkEnd w:id="193"/>
      <w:bookmarkEnd w:id="194"/>
      <w:bookmarkEnd w:id="195"/>
      <w:bookmarkEnd w:id="196"/>
      <w:bookmarkEnd w:id="197"/>
      <w:bookmarkEnd w:id="198"/>
      <w:bookmarkEnd w:id="199"/>
      <w:bookmarkEnd w:id="200"/>
      <w:bookmarkEnd w:id="201"/>
      <w:bookmarkEnd w:id="202"/>
      <w:bookmarkEnd w:id="203"/>
      <w:bookmarkEnd w:id="204"/>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14.1</w:t>
      </w:r>
      <w:r>
        <w:rPr>
          <w:rFonts w:hint="eastAsia" w:ascii="宋体" w:hAnsi="宋体" w:cs="宋体"/>
          <w:sz w:val="24"/>
          <w:highlight w:val="none"/>
        </w:rPr>
        <w:t>对设计人设计成果文件的设计评审包括国家相关行政主管部门及行业主管部门的审查、施工图审查单位的审查、发包人的设计管理部门及技术评审部门评审、发包人组织的专家评审。</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14.2</w:t>
      </w:r>
      <w:r>
        <w:rPr>
          <w:rFonts w:hint="eastAsia" w:ascii="宋体" w:hAnsi="宋体" w:cs="宋体"/>
          <w:kern w:val="0"/>
          <w:sz w:val="24"/>
          <w:highlight w:val="none"/>
        </w:rPr>
        <w:t xml:space="preserve"> 设计评审的依据包括：</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（1）国家、省、市的施工图设计审查的相关规定；</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（2）消防、节能、环保、抗震、卫生、人防等有关工程建设的强制性标准和规范；</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（3）本合同工程的相关政府批文（包括但不限于立项许可/备案文件、用地规划文件等）；</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（4）本合同中与设计工作的内容、范围、管理、服务相关的约定；</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（5）发包人关于设计、图档、图文、工程等的相关管理办法及规定；</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（6）政府相关行政主管部门、行业主管部门对设计人设计成果文件的审批意见；</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（7）发包人在设计过程中提出的明确书面意见。</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 xml:space="preserve">14.3 </w:t>
      </w:r>
      <w:r>
        <w:rPr>
          <w:rFonts w:hint="eastAsia" w:ascii="宋体" w:hAnsi="宋体" w:cs="宋体"/>
          <w:kern w:val="0"/>
          <w:sz w:val="24"/>
          <w:highlight w:val="none"/>
        </w:rPr>
        <w:t>设计人应根据政府相关行政主管部门、行业主管部门的审批意见无条件地修改、完善各阶段的设计成果文件，确保其满足相关的审批要求；设计人应根据施工图审查单位的审查、发包人的设计评审、发包人组织的专业人士评审的意见对设计成果文件进行修改、完善。</w:t>
      </w:r>
    </w:p>
    <w:p>
      <w:pPr>
        <w:adjustRightInd w:val="0"/>
        <w:snapToGrid w:val="0"/>
        <w:spacing w:line="360" w:lineRule="auto"/>
        <w:ind w:firstLine="480" w:firstLineChars="200"/>
        <w:outlineLvl w:val="3"/>
        <w:rPr>
          <w:rFonts w:ascii="宋体" w:hAnsi="宋体" w:cs="宋体"/>
          <w:kern w:val="0"/>
          <w:sz w:val="24"/>
          <w:highlight w:val="none"/>
        </w:rPr>
      </w:pPr>
      <w:r>
        <w:rPr>
          <w:rFonts w:hint="eastAsia" w:ascii="宋体" w:hAnsi="宋体" w:cs="宋体"/>
          <w:kern w:val="0"/>
          <w:sz w:val="24"/>
          <w:highlight w:val="none"/>
        </w:rPr>
        <w:t>发包人将组织专家对方案设计（含规划、专项方案设计）、初步设计及施工图设计成果文件进行质量审核，相关审核费用（含场地费、专家劳务费等）由设计人在工程设计费中综合考虑，不再另行计取。如审核发现相关设计成果文件不符合国家设计规范要求、设计深度要求，存在错漏碰、不完整、不合理、不统一等情况，设计人应及时对设计文件进行修改、完善。</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14.4</w:t>
      </w:r>
      <w:r>
        <w:rPr>
          <w:rFonts w:hint="eastAsia" w:ascii="宋体" w:hAnsi="宋体" w:cs="宋体"/>
          <w:kern w:val="0"/>
          <w:sz w:val="24"/>
          <w:highlight w:val="none"/>
        </w:rPr>
        <w:t>设计人对发包人组织的专家评审意见存在异议的，在不违反消防、节能、环保、抗震、卫生、人防等国家有关工程建设的强制性标准和规范的前提下，以发包人最终认定的意见为准。设计人应在设计评审的最终意见发出之后5天内完成其设计范围内设计成果文件的修改完善工作并提交发包人。</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14.5</w:t>
      </w:r>
      <w:r>
        <w:rPr>
          <w:rFonts w:hint="eastAsia" w:ascii="宋体" w:hAnsi="宋体" w:cs="宋体"/>
          <w:kern w:val="0"/>
          <w:sz w:val="24"/>
          <w:highlight w:val="none"/>
        </w:rPr>
        <w:t>如设计人未能在设计评审的最终意见发出之日起3日内积极响应，或逾期未能完成相关设计成果文件的修改完善工作，设计人应按本合同条款第22条的相关约定承担违约责任。发包人有权直接按设计评审的最终评审意见实施（但不因此免除设计人的相关设计责任）或直接委托其他设计单位进行相关的设计修改和完善，另行委托设计的相关费用（按需要进行修改完善部分的建安工程费占审定概算建安工程费之和的比例乘以本合同设计费计取）从本合同设计收费中扣取。</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kern w:val="0"/>
          <w:sz w:val="24"/>
          <w:highlight w:val="none"/>
        </w:rPr>
        <w:t>14.6</w:t>
      </w:r>
      <w:r>
        <w:rPr>
          <w:rFonts w:hint="eastAsia" w:ascii="宋体" w:hAnsi="宋体" w:cs="宋体"/>
          <w:kern w:val="0"/>
          <w:sz w:val="24"/>
          <w:highlight w:val="none"/>
        </w:rPr>
        <w:t xml:space="preserve"> 发包人有权根据设计人提交的各阶段的设计成果文件的设计评审意见、设计人在履行合同各阶段提供的设计服务（包括报审报建服务、招标配合服务、施工阶段的现场服务、结算配合服务的评价、保修阶段的服务）的实际情况，依照发包人现行管理制度对设计人进行考核，并根据考核结果按照本合同条款的相关约定支付设计收费。</w:t>
      </w:r>
    </w:p>
    <w:p>
      <w:pPr>
        <w:adjustRightInd w:val="0"/>
        <w:snapToGrid w:val="0"/>
        <w:spacing w:line="360" w:lineRule="auto"/>
        <w:ind w:firstLine="482" w:firstLineChars="200"/>
        <w:outlineLvl w:val="3"/>
        <w:rPr>
          <w:rFonts w:ascii="宋体" w:hAnsi="宋体" w:cs="宋体"/>
          <w:kern w:val="0"/>
          <w:sz w:val="24"/>
          <w:highlight w:val="none"/>
        </w:rPr>
      </w:pPr>
      <w:r>
        <w:rPr>
          <w:rFonts w:hint="eastAsia" w:ascii="宋体" w:hAnsi="宋体" w:cs="宋体"/>
          <w:b/>
          <w:bCs/>
          <w:kern w:val="0"/>
          <w:sz w:val="24"/>
          <w:highlight w:val="none"/>
        </w:rPr>
        <w:t>14.7</w:t>
      </w:r>
      <w:r>
        <w:rPr>
          <w:rFonts w:hint="eastAsia" w:ascii="宋体" w:hAnsi="宋体" w:cs="宋体"/>
          <w:kern w:val="0"/>
          <w:sz w:val="24"/>
          <w:highlight w:val="none"/>
        </w:rPr>
        <w:t>施工阶段，如因设计人自身设计问题导致需要组织专家评审会对设计成果文件进行审核、论证的，由此产生的审核、论证相关费用由设计人自行承担。</w:t>
      </w:r>
    </w:p>
    <w:p>
      <w:pPr>
        <w:spacing w:line="360" w:lineRule="auto"/>
        <w:ind w:firstLine="640" w:firstLineChars="200"/>
        <w:rPr>
          <w:rFonts w:ascii="Times New Roman" w:hAnsi="Times New Roman" w:eastAsia="仿宋_GB2312"/>
          <w:sz w:val="32"/>
          <w:szCs w:val="32"/>
          <w:highlight w:val="none"/>
        </w:rPr>
      </w:pPr>
    </w:p>
    <w:p>
      <w:pPr>
        <w:pStyle w:val="2"/>
        <w:spacing w:after="0" w:line="360" w:lineRule="auto"/>
        <w:ind w:left="0" w:right="0" w:firstLine="0"/>
        <w:jc w:val="center"/>
        <w:rPr>
          <w:rFonts w:ascii="宋体" w:hAnsi="宋体" w:cs="宋体"/>
          <w:sz w:val="28"/>
          <w:szCs w:val="28"/>
          <w:highlight w:val="none"/>
        </w:rPr>
      </w:pPr>
      <w:r>
        <w:rPr>
          <w:rFonts w:hint="eastAsia" w:ascii="宋体" w:hAnsi="宋体" w:cs="宋体"/>
          <w:sz w:val="28"/>
          <w:szCs w:val="28"/>
          <w:highlight w:val="none"/>
        </w:rPr>
        <w:t>《设计服务人员配备要求表》</w:t>
      </w:r>
    </w:p>
    <w:tbl>
      <w:tblPr>
        <w:tblStyle w:val="15"/>
        <w:tblW w:w="53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5245"/>
        <w:gridCol w:w="127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0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专业分工</w:t>
            </w:r>
          </w:p>
        </w:tc>
        <w:tc>
          <w:tcPr>
            <w:tcW w:w="285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专业职称</w:t>
            </w:r>
          </w:p>
        </w:tc>
        <w:tc>
          <w:tcPr>
            <w:tcW w:w="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最低投入</w:t>
            </w:r>
          </w:p>
          <w:p>
            <w:pPr>
              <w:snapToGrid w:val="0"/>
              <w:jc w:val="center"/>
              <w:rPr>
                <w:rFonts w:hint="eastAsia" w:ascii="宋体" w:hAnsi="宋体" w:cs="宋体"/>
                <w:sz w:val="24"/>
                <w:highlight w:val="none"/>
              </w:rPr>
            </w:pPr>
            <w:r>
              <w:rPr>
                <w:rFonts w:hint="eastAsia" w:ascii="宋体" w:hAnsi="宋体" w:cs="宋体"/>
                <w:sz w:val="24"/>
                <w:highlight w:val="none"/>
              </w:rPr>
              <w:t>人数要求</w:t>
            </w:r>
          </w:p>
        </w:tc>
        <w:tc>
          <w:tcPr>
            <w:tcW w:w="3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总负责人</w:t>
            </w:r>
          </w:p>
        </w:tc>
        <w:tc>
          <w:tcPr>
            <w:tcW w:w="285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设计单位副职领导及以上职务</w:t>
            </w:r>
          </w:p>
        </w:tc>
        <w:tc>
          <w:tcPr>
            <w:tcW w:w="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1</w:t>
            </w:r>
          </w:p>
        </w:tc>
        <w:tc>
          <w:tcPr>
            <w:tcW w:w="386" w:type="pct"/>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项目负责人</w:t>
            </w:r>
          </w:p>
        </w:tc>
        <w:tc>
          <w:tcPr>
            <w:tcW w:w="285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按招标公告要求</w:t>
            </w:r>
          </w:p>
        </w:tc>
        <w:tc>
          <w:tcPr>
            <w:tcW w:w="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1</w:t>
            </w:r>
          </w:p>
        </w:tc>
        <w:tc>
          <w:tcPr>
            <w:tcW w:w="386" w:type="pct"/>
            <w:vMerge w:val="continue"/>
            <w:tcBorders>
              <w:left w:val="single" w:color="auto" w:sz="4" w:space="0"/>
              <w:right w:val="single" w:color="auto" w:sz="4" w:space="0"/>
            </w:tcBorders>
            <w:vAlign w:val="center"/>
          </w:tcPr>
          <w:p>
            <w:pPr>
              <w:snapToGrid w:val="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结构专业负责人</w:t>
            </w:r>
          </w:p>
        </w:tc>
        <w:tc>
          <w:tcPr>
            <w:tcW w:w="285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一级注册结构工程师，结构类相关专业高级技术职称或者工作经历10年或以上的中级技术职称</w:t>
            </w:r>
          </w:p>
        </w:tc>
        <w:tc>
          <w:tcPr>
            <w:tcW w:w="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1</w:t>
            </w:r>
          </w:p>
        </w:tc>
        <w:tc>
          <w:tcPr>
            <w:tcW w:w="386" w:type="pct"/>
            <w:vMerge w:val="continue"/>
            <w:tcBorders>
              <w:left w:val="single" w:color="auto" w:sz="4" w:space="0"/>
              <w:right w:val="single" w:color="auto" w:sz="4" w:space="0"/>
            </w:tcBorders>
            <w:vAlign w:val="center"/>
          </w:tcPr>
          <w:p>
            <w:pPr>
              <w:snapToGrid w:val="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0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建筑专业负责人</w:t>
            </w:r>
          </w:p>
        </w:tc>
        <w:tc>
          <w:tcPr>
            <w:tcW w:w="285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一级注册建筑师，建筑类相关专业高级技术职称或者工作经历10年或以上的中级技术职称</w:t>
            </w:r>
          </w:p>
        </w:tc>
        <w:tc>
          <w:tcPr>
            <w:tcW w:w="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1</w:t>
            </w:r>
          </w:p>
        </w:tc>
        <w:tc>
          <w:tcPr>
            <w:tcW w:w="386" w:type="pct"/>
            <w:vMerge w:val="continue"/>
            <w:tcBorders>
              <w:left w:val="single" w:color="auto" w:sz="4" w:space="0"/>
              <w:right w:val="single" w:color="auto" w:sz="4" w:space="0"/>
            </w:tcBorders>
            <w:vAlign w:val="center"/>
          </w:tcPr>
          <w:p>
            <w:pPr>
              <w:snapToGrid w:val="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电气专业负责人</w:t>
            </w:r>
          </w:p>
        </w:tc>
        <w:tc>
          <w:tcPr>
            <w:tcW w:w="285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注册电气工程师</w:t>
            </w:r>
            <w:r>
              <w:rPr>
                <w:rFonts w:hint="default" w:ascii="宋体" w:hAnsi="宋体" w:cs="宋体"/>
                <w:sz w:val="24"/>
                <w:highlight w:val="none"/>
                <w:lang w:val="en-US"/>
              </w:rPr>
              <w:t>（</w:t>
            </w:r>
            <w:r>
              <w:rPr>
                <w:rFonts w:hint="default" w:ascii="宋体" w:hAnsi="宋体" w:cs="宋体"/>
                <w:sz w:val="24"/>
                <w:highlight w:val="none"/>
                <w:lang w:val="en-US"/>
              </w:rPr>
              <w:t>发输变电或</w:t>
            </w:r>
            <w:r>
              <w:rPr>
                <w:rFonts w:hint="default" w:ascii="宋体" w:hAnsi="宋体" w:cs="宋体"/>
                <w:sz w:val="24"/>
                <w:highlight w:val="none"/>
                <w:lang w:val="en-US"/>
              </w:rPr>
              <w:t>供配电）</w:t>
            </w:r>
            <w:r>
              <w:rPr>
                <w:rFonts w:hint="eastAsia" w:ascii="宋体" w:hAnsi="宋体" w:cs="宋体"/>
                <w:sz w:val="24"/>
                <w:highlight w:val="none"/>
              </w:rPr>
              <w:t>，电气类相关专业高级技术职称或者工作经历10年或以上的中级技术职称</w:t>
            </w:r>
          </w:p>
        </w:tc>
        <w:tc>
          <w:tcPr>
            <w:tcW w:w="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1</w:t>
            </w:r>
          </w:p>
        </w:tc>
        <w:tc>
          <w:tcPr>
            <w:tcW w:w="386" w:type="pct"/>
            <w:vMerge w:val="continue"/>
            <w:tcBorders>
              <w:left w:val="single" w:color="auto" w:sz="4" w:space="0"/>
              <w:right w:val="single" w:color="auto" w:sz="4" w:space="0"/>
            </w:tcBorders>
            <w:vAlign w:val="center"/>
          </w:tcPr>
          <w:p>
            <w:pPr>
              <w:snapToGrid w:val="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给排水专业负责人</w:t>
            </w:r>
          </w:p>
        </w:tc>
        <w:tc>
          <w:tcPr>
            <w:tcW w:w="285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注册公用设备工程师（给水排水），给排水类相关专业高级技术职称或者工作经历10年或以上的中级技术职称</w:t>
            </w:r>
          </w:p>
        </w:tc>
        <w:tc>
          <w:tcPr>
            <w:tcW w:w="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1</w:t>
            </w:r>
          </w:p>
        </w:tc>
        <w:tc>
          <w:tcPr>
            <w:tcW w:w="386" w:type="pct"/>
            <w:vMerge w:val="continue"/>
            <w:tcBorders>
              <w:left w:val="single" w:color="auto" w:sz="4" w:space="0"/>
              <w:right w:val="single" w:color="auto" w:sz="4" w:space="0"/>
            </w:tcBorders>
            <w:vAlign w:val="center"/>
          </w:tcPr>
          <w:p>
            <w:pPr>
              <w:snapToGrid w:val="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暖通专业负责人</w:t>
            </w:r>
          </w:p>
        </w:tc>
        <w:tc>
          <w:tcPr>
            <w:tcW w:w="285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注册公用设备工程师（暖通空调），暖通相关专业高级技术职称或者工作经历10年或以上的中级技术职称</w:t>
            </w:r>
          </w:p>
        </w:tc>
        <w:tc>
          <w:tcPr>
            <w:tcW w:w="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1</w:t>
            </w:r>
          </w:p>
        </w:tc>
        <w:tc>
          <w:tcPr>
            <w:tcW w:w="386" w:type="pct"/>
            <w:vMerge w:val="continue"/>
            <w:tcBorders>
              <w:left w:val="single" w:color="auto" w:sz="4" w:space="0"/>
              <w:right w:val="single" w:color="auto" w:sz="4" w:space="0"/>
            </w:tcBorders>
            <w:vAlign w:val="center"/>
          </w:tcPr>
          <w:p>
            <w:pPr>
              <w:snapToGrid w:val="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岩土专业负责人</w:t>
            </w:r>
          </w:p>
        </w:tc>
        <w:tc>
          <w:tcPr>
            <w:tcW w:w="285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注册土木工程师（岩土），工程类相关专业高级技术职称或者工作经历10年或以上的中级技术职称</w:t>
            </w:r>
          </w:p>
        </w:tc>
        <w:tc>
          <w:tcPr>
            <w:tcW w:w="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1</w:t>
            </w:r>
          </w:p>
        </w:tc>
        <w:tc>
          <w:tcPr>
            <w:tcW w:w="386" w:type="pct"/>
            <w:vMerge w:val="continue"/>
            <w:tcBorders>
              <w:left w:val="single" w:color="auto" w:sz="4" w:space="0"/>
              <w:right w:val="single" w:color="auto" w:sz="4" w:space="0"/>
            </w:tcBorders>
            <w:vAlign w:val="center"/>
          </w:tcPr>
          <w:p>
            <w:pPr>
              <w:snapToGrid w:val="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智能化专业负责人</w:t>
            </w:r>
          </w:p>
        </w:tc>
        <w:tc>
          <w:tcPr>
            <w:tcW w:w="285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智能化相关专业高级技术职称或者工作经历10年或以上的中级技术职称</w:t>
            </w:r>
          </w:p>
        </w:tc>
        <w:tc>
          <w:tcPr>
            <w:tcW w:w="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1</w:t>
            </w:r>
          </w:p>
        </w:tc>
        <w:tc>
          <w:tcPr>
            <w:tcW w:w="386" w:type="pct"/>
            <w:tcBorders>
              <w:left w:val="single" w:color="auto" w:sz="4" w:space="0"/>
              <w:right w:val="single" w:color="auto" w:sz="4" w:space="0"/>
            </w:tcBorders>
            <w:vAlign w:val="center"/>
          </w:tcPr>
          <w:p>
            <w:pPr>
              <w:snapToGrid w:val="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园林专业负责人</w:t>
            </w:r>
          </w:p>
        </w:tc>
        <w:tc>
          <w:tcPr>
            <w:tcW w:w="285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园林绿化相关专业高级技术职称或者工作经历10年或以上的中级技术职称</w:t>
            </w:r>
          </w:p>
        </w:tc>
        <w:tc>
          <w:tcPr>
            <w:tcW w:w="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1</w:t>
            </w:r>
          </w:p>
        </w:tc>
        <w:tc>
          <w:tcPr>
            <w:tcW w:w="386" w:type="pct"/>
            <w:tcBorders>
              <w:left w:val="single" w:color="auto" w:sz="4" w:space="0"/>
              <w:right w:val="single" w:color="auto" w:sz="4" w:space="0"/>
            </w:tcBorders>
            <w:vAlign w:val="center"/>
          </w:tcPr>
          <w:p>
            <w:pPr>
              <w:snapToGrid w:val="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工程造价专业负责人</w:t>
            </w:r>
          </w:p>
        </w:tc>
        <w:tc>
          <w:tcPr>
            <w:tcW w:w="285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一级注册造价工程师，工程造价相关专业高级技术职称或者工作经历10年或以上的中级技术职称</w:t>
            </w:r>
          </w:p>
        </w:tc>
        <w:tc>
          <w:tcPr>
            <w:tcW w:w="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1</w:t>
            </w:r>
          </w:p>
        </w:tc>
        <w:tc>
          <w:tcPr>
            <w:tcW w:w="386" w:type="pct"/>
            <w:tcBorders>
              <w:left w:val="single" w:color="auto" w:sz="4" w:space="0"/>
              <w:right w:val="single" w:color="auto" w:sz="4" w:space="0"/>
            </w:tcBorders>
            <w:vAlign w:val="center"/>
          </w:tcPr>
          <w:p>
            <w:pPr>
              <w:snapToGrid w:val="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报建负责人</w:t>
            </w:r>
          </w:p>
        </w:tc>
        <w:tc>
          <w:tcPr>
            <w:tcW w:w="285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工程技术相关专业高级技术职称或者工作经历10年或以上的中级技术职称</w:t>
            </w:r>
          </w:p>
        </w:tc>
        <w:tc>
          <w:tcPr>
            <w:tcW w:w="6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r>
              <w:rPr>
                <w:rFonts w:hint="eastAsia" w:ascii="宋体" w:hAnsi="宋体" w:cs="宋体"/>
                <w:sz w:val="24"/>
                <w:highlight w:val="none"/>
              </w:rPr>
              <w:t>1</w:t>
            </w:r>
          </w:p>
        </w:tc>
        <w:tc>
          <w:tcPr>
            <w:tcW w:w="386" w:type="pct"/>
            <w:tcBorders>
              <w:left w:val="single" w:color="auto" w:sz="4" w:space="0"/>
              <w:bottom w:val="single" w:color="auto" w:sz="4" w:space="0"/>
              <w:right w:val="single" w:color="auto" w:sz="4" w:space="0"/>
            </w:tcBorders>
            <w:vAlign w:val="center"/>
          </w:tcPr>
          <w:p>
            <w:pPr>
              <w:snapToGrid w:val="0"/>
              <w:jc w:val="center"/>
              <w:rPr>
                <w:rFonts w:hint="eastAsia" w:ascii="宋体" w:hAnsi="宋体" w:cs="宋体"/>
                <w:sz w:val="24"/>
                <w:highlight w:val="none"/>
              </w:rPr>
            </w:pPr>
          </w:p>
        </w:tc>
      </w:tr>
    </w:tbl>
    <w:p>
      <w:pPr>
        <w:spacing w:before="156" w:beforeLines="50" w:line="360" w:lineRule="auto"/>
        <w:rPr>
          <w:rFonts w:ascii="宋体" w:hAnsi="宋体" w:cs="宋体"/>
          <w:sz w:val="28"/>
          <w:szCs w:val="28"/>
          <w:highlight w:val="none"/>
        </w:rPr>
      </w:pPr>
      <w:r>
        <w:rPr>
          <w:rFonts w:hint="eastAsia" w:ascii="宋体" w:hAnsi="宋体" w:cs="宋体"/>
          <w:sz w:val="28"/>
          <w:szCs w:val="28"/>
          <w:highlight w:val="none"/>
        </w:rPr>
        <w:t>注：</w:t>
      </w:r>
    </w:p>
    <w:p>
      <w:pPr>
        <w:pStyle w:val="6"/>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（1）人员工作经历以大专或以上学历毕业时间起算。</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（2）一级注册造价工程师是指根据住房城乡建设部、交通运输部、水利部、人力资源社会保障部发布的《造价工程师职业资格制度规定》、《造价工程师职业资格考试实施办法》（建人［2018］67 号）取得的一级造价工程师职业资格，并经注册且在有效期内。按照《造价工程师职业资格制度规定》的规定，根据原人事部、原建设部发布的《造价工程师执业资格制度暂行规定》（人发[1996]77号)取得的造价工程师执业资格，并经注册且在有效期内的，等同于一级注册造价工程师。</w:t>
      </w:r>
    </w:p>
    <w:p>
      <w:pPr>
        <w:pStyle w:val="6"/>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（3）上表人员均要求为投标单位正式职工，提供近一个月（2025年6月）有效的社保证明。除特别约定外，各岗位人员不得相互兼职。</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经招标人或监理单位考核，中标单位投入本项目的人员不能满足项目工程建设要求的，中标单位必须无条件按照招标人的要求更换或者增加人员，直至满足本工程建设要求为止，而且，不能满足本工程建设要求的人员按照缺勤处理。</w:t>
      </w:r>
    </w:p>
    <w:p>
      <w:pPr>
        <w:pStyle w:val="7"/>
        <w:rPr>
          <w:highlight w:val="none"/>
        </w:rPr>
      </w:pPr>
      <w:r>
        <w:rPr>
          <w:rFonts w:hint="eastAsia" w:ascii="宋体" w:hAnsi="宋体" w:cs="宋体"/>
          <w:sz w:val="28"/>
          <w:szCs w:val="28"/>
          <w:highlight w:val="none"/>
        </w:rPr>
        <w:t>（5）本表不作为形式评审、资格评审、响应性评审的审查依据。</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1" w:fontKey="{9635BE91-3684-40CC-9A70-3288E609C48F}"/>
  </w:font>
  <w:font w:name="Wingdings 2">
    <w:panose1 w:val="05020102010507070707"/>
    <w:charset w:val="02"/>
    <w:family w:val="roman"/>
    <w:pitch w:val="default"/>
    <w:sig w:usb0="00000000" w:usb1="00000000" w:usb2="00000000" w:usb3="00000000" w:csb0="80000000" w:csb1="00000000"/>
    <w:embedRegular r:id="rId2" w:fontKey="{3BA07229-BEEC-462F-8D53-03ADFF0FC233}"/>
  </w:font>
  <w:font w:name="仿宋">
    <w:panose1 w:val="02010609060101010101"/>
    <w:charset w:val="86"/>
    <w:family w:val="modern"/>
    <w:pitch w:val="default"/>
    <w:sig w:usb0="800002BF" w:usb1="38CF7CFA" w:usb2="00000016" w:usb3="00000000" w:csb0="00040001" w:csb1="00000000"/>
    <w:embedRegular r:id="rId3" w:fontKey="{090E7115-D23F-420D-8D11-621A7335E7D1}"/>
  </w:font>
  <w:font w:name="仿宋_GB2312">
    <w:panose1 w:val="02010609030101010101"/>
    <w:charset w:val="86"/>
    <w:family w:val="auto"/>
    <w:pitch w:val="default"/>
    <w:sig w:usb0="00000001" w:usb1="080E0000" w:usb2="00000000" w:usb3="00000000" w:csb0="00040000" w:csb1="00000000"/>
    <w:embedRegular r:id="rId4" w:fontKey="{9B95A964-D008-499E-8C17-50C22A9894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19"/>
      <w:rPr>
        <w:rFonts w:ascii="Times New Roman" w:hAnsi="Times New Roman" w:eastAsia="Times New Roman"/>
        <w:sz w:val="15"/>
        <w:szCs w:val="15"/>
      </w:rPr>
    </w:pPr>
    <w:r>
      <w:rPr>
        <w:rFonts w:ascii="Times New Roman" w:hAnsi="Times New Roman" w:eastAsia="Times New Roman"/>
        <w:sz w:val="15"/>
        <w:szCs w:val="15"/>
      </w:rPr>
      <w:t>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9E4424"/>
    <w:rsid w:val="3D4E5036"/>
    <w:rsid w:val="447D4D11"/>
    <w:rsid w:val="6F10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after="120" w:line="360" w:lineRule="auto"/>
      <w:outlineLvl w:val="0"/>
    </w:pPr>
    <w:rPr>
      <w:rFonts w:ascii="Arial" w:hAnsi="Arial"/>
      <w:b/>
      <w:bCs/>
      <w:kern w:val="44"/>
      <w:sz w:val="36"/>
      <w:szCs w:val="36"/>
    </w:rPr>
  </w:style>
  <w:style w:type="paragraph" w:styleId="4">
    <w:name w:val="heading 2"/>
    <w:basedOn w:val="1"/>
    <w:next w:val="1"/>
    <w:qFormat/>
    <w:uiPriority w:val="0"/>
    <w:pPr>
      <w:keepNext/>
      <w:keepLines/>
      <w:tabs>
        <w:tab w:val="right" w:leader="dot" w:pos="9060"/>
      </w:tabs>
      <w:spacing w:before="120" w:after="120" w:line="412" w:lineRule="auto"/>
      <w:ind w:left="454"/>
      <w:jc w:val="center"/>
      <w:outlineLvl w:val="1"/>
    </w:pPr>
    <w:rPr>
      <w:rFonts w:ascii="Arial" w:hAnsi="Arial"/>
      <w:b/>
      <w:color w:val="000000"/>
      <w:kern w:val="0"/>
      <w:sz w:val="24"/>
      <w:lang w:val="zh-CN"/>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toc 2"/>
    <w:basedOn w:val="1"/>
    <w:next w:val="1"/>
    <w:qFormat/>
    <w:uiPriority w:val="39"/>
    <w:pPr>
      <w:spacing w:after="6" w:line="257" w:lineRule="auto"/>
      <w:ind w:left="430" w:right="127" w:hanging="10"/>
    </w:pPr>
  </w:style>
  <w:style w:type="paragraph" w:styleId="5">
    <w:name w:val="Normal Indent"/>
    <w:basedOn w:val="1"/>
    <w:next w:val="1"/>
    <w:qFormat/>
    <w:uiPriority w:val="0"/>
    <w:pPr>
      <w:ind w:firstLine="420"/>
    </w:pPr>
    <w:rPr>
      <w:rFonts w:ascii="Times New Roman" w:hAnsi="Times New Roman"/>
      <w:szCs w:val="20"/>
    </w:rPr>
  </w:style>
  <w:style w:type="paragraph" w:styleId="6">
    <w:name w:val="annotation text"/>
    <w:basedOn w:val="1"/>
    <w:link w:val="25"/>
    <w:qFormat/>
    <w:uiPriority w:val="0"/>
    <w:pPr>
      <w:jc w:val="left"/>
    </w:pPr>
  </w:style>
  <w:style w:type="paragraph" w:styleId="7">
    <w:name w:val="Body Text"/>
    <w:basedOn w:val="1"/>
    <w:next w:val="1"/>
    <w:qFormat/>
    <w:uiPriority w:val="0"/>
    <w:pPr>
      <w:spacing w:after="120"/>
    </w:pPr>
  </w:style>
  <w:style w:type="paragraph" w:styleId="8">
    <w:name w:val="Plain Text"/>
    <w:basedOn w:val="1"/>
    <w:next w:val="1"/>
    <w:qFormat/>
    <w:uiPriority w:val="0"/>
    <w:rPr>
      <w:rFonts w:ascii="宋体" w:hAnsi="Courier New"/>
      <w:kern w:val="0"/>
      <w:sz w:val="20"/>
      <w:szCs w:val="20"/>
    </w:rPr>
  </w:style>
  <w:style w:type="paragraph" w:styleId="9">
    <w:name w:val="Balloon Text"/>
    <w:basedOn w:val="1"/>
    <w:link w:val="22"/>
    <w:qFormat/>
    <w:uiPriority w:val="0"/>
    <w:rPr>
      <w:sz w:val="18"/>
      <w:szCs w:val="18"/>
    </w:rPr>
  </w:style>
  <w:style w:type="paragraph" w:styleId="10">
    <w:name w:val="footer"/>
    <w:basedOn w:val="1"/>
    <w:link w:val="24"/>
    <w:qFormat/>
    <w:uiPriority w:val="0"/>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next w:val="3"/>
    <w:qFormat/>
    <w:uiPriority w:val="0"/>
    <w:rPr>
      <w:sz w:val="24"/>
    </w:rPr>
  </w:style>
  <w:style w:type="paragraph" w:styleId="13">
    <w:name w:val="annotation subject"/>
    <w:basedOn w:val="6"/>
    <w:next w:val="6"/>
    <w:link w:val="26"/>
    <w:qFormat/>
    <w:uiPriority w:val="0"/>
    <w:rPr>
      <w:b/>
      <w:bCs/>
    </w:rPr>
  </w:style>
  <w:style w:type="paragraph" w:styleId="14">
    <w:name w:val="Body Text First Indent"/>
    <w:basedOn w:val="7"/>
    <w:qFormat/>
    <w:uiPriority w:val="0"/>
    <w:pPr>
      <w:ind w:firstLine="420"/>
    </w:pPr>
  </w:style>
  <w:style w:type="character" w:styleId="17">
    <w:name w:val="annotation reference"/>
    <w:basedOn w:val="16"/>
    <w:qFormat/>
    <w:uiPriority w:val="0"/>
    <w:rPr>
      <w:sz w:val="21"/>
      <w:szCs w:val="21"/>
    </w:rPr>
  </w:style>
  <w:style w:type="character" w:customStyle="1" w:styleId="18">
    <w:name w:val="NormalCharacter"/>
    <w:qFormat/>
    <w:uiPriority w:val="0"/>
  </w:style>
  <w:style w:type="paragraph" w:customStyle="1" w:styleId="19">
    <w:name w:val="样式 宋体 行距: 1.5 倍行距"/>
    <w:basedOn w:val="1"/>
    <w:qFormat/>
    <w:uiPriority w:val="0"/>
    <w:pPr>
      <w:jc w:val="center"/>
    </w:pPr>
    <w:rPr>
      <w:b/>
    </w:rPr>
  </w:style>
  <w:style w:type="paragraph" w:customStyle="1" w:styleId="20">
    <w:name w:val="null3"/>
    <w:basedOn w:val="1"/>
    <w:qFormat/>
    <w:uiPriority w:val="0"/>
    <w:pPr>
      <w:jc w:val="left"/>
    </w:pPr>
    <w:rPr>
      <w:rFonts w:hint="eastAsia"/>
      <w:kern w:val="0"/>
      <w:sz w:val="24"/>
    </w:rPr>
  </w:style>
  <w:style w:type="paragraph" w:styleId="21">
    <w:name w:val="List Paragraph"/>
    <w:basedOn w:val="1"/>
    <w:qFormat/>
    <w:uiPriority w:val="0"/>
    <w:pPr>
      <w:ind w:firstLine="420" w:firstLineChars="200"/>
    </w:pPr>
    <w:rPr>
      <w:szCs w:val="22"/>
    </w:rPr>
  </w:style>
  <w:style w:type="character" w:customStyle="1" w:styleId="22">
    <w:name w:val="批注框文本 字符"/>
    <w:basedOn w:val="16"/>
    <w:link w:val="9"/>
    <w:qFormat/>
    <w:uiPriority w:val="0"/>
    <w:rPr>
      <w:rFonts w:ascii="Calibri" w:hAnsi="Calibri"/>
      <w:kern w:val="2"/>
      <w:sz w:val="18"/>
      <w:szCs w:val="18"/>
    </w:rPr>
  </w:style>
  <w:style w:type="character" w:customStyle="1" w:styleId="23">
    <w:name w:val="页眉 字符"/>
    <w:basedOn w:val="16"/>
    <w:link w:val="11"/>
    <w:qFormat/>
    <w:uiPriority w:val="0"/>
    <w:rPr>
      <w:rFonts w:ascii="Calibri" w:hAnsi="Calibri"/>
      <w:kern w:val="2"/>
      <w:sz w:val="18"/>
      <w:szCs w:val="18"/>
    </w:rPr>
  </w:style>
  <w:style w:type="character" w:customStyle="1" w:styleId="24">
    <w:name w:val="页脚 字符"/>
    <w:basedOn w:val="16"/>
    <w:link w:val="10"/>
    <w:qFormat/>
    <w:uiPriority w:val="0"/>
    <w:rPr>
      <w:rFonts w:ascii="Calibri" w:hAnsi="Calibri"/>
      <w:kern w:val="2"/>
      <w:sz w:val="18"/>
      <w:szCs w:val="18"/>
    </w:rPr>
  </w:style>
  <w:style w:type="character" w:customStyle="1" w:styleId="25">
    <w:name w:val="批注文字 字符"/>
    <w:basedOn w:val="16"/>
    <w:link w:val="6"/>
    <w:qFormat/>
    <w:uiPriority w:val="0"/>
    <w:rPr>
      <w:rFonts w:ascii="Calibri" w:hAnsi="Calibri"/>
      <w:kern w:val="2"/>
      <w:sz w:val="21"/>
      <w:szCs w:val="24"/>
    </w:rPr>
  </w:style>
  <w:style w:type="character" w:customStyle="1" w:styleId="26">
    <w:name w:val="批注主题 字符"/>
    <w:basedOn w:val="25"/>
    <w:link w:val="13"/>
    <w:qFormat/>
    <w:uiPriority w:val="0"/>
    <w:rPr>
      <w:rFonts w:ascii="Calibri" w:hAnsi="Calibri"/>
      <w:b/>
      <w:bCs/>
      <w:kern w:val="2"/>
      <w:sz w:val="21"/>
      <w:szCs w:val="24"/>
    </w:rPr>
  </w:style>
  <w:style w:type="paragraph" w:customStyle="1" w:styleId="27">
    <w:name w:val="Revision_ca14932b-2383-487e-9579-c5d7258b4fde"/>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21218</Words>
  <Characters>21712</Characters>
  <Paragraphs>639</Paragraphs>
  <TotalTime>50</TotalTime>
  <ScaleCrop>false</ScaleCrop>
  <LinksUpToDate>false</LinksUpToDate>
  <CharactersWithSpaces>21770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2025-05-16T08:25:00Z</dcterms:created>
  <dc:creator>陳小潔</dc:creator>
  <cp:lastModifiedBy>张琪琪</cp:lastModifiedBy>
  <dcterms:modified xsi:type="dcterms:W3CDTF">2025-08-07T08:51:45Z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bfc5534f1a464df29c39d10741b290d1_23</vt:lpwstr>
  </property>
  <property fmtid="{D5CDD505-2E9C-101B-9397-08002B2CF9AE}" pid="4" name="KSOTemplateDocerSaveRecord">
    <vt:lpwstr>eyJoZGlkIjoiYzExZjQ5ZjZmZjEwZTIyZWM5ZDUxYmFkOGM2MzY0ZTYiLCJ1c2VySWQiOiIxNTk1ODk1MjU2In0=</vt:lpwstr>
  </property>
</Properties>
</file>