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D06C2">
      <w:pPr>
        <w:pStyle w:val="4"/>
        <w:spacing w:line="360" w:lineRule="auto"/>
        <w:rPr>
          <w:rFonts w:hint="eastAsia" w:ascii="仿宋" w:hAnsi="仿宋" w:eastAsia="仿宋" w:cs="仿宋"/>
          <w:color w:val="auto"/>
          <w:highlight w:val="none"/>
        </w:rPr>
      </w:pPr>
    </w:p>
    <w:p w14:paraId="5BB15712">
      <w:pPr>
        <w:widowControl/>
        <w:spacing w:line="720" w:lineRule="auto"/>
        <w:jc w:val="center"/>
        <w:rPr>
          <w:rFonts w:hint="eastAsia" w:ascii="仿宋" w:hAnsi="仿宋" w:eastAsia="仿宋" w:cs="仿宋"/>
          <w:b/>
          <w:color w:val="auto"/>
          <w:kern w:val="2"/>
          <w:sz w:val="52"/>
          <w:szCs w:val="52"/>
          <w:highlight w:val="none"/>
          <w:lang w:val="en-US" w:eastAsia="zh-CN" w:bidi="ar-SA"/>
        </w:rPr>
      </w:pPr>
      <w:r>
        <w:rPr>
          <w:rFonts w:hint="eastAsia" w:ascii="仿宋" w:hAnsi="仿宋" w:eastAsia="仿宋" w:cs="仿宋"/>
          <w:bCs/>
          <w:color w:val="auto"/>
          <w:sz w:val="44"/>
          <w:szCs w:val="44"/>
          <w:highlight w:val="none"/>
          <w:lang w:eastAsia="zh-CN"/>
        </w:rPr>
        <w:t>江高镇农村基础设施建设项目全过程工程咨询（包含项目管理、工程监理）</w:t>
      </w:r>
    </w:p>
    <w:p w14:paraId="3EDA7ECD">
      <w:pPr>
        <w:tabs>
          <w:tab w:val="left" w:pos="1118"/>
        </w:tabs>
        <w:spacing w:before="307" w:line="360" w:lineRule="auto"/>
        <w:ind w:right="453"/>
        <w:jc w:val="center"/>
        <w:rPr>
          <w:rFonts w:hint="eastAsia" w:ascii="仿宋" w:hAnsi="仿宋" w:eastAsia="仿宋" w:cs="仿宋"/>
          <w:b/>
          <w:color w:val="auto"/>
          <w:kern w:val="2"/>
          <w:sz w:val="44"/>
          <w:szCs w:val="44"/>
          <w:highlight w:val="none"/>
          <w:lang w:val="en-US" w:bidi="ar-SA"/>
        </w:rPr>
      </w:pPr>
    </w:p>
    <w:p w14:paraId="3803482F">
      <w:pPr>
        <w:tabs>
          <w:tab w:val="left" w:pos="1118"/>
        </w:tabs>
        <w:spacing w:before="307" w:line="360" w:lineRule="auto"/>
        <w:ind w:right="453"/>
        <w:jc w:val="center"/>
        <w:rPr>
          <w:rFonts w:hint="eastAsia" w:ascii="仿宋" w:hAnsi="仿宋" w:eastAsia="仿宋" w:cs="仿宋"/>
          <w:b/>
          <w:color w:val="auto"/>
          <w:kern w:val="2"/>
          <w:sz w:val="44"/>
          <w:szCs w:val="44"/>
          <w:highlight w:val="none"/>
          <w:lang w:val="en-US" w:bidi="ar-SA"/>
        </w:rPr>
      </w:pPr>
    </w:p>
    <w:p w14:paraId="1721DD3A">
      <w:pPr>
        <w:tabs>
          <w:tab w:val="left" w:pos="1118"/>
        </w:tabs>
        <w:spacing w:before="307" w:line="360" w:lineRule="auto"/>
        <w:ind w:right="453"/>
        <w:jc w:val="both"/>
        <w:rPr>
          <w:rFonts w:hint="eastAsia" w:ascii="仿宋" w:hAnsi="仿宋" w:eastAsia="仿宋" w:cs="仿宋"/>
          <w:b/>
          <w:color w:val="auto"/>
          <w:kern w:val="2"/>
          <w:sz w:val="44"/>
          <w:szCs w:val="44"/>
          <w:highlight w:val="none"/>
          <w:lang w:val="en-US" w:bidi="ar-SA"/>
        </w:rPr>
      </w:pPr>
    </w:p>
    <w:p w14:paraId="3F57BE96">
      <w:pPr>
        <w:autoSpaceDE/>
        <w:autoSpaceDN/>
        <w:spacing w:line="360" w:lineRule="auto"/>
        <w:jc w:val="center"/>
        <w:rPr>
          <w:rFonts w:hint="eastAsia" w:ascii="仿宋" w:hAnsi="仿宋" w:eastAsia="仿宋" w:cs="仿宋"/>
          <w:b/>
          <w:bCs/>
          <w:color w:val="auto"/>
          <w:kern w:val="2"/>
          <w:sz w:val="72"/>
          <w:szCs w:val="72"/>
          <w:highlight w:val="none"/>
          <w:lang w:val="en-US" w:bidi="ar-SA"/>
        </w:rPr>
      </w:pPr>
      <w:r>
        <w:rPr>
          <w:rFonts w:hint="eastAsia" w:ascii="仿宋" w:hAnsi="仿宋" w:eastAsia="仿宋" w:cs="仿宋"/>
          <w:b/>
          <w:bCs/>
          <w:color w:val="auto"/>
          <w:kern w:val="2"/>
          <w:sz w:val="72"/>
          <w:szCs w:val="72"/>
          <w:highlight w:val="none"/>
          <w:lang w:val="en-US" w:bidi="ar-SA"/>
        </w:rPr>
        <w:t>招 标 公 告</w:t>
      </w:r>
    </w:p>
    <w:p w14:paraId="5899E2BE">
      <w:pPr>
        <w:autoSpaceDE/>
        <w:autoSpaceDN/>
        <w:spacing w:line="360" w:lineRule="auto"/>
        <w:jc w:val="center"/>
        <w:rPr>
          <w:rFonts w:hint="eastAsia" w:ascii="仿宋" w:hAnsi="仿宋" w:eastAsia="仿宋" w:cs="仿宋"/>
          <w:color w:val="auto"/>
          <w:kern w:val="2"/>
          <w:sz w:val="21"/>
          <w:highlight w:val="none"/>
          <w:lang w:val="en-US" w:bidi="ar-SA"/>
        </w:rPr>
      </w:pPr>
    </w:p>
    <w:p w14:paraId="63C60C65">
      <w:pPr>
        <w:autoSpaceDE/>
        <w:autoSpaceDN/>
        <w:spacing w:line="360" w:lineRule="auto"/>
        <w:jc w:val="center"/>
        <w:rPr>
          <w:rFonts w:hint="eastAsia" w:ascii="仿宋" w:hAnsi="仿宋" w:eastAsia="仿宋" w:cs="仿宋"/>
          <w:color w:val="auto"/>
          <w:kern w:val="2"/>
          <w:sz w:val="21"/>
          <w:highlight w:val="none"/>
          <w:lang w:val="en-US" w:bidi="ar-SA"/>
        </w:rPr>
      </w:pPr>
    </w:p>
    <w:p w14:paraId="407EC011">
      <w:pPr>
        <w:autoSpaceDE/>
        <w:autoSpaceDN/>
        <w:spacing w:line="360" w:lineRule="auto"/>
        <w:jc w:val="center"/>
        <w:rPr>
          <w:rFonts w:hint="eastAsia" w:ascii="仿宋" w:hAnsi="仿宋" w:eastAsia="仿宋" w:cs="仿宋"/>
          <w:color w:val="auto"/>
          <w:kern w:val="2"/>
          <w:sz w:val="21"/>
          <w:highlight w:val="none"/>
          <w:lang w:val="en-US" w:bidi="ar-SA"/>
        </w:rPr>
      </w:pPr>
    </w:p>
    <w:p w14:paraId="12B7B12E">
      <w:pPr>
        <w:autoSpaceDE/>
        <w:autoSpaceDN/>
        <w:spacing w:line="360" w:lineRule="auto"/>
        <w:jc w:val="center"/>
        <w:rPr>
          <w:rFonts w:hint="eastAsia" w:ascii="仿宋" w:hAnsi="仿宋" w:eastAsia="仿宋" w:cs="仿宋"/>
          <w:color w:val="auto"/>
          <w:kern w:val="2"/>
          <w:sz w:val="21"/>
          <w:highlight w:val="none"/>
          <w:lang w:val="en-US" w:bidi="ar-SA"/>
        </w:rPr>
      </w:pPr>
    </w:p>
    <w:p w14:paraId="0E8A1696">
      <w:pPr>
        <w:autoSpaceDE/>
        <w:autoSpaceDN/>
        <w:jc w:val="center"/>
        <w:rPr>
          <w:rFonts w:hint="eastAsia" w:ascii="仿宋" w:hAnsi="仿宋" w:eastAsia="仿宋" w:cs="仿宋"/>
          <w:b/>
          <w:color w:val="auto"/>
          <w:kern w:val="2"/>
          <w:sz w:val="21"/>
          <w:highlight w:val="none"/>
          <w:lang w:val="en-US" w:bidi="ar-SA"/>
        </w:rPr>
      </w:pPr>
    </w:p>
    <w:p w14:paraId="70B2EA89">
      <w:pPr>
        <w:autoSpaceDE/>
        <w:autoSpaceDN/>
        <w:jc w:val="center"/>
        <w:rPr>
          <w:rFonts w:hint="eastAsia" w:ascii="仿宋" w:hAnsi="仿宋" w:eastAsia="仿宋" w:cs="仿宋"/>
          <w:b/>
          <w:color w:val="auto"/>
          <w:kern w:val="2"/>
          <w:sz w:val="21"/>
          <w:highlight w:val="none"/>
          <w:lang w:val="en-US" w:bidi="ar-SA"/>
        </w:rPr>
      </w:pPr>
    </w:p>
    <w:p w14:paraId="47786F69">
      <w:pPr>
        <w:autoSpaceDE/>
        <w:autoSpaceDN/>
        <w:rPr>
          <w:rFonts w:hint="eastAsia" w:ascii="仿宋" w:hAnsi="仿宋" w:eastAsia="仿宋" w:cs="仿宋"/>
          <w:b/>
          <w:color w:val="auto"/>
          <w:kern w:val="2"/>
          <w:sz w:val="21"/>
          <w:highlight w:val="none"/>
          <w:lang w:val="en-US" w:bidi="ar-SA"/>
        </w:rPr>
      </w:pPr>
    </w:p>
    <w:p w14:paraId="5EC0CF7A">
      <w:pPr>
        <w:autoSpaceDE/>
        <w:autoSpaceDN/>
        <w:spacing w:line="360" w:lineRule="auto"/>
        <w:jc w:val="both"/>
        <w:rPr>
          <w:rFonts w:hint="eastAsia" w:ascii="仿宋" w:hAnsi="仿宋" w:eastAsia="仿宋" w:cs="仿宋"/>
          <w:color w:val="auto"/>
          <w:kern w:val="2"/>
          <w:sz w:val="21"/>
          <w:highlight w:val="none"/>
          <w:lang w:val="en-US" w:bidi="ar-SA"/>
        </w:rPr>
      </w:pPr>
    </w:p>
    <w:p w14:paraId="011A9836">
      <w:pPr>
        <w:autoSpaceDE/>
        <w:autoSpaceDN/>
        <w:spacing w:line="360" w:lineRule="auto"/>
        <w:ind w:firstLine="1059" w:firstLineChars="331"/>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bidi="ar-SA"/>
        </w:rPr>
        <w:t>招标人：广州市白云区江高镇人民政府</w:t>
      </w:r>
    </w:p>
    <w:p w14:paraId="44DDB2F2">
      <w:pPr>
        <w:autoSpaceDE/>
        <w:autoSpaceDN/>
        <w:spacing w:line="360" w:lineRule="auto"/>
        <w:ind w:firstLine="1059" w:firstLineChars="331"/>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bidi="ar-SA"/>
        </w:rPr>
        <w:t>招标代理机构：广州万安建设监理有限公司</w:t>
      </w:r>
    </w:p>
    <w:p w14:paraId="6C75A00F">
      <w:pPr>
        <w:autoSpaceDE/>
        <w:autoSpaceDN/>
        <w:spacing w:line="360" w:lineRule="auto"/>
        <w:ind w:firstLine="1059" w:firstLineChars="331"/>
        <w:rPr>
          <w:rFonts w:hint="eastAsia" w:ascii="仿宋" w:hAnsi="仿宋" w:eastAsia="仿宋" w:cs="仿宋"/>
          <w:color w:val="auto"/>
          <w:kern w:val="2"/>
          <w:sz w:val="32"/>
          <w:szCs w:val="32"/>
          <w:highlight w:val="none"/>
          <w:lang w:val="en-US" w:bidi="ar-SA"/>
        </w:rPr>
      </w:pPr>
      <w:r>
        <w:rPr>
          <w:rFonts w:hint="eastAsia" w:ascii="仿宋" w:hAnsi="仿宋" w:eastAsia="仿宋" w:cs="仿宋"/>
          <w:color w:val="auto"/>
          <w:kern w:val="2"/>
          <w:sz w:val="32"/>
          <w:szCs w:val="32"/>
          <w:highlight w:val="none"/>
          <w:lang w:val="en-US" w:bidi="ar-SA"/>
        </w:rPr>
        <w:t>日  期：</w:t>
      </w:r>
      <w:r>
        <w:rPr>
          <w:rFonts w:hint="eastAsia" w:ascii="仿宋" w:hAnsi="仿宋" w:eastAsia="仿宋" w:cs="仿宋"/>
          <w:bCs/>
          <w:color w:val="auto"/>
          <w:kern w:val="2"/>
          <w:sz w:val="32"/>
          <w:szCs w:val="32"/>
          <w:highlight w:val="none"/>
          <w:lang w:val="en-US" w:bidi="ar-SA"/>
        </w:rPr>
        <w:t>202</w:t>
      </w:r>
      <w:r>
        <w:rPr>
          <w:rFonts w:hint="eastAsia" w:ascii="仿宋" w:hAnsi="仿宋" w:eastAsia="仿宋" w:cs="仿宋"/>
          <w:bCs/>
          <w:color w:val="auto"/>
          <w:kern w:val="2"/>
          <w:sz w:val="32"/>
          <w:szCs w:val="32"/>
          <w:highlight w:val="none"/>
          <w:lang w:val="en-US" w:eastAsia="zh-CN" w:bidi="ar-SA"/>
        </w:rPr>
        <w:t>5</w:t>
      </w:r>
      <w:r>
        <w:rPr>
          <w:rFonts w:hint="eastAsia" w:ascii="仿宋" w:hAnsi="仿宋" w:eastAsia="仿宋" w:cs="仿宋"/>
          <w:bCs/>
          <w:color w:val="auto"/>
          <w:kern w:val="2"/>
          <w:sz w:val="32"/>
          <w:szCs w:val="32"/>
          <w:highlight w:val="none"/>
          <w:lang w:val="en-US" w:bidi="ar-SA"/>
        </w:rPr>
        <w:t>年</w:t>
      </w:r>
      <w:r>
        <w:rPr>
          <w:rFonts w:hint="eastAsia" w:ascii="仿宋" w:hAnsi="仿宋" w:eastAsia="仿宋" w:cs="仿宋"/>
          <w:bCs/>
          <w:color w:val="auto"/>
          <w:kern w:val="2"/>
          <w:sz w:val="32"/>
          <w:szCs w:val="32"/>
          <w:highlight w:val="none"/>
          <w:lang w:val="en-US" w:eastAsia="zh-CN" w:bidi="ar-SA"/>
        </w:rPr>
        <w:t>8</w:t>
      </w:r>
      <w:r>
        <w:rPr>
          <w:rFonts w:hint="eastAsia" w:ascii="仿宋" w:hAnsi="仿宋" w:eastAsia="仿宋" w:cs="仿宋"/>
          <w:bCs/>
          <w:color w:val="auto"/>
          <w:kern w:val="2"/>
          <w:sz w:val="32"/>
          <w:szCs w:val="32"/>
          <w:highlight w:val="none"/>
          <w:lang w:val="en-US" w:bidi="ar-SA"/>
        </w:rPr>
        <w:t>月</w:t>
      </w:r>
    </w:p>
    <w:p w14:paraId="16582B64">
      <w:pPr>
        <w:autoSpaceDE/>
        <w:autoSpaceDN/>
        <w:spacing w:line="360" w:lineRule="auto"/>
        <w:jc w:val="both"/>
        <w:rPr>
          <w:rFonts w:hint="eastAsia" w:ascii="仿宋" w:hAnsi="仿宋" w:eastAsia="仿宋" w:cs="仿宋"/>
          <w:color w:val="auto"/>
          <w:kern w:val="2"/>
          <w:sz w:val="28"/>
          <w:szCs w:val="28"/>
          <w:highlight w:val="none"/>
          <w:lang w:val="en-US" w:bidi="ar-SA"/>
        </w:rPr>
      </w:pPr>
    </w:p>
    <w:p w14:paraId="4E1DF306">
      <w:pPr>
        <w:pStyle w:val="7"/>
        <w:spacing w:line="360" w:lineRule="auto"/>
        <w:jc w:val="center"/>
        <w:rPr>
          <w:rFonts w:hint="eastAsia" w:ascii="仿宋" w:hAnsi="仿宋" w:eastAsia="仿宋" w:cs="仿宋"/>
          <w:b/>
          <w:color w:val="auto"/>
          <w:kern w:val="2"/>
          <w:sz w:val="32"/>
          <w:szCs w:val="32"/>
          <w:highlight w:val="none"/>
          <w:lang w:val="en-US"/>
        </w:rPr>
        <w:sectPr>
          <w:pgSz w:w="11906" w:h="16838"/>
          <w:pgMar w:top="1383" w:right="1080" w:bottom="1270" w:left="1080" w:header="851" w:footer="992" w:gutter="0"/>
          <w:cols w:space="425" w:num="1"/>
          <w:docGrid w:type="lines" w:linePitch="312" w:charSpace="2048"/>
        </w:sectPr>
      </w:pPr>
    </w:p>
    <w:p w14:paraId="34D89589">
      <w:pPr>
        <w:pStyle w:val="7"/>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江高镇农村基础设施建设项目全过程工程咨询（包含项目管理、工程</w:t>
      </w:r>
    </w:p>
    <w:p w14:paraId="4C27C48A">
      <w:pPr>
        <w:pStyle w:val="7"/>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监理）</w:t>
      </w:r>
      <w:r>
        <w:rPr>
          <w:rFonts w:hint="eastAsia" w:ascii="仿宋" w:hAnsi="仿宋" w:eastAsia="仿宋" w:cs="仿宋"/>
          <w:b/>
          <w:color w:val="auto"/>
          <w:kern w:val="2"/>
          <w:sz w:val="28"/>
          <w:szCs w:val="28"/>
          <w:highlight w:val="none"/>
        </w:rPr>
        <w:t>招标公告</w:t>
      </w:r>
    </w:p>
    <w:p w14:paraId="59302E1F">
      <w:pPr>
        <w:pStyle w:val="12"/>
        <w:tabs>
          <w:tab w:val="left" w:pos="642"/>
        </w:tabs>
        <w:spacing w:line="600" w:lineRule="exact"/>
        <w:ind w:left="0" w:firstLine="0"/>
        <w:rPr>
          <w:rFonts w:hint="eastAsia" w:ascii="仿宋" w:hAnsi="仿宋" w:eastAsia="仿宋" w:cs="仿宋"/>
          <w:color w:val="auto"/>
          <w:highlight w:val="none"/>
        </w:rPr>
      </w:pPr>
      <w:bookmarkStart w:id="0" w:name="_bookmark2"/>
      <w:bookmarkEnd w:id="0"/>
      <w:r>
        <w:rPr>
          <w:rFonts w:hint="eastAsia" w:ascii="仿宋" w:hAnsi="仿宋" w:eastAsia="仿宋" w:cs="仿宋"/>
          <w:b/>
          <w:color w:val="auto"/>
          <w:sz w:val="32"/>
          <w:highlight w:val="none"/>
          <w:lang w:val="en-US"/>
        </w:rPr>
        <w:t>1.</w:t>
      </w:r>
      <w:r>
        <w:rPr>
          <w:rFonts w:hint="eastAsia" w:ascii="仿宋" w:hAnsi="仿宋" w:eastAsia="仿宋" w:cs="仿宋"/>
          <w:b/>
          <w:color w:val="auto"/>
          <w:sz w:val="32"/>
          <w:highlight w:val="none"/>
        </w:rPr>
        <w:t>招标条件</w:t>
      </w:r>
    </w:p>
    <w:p w14:paraId="7D409674">
      <w:pPr>
        <w:pStyle w:val="12"/>
        <w:tabs>
          <w:tab w:val="left" w:pos="642"/>
        </w:tabs>
        <w:spacing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本招标项目</w:t>
      </w:r>
      <w:r>
        <w:rPr>
          <w:rFonts w:hint="eastAsia" w:ascii="仿宋" w:hAnsi="仿宋" w:eastAsia="仿宋" w:cs="仿宋"/>
          <w:color w:val="auto"/>
          <w:sz w:val="24"/>
          <w:szCs w:val="24"/>
          <w:highlight w:val="none"/>
          <w:u w:val="single"/>
          <w:lang w:eastAsia="zh-CN"/>
        </w:rPr>
        <w:t>江高镇农村基础设施建设项目</w:t>
      </w:r>
      <w:r>
        <w:rPr>
          <w:rFonts w:hint="eastAsia" w:ascii="仿宋" w:hAnsi="仿宋" w:eastAsia="仿宋" w:cs="仿宋"/>
          <w:color w:val="auto"/>
          <w:sz w:val="24"/>
          <w:szCs w:val="24"/>
          <w:highlight w:val="none"/>
        </w:rPr>
        <w:t>已由</w:t>
      </w:r>
      <w:r>
        <w:rPr>
          <w:rFonts w:hint="eastAsia" w:ascii="仿宋" w:hAnsi="仿宋" w:eastAsia="仿宋" w:cs="仿宋"/>
          <w:color w:val="auto"/>
          <w:sz w:val="24"/>
          <w:szCs w:val="24"/>
          <w:highlight w:val="none"/>
          <w:u w:val="single"/>
        </w:rPr>
        <w:t>相关主管部门</w:t>
      </w:r>
      <w:r>
        <w:rPr>
          <w:rFonts w:hint="eastAsia" w:ascii="仿宋" w:hAnsi="仿宋" w:eastAsia="仿宋" w:cs="仿宋"/>
          <w:color w:val="auto"/>
          <w:spacing w:val="-3"/>
          <w:sz w:val="24"/>
          <w:szCs w:val="24"/>
          <w:highlight w:val="none"/>
        </w:rPr>
        <w:t>批</w:t>
      </w:r>
      <w:r>
        <w:rPr>
          <w:rFonts w:hint="eastAsia" w:ascii="仿宋" w:hAnsi="仿宋" w:eastAsia="仿宋" w:cs="仿宋"/>
          <w:color w:val="auto"/>
          <w:sz w:val="24"/>
          <w:szCs w:val="24"/>
          <w:highlight w:val="none"/>
        </w:rPr>
        <w:t>准建</w:t>
      </w:r>
      <w:r>
        <w:rPr>
          <w:rFonts w:hint="eastAsia" w:ascii="仿宋" w:hAnsi="仿宋" w:eastAsia="仿宋" w:cs="仿宋"/>
          <w:color w:val="auto"/>
          <w:spacing w:val="-3"/>
          <w:sz w:val="24"/>
          <w:szCs w:val="24"/>
          <w:highlight w:val="none"/>
        </w:rPr>
        <w:t>设</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rPr>
        <w:t>项目组织实施单位为</w:t>
      </w:r>
      <w:r>
        <w:rPr>
          <w:rFonts w:hint="eastAsia" w:ascii="仿宋" w:hAnsi="仿宋" w:eastAsia="仿宋" w:cs="仿宋"/>
          <w:color w:val="auto"/>
          <w:sz w:val="24"/>
          <w:szCs w:val="24"/>
          <w:highlight w:val="none"/>
          <w:u w:val="single"/>
          <w:lang w:eastAsia="zh-CN"/>
        </w:rPr>
        <w:t>广州市白云区江高镇人民政府</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rPr>
        <w:t>建</w:t>
      </w:r>
      <w:r>
        <w:rPr>
          <w:rFonts w:hint="eastAsia" w:ascii="仿宋" w:hAnsi="仿宋" w:eastAsia="仿宋" w:cs="仿宋"/>
          <w:color w:val="auto"/>
          <w:spacing w:val="-3"/>
          <w:sz w:val="24"/>
          <w:szCs w:val="24"/>
          <w:highlight w:val="none"/>
        </w:rPr>
        <w:t>设</w:t>
      </w:r>
      <w:r>
        <w:rPr>
          <w:rFonts w:hint="eastAsia" w:ascii="仿宋" w:hAnsi="仿宋" w:eastAsia="仿宋" w:cs="仿宋"/>
          <w:color w:val="auto"/>
          <w:sz w:val="24"/>
          <w:szCs w:val="24"/>
          <w:highlight w:val="none"/>
        </w:rPr>
        <w:t>资</w:t>
      </w:r>
      <w:r>
        <w:rPr>
          <w:rFonts w:hint="eastAsia" w:ascii="仿宋" w:hAnsi="仿宋" w:eastAsia="仿宋" w:cs="仿宋"/>
          <w:color w:val="auto"/>
          <w:spacing w:val="-3"/>
          <w:sz w:val="24"/>
          <w:szCs w:val="24"/>
          <w:highlight w:val="none"/>
        </w:rPr>
        <w:t>金</w:t>
      </w:r>
      <w:r>
        <w:rPr>
          <w:rFonts w:hint="eastAsia" w:ascii="仿宋" w:hAnsi="仿宋" w:eastAsia="仿宋" w:cs="仿宋"/>
          <w:color w:val="auto"/>
          <w:spacing w:val="-14"/>
          <w:sz w:val="24"/>
          <w:szCs w:val="24"/>
          <w:highlight w:val="none"/>
        </w:rPr>
        <w:t>来</w:t>
      </w:r>
      <w:r>
        <w:rPr>
          <w:rFonts w:hint="eastAsia" w:ascii="仿宋" w:hAnsi="仿宋" w:eastAsia="仿宋" w:cs="仿宋"/>
          <w:color w:val="auto"/>
          <w:spacing w:val="-1"/>
          <w:sz w:val="24"/>
          <w:szCs w:val="24"/>
          <w:highlight w:val="none"/>
        </w:rPr>
        <w:t>自</w:t>
      </w:r>
      <w:bookmarkStart w:id="41" w:name="_GoBack"/>
      <w:bookmarkEnd w:id="41"/>
      <w:r>
        <w:rPr>
          <w:rFonts w:hint="eastAsia" w:ascii="仿宋" w:hAnsi="仿宋" w:eastAsia="仿宋" w:cs="仿宋"/>
          <w:color w:val="auto"/>
          <w:spacing w:val="-1"/>
          <w:sz w:val="24"/>
          <w:szCs w:val="24"/>
          <w:highlight w:val="none"/>
          <w:u w:val="single"/>
          <w:lang w:eastAsia="zh-CN"/>
        </w:rPr>
        <w:t>于申请获批的地方政府专项债券资金为主，不足项部分由区财政统筹安排</w:t>
      </w:r>
      <w:r>
        <w:rPr>
          <w:rFonts w:hint="eastAsia" w:ascii="仿宋" w:hAnsi="仿宋" w:eastAsia="仿宋" w:cs="仿宋"/>
          <w:color w:val="auto"/>
          <w:sz w:val="24"/>
          <w:szCs w:val="24"/>
          <w:highlight w:val="none"/>
        </w:rPr>
        <w:t>，出</w:t>
      </w:r>
      <w:r>
        <w:rPr>
          <w:rFonts w:hint="eastAsia" w:ascii="仿宋" w:hAnsi="仿宋" w:eastAsia="仿宋" w:cs="仿宋"/>
          <w:color w:val="auto"/>
          <w:spacing w:val="-3"/>
          <w:sz w:val="24"/>
          <w:szCs w:val="24"/>
          <w:highlight w:val="none"/>
        </w:rPr>
        <w:t>资</w:t>
      </w:r>
      <w:r>
        <w:rPr>
          <w:rFonts w:hint="eastAsia" w:ascii="仿宋" w:hAnsi="仿宋" w:eastAsia="仿宋" w:cs="仿宋"/>
          <w:color w:val="auto"/>
          <w:sz w:val="24"/>
          <w:szCs w:val="24"/>
          <w:highlight w:val="none"/>
        </w:rPr>
        <w:t>比</w:t>
      </w:r>
      <w:r>
        <w:rPr>
          <w:rFonts w:hint="eastAsia" w:ascii="仿宋" w:hAnsi="仿宋" w:eastAsia="仿宋" w:cs="仿宋"/>
          <w:color w:val="auto"/>
          <w:spacing w:val="-3"/>
          <w:sz w:val="24"/>
          <w:szCs w:val="24"/>
          <w:highlight w:val="none"/>
        </w:rPr>
        <w:t>例</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100%</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招</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为</w:t>
      </w:r>
      <w:r>
        <w:rPr>
          <w:rFonts w:hint="eastAsia" w:ascii="仿宋" w:hAnsi="仿宋" w:eastAsia="仿宋" w:cs="仿宋"/>
          <w:color w:val="auto"/>
          <w:sz w:val="24"/>
          <w:szCs w:val="24"/>
          <w:highlight w:val="none"/>
          <w:u w:val="single"/>
          <w:lang w:eastAsia="zh-CN"/>
        </w:rPr>
        <w:t>广州市白云区江高镇人民政府</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rPr>
        <w:t>项目</w:t>
      </w:r>
      <w:r>
        <w:rPr>
          <w:rFonts w:hint="eastAsia" w:ascii="仿宋" w:hAnsi="仿宋" w:eastAsia="仿宋" w:cs="仿宋"/>
          <w:color w:val="auto"/>
          <w:spacing w:val="-3"/>
          <w:sz w:val="24"/>
          <w:szCs w:val="24"/>
          <w:highlight w:val="none"/>
        </w:rPr>
        <w:t>已</w:t>
      </w:r>
      <w:r>
        <w:rPr>
          <w:rFonts w:hint="eastAsia" w:ascii="仿宋" w:hAnsi="仿宋" w:eastAsia="仿宋" w:cs="仿宋"/>
          <w:color w:val="auto"/>
          <w:sz w:val="24"/>
          <w:szCs w:val="24"/>
          <w:highlight w:val="none"/>
        </w:rPr>
        <w:t>具</w:t>
      </w:r>
      <w:r>
        <w:rPr>
          <w:rFonts w:hint="eastAsia" w:ascii="仿宋" w:hAnsi="仿宋" w:eastAsia="仿宋" w:cs="仿宋"/>
          <w:color w:val="auto"/>
          <w:spacing w:val="-3"/>
          <w:sz w:val="24"/>
          <w:szCs w:val="24"/>
          <w:highlight w:val="none"/>
        </w:rPr>
        <w:t>备招</w:t>
      </w:r>
      <w:r>
        <w:rPr>
          <w:rFonts w:hint="eastAsia" w:ascii="仿宋" w:hAnsi="仿宋" w:eastAsia="仿宋" w:cs="仿宋"/>
          <w:color w:val="auto"/>
          <w:spacing w:val="-15"/>
          <w:sz w:val="24"/>
          <w:szCs w:val="24"/>
          <w:highlight w:val="none"/>
        </w:rPr>
        <w:t>标</w:t>
      </w:r>
      <w:r>
        <w:rPr>
          <w:rFonts w:hint="eastAsia" w:ascii="仿宋" w:hAnsi="仿宋" w:eastAsia="仿宋" w:cs="仿宋"/>
          <w:color w:val="auto"/>
          <w:sz w:val="24"/>
          <w:szCs w:val="24"/>
          <w:highlight w:val="none"/>
        </w:rPr>
        <w:t>条件</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现</w:t>
      </w:r>
      <w:r>
        <w:rPr>
          <w:rFonts w:hint="eastAsia" w:ascii="仿宋" w:hAnsi="仿宋" w:eastAsia="仿宋" w:cs="仿宋"/>
          <w:color w:val="auto"/>
          <w:spacing w:val="-3"/>
          <w:sz w:val="24"/>
          <w:szCs w:val="24"/>
          <w:highlight w:val="none"/>
        </w:rPr>
        <w:t>对</w:t>
      </w:r>
      <w:r>
        <w:rPr>
          <w:rFonts w:hint="eastAsia" w:ascii="仿宋" w:hAnsi="仿宋" w:eastAsia="仿宋" w:cs="仿宋"/>
          <w:color w:val="auto"/>
          <w:sz w:val="24"/>
          <w:szCs w:val="24"/>
          <w:highlight w:val="none"/>
        </w:rPr>
        <w:t>该</w:t>
      </w:r>
      <w:r>
        <w:rPr>
          <w:rFonts w:hint="eastAsia" w:ascii="仿宋" w:hAnsi="仿宋" w:eastAsia="仿宋" w:cs="仿宋"/>
          <w:color w:val="auto"/>
          <w:spacing w:val="-3"/>
          <w:sz w:val="24"/>
          <w:szCs w:val="24"/>
          <w:highlight w:val="none"/>
        </w:rPr>
        <w:t>项</w:t>
      </w:r>
      <w:r>
        <w:rPr>
          <w:rFonts w:hint="eastAsia" w:ascii="仿宋" w:hAnsi="仿宋" w:eastAsia="仿宋" w:cs="仿宋"/>
          <w:color w:val="auto"/>
          <w:sz w:val="24"/>
          <w:szCs w:val="24"/>
          <w:highlight w:val="none"/>
        </w:rPr>
        <w:t>目</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u w:val="single"/>
          <w:lang w:eastAsia="zh-CN"/>
        </w:rPr>
        <w:t>项目管理、监理服务</w:t>
      </w:r>
      <w:r>
        <w:rPr>
          <w:rFonts w:hint="eastAsia" w:ascii="仿宋" w:hAnsi="仿宋" w:eastAsia="仿宋" w:cs="仿宋"/>
          <w:color w:val="auto"/>
          <w:sz w:val="24"/>
          <w:szCs w:val="24"/>
          <w:highlight w:val="none"/>
        </w:rPr>
        <w:t>进行</w:t>
      </w:r>
      <w:r>
        <w:rPr>
          <w:rFonts w:hint="eastAsia" w:ascii="仿宋" w:hAnsi="仿宋" w:eastAsia="仿宋" w:cs="仿宋"/>
          <w:color w:val="auto"/>
          <w:spacing w:val="-3"/>
          <w:sz w:val="24"/>
          <w:szCs w:val="24"/>
          <w:highlight w:val="none"/>
        </w:rPr>
        <w:t>公</w:t>
      </w:r>
      <w:r>
        <w:rPr>
          <w:rFonts w:hint="eastAsia" w:ascii="仿宋" w:hAnsi="仿宋" w:eastAsia="仿宋" w:cs="仿宋"/>
          <w:color w:val="auto"/>
          <w:sz w:val="24"/>
          <w:szCs w:val="24"/>
          <w:highlight w:val="none"/>
        </w:rPr>
        <w:t>开</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p>
    <w:p w14:paraId="3C160FB8">
      <w:pPr>
        <w:pStyle w:val="12"/>
        <w:tabs>
          <w:tab w:val="left" w:pos="642"/>
        </w:tabs>
        <w:snapToGrid w:val="0"/>
        <w:spacing w:line="600" w:lineRule="exact"/>
        <w:ind w:left="0" w:firstLine="0"/>
        <w:rPr>
          <w:rFonts w:hint="eastAsia" w:ascii="仿宋" w:hAnsi="仿宋" w:eastAsia="仿宋" w:cs="仿宋"/>
          <w:b/>
          <w:color w:val="auto"/>
          <w:sz w:val="32"/>
          <w:highlight w:val="none"/>
        </w:rPr>
      </w:pPr>
      <w:bookmarkStart w:id="1" w:name="_bookmark3"/>
      <w:bookmarkEnd w:id="1"/>
      <w:r>
        <w:rPr>
          <w:rFonts w:hint="eastAsia" w:ascii="仿宋" w:hAnsi="仿宋" w:eastAsia="仿宋" w:cs="仿宋"/>
          <w:b/>
          <w:color w:val="auto"/>
          <w:sz w:val="32"/>
          <w:highlight w:val="none"/>
          <w:lang w:val="en-US"/>
        </w:rPr>
        <w:t>2.</w:t>
      </w:r>
      <w:r>
        <w:rPr>
          <w:rFonts w:hint="eastAsia" w:ascii="仿宋" w:hAnsi="仿宋" w:eastAsia="仿宋" w:cs="仿宋"/>
          <w:b/>
          <w:color w:val="auto"/>
          <w:sz w:val="32"/>
          <w:highlight w:val="none"/>
        </w:rPr>
        <w:t>项目概况与招标范围</w:t>
      </w:r>
    </w:p>
    <w:p w14:paraId="004BB002">
      <w:pPr>
        <w:wordWrap w:val="0"/>
        <w:autoSpaceDE w:val="0"/>
        <w:autoSpaceDN w:val="0"/>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招标项目概况</w:t>
      </w:r>
    </w:p>
    <w:p w14:paraId="45EFEC0E">
      <w:pPr>
        <w:wordWrap w:val="0"/>
        <w:autoSpaceDE w:val="0"/>
        <w:autoSpaceDN w:val="0"/>
        <w:adjustRightInd w:val="0"/>
        <w:spacing w:line="400" w:lineRule="exact"/>
        <w:ind w:left="2804" w:leftChars="244" w:hanging="2292" w:hangingChars="955"/>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lang w:val="en-US"/>
        </w:rPr>
        <w:t>2.1.1</w:t>
      </w:r>
      <w:r>
        <w:rPr>
          <w:rFonts w:hint="eastAsia" w:ascii="仿宋" w:hAnsi="仿宋" w:eastAsia="仿宋" w:cs="仿宋"/>
          <w:color w:val="auto"/>
          <w:sz w:val="24"/>
          <w:szCs w:val="24"/>
          <w:highlight w:val="none"/>
        </w:rPr>
        <w:t>招标项目名称：</w:t>
      </w:r>
      <w:r>
        <w:rPr>
          <w:rFonts w:hint="eastAsia" w:ascii="仿宋" w:hAnsi="仿宋" w:eastAsia="仿宋" w:cs="仿宋"/>
          <w:color w:val="auto"/>
          <w:sz w:val="24"/>
          <w:szCs w:val="24"/>
          <w:highlight w:val="none"/>
          <w:u w:val="single"/>
          <w:lang w:eastAsia="zh-CN"/>
        </w:rPr>
        <w:t>江高镇农村基础设施建设项目全过程工程咨询（包含项目管理、工程监理）</w:t>
      </w:r>
    </w:p>
    <w:p w14:paraId="23C74223">
      <w:pPr>
        <w:pStyle w:val="6"/>
        <w:adjustRightInd w:val="0"/>
        <w:snapToGrid w:val="0"/>
        <w:spacing w:line="400" w:lineRule="exact"/>
        <w:ind w:left="0" w:firstLine="544" w:firstLineChars="22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rPr>
        <w:t>2.1.2</w:t>
      </w:r>
      <w:r>
        <w:rPr>
          <w:rFonts w:hint="eastAsia" w:ascii="仿宋" w:hAnsi="仿宋" w:eastAsia="仿宋" w:cs="仿宋"/>
          <w:color w:val="auto"/>
          <w:sz w:val="24"/>
          <w:szCs w:val="24"/>
          <w:highlight w:val="none"/>
        </w:rPr>
        <w:t>工程建设规模：</w:t>
      </w:r>
      <w:r>
        <w:rPr>
          <w:rFonts w:hint="eastAsia" w:ascii="仿宋" w:hAnsi="仿宋" w:eastAsia="仿宋" w:cs="仿宋"/>
          <w:color w:val="auto"/>
          <w:sz w:val="24"/>
          <w:szCs w:val="24"/>
          <w:highlight w:val="none"/>
          <w:u w:val="single"/>
        </w:rPr>
        <w:t>江高镇农村基础设施建设项目涉及江高镇(江高片区)16个自然村现状机耕道路、农业生产道路及水渠的改造和修复。项目改造机耕路273条、生产性道路60条；机耕路总长度约47.59公里，生产道路总长度约8.25公里，改造排水(沟)渠约8.23公里。</w:t>
      </w:r>
    </w:p>
    <w:p w14:paraId="769CD6CD">
      <w:pPr>
        <w:pStyle w:val="6"/>
        <w:adjustRightInd w:val="0"/>
        <w:snapToGrid w:val="0"/>
        <w:spacing w:line="400" w:lineRule="exact"/>
        <w:ind w:left="0" w:firstLine="561" w:firstLineChars="23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2.1.3</w:t>
      </w:r>
      <w:r>
        <w:rPr>
          <w:rFonts w:hint="eastAsia" w:ascii="仿宋" w:hAnsi="仿宋" w:eastAsia="仿宋" w:cs="仿宋"/>
          <w:color w:val="auto"/>
          <w:sz w:val="24"/>
          <w:szCs w:val="24"/>
          <w:highlight w:val="none"/>
        </w:rPr>
        <w:t>工程建设地点：</w:t>
      </w:r>
      <w:r>
        <w:rPr>
          <w:rFonts w:hint="eastAsia" w:ascii="仿宋" w:hAnsi="仿宋" w:eastAsia="仿宋" w:cs="仿宋"/>
          <w:color w:val="auto"/>
          <w:sz w:val="24"/>
          <w:szCs w:val="24"/>
          <w:highlight w:val="none"/>
          <w:u w:val="single"/>
        </w:rPr>
        <w:t>广州市</w:t>
      </w:r>
      <w:r>
        <w:rPr>
          <w:rFonts w:hint="eastAsia" w:ascii="仿宋" w:hAnsi="仿宋" w:eastAsia="仿宋" w:cs="仿宋"/>
          <w:color w:val="auto"/>
          <w:sz w:val="24"/>
          <w:szCs w:val="24"/>
          <w:highlight w:val="none"/>
          <w:u w:val="single"/>
          <w:lang w:val="en-US" w:eastAsia="zh-CN"/>
        </w:rPr>
        <w:t>白云区江高镇</w:t>
      </w:r>
    </w:p>
    <w:p w14:paraId="72FAA435">
      <w:pPr>
        <w:widowControl/>
        <w:adjustRightInd w:val="0"/>
        <w:spacing w:line="400" w:lineRule="exact"/>
        <w:ind w:firstLine="561" w:firstLineChars="234"/>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lang w:val="en-US"/>
        </w:rPr>
        <w:t>2.1.4</w:t>
      </w:r>
      <w:r>
        <w:rPr>
          <w:rFonts w:hint="eastAsia" w:ascii="仿宋" w:hAnsi="仿宋" w:eastAsia="仿宋" w:cs="仿宋"/>
          <w:color w:val="auto"/>
          <w:sz w:val="24"/>
          <w:szCs w:val="24"/>
          <w:highlight w:val="none"/>
        </w:rPr>
        <w:t>投资总额：</w:t>
      </w:r>
      <w:r>
        <w:rPr>
          <w:rFonts w:hint="eastAsia" w:ascii="仿宋" w:hAnsi="仿宋" w:eastAsia="仿宋" w:cs="仿宋"/>
          <w:color w:val="auto"/>
          <w:sz w:val="24"/>
          <w:szCs w:val="24"/>
          <w:highlight w:val="none"/>
          <w:u w:val="single"/>
          <w:lang w:val="en-US"/>
        </w:rPr>
        <w:t>本项目总投资 6572万元，其中工程费用约5531.69万元。</w:t>
      </w:r>
    </w:p>
    <w:p w14:paraId="77440A34">
      <w:pPr>
        <w:widowControl/>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2.2招标范围</w:t>
      </w:r>
    </w:p>
    <w:p w14:paraId="225280FB">
      <w:pPr>
        <w:wordWrap w:val="0"/>
        <w:autoSpaceDE w:val="0"/>
        <w:autoSpaceDN w:val="0"/>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2.2.1</w:t>
      </w:r>
      <w:r>
        <w:rPr>
          <w:rFonts w:hint="eastAsia" w:ascii="仿宋" w:hAnsi="仿宋" w:eastAsia="仿宋" w:cs="仿宋"/>
          <w:color w:val="auto"/>
          <w:sz w:val="24"/>
          <w:szCs w:val="24"/>
          <w:highlight w:val="none"/>
        </w:rPr>
        <w:t>标段划分：</w:t>
      </w:r>
      <w:r>
        <w:rPr>
          <w:rFonts w:hint="eastAsia" w:ascii="仿宋" w:hAnsi="仿宋" w:eastAsia="仿宋" w:cs="仿宋"/>
          <w:color w:val="auto"/>
          <w:sz w:val="24"/>
          <w:szCs w:val="24"/>
          <w:highlight w:val="none"/>
          <w:u w:val="single"/>
        </w:rPr>
        <w:t>本项目设1个标段。</w:t>
      </w:r>
    </w:p>
    <w:p w14:paraId="549C5115">
      <w:pPr>
        <w:pStyle w:val="6"/>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2.2.2</w:t>
      </w:r>
      <w:r>
        <w:rPr>
          <w:rFonts w:hint="eastAsia" w:ascii="仿宋" w:hAnsi="仿宋" w:eastAsia="仿宋" w:cs="仿宋"/>
          <w:color w:val="auto"/>
          <w:sz w:val="24"/>
          <w:szCs w:val="24"/>
          <w:highlight w:val="none"/>
        </w:rPr>
        <w:t>招标范围：</w:t>
      </w:r>
      <w:r>
        <w:rPr>
          <w:rFonts w:hint="eastAsia" w:ascii="仿宋" w:hAnsi="仿宋" w:eastAsia="仿宋" w:cs="仿宋"/>
          <w:color w:val="auto"/>
          <w:sz w:val="24"/>
          <w:szCs w:val="24"/>
          <w:highlight w:val="none"/>
          <w:u w:val="single"/>
          <w:shd w:val="clear" w:color="auto" w:fill="FFFFFF"/>
        </w:rPr>
        <w:t>负责江高镇农村基础设施建设项目全过程工程咨询（包含项目管理、工程监理），包括但不限于以下工作内容（具体详见合同约定条款及委托人要求）：</w:t>
      </w:r>
    </w:p>
    <w:p w14:paraId="1EFDF44B">
      <w:pPr>
        <w:pStyle w:val="6"/>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本</w:t>
      </w:r>
      <w:r>
        <w:rPr>
          <w:rFonts w:hint="eastAsia" w:ascii="仿宋" w:hAnsi="仿宋" w:eastAsia="仿宋" w:cs="仿宋"/>
          <w:color w:val="auto"/>
          <w:sz w:val="24"/>
          <w:szCs w:val="24"/>
          <w:highlight w:val="none"/>
          <w:lang w:eastAsia="zh-CN"/>
        </w:rPr>
        <w:t>项目管理</w:t>
      </w:r>
      <w:r>
        <w:rPr>
          <w:rFonts w:hint="eastAsia" w:ascii="仿宋" w:hAnsi="仿宋" w:eastAsia="仿宋" w:cs="仿宋"/>
          <w:color w:val="auto"/>
          <w:sz w:val="24"/>
          <w:szCs w:val="24"/>
          <w:highlight w:val="none"/>
          <w:lang w:val="en-US" w:eastAsia="zh-CN"/>
        </w:rPr>
        <w:t>工作包括：</w:t>
      </w:r>
      <w:r>
        <w:rPr>
          <w:rFonts w:hint="eastAsia" w:ascii="仿宋" w:hAnsi="仿宋" w:eastAsia="仿宋" w:cs="仿宋"/>
          <w:color w:val="auto"/>
          <w:sz w:val="24"/>
          <w:highlight w:val="none"/>
          <w:u w:val="single"/>
        </w:rPr>
        <w:t>负责对项目建设的全过程进行建设管理，内容包括但不限于以下内容：负责自中标通知书起至项目竣工验收、竣工结算、财务决算、移交和保修期满的全过程统筹管理工作。包括但不限于、勘察设计、概算评审、规划报建、监理、施工、设备材料、招标投标等实施过程中建设管理工作及各种手续的报审管理工作，并对工程项目进行质量、安全、进度、投资、合同、信息、档案等方面的有效统筹管理和控制。</w:t>
      </w:r>
    </w:p>
    <w:p w14:paraId="0870EA6F">
      <w:pPr>
        <w:pStyle w:val="6"/>
        <w:adjustRightInd w:val="0"/>
        <w:spacing w:line="400" w:lineRule="exact"/>
        <w:ind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2"/>
          <w:sz w:val="24"/>
          <w:szCs w:val="24"/>
          <w:highlight w:val="none"/>
          <w:lang w:val="en-US" w:bidi="ar-SA"/>
        </w:rPr>
        <w:t>本项目监理工作包括：</w:t>
      </w:r>
    </w:p>
    <w:p w14:paraId="2A95F81A">
      <w:pPr>
        <w:pStyle w:val="6"/>
        <w:adjustRightInd w:val="0"/>
        <w:spacing w:line="400" w:lineRule="exact"/>
        <w:ind w:left="0" w:firstLine="480" w:firstLineChars="200"/>
        <w:rPr>
          <w:rFonts w:hint="eastAsia" w:ascii="仿宋" w:hAnsi="仿宋" w:eastAsia="仿宋" w:cs="仿宋"/>
          <w:color w:val="auto"/>
          <w:kern w:val="2"/>
          <w:sz w:val="24"/>
          <w:szCs w:val="24"/>
          <w:highlight w:val="none"/>
          <w:u w:val="single"/>
          <w:lang w:val="en-US" w:bidi="ar-SA"/>
        </w:rPr>
      </w:pPr>
      <w:r>
        <w:rPr>
          <w:rFonts w:hint="eastAsia" w:ascii="仿宋" w:hAnsi="仿宋" w:eastAsia="仿宋" w:cs="仿宋"/>
          <w:color w:val="auto"/>
          <w:kern w:val="2"/>
          <w:sz w:val="24"/>
          <w:szCs w:val="24"/>
          <w:highlight w:val="none"/>
          <w:u w:val="single"/>
          <w:lang w:val="en-US" w:bidi="ar-SA"/>
        </w:rPr>
        <w:t>（1）施工前准备阶段，包括但不限于协助发包人编制勘察要求、核查勘察方案并监督实施和进行相应的控制。协助业主办理场地移交、办理相关许可证照、报建报批及其他前期准备工作。</w:t>
      </w:r>
    </w:p>
    <w:p w14:paraId="5F21BDB4">
      <w:pPr>
        <w:adjustRightInd w:val="0"/>
        <w:spacing w:line="400" w:lineRule="exact"/>
        <w:ind w:firstLine="480" w:firstLineChars="200"/>
        <w:rPr>
          <w:rFonts w:hint="eastAsia" w:ascii="仿宋" w:hAnsi="仿宋" w:eastAsia="仿宋" w:cs="仿宋"/>
          <w:color w:val="auto"/>
          <w:kern w:val="2"/>
          <w:sz w:val="24"/>
          <w:szCs w:val="24"/>
          <w:highlight w:val="none"/>
          <w:u w:val="single"/>
          <w:lang w:val="en-US" w:bidi="ar-SA"/>
        </w:rPr>
      </w:pPr>
      <w:r>
        <w:rPr>
          <w:rFonts w:hint="eastAsia" w:ascii="仿宋" w:hAnsi="仿宋" w:eastAsia="仿宋" w:cs="仿宋"/>
          <w:color w:val="auto"/>
          <w:sz w:val="24"/>
          <w:szCs w:val="24"/>
          <w:highlight w:val="none"/>
          <w:u w:val="single"/>
        </w:rPr>
        <w:t>（2）</w:t>
      </w:r>
      <w:r>
        <w:rPr>
          <w:rFonts w:hint="eastAsia" w:ascii="仿宋" w:hAnsi="仿宋" w:eastAsia="仿宋" w:cs="仿宋"/>
          <w:color w:val="auto"/>
          <w:kern w:val="2"/>
          <w:sz w:val="24"/>
          <w:szCs w:val="24"/>
          <w:highlight w:val="none"/>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0BF772A4">
      <w:pPr>
        <w:adjustRightInd w:val="0"/>
        <w:spacing w:line="400" w:lineRule="exact"/>
        <w:ind w:firstLine="480" w:firstLineChars="200"/>
        <w:rPr>
          <w:rFonts w:hint="eastAsia" w:ascii="仿宋" w:hAnsi="仿宋" w:eastAsia="仿宋" w:cs="仿宋"/>
          <w:color w:val="auto"/>
          <w:kern w:val="2"/>
          <w:sz w:val="24"/>
          <w:szCs w:val="24"/>
          <w:highlight w:val="none"/>
          <w:u w:val="single"/>
          <w:lang w:val="en-US" w:bidi="ar-SA"/>
        </w:rPr>
      </w:pPr>
      <w:r>
        <w:rPr>
          <w:rFonts w:hint="eastAsia" w:ascii="仿宋" w:hAnsi="仿宋" w:eastAsia="仿宋" w:cs="仿宋"/>
          <w:color w:val="auto"/>
          <w:sz w:val="24"/>
          <w:szCs w:val="24"/>
          <w:highlight w:val="none"/>
          <w:u w:val="single"/>
        </w:rPr>
        <w:t>（3）</w:t>
      </w:r>
      <w:r>
        <w:rPr>
          <w:rFonts w:hint="eastAsia" w:ascii="仿宋" w:hAnsi="仿宋" w:eastAsia="仿宋" w:cs="仿宋"/>
          <w:color w:val="auto"/>
          <w:kern w:val="2"/>
          <w:sz w:val="24"/>
          <w:szCs w:val="24"/>
          <w:highlight w:val="none"/>
          <w:u w:val="single"/>
          <w:lang w:val="en-US" w:bidi="ar-SA"/>
        </w:rPr>
        <w:t>竣工验收及保修阶段：包括但不限于竣工验收及竣工验收资料移交档案、整改、工程移交及实物移交、审核工程结算、竣工备案等，按国家相关规定执行。</w:t>
      </w:r>
    </w:p>
    <w:p w14:paraId="56EB7382">
      <w:pPr>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2.2.3</w:t>
      </w:r>
      <w:r>
        <w:rPr>
          <w:rFonts w:hint="eastAsia" w:ascii="仿宋" w:hAnsi="仿宋" w:eastAsia="仿宋" w:cs="仿宋"/>
          <w:color w:val="auto"/>
          <w:sz w:val="24"/>
          <w:szCs w:val="24"/>
          <w:highlight w:val="none"/>
        </w:rPr>
        <w:t>服务期限：</w:t>
      </w:r>
      <w:r>
        <w:rPr>
          <w:rFonts w:hint="eastAsia" w:ascii="仿宋" w:hAnsi="仿宋" w:eastAsia="仿宋" w:cs="仿宋"/>
          <w:color w:val="auto"/>
          <w:sz w:val="24"/>
          <w:szCs w:val="24"/>
          <w:highlight w:val="none"/>
          <w:u w:val="single"/>
        </w:rPr>
        <w:t>从中标人收到中标通知书开始起算，至该工程竣工验收、竣工结算、财务决算、资产移交、质量保修期届满等完成，并完成所有约定义务止。</w:t>
      </w:r>
    </w:p>
    <w:p w14:paraId="045962D5">
      <w:pPr>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2.2.4</w:t>
      </w:r>
      <w:r>
        <w:rPr>
          <w:rFonts w:hint="eastAsia" w:ascii="仿宋" w:hAnsi="仿宋" w:eastAsia="仿宋" w:cs="仿宋"/>
          <w:color w:val="auto"/>
          <w:sz w:val="24"/>
          <w:szCs w:val="24"/>
          <w:highlight w:val="none"/>
        </w:rPr>
        <w:t>质量目标：</w:t>
      </w:r>
    </w:p>
    <w:p w14:paraId="3E7FFF86">
      <w:pPr>
        <w:adjustRightIn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（1）质量控制目标：合格。</w:t>
      </w:r>
    </w:p>
    <w:p w14:paraId="4F41B3CE">
      <w:pPr>
        <w:adjustRightIn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（2）进度控制目标：按委托人对工期的要求进行进度目标控制。</w:t>
      </w:r>
    </w:p>
    <w:p w14:paraId="15624A61">
      <w:pPr>
        <w:adjustRightIn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（3）投资控制目标：所监理的建安工程结算不超过合同价，且不超过相应的建安工程费概算批复。</w:t>
      </w:r>
    </w:p>
    <w:p w14:paraId="120DDC3B">
      <w:pPr>
        <w:adjustRightIn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（4）安全生产文明施工控制目标：确保工程无人员死亡事故；确保实施期内有关建设人员不违反委托人安全监管规定。</w:t>
      </w:r>
    </w:p>
    <w:p w14:paraId="257C6E84">
      <w:pPr>
        <w:adjustRightIn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（5）职业健康安全管理目标：杜绝发生一般事故等级以上的伤亡事故且工伤责任事故死亡人数为零。</w:t>
      </w:r>
    </w:p>
    <w:p w14:paraId="23A96FF6">
      <w:pPr>
        <w:wordWrap w:val="0"/>
        <w:autoSpaceDE w:val="0"/>
        <w:autoSpaceDN w:val="0"/>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2.2.5本项目最高投标限价总价：</w:t>
      </w:r>
      <w:r>
        <w:rPr>
          <w:rFonts w:hint="eastAsia" w:ascii="仿宋" w:hAnsi="仿宋" w:eastAsia="仿宋" w:cs="仿宋"/>
          <w:color w:val="auto"/>
          <w:sz w:val="24"/>
          <w:szCs w:val="24"/>
          <w:highlight w:val="none"/>
          <w:u w:val="single"/>
          <w:lang w:val="en-US" w:eastAsia="zh-CN"/>
        </w:rPr>
        <w:t>229.33万元；其中：【项目管理：105.75万元、监理：123.58万元】</w:t>
      </w:r>
      <w:r>
        <w:rPr>
          <w:rFonts w:hint="eastAsia" w:ascii="仿宋" w:hAnsi="仿宋" w:eastAsia="仿宋" w:cs="仿宋"/>
          <w:color w:val="auto"/>
          <w:sz w:val="24"/>
          <w:szCs w:val="24"/>
          <w:highlight w:val="none"/>
        </w:rPr>
        <w:t>。</w:t>
      </w:r>
    </w:p>
    <w:p w14:paraId="4143DF0A">
      <w:pPr>
        <w:pStyle w:val="12"/>
        <w:tabs>
          <w:tab w:val="left" w:pos="642"/>
        </w:tabs>
        <w:snapToGrid w:val="0"/>
        <w:spacing w:line="600" w:lineRule="exact"/>
        <w:ind w:left="0" w:firstLine="0"/>
        <w:rPr>
          <w:rFonts w:hint="eastAsia" w:ascii="仿宋" w:hAnsi="仿宋" w:eastAsia="仿宋" w:cs="仿宋"/>
          <w:color w:val="auto"/>
          <w:sz w:val="21"/>
          <w:highlight w:val="none"/>
        </w:rPr>
      </w:pPr>
      <w:bookmarkStart w:id="2" w:name="_bookmark4"/>
      <w:bookmarkEnd w:id="2"/>
      <w:r>
        <w:rPr>
          <w:rFonts w:hint="eastAsia" w:ascii="仿宋" w:hAnsi="仿宋" w:eastAsia="仿宋" w:cs="仿宋"/>
          <w:b/>
          <w:color w:val="auto"/>
          <w:sz w:val="32"/>
          <w:highlight w:val="none"/>
          <w:lang w:val="en-US"/>
        </w:rPr>
        <w:t>3.</w:t>
      </w:r>
      <w:r>
        <w:rPr>
          <w:rFonts w:hint="eastAsia" w:ascii="仿宋" w:hAnsi="仿宋" w:eastAsia="仿宋" w:cs="仿宋"/>
          <w:b/>
          <w:color w:val="auto"/>
          <w:sz w:val="32"/>
          <w:highlight w:val="none"/>
        </w:rPr>
        <w:t>投标人资格要求</w:t>
      </w:r>
    </w:p>
    <w:p w14:paraId="09792CDB">
      <w:pPr>
        <w:pStyle w:val="12"/>
        <w:tabs>
          <w:tab w:val="left" w:pos="642"/>
        </w:tabs>
        <w:spacing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3.1本次招标要求投标人须具备相应资质。</w:t>
      </w:r>
    </w:p>
    <w:p w14:paraId="34B3DF8B">
      <w:pPr>
        <w:adjustRightIn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3.1.1</w:t>
      </w:r>
      <w:r>
        <w:rPr>
          <w:rFonts w:hint="eastAsia" w:ascii="仿宋" w:hAnsi="仿宋" w:eastAsia="仿宋" w:cs="仿宋"/>
          <w:color w:val="auto"/>
          <w:sz w:val="24"/>
          <w:szCs w:val="24"/>
          <w:highlight w:val="none"/>
        </w:rPr>
        <w:t>本次招标要求投标人须具备以下资质：</w:t>
      </w:r>
    </w:p>
    <w:p w14:paraId="492869A5">
      <w:pPr>
        <w:adjustRightInd w:val="0"/>
        <w:spacing w:line="400" w:lineRule="exact"/>
        <w:ind w:firstLine="480" w:firstLineChars="200"/>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u w:val="single"/>
        </w:rPr>
        <w:t>投标人须具备水利部颁发的</w:t>
      </w:r>
      <w:r>
        <w:rPr>
          <w:rFonts w:hint="eastAsia" w:ascii="仿宋" w:hAnsi="仿宋" w:eastAsia="仿宋" w:cs="仿宋"/>
          <w:b/>
          <w:bCs/>
          <w:color w:val="auto"/>
          <w:sz w:val="24"/>
          <w:szCs w:val="24"/>
          <w:highlight w:val="none"/>
          <w:u w:val="single"/>
        </w:rPr>
        <w:t>有效期内</w:t>
      </w:r>
      <w:r>
        <w:rPr>
          <w:rFonts w:hint="eastAsia"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水利</w:t>
      </w:r>
      <w:r>
        <w:rPr>
          <w:rFonts w:hint="eastAsia" w:ascii="仿宋" w:hAnsi="仿宋" w:eastAsia="仿宋" w:cs="仿宋"/>
          <w:color w:val="auto"/>
          <w:sz w:val="24"/>
          <w:szCs w:val="24"/>
          <w:highlight w:val="none"/>
          <w:u w:val="single"/>
        </w:rPr>
        <w:t>工程</w:t>
      </w:r>
      <w:r>
        <w:rPr>
          <w:rFonts w:hint="eastAsia" w:ascii="仿宋" w:hAnsi="仿宋" w:eastAsia="仿宋" w:cs="仿宋"/>
          <w:color w:val="auto"/>
          <w:sz w:val="24"/>
          <w:szCs w:val="24"/>
          <w:highlight w:val="none"/>
          <w:u w:val="single"/>
          <w:lang w:val="en-US" w:eastAsia="zh-CN"/>
        </w:rPr>
        <w:t>施工</w:t>
      </w:r>
      <w:r>
        <w:rPr>
          <w:rFonts w:hint="eastAsia" w:ascii="仿宋" w:hAnsi="仿宋" w:eastAsia="仿宋" w:cs="仿宋"/>
          <w:color w:val="auto"/>
          <w:sz w:val="24"/>
          <w:szCs w:val="24"/>
          <w:highlight w:val="none"/>
          <w:u w:val="single"/>
        </w:rPr>
        <w:t>监理</w:t>
      </w:r>
      <w:r>
        <w:rPr>
          <w:rFonts w:hint="eastAsia" w:ascii="仿宋" w:hAnsi="仿宋" w:eastAsia="仿宋" w:cs="仿宋"/>
          <w:color w:val="auto"/>
          <w:sz w:val="24"/>
          <w:szCs w:val="24"/>
          <w:highlight w:val="none"/>
          <w:u w:val="single"/>
          <w:lang w:val="en-US" w:eastAsia="zh-CN"/>
        </w:rPr>
        <w:t>乙</w:t>
      </w:r>
      <w:r>
        <w:rPr>
          <w:rFonts w:hint="eastAsia" w:ascii="仿宋" w:hAnsi="仿宋" w:eastAsia="仿宋" w:cs="仿宋"/>
          <w:color w:val="auto"/>
          <w:sz w:val="24"/>
          <w:szCs w:val="24"/>
          <w:highlight w:val="none"/>
          <w:u w:val="single"/>
        </w:rPr>
        <w:t>级（或以上）资质。香港企业参加投标的，须在广东省住房和城乡建设主管部门备案且备案的业务范围满足本项目招标文件要求。</w:t>
      </w:r>
    </w:p>
    <w:p w14:paraId="38347688">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注：</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根据《水利部关于开展水利工程建设监理单位资质行政许可有关工作的公告》（中华人民共和国水利部公告2021年第9号）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w:t>
      </w:r>
    </w:p>
    <w:p w14:paraId="144C2C50">
      <w:pPr>
        <w:numPr>
          <w:ilvl w:val="0"/>
          <w:numId w:val="1"/>
        </w:num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795C9529">
      <w:pPr>
        <w:pStyle w:val="12"/>
        <w:tabs>
          <w:tab w:val="left" w:pos="642"/>
        </w:tabs>
        <w:spacing w:line="400" w:lineRule="exact"/>
        <w:ind w:left="0"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3.1.2项目管理：投标人具有与项目相适应的施工或勘察或设计或监理或工程咨询或房地产开发中的一项或多项资质，所提供的资质必须在有效期限内。</w:t>
      </w:r>
    </w:p>
    <w:p w14:paraId="115F9C4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投标人拟派服务团队须配备全过程工程咨询的项目</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负责人、项目</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监理负责人（总监理工程师）。以上人员资格要求如下：</w:t>
      </w:r>
    </w:p>
    <w:p w14:paraId="16C18AB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.1全过程工程咨询项目</w:t>
      </w: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需具有工程</w:t>
      </w:r>
      <w:r>
        <w:rPr>
          <w:rFonts w:hint="eastAsia" w:ascii="仿宋" w:hAnsi="仿宋" w:eastAsia="仿宋" w:cs="仿宋"/>
          <w:color w:val="auto"/>
          <w:sz w:val="24"/>
          <w:szCs w:val="24"/>
          <w:highlight w:val="none"/>
          <w:u w:val="single"/>
          <w:lang w:eastAsia="zh-CN"/>
        </w:rPr>
        <w:t>类</w:t>
      </w:r>
      <w:r>
        <w:rPr>
          <w:rFonts w:hint="eastAsia" w:ascii="仿宋" w:hAnsi="仿宋" w:eastAsia="仿宋" w:cs="仿宋"/>
          <w:color w:val="auto"/>
          <w:sz w:val="24"/>
          <w:szCs w:val="24"/>
          <w:highlight w:val="none"/>
          <w:u w:val="single"/>
        </w:rPr>
        <w:t>高级</w:t>
      </w:r>
      <w:r>
        <w:rPr>
          <w:rFonts w:hint="eastAsia" w:ascii="仿宋" w:hAnsi="仿宋" w:eastAsia="仿宋" w:cs="仿宋"/>
          <w:color w:val="auto"/>
          <w:sz w:val="24"/>
          <w:szCs w:val="24"/>
          <w:highlight w:val="none"/>
          <w:u w:val="single"/>
          <w:lang w:eastAsia="zh-CN"/>
        </w:rPr>
        <w:t>（含高级）</w:t>
      </w:r>
      <w:r>
        <w:rPr>
          <w:rFonts w:hint="eastAsia" w:ascii="仿宋" w:hAnsi="仿宋" w:eastAsia="仿宋" w:cs="仿宋"/>
          <w:color w:val="auto"/>
          <w:sz w:val="24"/>
          <w:szCs w:val="24"/>
          <w:highlight w:val="none"/>
          <w:u w:val="single"/>
        </w:rPr>
        <w:t>以上职称；</w:t>
      </w:r>
    </w:p>
    <w:p w14:paraId="0BA611CE">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3.2.2</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需具有注册监理工程师、一级注册建造师、一级注册建筑师、一级注册结构工程师、注册咨询工程师</w:t>
      </w:r>
      <w:r>
        <w:rPr>
          <w:rFonts w:hint="eastAsia" w:ascii="仿宋" w:hAnsi="仿宋" w:eastAsia="仿宋" w:cs="仿宋"/>
          <w:color w:val="auto"/>
          <w:sz w:val="24"/>
          <w:szCs w:val="24"/>
          <w:highlight w:val="none"/>
          <w:u w:val="single"/>
          <w:lang w:eastAsia="zh-CN"/>
        </w:rPr>
        <w:t>、一级注册造价工程师</w:t>
      </w:r>
      <w:r>
        <w:rPr>
          <w:rFonts w:hint="eastAsia" w:ascii="仿宋" w:hAnsi="仿宋" w:eastAsia="仿宋" w:cs="仿宋"/>
          <w:color w:val="auto"/>
          <w:sz w:val="24"/>
          <w:szCs w:val="24"/>
          <w:highlight w:val="none"/>
          <w:u w:val="single"/>
        </w:rPr>
        <w:t xml:space="preserve">执业资格中的一种，注册执业单位为本公司； </w:t>
      </w:r>
    </w:p>
    <w:p w14:paraId="4F9821AD">
      <w:pPr>
        <w:spacing w:line="40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监理负责人（总监理工程师）：</w:t>
      </w:r>
      <w:r>
        <w:rPr>
          <w:rFonts w:hint="eastAsia" w:ascii="仿宋" w:hAnsi="仿宋" w:eastAsia="仿宋" w:cs="仿宋"/>
          <w:color w:val="auto"/>
          <w:sz w:val="24"/>
          <w:szCs w:val="24"/>
          <w:highlight w:val="none"/>
          <w:u w:val="single"/>
        </w:rPr>
        <w:t xml:space="preserve">具备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 </w:t>
      </w:r>
      <w:r>
        <w:rPr>
          <w:rFonts w:hint="eastAsia" w:ascii="仿宋" w:hAnsi="仿宋" w:eastAsia="仿宋" w:cs="仿宋"/>
          <w:color w:val="auto"/>
          <w:sz w:val="24"/>
          <w:szCs w:val="24"/>
          <w:highlight w:val="none"/>
          <w:u w:val="single"/>
          <w:lang w:eastAsia="zh-CN"/>
        </w:rPr>
        <w:t>；</w:t>
      </w:r>
    </w:p>
    <w:p w14:paraId="50CE324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0434F48">
      <w:pPr>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3.2.4全过程工程咨询项目总负责人可兼任项目管理负责人，项目管理负责人与监理负责人（总监理工程师）不得兼任。全过程工程咨询项目管理负责人、监理负责人（总监理工程师）的注册执业单位必须为投标人本单位。</w:t>
      </w:r>
    </w:p>
    <w:p w14:paraId="33781B17">
      <w:pPr>
        <w:adjustRightIn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3.3联合体投标：</w:t>
      </w:r>
      <w:r>
        <w:rPr>
          <w:rFonts w:hint="eastAsia" w:ascii="仿宋" w:hAnsi="仿宋" w:eastAsia="仿宋" w:cs="仿宋"/>
          <w:b/>
          <w:bCs/>
          <w:color w:val="auto"/>
          <w:kern w:val="2"/>
          <w:sz w:val="24"/>
          <w:szCs w:val="24"/>
          <w:highlight w:val="none"/>
          <w:lang w:val="en-US" w:eastAsia="zh-CN" w:bidi="ar-SA"/>
        </w:rPr>
        <w:t>本项目不允许联合体投标。</w:t>
      </w:r>
    </w:p>
    <w:p w14:paraId="29BECF9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bidi="ar-SA"/>
        </w:rPr>
        <w:t>3.4 其他要求：</w:t>
      </w:r>
    </w:p>
    <w:p w14:paraId="3E0448D0">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（1）投标人参加投标的意思表达清楚，投标人代表被授权有效。</w:t>
      </w:r>
    </w:p>
    <w:p w14:paraId="3A5210E5">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（2）投标人具有独立法人资格，持有有效的工商行政管理部门核发的法人营业执照或事业单位登记管理部门核发的事业单位法人证书，按国家法律经营。</w:t>
      </w:r>
      <w:r>
        <w:rPr>
          <w:rFonts w:hint="eastAsia" w:ascii="仿宋" w:hAnsi="仿宋" w:eastAsia="仿宋" w:cs="仿宋"/>
          <w:color w:val="auto"/>
          <w:sz w:val="24"/>
          <w:szCs w:val="24"/>
          <w:highlight w:val="none"/>
          <w:u w:val="single"/>
        </w:rPr>
        <w:t>香港企业具有在香港公司注册证书及商业登记证。</w:t>
      </w:r>
    </w:p>
    <w:p w14:paraId="3C37E9E4">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（3）投标人已在广州公共资源交易中心企业库办理企业信息登记，</w:t>
      </w:r>
      <w:r>
        <w:rPr>
          <w:rFonts w:hint="eastAsia" w:ascii="仿宋" w:hAnsi="仿宋" w:eastAsia="仿宋" w:cs="仿宋"/>
          <w:color w:val="auto"/>
          <w:sz w:val="24"/>
          <w:szCs w:val="24"/>
          <w:highlight w:val="none"/>
          <w:lang w:val="en-US" w:eastAsia="zh-CN"/>
        </w:rPr>
        <w:t>拟委派的</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总负责人、项目管理负责人、监理负责人（总监理工程师）</w:t>
      </w:r>
      <w:r>
        <w:rPr>
          <w:rFonts w:hint="eastAsia" w:ascii="仿宋" w:hAnsi="仿宋" w:eastAsia="仿宋" w:cs="仿宋"/>
          <w:color w:val="auto"/>
          <w:sz w:val="24"/>
          <w:szCs w:val="24"/>
          <w:highlight w:val="none"/>
        </w:rPr>
        <w:t>是本企业在广州公共资源交易中心企业信息登记中的在册人员。</w:t>
      </w:r>
    </w:p>
    <w:p w14:paraId="545A5AC4">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企业信息登记取自投标截止时间投标人在广州交易集团有限公司（广州公共资源交易中心）企业库的信息，投标人无需提交相关资料，若招标人延长递交投标文件截止时间的，企业信息的评审时点也相应延长。投标人应及时维护其在广州交易集团有限公司（广州公共资源交易中心）企业库信息，确保各项信息在有效期内。</w:t>
      </w:r>
    </w:p>
    <w:p w14:paraId="6204B6F8">
      <w:pPr>
        <w:pStyle w:val="12"/>
        <w:tabs>
          <w:tab w:val="left" w:pos="1040"/>
          <w:tab w:val="left" w:pos="2952"/>
          <w:tab w:val="left" w:pos="4126"/>
        </w:tabs>
        <w:spacing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（4）投标人已按规定的内容签署盖章的《投标人声明》（详见招标</w:t>
      </w:r>
      <w:r>
        <w:rPr>
          <w:rFonts w:hint="eastAsia" w:ascii="仿宋" w:hAnsi="仿宋" w:eastAsia="仿宋" w:cs="仿宋"/>
          <w:color w:val="auto"/>
          <w:sz w:val="24"/>
          <w:szCs w:val="24"/>
          <w:highlight w:val="none"/>
          <w:lang w:val="en-US" w:eastAsia="zh-CN"/>
        </w:rPr>
        <w:t>文件第六章投标文件格式</w:t>
      </w:r>
      <w:r>
        <w:rPr>
          <w:rFonts w:hint="eastAsia" w:ascii="仿宋" w:hAnsi="仿宋" w:eastAsia="仿宋" w:cs="仿宋"/>
          <w:color w:val="auto"/>
          <w:sz w:val="24"/>
          <w:szCs w:val="24"/>
          <w:highlight w:val="none"/>
        </w:rPr>
        <w:t>）。</w:t>
      </w:r>
    </w:p>
    <w:p w14:paraId="39D1F029">
      <w:pPr>
        <w:spacing w:line="40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投标人未被列入拖欠农民工工资失信联合惩戒对象名单（本项评审投标人无需提供资料，按广州交易集团有限公司（广州公共资源交易中心）交易系统比对的结果进行评审。）</w:t>
      </w:r>
    </w:p>
    <w:p w14:paraId="1E40B091">
      <w:pPr>
        <w:pStyle w:val="12"/>
        <w:tabs>
          <w:tab w:val="left" w:pos="1040"/>
          <w:tab w:val="left" w:pos="2952"/>
          <w:tab w:val="left" w:pos="4126"/>
        </w:tabs>
        <w:spacing w:line="400" w:lineRule="exact"/>
        <w:ind w:left="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（6）投标人未出现以下情形：与其他投标人的单位负责人为同一人或者存在控股、管理关系的（按投标人提供的《投标人声明》</w:t>
      </w:r>
      <w:r>
        <w:rPr>
          <w:rFonts w:hint="eastAsia" w:ascii="仿宋" w:hAnsi="仿宋" w:eastAsia="仿宋" w:cs="仿宋"/>
          <w:color w:val="auto"/>
          <w:sz w:val="24"/>
          <w:szCs w:val="24"/>
          <w:highlight w:val="none"/>
          <w:lang w:val="en-US" w:eastAsia="zh-CN"/>
        </w:rPr>
        <w:t>（格式详见招标文件第六章投标文件格式）</w:t>
      </w:r>
      <w:r>
        <w:rPr>
          <w:rFonts w:hint="eastAsia" w:ascii="仿宋" w:hAnsi="仿宋" w:eastAsia="仿宋" w:cs="仿宋"/>
          <w:color w:val="auto"/>
          <w:sz w:val="24"/>
          <w:szCs w:val="24"/>
          <w:highlight w:val="none"/>
          <w:lang w:val="en-US"/>
        </w:rPr>
        <w:t>第六条内容进行评审）。如不同投标申请人出现单位负责人为同一人或者存在控股、管理关系的情形，则相关投标均无效。</w:t>
      </w:r>
    </w:p>
    <w:p w14:paraId="0E31644D">
      <w:pPr>
        <w:pStyle w:val="12"/>
        <w:tabs>
          <w:tab w:val="left" w:pos="1040"/>
          <w:tab w:val="left" w:pos="2952"/>
          <w:tab w:val="left" w:pos="4126"/>
        </w:tabs>
        <w:spacing w:line="360" w:lineRule="auto"/>
        <w:ind w:left="0" w:firstLine="480" w:firstLineChars="200"/>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u w:val="single"/>
          <w:lang w:val="en-US"/>
        </w:rPr>
        <w:t>注：未在招标公告第3条单列的投标人资格要求条件，不作为资审不合格的依据。</w:t>
      </w:r>
    </w:p>
    <w:p w14:paraId="79572D99">
      <w:pPr>
        <w:pStyle w:val="12"/>
        <w:tabs>
          <w:tab w:val="left" w:pos="642"/>
        </w:tabs>
        <w:snapToGrid w:val="0"/>
        <w:spacing w:line="600" w:lineRule="exact"/>
        <w:ind w:left="0" w:firstLine="0"/>
        <w:rPr>
          <w:rFonts w:hint="eastAsia" w:ascii="仿宋" w:hAnsi="仿宋" w:eastAsia="仿宋" w:cs="仿宋"/>
          <w:b/>
          <w:color w:val="auto"/>
          <w:sz w:val="32"/>
          <w:szCs w:val="32"/>
          <w:highlight w:val="none"/>
        </w:rPr>
      </w:pPr>
      <w:bookmarkStart w:id="3" w:name="_bookmark5"/>
      <w:bookmarkEnd w:id="3"/>
      <w:r>
        <w:rPr>
          <w:rFonts w:hint="eastAsia" w:ascii="仿宋" w:hAnsi="仿宋" w:eastAsia="仿宋" w:cs="仿宋"/>
          <w:b/>
          <w:color w:val="auto"/>
          <w:sz w:val="32"/>
          <w:szCs w:val="32"/>
          <w:highlight w:val="none"/>
          <w:lang w:val="en-US"/>
        </w:rPr>
        <w:t>4.</w:t>
      </w:r>
      <w:r>
        <w:rPr>
          <w:rFonts w:hint="eastAsia" w:ascii="仿宋" w:hAnsi="仿宋" w:eastAsia="仿宋" w:cs="仿宋"/>
          <w:b/>
          <w:color w:val="auto"/>
          <w:sz w:val="32"/>
          <w:szCs w:val="32"/>
          <w:highlight w:val="none"/>
        </w:rPr>
        <w:t>招标文件的获取</w:t>
      </w:r>
    </w:p>
    <w:p w14:paraId="20D4709F">
      <w:pPr>
        <w:spacing w:line="400" w:lineRule="exact"/>
        <w:ind w:firstLine="480" w:firstLineChars="200"/>
        <w:rPr>
          <w:rFonts w:hint="eastAsia" w:ascii="仿宋" w:hAnsi="仿宋" w:eastAsia="仿宋" w:cs="仿宋"/>
          <w:color w:val="auto"/>
          <w:sz w:val="24"/>
          <w:szCs w:val="24"/>
          <w:highlight w:val="none"/>
        </w:rPr>
      </w:pPr>
      <w:bookmarkStart w:id="4" w:name="_bookmark6"/>
      <w:bookmarkEnd w:id="4"/>
      <w:r>
        <w:rPr>
          <w:rFonts w:hint="eastAsia" w:ascii="仿宋" w:hAnsi="仿宋" w:eastAsia="仿宋" w:cs="仿宋"/>
          <w:color w:val="auto"/>
          <w:sz w:val="24"/>
          <w:szCs w:val="24"/>
          <w:highlight w:val="none"/>
        </w:rPr>
        <w:t>4.1凡有意参加投标者，请于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分(北京时间，下同)，登录广州公共资源交易中心网站（http//www.gzggzy.cn）下载电子招标文件。</w:t>
      </w:r>
    </w:p>
    <w:p w14:paraId="343040E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4.2招标公告发布时间</w:t>
      </w:r>
    </w:p>
    <w:p w14:paraId="1D36932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发布招标公告时间(含本日): </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w:t>
      </w:r>
    </w:p>
    <w:p w14:paraId="302515D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注：（1）发布招标公告的时间为招标公告发出之日起至递交投标文件截止时间止。</w:t>
      </w:r>
    </w:p>
    <w:p w14:paraId="6848C8FE">
      <w:pPr>
        <w:widowControl/>
        <w:shd w:val="clear" w:color="auto"/>
        <w:snapToGrid w:val="0"/>
        <w:spacing w:line="400" w:lineRule="exact"/>
        <w:ind w:firstLine="480" w:firstLineChars="200"/>
        <w:rPr>
          <w:rFonts w:hint="eastAsia" w:ascii="仿宋" w:hAnsi="仿宋" w:eastAsia="仿宋" w:cs="仿宋"/>
          <w:color w:val="auto"/>
          <w:sz w:val="24"/>
          <w:szCs w:val="24"/>
          <w:highlight w:val="none"/>
        </w:rPr>
      </w:pPr>
      <w:bookmarkStart w:id="5" w:name="_Toc16176"/>
      <w:r>
        <w:rPr>
          <w:rFonts w:hint="eastAsia" w:ascii="仿宋" w:hAnsi="仿宋" w:eastAsia="仿宋" w:cs="仿宋"/>
          <w:color w:val="auto"/>
          <w:sz w:val="24"/>
          <w:szCs w:val="24"/>
          <w:highlight w:val="none"/>
        </w:rPr>
        <w:t>（2）本公告发布之日起发布招标文件，</w:t>
      </w:r>
      <w:bookmarkEnd w:id="5"/>
      <w:r>
        <w:rPr>
          <w:rFonts w:hint="eastAsia" w:ascii="仿宋" w:hAnsi="仿宋" w:eastAsia="仿宋" w:cs="仿宋"/>
          <w:color w:val="auto"/>
          <w:sz w:val="24"/>
          <w:szCs w:val="24"/>
          <w:highlight w:val="none"/>
        </w:rPr>
        <w:t>并从招标公告发布之日起开始计算备标时间。</w:t>
      </w:r>
    </w:p>
    <w:p w14:paraId="6A103FD0">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（3）投标人应在递交投标文件截止时间前，登录</w:t>
      </w:r>
      <w:r>
        <w:rPr>
          <w:rFonts w:hint="eastAsia" w:ascii="仿宋" w:hAnsi="仿宋" w:eastAsia="仿宋" w:cs="仿宋"/>
          <w:color w:val="auto"/>
          <w:sz w:val="24"/>
          <w:szCs w:val="24"/>
          <w:highlight w:val="none"/>
          <w:u w:val="single"/>
        </w:rPr>
        <w:t>广州公共资源交易中心</w:t>
      </w:r>
      <w:r>
        <w:rPr>
          <w:rFonts w:hint="eastAsia" w:ascii="仿宋" w:hAnsi="仿宋" w:eastAsia="仿宋" w:cs="仿宋"/>
          <w:color w:val="auto"/>
          <w:sz w:val="24"/>
          <w:szCs w:val="24"/>
          <w:highlight w:val="none"/>
        </w:rPr>
        <w:t>交易平台网站办理网上投标登记手续。按照交易平台关于全流程电子化项目的相关指南进行操作。详见</w:t>
      </w:r>
      <w:r>
        <w:rPr>
          <w:rFonts w:hint="eastAsia" w:ascii="仿宋" w:hAnsi="仿宋" w:eastAsia="仿宋" w:cs="仿宋"/>
          <w:color w:val="auto"/>
          <w:sz w:val="24"/>
          <w:szCs w:val="24"/>
          <w:highlight w:val="none"/>
          <w:u w:val="single"/>
        </w:rPr>
        <w:t>广州公共资源交易中心网站（网址：http://www.gzggzy.cn）</w:t>
      </w:r>
      <w:r>
        <w:rPr>
          <w:rFonts w:hint="eastAsia" w:ascii="仿宋" w:hAnsi="仿宋" w:eastAsia="仿宋" w:cs="仿宋"/>
          <w:color w:val="auto"/>
          <w:sz w:val="24"/>
          <w:szCs w:val="24"/>
          <w:highlight w:val="none"/>
        </w:rPr>
        <w:t>。</w:t>
      </w:r>
    </w:p>
    <w:p w14:paraId="5F0709D1">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4.3本项目采用资格后审方式。</w:t>
      </w:r>
    </w:p>
    <w:p w14:paraId="48606E26">
      <w:pPr>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rPr>
        <w:t>5.</w:t>
      </w:r>
      <w:r>
        <w:rPr>
          <w:rFonts w:hint="eastAsia" w:ascii="仿宋" w:hAnsi="仿宋" w:eastAsia="仿宋" w:cs="仿宋"/>
          <w:b/>
          <w:color w:val="auto"/>
          <w:sz w:val="32"/>
          <w:szCs w:val="32"/>
          <w:highlight w:val="none"/>
        </w:rPr>
        <w:t>投标文件的递交</w:t>
      </w:r>
    </w:p>
    <w:p w14:paraId="031E377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递交电子投标文件。</w:t>
      </w:r>
    </w:p>
    <w:p w14:paraId="52B77B22">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投标文件递交的截止时间（投标截止时间，下同）为</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分，投标人应在截止时间前通过</w:t>
      </w:r>
      <w:r>
        <w:rPr>
          <w:rFonts w:hint="eastAsia" w:ascii="仿宋" w:hAnsi="仿宋" w:eastAsia="仿宋" w:cs="仿宋"/>
          <w:color w:val="auto"/>
          <w:sz w:val="24"/>
          <w:szCs w:val="24"/>
          <w:highlight w:val="none"/>
          <w:u w:val="single"/>
        </w:rPr>
        <w:t>广州公共资源交易中心交易平台（网址：http://www.gzggzy.cn）</w:t>
      </w:r>
      <w:r>
        <w:rPr>
          <w:rFonts w:hint="eastAsia" w:ascii="仿宋" w:hAnsi="仿宋" w:eastAsia="仿宋" w:cs="仿宋"/>
          <w:color w:val="auto"/>
          <w:sz w:val="24"/>
          <w:szCs w:val="24"/>
          <w:highlight w:val="none"/>
        </w:rPr>
        <w:t>递交电子投标文件。</w:t>
      </w:r>
    </w:p>
    <w:p w14:paraId="5BAEBB8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提交投标文件光盘（备用）。</w:t>
      </w:r>
    </w:p>
    <w:p w14:paraId="1BADF12D">
      <w:pPr>
        <w:snapToGrid w:val="0"/>
        <w:spacing w:line="400" w:lineRule="exact"/>
        <w:ind w:left="210" w:leftChars="10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投标文件电子光盘（备用）递交时间：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时分；地点：广州公共资源交易中心</w:t>
      </w:r>
      <w:r>
        <w:rPr>
          <w:rFonts w:hint="eastAsia" w:ascii="仿宋" w:hAnsi="仿宋" w:eastAsia="仿宋" w:cs="仿宋"/>
          <w:color w:val="auto"/>
          <w:sz w:val="24"/>
          <w:szCs w:val="24"/>
          <w:highlight w:val="none"/>
          <w:lang w:val="en-US"/>
        </w:rPr>
        <w:t>指定</w:t>
      </w:r>
      <w:r>
        <w:rPr>
          <w:rFonts w:hint="eastAsia" w:ascii="仿宋" w:hAnsi="仿宋" w:eastAsia="仿宋" w:cs="仿宋"/>
          <w:color w:val="auto"/>
          <w:sz w:val="24"/>
          <w:szCs w:val="24"/>
          <w:highlight w:val="none"/>
        </w:rPr>
        <w:t>开标室。（电子光盘需按规定封装。投标人在将数据刻录到光盘之后，投标前自行检查文件是否可以读取)</w:t>
      </w:r>
    </w:p>
    <w:p w14:paraId="2C1F594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5.3投标人完成电子投标上传后，电子招标投标交易平台即时向投标人发出递交回执通知。递交时间以递交回执通知载明的传输时间为准。</w:t>
      </w:r>
    </w:p>
    <w:p w14:paraId="1596C0B9">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 逾期送达的投标文件，电子招标投标交易平台将予以拒收。</w:t>
      </w:r>
    </w:p>
    <w:p w14:paraId="49F1896D">
      <w:pPr>
        <w:pStyle w:val="7"/>
        <w:snapToGrid w:val="0"/>
        <w:spacing w:line="40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rPr>
        <w:t>开标时间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分。地点：广州公共资源交易中心</w:t>
      </w:r>
      <w:r>
        <w:rPr>
          <w:rFonts w:hint="eastAsia" w:ascii="仿宋" w:hAnsi="仿宋" w:eastAsia="仿宋" w:cs="仿宋"/>
          <w:color w:val="auto"/>
          <w:sz w:val="24"/>
          <w:szCs w:val="24"/>
          <w:highlight w:val="none"/>
          <w:lang w:val="en-US"/>
        </w:rPr>
        <w:t>指定</w:t>
      </w:r>
      <w:r>
        <w:rPr>
          <w:rFonts w:hint="eastAsia" w:ascii="仿宋" w:hAnsi="仿宋" w:eastAsia="仿宋" w:cs="仿宋"/>
          <w:color w:val="auto"/>
          <w:sz w:val="24"/>
          <w:szCs w:val="24"/>
          <w:highlight w:val="none"/>
        </w:rPr>
        <w:t>开标室。</w:t>
      </w:r>
      <w:r>
        <w:rPr>
          <w:rFonts w:hint="eastAsia" w:ascii="仿宋" w:hAnsi="仿宋" w:eastAsia="仿宋" w:cs="仿宋"/>
          <w:color w:val="auto"/>
          <w:sz w:val="24"/>
          <w:szCs w:val="24"/>
          <w:highlight w:val="none"/>
          <w:lang w:val="en-US"/>
        </w:rPr>
        <w:t xml:space="preserve"> </w:t>
      </w:r>
    </w:p>
    <w:p w14:paraId="73771284">
      <w:pPr>
        <w:pStyle w:val="7"/>
        <w:snapToGrid w:val="0"/>
        <w:spacing w:line="40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5.6 递交投标文件截止时间及开标时间是否有变化，请密切留意交易中心网站中的相关信息。递交投标文件截止时间后，投标文件评审时间因故推迟的，相关资审信息仍以原递交投标文件截止时间的信息为准。</w:t>
      </w:r>
    </w:p>
    <w:p w14:paraId="555EE172">
      <w:pPr>
        <w:pStyle w:val="12"/>
        <w:tabs>
          <w:tab w:val="left" w:pos="642"/>
        </w:tabs>
        <w:spacing w:line="600" w:lineRule="exact"/>
        <w:ind w:left="0" w:firstLine="0"/>
        <w:rPr>
          <w:rFonts w:hint="eastAsia" w:ascii="仿宋" w:hAnsi="仿宋" w:eastAsia="仿宋" w:cs="仿宋"/>
          <w:b/>
          <w:color w:val="auto"/>
          <w:sz w:val="24"/>
          <w:szCs w:val="24"/>
          <w:highlight w:val="none"/>
          <w:lang w:val="en-US"/>
        </w:rPr>
      </w:pPr>
      <w:bookmarkStart w:id="6" w:name="_bookmark7"/>
      <w:bookmarkEnd w:id="6"/>
      <w:r>
        <w:rPr>
          <w:rFonts w:hint="eastAsia" w:ascii="仿宋" w:hAnsi="仿宋" w:eastAsia="仿宋" w:cs="仿宋"/>
          <w:b/>
          <w:color w:val="auto"/>
          <w:sz w:val="32"/>
          <w:szCs w:val="32"/>
          <w:highlight w:val="none"/>
          <w:lang w:val="en-US"/>
        </w:rPr>
        <w:t>6.</w:t>
      </w:r>
      <w:r>
        <w:rPr>
          <w:rFonts w:hint="eastAsia" w:ascii="仿宋" w:hAnsi="仿宋" w:eastAsia="仿宋" w:cs="仿宋"/>
          <w:b/>
          <w:color w:val="auto"/>
          <w:sz w:val="32"/>
          <w:szCs w:val="32"/>
          <w:highlight w:val="none"/>
        </w:rPr>
        <w:t>发布公告的媒介</w:t>
      </w:r>
    </w:p>
    <w:p w14:paraId="47D6BB4A">
      <w:pPr>
        <w:pStyle w:val="12"/>
        <w:tabs>
          <w:tab w:val="left" w:pos="642"/>
        </w:tabs>
        <w:snapToGrid w:val="0"/>
        <w:spacing w:line="400" w:lineRule="exact"/>
        <w:ind w:left="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本次招标公告同时在</w:t>
      </w:r>
      <w:r>
        <w:rPr>
          <w:rFonts w:hint="eastAsia" w:ascii="仿宋" w:hAnsi="仿宋" w:eastAsia="仿宋" w:cs="仿宋"/>
          <w:color w:val="auto"/>
          <w:sz w:val="24"/>
          <w:szCs w:val="24"/>
          <w:highlight w:val="none"/>
          <w:u w:val="single"/>
        </w:rPr>
        <w:t>广州公共资源交易中心网</w:t>
      </w:r>
      <w:r>
        <w:rPr>
          <w:rFonts w:hint="eastAsia" w:ascii="仿宋" w:hAnsi="仿宋" w:eastAsia="仿宋" w:cs="仿宋"/>
          <w:color w:val="auto"/>
          <w:sz w:val="24"/>
          <w:szCs w:val="24"/>
          <w:highlight w:val="none"/>
          <w:u w:val="single"/>
          <w:lang w:val="en-US"/>
        </w:rPr>
        <w:t>（</w:t>
      </w:r>
      <w:r>
        <w:rPr>
          <w:rFonts w:hint="eastAsia" w:ascii="仿宋" w:hAnsi="仿宋" w:eastAsia="仿宋" w:cs="仿宋"/>
          <w:color w:val="auto"/>
          <w:sz w:val="24"/>
          <w:szCs w:val="24"/>
          <w:highlight w:val="none"/>
          <w:u w:val="single"/>
        </w:rPr>
        <w:t>网址</w:t>
      </w:r>
      <w:r>
        <w:rPr>
          <w:rFonts w:hint="eastAsia" w:ascii="仿宋" w:hAnsi="仿宋" w:eastAsia="仿宋" w:cs="仿宋"/>
          <w:color w:val="auto"/>
          <w:sz w:val="24"/>
          <w:szCs w:val="24"/>
          <w:highlight w:val="none"/>
          <w:u w:val="single"/>
          <w:lang w:val="en-US"/>
        </w:rPr>
        <w:t>：</w:t>
      </w:r>
      <w:r>
        <w:rPr>
          <w:rFonts w:hint="eastAsia" w:ascii="仿宋" w:hAnsi="仿宋" w:eastAsia="仿宋" w:cs="仿宋"/>
          <w:b w:val="0"/>
          <w:color w:val="auto"/>
          <w:sz w:val="24"/>
          <w:szCs w:val="24"/>
          <w:highlight w:val="none"/>
        </w:rPr>
        <w:t>http://www.gzggzy.cn</w:t>
      </w:r>
      <w:r>
        <w:rPr>
          <w:rFonts w:hint="eastAsia" w:ascii="仿宋" w:hAnsi="仿宋" w:eastAsia="仿宋" w:cs="仿宋"/>
          <w:color w:val="auto"/>
          <w:sz w:val="24"/>
          <w:szCs w:val="24"/>
          <w:highlight w:val="none"/>
          <w:u w:val="single"/>
          <w:lang w:val="en-US"/>
        </w:rPr>
        <w:t>）</w:t>
      </w:r>
      <w:r>
        <w:rPr>
          <w:rFonts w:hint="eastAsia" w:ascii="仿宋" w:hAnsi="仿宋" w:eastAsia="仿宋" w:cs="仿宋"/>
          <w:color w:val="auto"/>
          <w:sz w:val="24"/>
          <w:szCs w:val="24"/>
          <w:highlight w:val="none"/>
          <w:u w:val="single"/>
        </w:rPr>
        <w:t>、广东省招标投标监管网</w:t>
      </w:r>
      <w:r>
        <w:rPr>
          <w:rFonts w:hint="eastAsia" w:ascii="仿宋" w:hAnsi="仿宋" w:eastAsia="仿宋" w:cs="仿宋"/>
          <w:color w:val="auto"/>
          <w:sz w:val="24"/>
          <w:szCs w:val="24"/>
          <w:highlight w:val="none"/>
          <w:u w:val="single"/>
          <w:lang w:val="en-US"/>
        </w:rPr>
        <w:t>（</w:t>
      </w:r>
      <w:r>
        <w:rPr>
          <w:rFonts w:hint="eastAsia" w:ascii="仿宋" w:hAnsi="仿宋" w:eastAsia="仿宋" w:cs="仿宋"/>
          <w:color w:val="auto"/>
          <w:sz w:val="24"/>
          <w:szCs w:val="24"/>
          <w:highlight w:val="none"/>
          <w:u w:val="single"/>
        </w:rPr>
        <w:t>网址</w:t>
      </w:r>
      <w:r>
        <w:rPr>
          <w:rFonts w:hint="eastAsia" w:ascii="仿宋" w:hAnsi="仿宋" w:eastAsia="仿宋" w:cs="仿宋"/>
          <w:color w:val="auto"/>
          <w:sz w:val="24"/>
          <w:szCs w:val="24"/>
          <w:highlight w:val="none"/>
          <w:u w:val="single"/>
          <w:lang w:val="en-US"/>
        </w:rPr>
        <w:t>：http://zbtb.gd.gov.cn/login）</w:t>
      </w:r>
      <w:r>
        <w:rPr>
          <w:rFonts w:hint="eastAsia" w:ascii="仿宋" w:hAnsi="仿宋" w:eastAsia="仿宋" w:cs="仿宋"/>
          <w:color w:val="auto"/>
          <w:sz w:val="24"/>
          <w:szCs w:val="24"/>
          <w:highlight w:val="none"/>
          <w:u w:val="single"/>
        </w:rPr>
        <w:t>和中国招标投标公共服务平台</w:t>
      </w:r>
      <w:r>
        <w:rPr>
          <w:rFonts w:hint="eastAsia" w:ascii="仿宋" w:hAnsi="仿宋" w:eastAsia="仿宋" w:cs="仿宋"/>
          <w:color w:val="auto"/>
          <w:sz w:val="24"/>
          <w:szCs w:val="24"/>
          <w:highlight w:val="none"/>
          <w:u w:val="single"/>
          <w:lang w:val="en-US"/>
        </w:rPr>
        <w:t>（</w:t>
      </w:r>
      <w:r>
        <w:rPr>
          <w:rFonts w:hint="eastAsia" w:ascii="仿宋" w:hAnsi="仿宋" w:eastAsia="仿宋" w:cs="仿宋"/>
          <w:color w:val="auto"/>
          <w:sz w:val="24"/>
          <w:szCs w:val="24"/>
          <w:highlight w:val="none"/>
          <w:u w:val="single"/>
        </w:rPr>
        <w:t>网址</w:t>
      </w:r>
      <w:r>
        <w:rPr>
          <w:rFonts w:hint="eastAsia" w:ascii="仿宋" w:hAnsi="仿宋" w:eastAsia="仿宋" w:cs="仿宋"/>
          <w:color w:val="auto"/>
          <w:sz w:val="24"/>
          <w:szCs w:val="24"/>
          <w:highlight w:val="none"/>
          <w:u w:val="single"/>
          <w:lang w:val="en-US"/>
        </w:rPr>
        <w:t>：http://www.cebpubservice.com/）</w:t>
      </w:r>
      <w:r>
        <w:rPr>
          <w:rFonts w:hint="eastAsia" w:ascii="仿宋" w:hAnsi="仿宋" w:eastAsia="仿宋" w:cs="仿宋"/>
          <w:color w:val="auto"/>
          <w:sz w:val="24"/>
          <w:szCs w:val="24"/>
          <w:highlight w:val="none"/>
          <w:u w:val="single"/>
        </w:rPr>
        <w:t>发布</w:t>
      </w:r>
      <w:r>
        <w:rPr>
          <w:rFonts w:hint="eastAsia" w:ascii="仿宋" w:hAnsi="仿宋" w:eastAsia="仿宋" w:cs="仿宋"/>
          <w:color w:val="auto"/>
          <w:sz w:val="24"/>
          <w:szCs w:val="24"/>
          <w:highlight w:val="none"/>
          <w:u w:val="single"/>
          <w:lang w:val="en-US"/>
        </w:rPr>
        <w:t>，</w:t>
      </w:r>
      <w:r>
        <w:rPr>
          <w:rFonts w:hint="eastAsia" w:ascii="仿宋" w:hAnsi="仿宋" w:eastAsia="仿宋" w:cs="仿宋"/>
          <w:color w:val="auto"/>
          <w:sz w:val="24"/>
          <w:szCs w:val="24"/>
          <w:highlight w:val="none"/>
          <w:u w:val="single"/>
        </w:rPr>
        <w:t>本公告的修改、补充在广州公共资源交易中心网站</w:t>
      </w:r>
      <w:r>
        <w:rPr>
          <w:rFonts w:hint="eastAsia" w:ascii="仿宋" w:hAnsi="仿宋" w:eastAsia="仿宋" w:cs="仿宋"/>
          <w:color w:val="auto"/>
          <w:sz w:val="24"/>
          <w:szCs w:val="24"/>
          <w:highlight w:val="none"/>
        </w:rPr>
        <w:t>上发布。</w:t>
      </w:r>
    </w:p>
    <w:p w14:paraId="7738C51F">
      <w:pPr>
        <w:pStyle w:val="5"/>
        <w:spacing w:line="600" w:lineRule="exact"/>
        <w:ind w:left="403" w:hanging="403"/>
        <w:rPr>
          <w:rFonts w:hint="eastAsia" w:ascii="仿宋" w:hAnsi="仿宋" w:eastAsia="仿宋" w:cs="仿宋"/>
          <w:color w:val="auto"/>
          <w:highlight w:val="none"/>
        </w:rPr>
      </w:pPr>
      <w:bookmarkStart w:id="7" w:name="_bookmark17"/>
      <w:bookmarkEnd w:id="7"/>
      <w:bookmarkStart w:id="8" w:name="_bookmark8"/>
      <w:bookmarkEnd w:id="8"/>
      <w:bookmarkStart w:id="9" w:name="_bookmark9"/>
      <w:bookmarkEnd w:id="9"/>
      <w:bookmarkStart w:id="10" w:name="_Toc492300552"/>
      <w:r>
        <w:rPr>
          <w:rFonts w:hint="eastAsia" w:ascii="仿宋" w:hAnsi="仿宋" w:eastAsia="仿宋" w:cs="仿宋"/>
          <w:color w:val="auto"/>
          <w:highlight w:val="none"/>
        </w:rPr>
        <w:t>7. 联系方式</w:t>
      </w:r>
      <w:bookmarkEnd w:id="10"/>
    </w:p>
    <w:p w14:paraId="600A42C1">
      <w:pPr>
        <w:topLinePunct/>
        <w:autoSpaceDE w:val="0"/>
        <w:autoSpaceDN w:val="0"/>
        <w:spacing w:line="400" w:lineRule="exact"/>
        <w:ind w:firstLine="480" w:firstLineChars="200"/>
        <w:rPr>
          <w:rFonts w:hint="eastAsia" w:ascii="仿宋" w:hAnsi="仿宋" w:eastAsia="仿宋" w:cs="仿宋"/>
          <w:color w:val="auto"/>
          <w:sz w:val="24"/>
          <w:szCs w:val="24"/>
          <w:highlight w:val="none"/>
          <w:lang w:eastAsia="zh-CN"/>
        </w:rPr>
      </w:pPr>
      <w:bookmarkStart w:id="11" w:name="_Toc152045513"/>
      <w:bookmarkEnd w:id="11"/>
      <w:bookmarkStart w:id="12" w:name="_Toc30817"/>
      <w:bookmarkEnd w:id="12"/>
      <w:bookmarkStart w:id="13" w:name="_Toc152042288"/>
      <w:bookmarkEnd w:id="13"/>
      <w:bookmarkStart w:id="14" w:name="_Toc361508560"/>
      <w:bookmarkEnd w:id="14"/>
      <w:bookmarkStart w:id="15" w:name="_Toc152042289"/>
      <w:bookmarkEnd w:id="15"/>
      <w:bookmarkStart w:id="16" w:name="_Toc300834927"/>
      <w:bookmarkEnd w:id="16"/>
      <w:bookmarkStart w:id="17" w:name="_Toc300834929"/>
      <w:bookmarkEnd w:id="17"/>
      <w:bookmarkStart w:id="18" w:name="_Toc369531497"/>
      <w:bookmarkEnd w:id="18"/>
      <w:bookmarkStart w:id="19" w:name="_Toc361508562"/>
      <w:bookmarkEnd w:id="19"/>
      <w:bookmarkStart w:id="20" w:name="_Toc247527535"/>
      <w:bookmarkEnd w:id="20"/>
      <w:bookmarkStart w:id="21" w:name="_Toc300834930"/>
      <w:bookmarkEnd w:id="21"/>
      <w:bookmarkStart w:id="22" w:name="_Toc247513934"/>
      <w:bookmarkEnd w:id="22"/>
      <w:bookmarkStart w:id="23" w:name="_Toc10785"/>
      <w:bookmarkEnd w:id="23"/>
      <w:bookmarkStart w:id="24" w:name="_Toc369531498"/>
      <w:bookmarkEnd w:id="24"/>
      <w:bookmarkStart w:id="25" w:name="_Toc144974480"/>
      <w:bookmarkEnd w:id="25"/>
      <w:bookmarkStart w:id="26" w:name="_Toc247513935"/>
      <w:bookmarkEnd w:id="26"/>
      <w:bookmarkStart w:id="27" w:name="_Toc144974481"/>
      <w:bookmarkEnd w:id="27"/>
      <w:bookmarkStart w:id="28" w:name="_Toc384308187"/>
      <w:bookmarkEnd w:id="28"/>
      <w:bookmarkStart w:id="29" w:name="_Toc352691453"/>
      <w:bookmarkEnd w:id="29"/>
      <w:bookmarkStart w:id="30" w:name="_Toc369531495"/>
      <w:bookmarkEnd w:id="30"/>
      <w:bookmarkStart w:id="31" w:name="_Toc152045512"/>
      <w:bookmarkEnd w:id="31"/>
      <w:bookmarkStart w:id="32" w:name="_Toc361508563"/>
      <w:bookmarkEnd w:id="32"/>
      <w:bookmarkStart w:id="33" w:name="_Toc17972"/>
      <w:bookmarkEnd w:id="33"/>
      <w:bookmarkStart w:id="34" w:name="_Toc247527536"/>
      <w:bookmarkEnd w:id="34"/>
      <w:bookmarkStart w:id="35" w:name="_Toc352691456"/>
      <w:bookmarkEnd w:id="35"/>
      <w:bookmarkStart w:id="36" w:name="_Toc384308185"/>
      <w:bookmarkEnd w:id="36"/>
      <w:bookmarkStart w:id="37" w:name="_Toc384308188"/>
      <w:bookmarkEnd w:id="37"/>
      <w:bookmarkStart w:id="38" w:name="_Toc352691455"/>
      <w:bookmarkEnd w:id="38"/>
      <w:r>
        <w:rPr>
          <w:rFonts w:hint="eastAsia" w:ascii="仿宋" w:hAnsi="仿宋" w:eastAsia="仿宋" w:cs="仿宋"/>
          <w:color w:val="auto"/>
          <w:sz w:val="24"/>
          <w:szCs w:val="24"/>
          <w:highlight w:val="none"/>
        </w:rPr>
        <w:t>招 标 人：</w:t>
      </w:r>
      <w:r>
        <w:rPr>
          <w:rFonts w:hint="eastAsia" w:ascii="仿宋" w:hAnsi="仿宋" w:eastAsia="仿宋" w:cs="仿宋"/>
          <w:color w:val="auto"/>
          <w:sz w:val="24"/>
          <w:szCs w:val="24"/>
          <w:highlight w:val="none"/>
          <w:u w:val="single"/>
          <w:lang w:eastAsia="zh-CN"/>
        </w:rPr>
        <w:t>广州市白云区江高镇人民政府</w:t>
      </w:r>
    </w:p>
    <w:p w14:paraId="51F88366">
      <w:pPr>
        <w:topLinePunct/>
        <w:autoSpaceDE w:val="0"/>
        <w:autoSpaceDN w:val="0"/>
        <w:spacing w:line="400" w:lineRule="exact"/>
        <w:ind w:firstLine="480" w:firstLineChars="200"/>
        <w:rPr>
          <w:rFonts w:hint="eastAsia" w:ascii="仿宋" w:hAnsi="仿宋" w:eastAsia="仿宋" w:cs="仿宋"/>
          <w:color w:val="auto"/>
          <w:sz w:val="24"/>
          <w:szCs w:val="24"/>
          <w:highlight w:val="none"/>
          <w:lang w:val="en-US" w:eastAsia="zh-CN"/>
        </w:rPr>
      </w:pPr>
      <w:bookmarkStart w:id="39" w:name="_Hlk85835514"/>
      <w:bookmarkStart w:id="40" w:name="_Hlk129714969"/>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lang w:val="en-US" w:eastAsia="zh-CN"/>
        </w:rPr>
        <w:t xml:space="preserve">广州市白云区江高镇江府路1号 </w:t>
      </w:r>
    </w:p>
    <w:bookmarkEnd w:id="39"/>
    <w:p w14:paraId="2BA34C68">
      <w:pPr>
        <w:topLinePunct/>
        <w:autoSpaceDE w:val="0"/>
        <w:autoSpaceDN w:val="0"/>
        <w:spacing w:line="40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lang w:val="en-US" w:eastAsia="zh-CN"/>
        </w:rPr>
        <w:t>郑工</w:t>
      </w:r>
    </w:p>
    <w:p w14:paraId="26FF1503">
      <w:pPr>
        <w:topLinePunct/>
        <w:autoSpaceDE w:val="0"/>
        <w:autoSpaceDN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highlight w:val="none"/>
          <w:u w:val="single"/>
          <w:lang w:eastAsia="zh-CN"/>
        </w:rPr>
        <w:t>020-</w:t>
      </w:r>
      <w:r>
        <w:rPr>
          <w:rFonts w:hint="eastAsia" w:ascii="仿宋" w:hAnsi="仿宋" w:eastAsia="仿宋" w:cs="仿宋"/>
          <w:color w:val="auto"/>
          <w:highlight w:val="none"/>
          <w:u w:val="single"/>
          <w:lang w:val="en-US" w:eastAsia="zh-CN"/>
        </w:rPr>
        <w:t>36163420</w:t>
      </w:r>
    </w:p>
    <w:bookmarkEnd w:id="40"/>
    <w:p w14:paraId="5FB977C0">
      <w:pPr>
        <w:adjustRightInd w:val="0"/>
        <w:snapToGrid w:val="0"/>
        <w:spacing w:line="400" w:lineRule="exact"/>
        <w:ind w:firstLine="480" w:firstLineChars="200"/>
        <w:rPr>
          <w:rFonts w:hint="eastAsia" w:ascii="仿宋" w:hAnsi="仿宋" w:eastAsia="仿宋" w:cs="仿宋"/>
          <w:color w:val="auto"/>
          <w:sz w:val="24"/>
          <w:szCs w:val="24"/>
          <w:highlight w:val="none"/>
        </w:rPr>
      </w:pPr>
    </w:p>
    <w:p w14:paraId="5E42E755">
      <w:pPr>
        <w:adjustRightInd w:val="0"/>
        <w:snapToGrid w:val="0"/>
        <w:spacing w:line="40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招标代理机构：</w:t>
      </w:r>
      <w:r>
        <w:rPr>
          <w:rFonts w:hint="eastAsia" w:ascii="仿宋" w:hAnsi="仿宋" w:eastAsia="仿宋" w:cs="仿宋"/>
          <w:color w:val="auto"/>
          <w:sz w:val="24"/>
          <w:szCs w:val="24"/>
          <w:highlight w:val="none"/>
          <w:u w:val="single"/>
          <w:lang w:val="en-US" w:eastAsia="zh-CN"/>
        </w:rPr>
        <w:t>广州万安建设监理有限公司</w:t>
      </w:r>
    </w:p>
    <w:p w14:paraId="02115F34">
      <w:pPr>
        <w:adjustRightInd w:val="0"/>
        <w:snapToGrid w:val="0"/>
        <w:spacing w:line="40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联系地址：</w:t>
      </w:r>
      <w:r>
        <w:rPr>
          <w:rFonts w:hint="eastAsia" w:ascii="仿宋" w:hAnsi="仿宋" w:eastAsia="仿宋" w:cs="仿宋"/>
          <w:color w:val="auto"/>
          <w:szCs w:val="21"/>
          <w:highlight w:val="none"/>
          <w:u w:val="single"/>
          <w:shd w:val="clear" w:color="auto" w:fill="FFFFFF"/>
          <w:lang w:val="en-US" w:eastAsia="zh-CN"/>
        </w:rPr>
        <w:t>广州市天河区建中路64号、66号西501-1</w:t>
      </w:r>
    </w:p>
    <w:p w14:paraId="7E959820">
      <w:pPr>
        <w:adjustRightInd w:val="0"/>
        <w:snapToGrid w:val="0"/>
        <w:spacing w:line="40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lang w:val="en-US" w:eastAsia="zh-CN"/>
        </w:rPr>
        <w:t>张工</w:t>
      </w:r>
    </w:p>
    <w:p w14:paraId="0FA89DBA">
      <w:pPr>
        <w:adjustRightInd w:val="0"/>
        <w:snapToGrid w:val="0"/>
        <w:spacing w:line="40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020-</w:t>
      </w:r>
      <w:r>
        <w:rPr>
          <w:rFonts w:hint="eastAsia" w:ascii="仿宋" w:hAnsi="仿宋" w:eastAsia="仿宋" w:cs="仿宋"/>
          <w:color w:val="auto"/>
          <w:sz w:val="24"/>
          <w:szCs w:val="24"/>
          <w:highlight w:val="none"/>
          <w:u w:val="single"/>
        </w:rPr>
        <w:t>85683007</w:t>
      </w:r>
    </w:p>
    <w:p w14:paraId="6652ACED">
      <w:pPr>
        <w:spacing w:line="400" w:lineRule="exact"/>
        <w:ind w:firstLine="480" w:firstLineChars="200"/>
        <w:rPr>
          <w:rFonts w:hint="eastAsia" w:ascii="仿宋" w:hAnsi="仿宋" w:eastAsia="仿宋" w:cs="仿宋"/>
          <w:color w:val="auto"/>
          <w:sz w:val="24"/>
          <w:szCs w:val="24"/>
          <w:highlight w:val="none"/>
        </w:rPr>
      </w:pPr>
    </w:p>
    <w:p w14:paraId="032B2BBA">
      <w:pP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异议受理部门：</w:t>
      </w:r>
      <w:r>
        <w:rPr>
          <w:rFonts w:hint="eastAsia" w:ascii="仿宋" w:hAnsi="仿宋" w:eastAsia="仿宋" w:cs="仿宋"/>
          <w:color w:val="auto"/>
          <w:sz w:val="24"/>
          <w:szCs w:val="24"/>
          <w:highlight w:val="none"/>
          <w:u w:val="single"/>
          <w:lang w:eastAsia="zh-CN"/>
        </w:rPr>
        <w:t>广州市白云区江高镇人民政府</w:t>
      </w:r>
    </w:p>
    <w:p w14:paraId="125D6DFB">
      <w:pPr>
        <w:topLinePunct/>
        <w:autoSpaceDE w:val="0"/>
        <w:autoSpaceDN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rPr>
        <w:t>广州市白云区江高镇江府路1号</w:t>
      </w:r>
    </w:p>
    <w:p w14:paraId="37C55E59">
      <w:pPr>
        <w:topLinePunct/>
        <w:autoSpaceDE w:val="0"/>
        <w:autoSpaceDN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lang w:val="en-US" w:eastAsia="zh-CN"/>
        </w:rPr>
        <w:t>郑工</w:t>
      </w:r>
    </w:p>
    <w:p w14:paraId="56E6ED13">
      <w:pPr>
        <w:topLinePunct/>
        <w:autoSpaceDE w:val="0"/>
        <w:autoSpaceDN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highlight w:val="none"/>
          <w:u w:val="single"/>
          <w:lang w:eastAsia="zh-CN"/>
        </w:rPr>
        <w:t>020-36163420</w:t>
      </w:r>
    </w:p>
    <w:p w14:paraId="597A14E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潜在投标人或利害关系人对本招标公告及招标文件有异议的，应当在投标截止时间10日前向招标人书面提出。</w:t>
      </w:r>
    </w:p>
    <w:p w14:paraId="7A46132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AA00761">
      <w:pPr>
        <w:spacing w:line="400" w:lineRule="exact"/>
        <w:ind w:firstLine="480" w:firstLineChars="200"/>
        <w:rPr>
          <w:rFonts w:hint="eastAsia" w:ascii="仿宋" w:hAnsi="仿宋" w:eastAsia="仿宋" w:cs="仿宋"/>
          <w:bCs/>
          <w:color w:val="auto"/>
          <w:sz w:val="24"/>
          <w:szCs w:val="24"/>
          <w:highlight w:val="none"/>
        </w:rPr>
      </w:pPr>
    </w:p>
    <w:p w14:paraId="47E53AE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招标监督机构：</w:t>
      </w:r>
      <w:r>
        <w:rPr>
          <w:rFonts w:hint="eastAsia" w:ascii="仿宋" w:hAnsi="仿宋" w:eastAsia="仿宋" w:cs="仿宋"/>
          <w:color w:val="auto"/>
          <w:sz w:val="24"/>
          <w:szCs w:val="24"/>
          <w:highlight w:val="none"/>
          <w:u w:val="single"/>
          <w:lang w:val="en-US"/>
        </w:rPr>
        <w:t>广州市白云区农业农村局</w:t>
      </w:r>
    </w:p>
    <w:p w14:paraId="14537917">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rPr>
        <w:t>广东省广州市白云区广园中路238号</w:t>
      </w:r>
    </w:p>
    <w:p w14:paraId="62941AF5">
      <w:pPr>
        <w:spacing w:line="400" w:lineRule="exact"/>
        <w:ind w:firstLine="480" w:firstLineChars="200"/>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监督电话：</w:t>
      </w:r>
      <w:r>
        <w:rPr>
          <w:rFonts w:hint="eastAsia" w:ascii="仿宋" w:hAnsi="仿宋" w:eastAsia="仿宋" w:cs="仿宋"/>
          <w:color w:val="auto"/>
          <w:sz w:val="24"/>
          <w:szCs w:val="24"/>
          <w:highlight w:val="none"/>
          <w:u w:val="single"/>
          <w:lang w:val="en-US"/>
        </w:rPr>
        <w:t>020-36492997</w:t>
      </w:r>
    </w:p>
    <w:p w14:paraId="414631D4">
      <w:pPr>
        <w:rPr>
          <w:rFonts w:hint="eastAsia" w:ascii="仿宋" w:hAnsi="仿宋" w:eastAsia="仿宋" w:cs="仿宋"/>
          <w:color w:val="auto"/>
          <w:highlight w:val="none"/>
          <w:lang w:val="en-US"/>
        </w:rPr>
      </w:pPr>
    </w:p>
    <w:p w14:paraId="31EBC30D">
      <w:pPr>
        <w:rPr>
          <w:rFonts w:hint="eastAsia" w:ascii="仿宋" w:hAnsi="仿宋" w:eastAsia="仿宋" w:cs="仿宋"/>
          <w:color w:val="auto"/>
          <w:highlight w:val="none"/>
        </w:rPr>
      </w:pPr>
    </w:p>
    <w:sectPr>
      <w:footerReference r:id="rId3" w:type="default"/>
      <w:pgSz w:w="11906" w:h="16838"/>
      <w:pgMar w:top="1270" w:right="1080" w:bottom="1440" w:left="1080" w:header="851" w:footer="992" w:gutter="0"/>
      <w:pgNumType w:start="1"/>
      <w:cols w:space="425" w:num="1"/>
      <w:docGrid w:type="line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CFD9">
    <w:pPr>
      <w:pStyle w:val="8"/>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3052"/>
                      </a:xfrm>
                      <a:prstGeom prst="rect">
                        <a:avLst/>
                      </a:prstGeom>
                      <a:noFill/>
                      <a:ln w="6350" cap="flat" cmpd="sng">
                        <a:noFill/>
                        <a:prstDash val="solid"/>
                        <a:round/>
                      </a:ln>
                    </wps:spPr>
                    <wps:txbx>
                      <w:txbxContent>
                        <w:p w14:paraId="3EDAA474">
                          <w:pPr>
                            <w:pStyle w:val="8"/>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57jo1QAAAAMBAAAPAAAAAAAAAAEAIAAAACIAAABkcnMvZG93bnJl&#10;di54bWxQSwECFAAUAAAACACHTuJAfdu1FwACAADzAwAADgAAAAAAAAABACAAAAAkAQAAZHJzL2Uy&#10;b0RvYy54bWxQSwUGAAAAAAYABgBZAQAAlgUAAAAA&#10;">
              <v:fill on="f" focussize="0,0"/>
              <v:stroke on="f" weight="0.5pt" joinstyle="round"/>
              <v:imagedata o:title=""/>
              <o:lock v:ext="edit" aspectratio="f"/>
              <v:textbox inset="0mm,0mm,0mm,0mm" style="mso-fit-shape-to-text:t;">
                <w:txbxContent>
                  <w:p w14:paraId="3EDAA474">
                    <w:pPr>
                      <w:pStyle w:val="8"/>
                    </w:pPr>
                    <w:r>
                      <w:fldChar w:fldCharType="begin"/>
                    </w:r>
                    <w:r>
                      <w:instrText xml:space="preserve"> PAGE  \* MERGEFORMAT </w:instrText>
                    </w:r>
                    <w:r>
                      <w:fldChar w:fldCharType="separate"/>
                    </w:r>
                    <w:r>
                      <w:t>4</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D95F7"/>
    <w:multiLevelType w:val="singleLevel"/>
    <w:tmpl w:val="91ED95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31CF"/>
    <w:rsid w:val="015D20F7"/>
    <w:rsid w:val="0317343D"/>
    <w:rsid w:val="03B54D5B"/>
    <w:rsid w:val="0454503D"/>
    <w:rsid w:val="07CB05FB"/>
    <w:rsid w:val="09667079"/>
    <w:rsid w:val="0E2751E1"/>
    <w:rsid w:val="10744778"/>
    <w:rsid w:val="10AC5D79"/>
    <w:rsid w:val="10DD4868"/>
    <w:rsid w:val="11523EF2"/>
    <w:rsid w:val="13E96481"/>
    <w:rsid w:val="16B46B86"/>
    <w:rsid w:val="1BFA5990"/>
    <w:rsid w:val="231921B3"/>
    <w:rsid w:val="23C94DF6"/>
    <w:rsid w:val="25831948"/>
    <w:rsid w:val="29ED27BF"/>
    <w:rsid w:val="2D60735C"/>
    <w:rsid w:val="2E155DEE"/>
    <w:rsid w:val="31A51D4B"/>
    <w:rsid w:val="331F55C4"/>
    <w:rsid w:val="343B25C7"/>
    <w:rsid w:val="354D1342"/>
    <w:rsid w:val="39CC60C1"/>
    <w:rsid w:val="3E545223"/>
    <w:rsid w:val="3E675B21"/>
    <w:rsid w:val="3FEC70AD"/>
    <w:rsid w:val="45992230"/>
    <w:rsid w:val="471261AD"/>
    <w:rsid w:val="47C96E62"/>
    <w:rsid w:val="4F286E6B"/>
    <w:rsid w:val="504C73C2"/>
    <w:rsid w:val="510E7034"/>
    <w:rsid w:val="51687ACA"/>
    <w:rsid w:val="518F23CD"/>
    <w:rsid w:val="55B6529E"/>
    <w:rsid w:val="55D122F6"/>
    <w:rsid w:val="56431D77"/>
    <w:rsid w:val="578A4E52"/>
    <w:rsid w:val="5DC64AB0"/>
    <w:rsid w:val="5F9823AD"/>
    <w:rsid w:val="5FE84E0C"/>
    <w:rsid w:val="62CE4B52"/>
    <w:rsid w:val="648F3AA8"/>
    <w:rsid w:val="64F51D96"/>
    <w:rsid w:val="6B601CFA"/>
    <w:rsid w:val="6C967660"/>
    <w:rsid w:val="6EC05E34"/>
    <w:rsid w:val="6FF27057"/>
    <w:rsid w:val="70F10057"/>
    <w:rsid w:val="7B0431CF"/>
    <w:rsid w:val="7B2D69D7"/>
    <w:rsid w:val="7B7819F1"/>
    <w:rsid w:val="7C6320EA"/>
    <w:rsid w:val="7E6F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line="702" w:lineRule="exact"/>
      <w:ind w:right="457"/>
      <w:jc w:val="center"/>
      <w:outlineLvl w:val="0"/>
    </w:pPr>
    <w:rPr>
      <w:rFonts w:ascii="Microsoft JhengHei" w:hAnsi="Microsoft JhengHei" w:eastAsia="Microsoft JhengHei" w:cs="Microsoft JhengHei"/>
      <w:b/>
      <w:bCs/>
      <w:sz w:val="44"/>
      <w:szCs w:val="44"/>
    </w:rPr>
  </w:style>
  <w:style w:type="paragraph" w:styleId="5">
    <w:name w:val="heading 2"/>
    <w:basedOn w:val="1"/>
    <w:next w:val="1"/>
    <w:qFormat/>
    <w:uiPriority w:val="0"/>
    <w:pPr>
      <w:ind w:left="640" w:hanging="402"/>
      <w:outlineLvl w:val="1"/>
    </w:pPr>
    <w:rPr>
      <w:rFonts w:ascii="Microsoft JhengHei" w:hAnsi="Microsoft JhengHei" w:eastAsia="Microsoft JhengHei" w:cs="Microsoft JhengHe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eastAsia="楷体_GB2312"/>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annotation text"/>
    <w:basedOn w:val="1"/>
    <w:next w:val="1"/>
    <w:qFormat/>
    <w:uiPriority w:val="0"/>
    <w:rPr>
      <w:sz w:val="30"/>
    </w:rPr>
  </w:style>
  <w:style w:type="paragraph" w:styleId="7">
    <w:name w:val="Body Text"/>
    <w:basedOn w:val="1"/>
    <w:qFormat/>
    <w:uiPriority w:val="0"/>
    <w:rPr>
      <w:sz w:val="21"/>
      <w:szCs w:val="21"/>
    </w:rPr>
  </w:style>
  <w:style w:type="paragraph" w:styleId="8">
    <w:name w:val="footer"/>
    <w:basedOn w:val="1"/>
    <w:qFormat/>
    <w:uiPriority w:val="0"/>
    <w:pPr>
      <w:tabs>
        <w:tab w:val="center" w:pos="4153"/>
        <w:tab w:val="right" w:pos="8306"/>
      </w:tabs>
      <w:snapToGrid w:val="0"/>
    </w:pPr>
    <w:rPr>
      <w:sz w:val="18"/>
    </w:rPr>
  </w:style>
  <w:style w:type="character" w:styleId="11">
    <w:name w:val="Hyperlink"/>
    <w:unhideWhenUsed/>
    <w:qFormat/>
    <w:uiPriority w:val="99"/>
    <w:rPr>
      <w:color w:val="000000"/>
      <w:u w:val="none"/>
    </w:rPr>
  </w:style>
  <w:style w:type="paragraph" w:styleId="12">
    <w:name w:val="List Paragraph"/>
    <w:basedOn w:val="1"/>
    <w:qFormat/>
    <w:uiPriority w:val="0"/>
    <w:pPr>
      <w:ind w:left="240" w:firstLine="41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4235</Words>
  <Characters>4607</Characters>
  <Lines>0</Lines>
  <Paragraphs>0</Paragraphs>
  <TotalTime>49</TotalTime>
  <ScaleCrop>false</ScaleCrop>
  <LinksUpToDate>false</LinksUpToDate>
  <CharactersWithSpaces>4710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2024-09-02T01:29:00Z</dcterms:created>
  <dc:creator>吴嘉鹏</dc:creator>
  <cp:lastModifiedBy>JK</cp:lastModifiedBy>
  <dcterms:modified xsi:type="dcterms:W3CDTF">2025-08-06T08:15:27Z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96E3E54AF0AC4C74851B16F43C4BE6B9_13</vt:lpwstr>
  </property>
  <property fmtid="{D5CDD505-2E9C-101B-9397-08002B2CF9AE}" pid="4" name="KSOTemplateDocerSaveRecord">
    <vt:lpwstr>eyJoZGlkIjoiMDQzZmJjOGUxNWQ3ZjZiNmQ3NmU4OTRkOWEwMmE1Y2MiLCJ1c2VySWQiOiIyNTYxMzEyMzgifQ==</vt:lpwstr>
  </property>
</Properties>
</file>