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73968">
      <w:pPr>
        <w:spacing w:line="360" w:lineRule="auto"/>
        <w:jc w:val="center"/>
        <w:rPr>
          <w:rFonts w:hint="eastAsia" w:ascii="宋体" w:hAnsi="宋体" w:cs="宋体"/>
          <w:b/>
          <w:color w:val="auto"/>
          <w:kern w:val="0"/>
          <w:sz w:val="48"/>
          <w:szCs w:val="48"/>
          <w:highlight w:val="none"/>
        </w:rPr>
      </w:pPr>
      <w:bookmarkStart w:id="0" w:name="_Hlk53133821"/>
    </w:p>
    <w:bookmarkEnd w:id="0"/>
    <w:p w14:paraId="4060BF1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color w:val="auto"/>
          <w:kern w:val="0"/>
          <w:sz w:val="48"/>
          <w:szCs w:val="48"/>
          <w:highlight w:val="none"/>
        </w:rPr>
      </w:pPr>
      <w:r>
        <w:rPr>
          <w:rFonts w:hint="eastAsia" w:ascii="宋体" w:hAnsi="宋体" w:cs="宋体"/>
          <w:b/>
          <w:color w:val="auto"/>
          <w:kern w:val="0"/>
          <w:sz w:val="48"/>
          <w:szCs w:val="48"/>
          <w:highlight w:val="none"/>
          <w:lang w:eastAsia="zh-CN"/>
        </w:rPr>
        <w:t>广州市黄埔区南岗街南岗社区亨元、柯庄片区城中村改造项目房屋拆除工程施工</w:t>
      </w:r>
    </w:p>
    <w:p w14:paraId="6C00FA82">
      <w:pPr>
        <w:spacing w:line="360" w:lineRule="auto"/>
        <w:jc w:val="center"/>
        <w:rPr>
          <w:rFonts w:hint="eastAsia" w:ascii="宋体" w:hAnsi="宋体" w:cs="宋体"/>
          <w:color w:val="auto"/>
          <w:sz w:val="36"/>
          <w:szCs w:val="36"/>
          <w:highlight w:val="none"/>
          <w:u w:val="single"/>
        </w:rPr>
      </w:pPr>
    </w:p>
    <w:p w14:paraId="75CEE830">
      <w:pPr>
        <w:pStyle w:val="24"/>
        <w:spacing w:line="360" w:lineRule="auto"/>
        <w:ind w:left="420" w:firstLine="720"/>
        <w:jc w:val="center"/>
        <w:rPr>
          <w:rFonts w:hint="eastAsia" w:ascii="宋体" w:hAnsi="宋体" w:cs="宋体"/>
          <w:color w:val="auto"/>
          <w:sz w:val="36"/>
          <w:szCs w:val="36"/>
          <w:highlight w:val="none"/>
          <w:u w:val="single"/>
          <w:lang w:eastAsia="zh-CN"/>
        </w:rPr>
      </w:pPr>
    </w:p>
    <w:p w14:paraId="13D69C2F">
      <w:pPr>
        <w:pStyle w:val="24"/>
        <w:spacing w:line="360" w:lineRule="auto"/>
        <w:ind w:left="420" w:firstLine="720"/>
        <w:jc w:val="center"/>
        <w:rPr>
          <w:rFonts w:hint="eastAsia" w:ascii="宋体" w:hAnsi="宋体" w:cs="宋体"/>
          <w:color w:val="auto"/>
          <w:sz w:val="36"/>
          <w:szCs w:val="36"/>
          <w:highlight w:val="none"/>
          <w:u w:val="single"/>
          <w:lang w:eastAsia="zh-CN"/>
        </w:rPr>
      </w:pPr>
    </w:p>
    <w:p w14:paraId="6AA4F5D8">
      <w:pPr>
        <w:pStyle w:val="24"/>
        <w:spacing w:line="360" w:lineRule="auto"/>
        <w:ind w:left="420" w:firstLine="420"/>
        <w:rPr>
          <w:rFonts w:hint="eastAsia" w:ascii="宋体" w:hAnsi="宋体" w:cs="宋体"/>
          <w:color w:val="auto"/>
          <w:highlight w:val="none"/>
          <w:lang w:eastAsia="zh-CN"/>
        </w:rPr>
      </w:pPr>
    </w:p>
    <w:p w14:paraId="509C8956">
      <w:pPr>
        <w:spacing w:line="360" w:lineRule="auto"/>
        <w:jc w:val="center"/>
        <w:rPr>
          <w:rFonts w:hint="eastAsia" w:ascii="宋体" w:hAnsi="宋体" w:cs="宋体"/>
          <w:b/>
          <w:bCs/>
          <w:color w:val="auto"/>
          <w:spacing w:val="26"/>
          <w:sz w:val="110"/>
          <w:szCs w:val="110"/>
          <w:highlight w:val="none"/>
        </w:rPr>
      </w:pPr>
    </w:p>
    <w:p w14:paraId="446ADE4C">
      <w:pPr>
        <w:spacing w:line="360" w:lineRule="auto"/>
        <w:jc w:val="center"/>
        <w:rPr>
          <w:rFonts w:hint="eastAsia" w:ascii="宋体" w:hAnsi="宋体" w:cs="宋体"/>
          <w:b/>
          <w:bCs/>
          <w:color w:val="auto"/>
          <w:spacing w:val="26"/>
          <w:sz w:val="110"/>
          <w:szCs w:val="110"/>
          <w:highlight w:val="none"/>
        </w:rPr>
      </w:pPr>
      <w:r>
        <w:rPr>
          <w:rFonts w:hint="eastAsia" w:ascii="宋体" w:hAnsi="宋体" w:cs="宋体"/>
          <w:b/>
          <w:bCs/>
          <w:color w:val="auto"/>
          <w:spacing w:val="26"/>
          <w:sz w:val="110"/>
          <w:szCs w:val="110"/>
          <w:highlight w:val="none"/>
        </w:rPr>
        <w:t>招标文件</w:t>
      </w:r>
    </w:p>
    <w:p w14:paraId="65EAB06B">
      <w:pPr>
        <w:spacing w:line="360" w:lineRule="auto"/>
        <w:jc w:val="center"/>
        <w:rPr>
          <w:rFonts w:hint="eastAsia" w:ascii="宋体" w:hAnsi="宋体" w:cs="宋体"/>
          <w:color w:val="auto"/>
          <w:sz w:val="32"/>
          <w:szCs w:val="32"/>
          <w:highlight w:val="none"/>
        </w:rPr>
      </w:pPr>
    </w:p>
    <w:p w14:paraId="42AD4AF7">
      <w:pPr>
        <w:spacing w:line="360" w:lineRule="auto"/>
        <w:ind w:firstLine="2560" w:firstLineChars="800"/>
        <w:jc w:val="center"/>
        <w:rPr>
          <w:rFonts w:hint="eastAsia" w:ascii="宋体" w:hAnsi="宋体" w:cs="宋体"/>
          <w:color w:val="auto"/>
          <w:sz w:val="32"/>
          <w:szCs w:val="32"/>
          <w:highlight w:val="none"/>
        </w:rPr>
      </w:pPr>
    </w:p>
    <w:p w14:paraId="686736DC">
      <w:pPr>
        <w:spacing w:line="360" w:lineRule="auto"/>
        <w:jc w:val="center"/>
        <w:rPr>
          <w:rFonts w:hint="eastAsia" w:ascii="宋体" w:hAnsi="宋体" w:cs="宋体"/>
          <w:color w:val="auto"/>
          <w:sz w:val="30"/>
          <w:szCs w:val="30"/>
          <w:highlight w:val="none"/>
        </w:rPr>
      </w:pPr>
    </w:p>
    <w:p w14:paraId="1A7FFAA6">
      <w:pPr>
        <w:spacing w:line="360" w:lineRule="auto"/>
        <w:ind w:firstLine="1200" w:firstLineChars="400"/>
        <w:jc w:val="center"/>
        <w:rPr>
          <w:rFonts w:hint="eastAsia" w:ascii="宋体" w:hAnsi="宋体" w:cs="宋体"/>
          <w:color w:val="auto"/>
          <w:sz w:val="30"/>
          <w:szCs w:val="30"/>
          <w:highlight w:val="none"/>
        </w:rPr>
      </w:pPr>
    </w:p>
    <w:p w14:paraId="1E4BD858">
      <w:pPr>
        <w:pStyle w:val="24"/>
        <w:spacing w:line="360" w:lineRule="auto"/>
        <w:ind w:left="420" w:firstLine="420"/>
        <w:jc w:val="center"/>
        <w:rPr>
          <w:rFonts w:hint="eastAsia" w:ascii="宋体" w:hAnsi="宋体" w:cs="宋体"/>
          <w:color w:val="auto"/>
          <w:highlight w:val="none"/>
          <w:lang w:eastAsia="zh-CN"/>
        </w:rPr>
      </w:pPr>
    </w:p>
    <w:p w14:paraId="574EBC24">
      <w:pPr>
        <w:spacing w:line="360" w:lineRule="auto"/>
        <w:jc w:val="center"/>
        <w:rPr>
          <w:rFonts w:hint="eastAsia" w:ascii="宋体" w:hAnsi="宋体" w:cs="宋体"/>
          <w:color w:val="auto"/>
          <w:spacing w:val="-2"/>
          <w:sz w:val="30"/>
          <w:szCs w:val="30"/>
          <w:highlight w:val="none"/>
        </w:rPr>
      </w:pPr>
    </w:p>
    <w:p w14:paraId="19EBF805">
      <w:pPr>
        <w:spacing w:line="360" w:lineRule="auto"/>
        <w:jc w:val="center"/>
        <w:rPr>
          <w:rFonts w:hint="eastAsia" w:ascii="宋体" w:hAnsi="宋体" w:eastAsia="宋体" w:cs="宋体"/>
          <w:b/>
          <w:bCs/>
          <w:color w:val="auto"/>
          <w:spacing w:val="-2"/>
          <w:sz w:val="30"/>
          <w:szCs w:val="30"/>
          <w:highlight w:val="none"/>
          <w:lang w:eastAsia="zh-CN"/>
        </w:rPr>
      </w:pPr>
      <w:r>
        <w:rPr>
          <w:rFonts w:hint="eastAsia" w:ascii="宋体" w:hAnsi="宋体" w:cs="宋体"/>
          <w:b/>
          <w:bCs/>
          <w:color w:val="auto"/>
          <w:spacing w:val="-2"/>
          <w:sz w:val="30"/>
          <w:szCs w:val="30"/>
          <w:highlight w:val="none"/>
        </w:rPr>
        <w:t>招标单位：</w:t>
      </w:r>
      <w:r>
        <w:rPr>
          <w:rFonts w:hint="eastAsia" w:ascii="宋体" w:hAnsi="宋体" w:cs="宋体"/>
          <w:b/>
          <w:bCs/>
          <w:color w:val="auto"/>
          <w:spacing w:val="-2"/>
          <w:sz w:val="30"/>
          <w:szCs w:val="30"/>
          <w:highlight w:val="none"/>
          <w:lang w:eastAsia="zh-CN"/>
        </w:rPr>
        <w:t>广州东进新区开发有限公司</w:t>
      </w:r>
    </w:p>
    <w:p w14:paraId="5F44B30D">
      <w:pPr>
        <w:spacing w:line="360" w:lineRule="auto"/>
        <w:jc w:val="center"/>
        <w:rPr>
          <w:rFonts w:hint="eastAsia" w:ascii="宋体" w:hAnsi="宋体" w:cs="宋体"/>
          <w:b/>
          <w:bCs/>
          <w:color w:val="auto"/>
          <w:spacing w:val="-2"/>
          <w:sz w:val="30"/>
          <w:szCs w:val="30"/>
          <w:highlight w:val="none"/>
        </w:rPr>
      </w:pPr>
      <w:r>
        <w:rPr>
          <w:rFonts w:hint="eastAsia" w:ascii="宋体" w:hAnsi="宋体" w:cs="宋体"/>
          <w:b/>
          <w:bCs/>
          <w:color w:val="auto"/>
          <w:spacing w:val="-2"/>
          <w:sz w:val="30"/>
          <w:szCs w:val="30"/>
          <w:highlight w:val="none"/>
        </w:rPr>
        <w:t>招标代理单位：广州筑正工程建设管理有限公司</w:t>
      </w:r>
    </w:p>
    <w:p w14:paraId="17ED8264">
      <w:pPr>
        <w:spacing w:line="360" w:lineRule="auto"/>
        <w:jc w:val="center"/>
        <w:rPr>
          <w:rFonts w:hint="eastAsia" w:ascii="宋体" w:hAnsi="宋体" w:cs="宋体"/>
          <w:b/>
          <w:bCs/>
          <w:color w:val="auto"/>
          <w:spacing w:val="-2"/>
          <w:sz w:val="30"/>
          <w:szCs w:val="30"/>
          <w:highlight w:val="none"/>
        </w:rPr>
      </w:pPr>
      <w:r>
        <w:rPr>
          <w:rFonts w:hint="eastAsia" w:ascii="宋体" w:hAnsi="宋体" w:cs="宋体"/>
          <w:b/>
          <w:bCs/>
          <w:color w:val="auto"/>
          <w:spacing w:val="-2"/>
          <w:sz w:val="30"/>
          <w:szCs w:val="30"/>
          <w:highlight w:val="none"/>
        </w:rPr>
        <w:t>日期：2025年</w:t>
      </w:r>
      <w:r>
        <w:rPr>
          <w:rFonts w:hint="eastAsia" w:ascii="宋体" w:hAnsi="宋体" w:cs="宋体"/>
          <w:b/>
          <w:bCs/>
          <w:color w:val="auto"/>
          <w:spacing w:val="-2"/>
          <w:sz w:val="30"/>
          <w:szCs w:val="30"/>
          <w:highlight w:val="none"/>
          <w:lang w:val="en-US" w:eastAsia="zh-CN"/>
        </w:rPr>
        <w:t>7</w:t>
      </w:r>
      <w:r>
        <w:rPr>
          <w:rFonts w:hint="eastAsia" w:ascii="宋体" w:hAnsi="宋体" w:cs="宋体"/>
          <w:b/>
          <w:bCs/>
          <w:color w:val="auto"/>
          <w:spacing w:val="-2"/>
          <w:sz w:val="30"/>
          <w:szCs w:val="30"/>
          <w:highlight w:val="none"/>
        </w:rPr>
        <w:t>月</w:t>
      </w:r>
    </w:p>
    <w:p w14:paraId="1277211E">
      <w:pPr>
        <w:spacing w:line="360" w:lineRule="auto"/>
        <w:jc w:val="center"/>
        <w:rPr>
          <w:rStyle w:val="28"/>
          <w:rFonts w:hint="eastAsia" w:ascii="宋体" w:hAnsi="宋体" w:cs="宋体"/>
          <w:b/>
          <w:bCs/>
          <w:color w:val="auto"/>
          <w:sz w:val="28"/>
          <w:szCs w:val="28"/>
          <w:highlight w:val="none"/>
          <w:u w:val="none"/>
        </w:rPr>
      </w:pPr>
    </w:p>
    <w:p w14:paraId="280FE4CA">
      <w:pPr>
        <w:spacing w:line="360" w:lineRule="auto"/>
        <w:jc w:val="center"/>
        <w:rPr>
          <w:rFonts w:hint="eastAsia" w:ascii="宋体" w:hAnsi="宋体" w:cs="宋体"/>
          <w:b/>
          <w:caps/>
          <w:color w:val="auto"/>
          <w:kern w:val="0"/>
          <w:sz w:val="44"/>
          <w:szCs w:val="44"/>
          <w:highlight w:val="none"/>
        </w:rPr>
      </w:pPr>
      <w:r>
        <w:rPr>
          <w:rStyle w:val="28"/>
          <w:rFonts w:hint="eastAsia" w:ascii="宋体" w:hAnsi="宋体" w:cs="宋体"/>
          <w:b/>
          <w:bCs/>
          <w:color w:val="auto"/>
          <w:sz w:val="44"/>
          <w:szCs w:val="44"/>
          <w:highlight w:val="none"/>
          <w:u w:val="none"/>
        </w:rPr>
        <w:t>目  录</w:t>
      </w:r>
    </w:p>
    <w:p w14:paraId="3A1FD8C0">
      <w:pPr>
        <w:pStyle w:val="16"/>
        <w:tabs>
          <w:tab w:val="right" w:leader="dot" w:pos="9746"/>
          <w:tab w:val="clear" w:pos="9060"/>
        </w:tabs>
        <w:rPr>
          <w:rFonts w:hint="eastAsia"/>
          <w:color w:val="auto"/>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TOC \o "1-3" \h \z \u </w:instrText>
      </w:r>
      <w:r>
        <w:rPr>
          <w:rFonts w:hint="eastAsia" w:cs="宋体"/>
          <w:color w:val="auto"/>
          <w:sz w:val="21"/>
          <w:szCs w:val="21"/>
          <w:highlight w:val="none"/>
        </w:rPr>
        <w:fldChar w:fldCharType="separate"/>
      </w:r>
      <w:r>
        <w:rPr>
          <w:color w:val="auto"/>
          <w:highlight w:val="none"/>
        </w:rPr>
        <w:fldChar w:fldCharType="begin"/>
      </w:r>
      <w:r>
        <w:rPr>
          <w:color w:val="auto"/>
          <w:highlight w:val="none"/>
        </w:rPr>
        <w:instrText xml:space="preserve"> HYPERLINK \l "_Toc8684" </w:instrText>
      </w:r>
      <w:r>
        <w:rPr>
          <w:color w:val="auto"/>
          <w:highlight w:val="none"/>
        </w:rPr>
        <w:fldChar w:fldCharType="separate"/>
      </w:r>
      <w:r>
        <w:rPr>
          <w:rFonts w:hint="eastAsia" w:cs="宋体"/>
          <w:color w:val="auto"/>
          <w:highlight w:val="none"/>
        </w:rPr>
        <w:t>第一章 投标须知</w:t>
      </w:r>
      <w:r>
        <w:rPr>
          <w:color w:val="auto"/>
          <w:highlight w:val="none"/>
        </w:rPr>
        <w:tab/>
      </w:r>
      <w:r>
        <w:rPr>
          <w:color w:val="auto"/>
          <w:highlight w:val="none"/>
        </w:rPr>
        <w:fldChar w:fldCharType="begin"/>
      </w:r>
      <w:r>
        <w:rPr>
          <w:color w:val="auto"/>
          <w:highlight w:val="none"/>
        </w:rPr>
        <w:instrText xml:space="preserve"> PAGEREF _Toc8684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4692E3F8">
      <w:pPr>
        <w:pStyle w:val="19"/>
        <w:tabs>
          <w:tab w:val="right" w:leader="dot" w:pos="9746"/>
          <w:tab w:val="clear" w:pos="9060"/>
        </w:tabs>
        <w:rPr>
          <w:color w:val="auto"/>
          <w:highlight w:val="none"/>
        </w:rPr>
      </w:pPr>
      <w:r>
        <w:rPr>
          <w:color w:val="auto"/>
          <w:highlight w:val="none"/>
        </w:rPr>
        <w:fldChar w:fldCharType="begin"/>
      </w:r>
      <w:r>
        <w:rPr>
          <w:color w:val="auto"/>
          <w:highlight w:val="none"/>
        </w:rPr>
        <w:instrText xml:space="preserve"> HYPERLINK \l "_Toc14709" </w:instrText>
      </w:r>
      <w:r>
        <w:rPr>
          <w:color w:val="auto"/>
          <w:highlight w:val="none"/>
        </w:rPr>
        <w:fldChar w:fldCharType="separate"/>
      </w:r>
      <w:r>
        <w:rPr>
          <w:rFonts w:hint="eastAsia" w:ascii="宋体" w:hAnsi="宋体" w:cs="宋体"/>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_Toc14709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3296F28C">
      <w:pPr>
        <w:pStyle w:val="19"/>
        <w:tabs>
          <w:tab w:val="right" w:leader="dot" w:pos="9746"/>
          <w:tab w:val="clear" w:pos="9060"/>
        </w:tabs>
        <w:rPr>
          <w:color w:val="auto"/>
          <w:highlight w:val="none"/>
        </w:rPr>
      </w:pPr>
      <w:r>
        <w:rPr>
          <w:color w:val="auto"/>
          <w:highlight w:val="none"/>
        </w:rPr>
        <w:fldChar w:fldCharType="begin"/>
      </w:r>
      <w:r>
        <w:rPr>
          <w:color w:val="auto"/>
          <w:highlight w:val="none"/>
        </w:rPr>
        <w:instrText xml:space="preserve"> HYPERLINK \l "_Toc9161" </w:instrText>
      </w:r>
      <w:r>
        <w:rPr>
          <w:color w:val="auto"/>
          <w:highlight w:val="none"/>
        </w:rPr>
        <w:fldChar w:fldCharType="separate"/>
      </w:r>
      <w:r>
        <w:rPr>
          <w:rFonts w:hint="eastAsia" w:ascii="宋体" w:hAnsi="宋体" w:cs="宋体"/>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_Toc9161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28DA3845">
      <w:pPr>
        <w:pStyle w:val="19"/>
        <w:tabs>
          <w:tab w:val="right" w:leader="dot" w:pos="9746"/>
          <w:tab w:val="clear" w:pos="9060"/>
        </w:tabs>
        <w:rPr>
          <w:color w:val="auto"/>
          <w:highlight w:val="none"/>
        </w:rPr>
      </w:pPr>
      <w:r>
        <w:rPr>
          <w:color w:val="auto"/>
          <w:highlight w:val="none"/>
        </w:rPr>
        <w:fldChar w:fldCharType="begin"/>
      </w:r>
      <w:r>
        <w:rPr>
          <w:color w:val="auto"/>
          <w:highlight w:val="none"/>
        </w:rPr>
        <w:instrText xml:space="preserve"> HYPERLINK \l "_Toc16625" </w:instrText>
      </w:r>
      <w:r>
        <w:rPr>
          <w:color w:val="auto"/>
          <w:highlight w:val="none"/>
        </w:rPr>
        <w:fldChar w:fldCharType="separate"/>
      </w:r>
      <w:r>
        <w:rPr>
          <w:rFonts w:hint="eastAsia" w:ascii="宋体" w:hAnsi="宋体" w:cs="宋体"/>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_Toc16625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044FEFF2">
      <w:pPr>
        <w:pStyle w:val="16"/>
        <w:tabs>
          <w:tab w:val="right" w:leader="dot" w:pos="9746"/>
          <w:tab w:val="clear" w:pos="9060"/>
        </w:tabs>
        <w:rPr>
          <w:rFonts w:hint="eastAsia"/>
          <w:color w:val="auto"/>
          <w:highlight w:val="none"/>
        </w:rPr>
      </w:pPr>
      <w:r>
        <w:rPr>
          <w:color w:val="auto"/>
          <w:highlight w:val="none"/>
        </w:rPr>
        <w:fldChar w:fldCharType="begin"/>
      </w:r>
      <w:r>
        <w:rPr>
          <w:color w:val="auto"/>
          <w:highlight w:val="none"/>
        </w:rPr>
        <w:instrText xml:space="preserve"> HYPERLINK \l "_Toc18496" </w:instrText>
      </w:r>
      <w:r>
        <w:rPr>
          <w:color w:val="auto"/>
          <w:highlight w:val="none"/>
        </w:rPr>
        <w:fldChar w:fldCharType="separate"/>
      </w:r>
      <w:r>
        <w:rPr>
          <w:rFonts w:hint="eastAsia" w:cs="宋体"/>
          <w:color w:val="auto"/>
          <w:highlight w:val="none"/>
        </w:rPr>
        <w:t>第二章 开标、评标及定标办法</w:t>
      </w:r>
      <w:r>
        <w:rPr>
          <w:color w:val="auto"/>
          <w:highlight w:val="none"/>
        </w:rPr>
        <w:tab/>
      </w:r>
      <w:r>
        <w:rPr>
          <w:color w:val="auto"/>
          <w:highlight w:val="none"/>
        </w:rPr>
        <w:fldChar w:fldCharType="begin"/>
      </w:r>
      <w:r>
        <w:rPr>
          <w:color w:val="auto"/>
          <w:highlight w:val="none"/>
        </w:rPr>
        <w:instrText xml:space="preserve"> PAGEREF _Toc18496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57C2A7ED">
      <w:pPr>
        <w:pStyle w:val="19"/>
        <w:tabs>
          <w:tab w:val="right" w:leader="dot" w:pos="9746"/>
          <w:tab w:val="clear" w:pos="9060"/>
        </w:tabs>
        <w:rPr>
          <w:color w:val="auto"/>
          <w:highlight w:val="none"/>
        </w:rPr>
      </w:pPr>
      <w:r>
        <w:rPr>
          <w:color w:val="auto"/>
          <w:highlight w:val="none"/>
        </w:rPr>
        <w:fldChar w:fldCharType="begin"/>
      </w:r>
      <w:r>
        <w:rPr>
          <w:color w:val="auto"/>
          <w:highlight w:val="none"/>
        </w:rPr>
        <w:instrText xml:space="preserve"> HYPERLINK \l "_Toc31854" </w:instrText>
      </w:r>
      <w:r>
        <w:rPr>
          <w:color w:val="auto"/>
          <w:highlight w:val="none"/>
        </w:rPr>
        <w:fldChar w:fldCharType="separate"/>
      </w:r>
      <w:r>
        <w:rPr>
          <w:rFonts w:hint="eastAsia" w:ascii="宋体" w:hAnsi="宋体" w:cs="宋体"/>
          <w:color w:val="auto"/>
          <w:szCs w:val="28"/>
          <w:highlight w:val="none"/>
        </w:rPr>
        <w:t>一、</w:t>
      </w:r>
      <w:r>
        <w:rPr>
          <w:rFonts w:hint="eastAsia" w:ascii="宋体" w:hAnsi="宋体" w:cs="宋体"/>
          <w:color w:val="auto"/>
          <w:highlight w:val="none"/>
        </w:rPr>
        <w:t>开标、评标及定标办法修改表</w:t>
      </w:r>
      <w:r>
        <w:rPr>
          <w:color w:val="auto"/>
          <w:highlight w:val="none"/>
        </w:rPr>
        <w:tab/>
      </w:r>
      <w:r>
        <w:rPr>
          <w:color w:val="auto"/>
          <w:highlight w:val="none"/>
        </w:rPr>
        <w:fldChar w:fldCharType="begin"/>
      </w:r>
      <w:r>
        <w:rPr>
          <w:color w:val="auto"/>
          <w:highlight w:val="none"/>
        </w:rPr>
        <w:instrText xml:space="preserve"> PAGEREF _Toc31854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220872FF">
      <w:pPr>
        <w:pStyle w:val="19"/>
        <w:tabs>
          <w:tab w:val="right" w:leader="dot" w:pos="9746"/>
          <w:tab w:val="clear" w:pos="9060"/>
        </w:tabs>
        <w:rPr>
          <w:color w:val="auto"/>
          <w:highlight w:val="none"/>
        </w:rPr>
      </w:pPr>
      <w:r>
        <w:rPr>
          <w:color w:val="auto"/>
          <w:highlight w:val="none"/>
        </w:rPr>
        <w:fldChar w:fldCharType="begin"/>
      </w:r>
      <w:r>
        <w:rPr>
          <w:color w:val="auto"/>
          <w:highlight w:val="none"/>
        </w:rPr>
        <w:instrText xml:space="preserve"> HYPERLINK \l "_Toc3650" </w:instrText>
      </w:r>
      <w:r>
        <w:rPr>
          <w:color w:val="auto"/>
          <w:highlight w:val="none"/>
        </w:rPr>
        <w:fldChar w:fldCharType="separate"/>
      </w:r>
      <w:r>
        <w:rPr>
          <w:rFonts w:hint="eastAsia" w:ascii="宋体" w:hAnsi="宋体" w:cs="宋体"/>
          <w:color w:val="auto"/>
          <w:highlight w:val="none"/>
        </w:rPr>
        <w:t>二、开标、评标及定标办法</w:t>
      </w:r>
      <w:r>
        <w:rPr>
          <w:rFonts w:hint="eastAsia" w:ascii="宋体" w:hAnsi="宋体" w:cs="宋体"/>
          <w:color w:val="auto"/>
          <w:szCs w:val="30"/>
          <w:highlight w:val="none"/>
        </w:rPr>
        <w:t>通用条款</w:t>
      </w:r>
      <w:r>
        <w:rPr>
          <w:color w:val="auto"/>
          <w:highlight w:val="none"/>
        </w:rPr>
        <w:tab/>
      </w:r>
      <w:r>
        <w:rPr>
          <w:color w:val="auto"/>
          <w:highlight w:val="none"/>
        </w:rPr>
        <w:fldChar w:fldCharType="begin"/>
      </w:r>
      <w:r>
        <w:rPr>
          <w:color w:val="auto"/>
          <w:highlight w:val="none"/>
        </w:rPr>
        <w:instrText xml:space="preserve"> PAGEREF _Toc3650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2B549A0C">
      <w:pPr>
        <w:pStyle w:val="11"/>
        <w:tabs>
          <w:tab w:val="right" w:leader="dot" w:pos="9746"/>
        </w:tabs>
        <w:ind w:left="840"/>
        <w:rPr>
          <w:color w:val="auto"/>
          <w:highlight w:val="none"/>
        </w:rPr>
      </w:pPr>
      <w:r>
        <w:rPr>
          <w:color w:val="auto"/>
          <w:highlight w:val="none"/>
        </w:rPr>
        <w:fldChar w:fldCharType="begin"/>
      </w:r>
      <w:r>
        <w:rPr>
          <w:color w:val="auto"/>
          <w:highlight w:val="none"/>
        </w:rPr>
        <w:instrText xml:space="preserve"> HYPERLINK \l "_Toc26526" </w:instrText>
      </w:r>
      <w:r>
        <w:rPr>
          <w:color w:val="auto"/>
          <w:highlight w:val="none"/>
        </w:rPr>
        <w:fldChar w:fldCharType="separate"/>
      </w:r>
      <w:r>
        <w:rPr>
          <w:rFonts w:hint="eastAsia" w:ascii="宋体" w:hAnsi="宋体" w:cs="宋体"/>
          <w:color w:val="auto"/>
          <w:kern w:val="0"/>
          <w:szCs w:val="24"/>
          <w:highlight w:val="none"/>
        </w:rPr>
        <w:t>（一）总则</w:t>
      </w:r>
      <w:r>
        <w:rPr>
          <w:color w:val="auto"/>
          <w:highlight w:val="none"/>
        </w:rPr>
        <w:tab/>
      </w:r>
      <w:r>
        <w:rPr>
          <w:color w:val="auto"/>
          <w:highlight w:val="none"/>
        </w:rPr>
        <w:fldChar w:fldCharType="begin"/>
      </w:r>
      <w:r>
        <w:rPr>
          <w:color w:val="auto"/>
          <w:highlight w:val="none"/>
        </w:rPr>
        <w:instrText xml:space="preserve"> PAGEREF _Toc26526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1BD17643">
      <w:pPr>
        <w:pStyle w:val="11"/>
        <w:tabs>
          <w:tab w:val="right" w:leader="dot" w:pos="9746"/>
        </w:tabs>
        <w:ind w:left="840"/>
        <w:rPr>
          <w:color w:val="auto"/>
          <w:highlight w:val="none"/>
        </w:rPr>
      </w:pPr>
      <w:r>
        <w:rPr>
          <w:color w:val="auto"/>
          <w:highlight w:val="none"/>
        </w:rPr>
        <w:fldChar w:fldCharType="begin"/>
      </w:r>
      <w:r>
        <w:rPr>
          <w:color w:val="auto"/>
          <w:highlight w:val="none"/>
        </w:rPr>
        <w:instrText xml:space="preserve"> HYPERLINK \l "_Toc8499" </w:instrText>
      </w:r>
      <w:r>
        <w:rPr>
          <w:color w:val="auto"/>
          <w:highlight w:val="none"/>
        </w:rPr>
        <w:fldChar w:fldCharType="separate"/>
      </w:r>
      <w:r>
        <w:rPr>
          <w:rFonts w:hint="eastAsia" w:ascii="宋体" w:hAnsi="宋体" w:cs="宋体"/>
          <w:color w:val="auto"/>
          <w:kern w:val="0"/>
          <w:szCs w:val="24"/>
          <w:highlight w:val="none"/>
        </w:rPr>
        <w:t>（二）开标评标办法程序和细则</w:t>
      </w:r>
      <w:r>
        <w:rPr>
          <w:color w:val="auto"/>
          <w:highlight w:val="none"/>
        </w:rPr>
        <w:tab/>
      </w:r>
      <w:r>
        <w:rPr>
          <w:color w:val="auto"/>
          <w:highlight w:val="none"/>
        </w:rPr>
        <w:fldChar w:fldCharType="begin"/>
      </w:r>
      <w:r>
        <w:rPr>
          <w:color w:val="auto"/>
          <w:highlight w:val="none"/>
        </w:rPr>
        <w:instrText xml:space="preserve"> PAGEREF _Toc8499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74B7869E">
      <w:pPr>
        <w:pStyle w:val="11"/>
        <w:tabs>
          <w:tab w:val="right" w:leader="dot" w:pos="9746"/>
        </w:tabs>
        <w:ind w:left="840"/>
        <w:rPr>
          <w:color w:val="auto"/>
          <w:highlight w:val="none"/>
        </w:rPr>
      </w:pPr>
      <w:r>
        <w:rPr>
          <w:color w:val="auto"/>
          <w:highlight w:val="none"/>
        </w:rPr>
        <w:fldChar w:fldCharType="begin"/>
      </w:r>
      <w:r>
        <w:rPr>
          <w:color w:val="auto"/>
          <w:highlight w:val="none"/>
        </w:rPr>
        <w:instrText xml:space="preserve"> HYPERLINK \l "_Toc3298" </w:instrText>
      </w:r>
      <w:r>
        <w:rPr>
          <w:color w:val="auto"/>
          <w:highlight w:val="none"/>
        </w:rPr>
        <w:fldChar w:fldCharType="separate"/>
      </w:r>
      <w:r>
        <w:rPr>
          <w:rFonts w:hint="eastAsia" w:ascii="宋体" w:hAnsi="宋体" w:cs="宋体"/>
          <w:color w:val="auto"/>
          <w:kern w:val="0"/>
          <w:szCs w:val="27"/>
          <w:highlight w:val="none"/>
        </w:rPr>
        <w:t>可选办法七（适合综合评分法四，技术标与经济标同时开启）</w:t>
      </w:r>
      <w:r>
        <w:rPr>
          <w:color w:val="auto"/>
          <w:highlight w:val="none"/>
        </w:rPr>
        <w:tab/>
      </w:r>
      <w:r>
        <w:rPr>
          <w:color w:val="auto"/>
          <w:highlight w:val="none"/>
        </w:rPr>
        <w:fldChar w:fldCharType="begin"/>
      </w:r>
      <w:r>
        <w:rPr>
          <w:color w:val="auto"/>
          <w:highlight w:val="none"/>
        </w:rPr>
        <w:instrText xml:space="preserve"> PAGEREF _Toc3298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49878848">
      <w:pPr>
        <w:pStyle w:val="16"/>
        <w:tabs>
          <w:tab w:val="right" w:leader="dot" w:pos="9746"/>
          <w:tab w:val="clear" w:pos="9060"/>
        </w:tabs>
        <w:rPr>
          <w:rFonts w:hint="eastAsia"/>
          <w:color w:val="auto"/>
          <w:highlight w:val="none"/>
        </w:rPr>
      </w:pPr>
      <w:r>
        <w:rPr>
          <w:color w:val="auto"/>
          <w:highlight w:val="none"/>
        </w:rPr>
        <w:fldChar w:fldCharType="begin"/>
      </w:r>
      <w:r>
        <w:rPr>
          <w:color w:val="auto"/>
          <w:highlight w:val="none"/>
        </w:rPr>
        <w:instrText xml:space="preserve"> HYPERLINK \l "_Toc26724" </w:instrText>
      </w:r>
      <w:r>
        <w:rPr>
          <w:color w:val="auto"/>
          <w:highlight w:val="none"/>
        </w:rPr>
        <w:fldChar w:fldCharType="separate"/>
      </w:r>
      <w:r>
        <w:rPr>
          <w:rFonts w:hint="eastAsia" w:cs="宋体"/>
          <w:bCs/>
          <w:color w:val="auto"/>
          <w:kern w:val="44"/>
          <w:szCs w:val="28"/>
          <w:highlight w:val="none"/>
        </w:rPr>
        <w:t>第三章 合同条款</w:t>
      </w:r>
      <w:r>
        <w:rPr>
          <w:color w:val="auto"/>
          <w:highlight w:val="none"/>
        </w:rPr>
        <w:tab/>
      </w:r>
      <w:r>
        <w:rPr>
          <w:color w:val="auto"/>
          <w:highlight w:val="none"/>
        </w:rPr>
        <w:fldChar w:fldCharType="begin"/>
      </w:r>
      <w:r>
        <w:rPr>
          <w:color w:val="auto"/>
          <w:highlight w:val="none"/>
        </w:rPr>
        <w:instrText xml:space="preserve"> PAGEREF _Toc26724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19B4014F">
      <w:pPr>
        <w:pStyle w:val="16"/>
        <w:tabs>
          <w:tab w:val="right" w:leader="dot" w:pos="9746"/>
          <w:tab w:val="clear" w:pos="9060"/>
        </w:tabs>
        <w:rPr>
          <w:rFonts w:hint="eastAsia"/>
          <w:color w:val="auto"/>
          <w:highlight w:val="none"/>
        </w:rPr>
      </w:pPr>
      <w:r>
        <w:rPr>
          <w:color w:val="auto"/>
          <w:highlight w:val="none"/>
        </w:rPr>
        <w:fldChar w:fldCharType="begin"/>
      </w:r>
      <w:r>
        <w:rPr>
          <w:color w:val="auto"/>
          <w:highlight w:val="none"/>
        </w:rPr>
        <w:instrText xml:space="preserve"> HYPERLINK \l "_Toc15926" </w:instrText>
      </w:r>
      <w:r>
        <w:rPr>
          <w:color w:val="auto"/>
          <w:highlight w:val="none"/>
        </w:rPr>
        <w:fldChar w:fldCharType="separate"/>
      </w:r>
      <w:r>
        <w:rPr>
          <w:rFonts w:hint="eastAsia" w:cs="宋体"/>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_Toc15926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14:paraId="0261E5AE">
      <w:pPr>
        <w:pStyle w:val="19"/>
        <w:tabs>
          <w:tab w:val="right" w:leader="dot" w:pos="9746"/>
          <w:tab w:val="clear" w:pos="9060"/>
        </w:tabs>
        <w:rPr>
          <w:color w:val="auto"/>
          <w:highlight w:val="none"/>
        </w:rPr>
      </w:pPr>
      <w:r>
        <w:rPr>
          <w:color w:val="auto"/>
          <w:highlight w:val="none"/>
        </w:rPr>
        <w:fldChar w:fldCharType="begin"/>
      </w:r>
      <w:r>
        <w:rPr>
          <w:color w:val="auto"/>
          <w:highlight w:val="none"/>
        </w:rPr>
        <w:instrText xml:space="preserve"> HYPERLINK \l "_Toc14864" </w:instrText>
      </w:r>
      <w:r>
        <w:rPr>
          <w:color w:val="auto"/>
          <w:highlight w:val="none"/>
        </w:rPr>
        <w:fldChar w:fldCharType="separate"/>
      </w:r>
      <w:r>
        <w:rPr>
          <w:rFonts w:hint="eastAsia" w:ascii="宋体" w:hAnsi="宋体" w:cs="宋体"/>
          <w:color w:val="auto"/>
          <w:highlight w:val="none"/>
        </w:rPr>
        <w:t>一、技术标投标文件格式</w:t>
      </w:r>
      <w:r>
        <w:rPr>
          <w:color w:val="auto"/>
          <w:highlight w:val="none"/>
        </w:rPr>
        <w:tab/>
      </w:r>
      <w:r>
        <w:rPr>
          <w:color w:val="auto"/>
          <w:highlight w:val="none"/>
        </w:rPr>
        <w:fldChar w:fldCharType="begin"/>
      </w:r>
      <w:r>
        <w:rPr>
          <w:color w:val="auto"/>
          <w:highlight w:val="none"/>
        </w:rPr>
        <w:instrText xml:space="preserve"> PAGEREF _Toc14864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14:paraId="1E2AC7A8">
      <w:pPr>
        <w:pStyle w:val="19"/>
        <w:tabs>
          <w:tab w:val="right" w:leader="dot" w:pos="9746"/>
          <w:tab w:val="clear" w:pos="9060"/>
        </w:tabs>
        <w:rPr>
          <w:color w:val="auto"/>
          <w:highlight w:val="none"/>
        </w:rPr>
      </w:pPr>
      <w:r>
        <w:rPr>
          <w:color w:val="auto"/>
          <w:highlight w:val="none"/>
        </w:rPr>
        <w:fldChar w:fldCharType="begin"/>
      </w:r>
      <w:r>
        <w:rPr>
          <w:color w:val="auto"/>
          <w:highlight w:val="none"/>
        </w:rPr>
        <w:instrText xml:space="preserve"> HYPERLINK \l "_Toc2430" </w:instrText>
      </w:r>
      <w:r>
        <w:rPr>
          <w:color w:val="auto"/>
          <w:highlight w:val="none"/>
        </w:rPr>
        <w:fldChar w:fldCharType="separate"/>
      </w:r>
      <w:r>
        <w:rPr>
          <w:rFonts w:hint="eastAsia" w:ascii="宋体" w:hAnsi="宋体" w:cs="宋体"/>
          <w:color w:val="auto"/>
          <w:highlight w:val="none"/>
        </w:rPr>
        <w:t>二、经济标投标文件格式</w:t>
      </w:r>
      <w:r>
        <w:rPr>
          <w:color w:val="auto"/>
          <w:highlight w:val="none"/>
        </w:rPr>
        <w:tab/>
      </w:r>
      <w:r>
        <w:rPr>
          <w:color w:val="auto"/>
          <w:highlight w:val="none"/>
        </w:rPr>
        <w:fldChar w:fldCharType="begin"/>
      </w:r>
      <w:r>
        <w:rPr>
          <w:color w:val="auto"/>
          <w:highlight w:val="none"/>
        </w:rPr>
        <w:instrText xml:space="preserve"> PAGEREF _Toc2430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14:paraId="45AFE2A8">
      <w:pPr>
        <w:pStyle w:val="16"/>
        <w:tabs>
          <w:tab w:val="right" w:leader="dot" w:pos="9746"/>
          <w:tab w:val="clear" w:pos="9060"/>
        </w:tabs>
        <w:rPr>
          <w:rFonts w:hint="eastAsia"/>
          <w:color w:val="auto"/>
          <w:highlight w:val="none"/>
        </w:rPr>
      </w:pPr>
      <w:r>
        <w:rPr>
          <w:color w:val="auto"/>
          <w:highlight w:val="none"/>
        </w:rPr>
        <w:fldChar w:fldCharType="begin"/>
      </w:r>
      <w:r>
        <w:rPr>
          <w:color w:val="auto"/>
          <w:highlight w:val="none"/>
        </w:rPr>
        <w:instrText xml:space="preserve"> HYPERLINK \l "_Toc24951" </w:instrText>
      </w:r>
      <w:r>
        <w:rPr>
          <w:color w:val="auto"/>
          <w:highlight w:val="none"/>
        </w:rPr>
        <w:fldChar w:fldCharType="separate"/>
      </w:r>
      <w:r>
        <w:rPr>
          <w:rFonts w:hint="eastAsia" w:cs="宋体"/>
          <w:color w:val="auto"/>
          <w:highlight w:val="none"/>
        </w:rPr>
        <w:t>第五章 技术条件（工程建设标准）</w:t>
      </w:r>
      <w:r>
        <w:rPr>
          <w:color w:val="auto"/>
          <w:highlight w:val="none"/>
        </w:rPr>
        <w:tab/>
      </w:r>
      <w:r>
        <w:rPr>
          <w:color w:val="auto"/>
          <w:highlight w:val="none"/>
        </w:rPr>
        <w:fldChar w:fldCharType="begin"/>
      </w:r>
      <w:r>
        <w:rPr>
          <w:color w:val="auto"/>
          <w:highlight w:val="none"/>
        </w:rPr>
        <w:instrText xml:space="preserve"> PAGEREF _Toc24951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14:paraId="35620EE2">
      <w:pPr>
        <w:pStyle w:val="16"/>
        <w:tabs>
          <w:tab w:val="right" w:leader="dot" w:pos="9746"/>
          <w:tab w:val="clear" w:pos="9060"/>
        </w:tabs>
        <w:rPr>
          <w:rFonts w:hint="eastAsia"/>
          <w:color w:val="auto"/>
          <w:highlight w:val="none"/>
        </w:rPr>
      </w:pPr>
      <w:r>
        <w:rPr>
          <w:color w:val="auto"/>
          <w:highlight w:val="none"/>
        </w:rPr>
        <w:fldChar w:fldCharType="begin"/>
      </w:r>
      <w:r>
        <w:rPr>
          <w:color w:val="auto"/>
          <w:highlight w:val="none"/>
        </w:rPr>
        <w:instrText xml:space="preserve"> HYPERLINK \l "_Toc15274" </w:instrText>
      </w:r>
      <w:r>
        <w:rPr>
          <w:color w:val="auto"/>
          <w:highlight w:val="none"/>
        </w:rPr>
        <w:fldChar w:fldCharType="separate"/>
      </w:r>
      <w:r>
        <w:rPr>
          <w:rFonts w:hint="eastAsia" w:cs="宋体"/>
          <w:color w:val="auto"/>
          <w:highlight w:val="none"/>
        </w:rPr>
        <w:t>第</w:t>
      </w:r>
      <w:r>
        <w:rPr>
          <w:rFonts w:hint="eastAsia" w:cs="宋体"/>
          <w:color w:val="auto"/>
          <w:highlight w:val="none"/>
          <w:lang w:val="en-US" w:eastAsia="zh-CN"/>
        </w:rPr>
        <w:t>六</w:t>
      </w:r>
      <w:r>
        <w:rPr>
          <w:rFonts w:hint="eastAsia" w:cs="宋体"/>
          <w:color w:val="auto"/>
          <w:highlight w:val="none"/>
        </w:rPr>
        <w:t>章 工程量清单</w:t>
      </w:r>
      <w:r>
        <w:rPr>
          <w:color w:val="auto"/>
          <w:highlight w:val="none"/>
        </w:rPr>
        <w:tab/>
      </w:r>
      <w:r>
        <w:rPr>
          <w:color w:val="auto"/>
          <w:highlight w:val="none"/>
        </w:rPr>
        <w:fldChar w:fldCharType="begin"/>
      </w:r>
      <w:r>
        <w:rPr>
          <w:color w:val="auto"/>
          <w:highlight w:val="none"/>
        </w:rPr>
        <w:instrText xml:space="preserve"> PAGEREF _Toc15274 \h </w:instrText>
      </w:r>
      <w:r>
        <w:rPr>
          <w:color w:val="auto"/>
          <w:highlight w:val="none"/>
        </w:rPr>
        <w:fldChar w:fldCharType="separate"/>
      </w:r>
      <w:r>
        <w:rPr>
          <w:color w:val="auto"/>
          <w:highlight w:val="none"/>
        </w:rPr>
        <w:t>117</w:t>
      </w:r>
      <w:r>
        <w:rPr>
          <w:color w:val="auto"/>
          <w:highlight w:val="none"/>
        </w:rPr>
        <w:fldChar w:fldCharType="end"/>
      </w:r>
      <w:r>
        <w:rPr>
          <w:color w:val="auto"/>
          <w:highlight w:val="none"/>
        </w:rPr>
        <w:fldChar w:fldCharType="end"/>
      </w:r>
    </w:p>
    <w:p w14:paraId="790C4140">
      <w:pPr>
        <w:pStyle w:val="16"/>
        <w:tabs>
          <w:tab w:val="right" w:leader="dot" w:pos="9746"/>
          <w:tab w:val="clear" w:pos="9060"/>
        </w:tabs>
        <w:rPr>
          <w:rFonts w:hint="eastAsia"/>
          <w:color w:val="auto"/>
          <w:highlight w:val="none"/>
        </w:rPr>
      </w:pPr>
      <w:r>
        <w:rPr>
          <w:color w:val="auto"/>
          <w:highlight w:val="none"/>
        </w:rPr>
        <w:fldChar w:fldCharType="begin"/>
      </w:r>
      <w:r>
        <w:rPr>
          <w:color w:val="auto"/>
          <w:highlight w:val="none"/>
        </w:rPr>
        <w:instrText xml:space="preserve"> HYPERLINK \l "_Toc7467" </w:instrText>
      </w:r>
      <w:r>
        <w:rPr>
          <w:color w:val="auto"/>
          <w:highlight w:val="none"/>
        </w:rPr>
        <w:fldChar w:fldCharType="separate"/>
      </w:r>
      <w:r>
        <w:rPr>
          <w:rFonts w:hint="eastAsia" w:cs="宋体"/>
          <w:color w:val="auto"/>
          <w:highlight w:val="none"/>
        </w:rPr>
        <w:t>第</w:t>
      </w:r>
      <w:r>
        <w:rPr>
          <w:rFonts w:hint="eastAsia" w:cs="宋体"/>
          <w:color w:val="auto"/>
          <w:highlight w:val="none"/>
          <w:lang w:val="en-US" w:eastAsia="zh-CN"/>
        </w:rPr>
        <w:t>七</w:t>
      </w:r>
      <w:r>
        <w:rPr>
          <w:rFonts w:hint="eastAsia" w:cs="宋体"/>
          <w:color w:val="auto"/>
          <w:highlight w:val="none"/>
        </w:rPr>
        <w:t>章 最高投标限价</w:t>
      </w:r>
      <w:r>
        <w:rPr>
          <w:color w:val="auto"/>
          <w:highlight w:val="none"/>
        </w:rPr>
        <w:tab/>
      </w:r>
      <w:r>
        <w:rPr>
          <w:color w:val="auto"/>
          <w:highlight w:val="none"/>
        </w:rPr>
        <w:fldChar w:fldCharType="begin"/>
      </w:r>
      <w:r>
        <w:rPr>
          <w:color w:val="auto"/>
          <w:highlight w:val="none"/>
        </w:rPr>
        <w:instrText xml:space="preserve"> PAGEREF _Toc7467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14:paraId="343F4182">
      <w:pPr>
        <w:pStyle w:val="2"/>
        <w:jc w:val="center"/>
        <w:rPr>
          <w:rFonts w:hint="eastAsia"/>
          <w:color w:val="auto"/>
          <w:sz w:val="21"/>
          <w:szCs w:val="21"/>
          <w:highlight w:val="none"/>
        </w:rPr>
      </w:pPr>
      <w:r>
        <w:rPr>
          <w:rFonts w:hint="eastAsia"/>
          <w:color w:val="auto"/>
          <w:szCs w:val="21"/>
          <w:highlight w:val="none"/>
        </w:rPr>
        <w:fldChar w:fldCharType="end"/>
      </w:r>
      <w:bookmarkStart w:id="1" w:name="_Toc28740"/>
      <w:bookmarkStart w:id="2" w:name="_Toc24642"/>
      <w:bookmarkStart w:id="3" w:name="_Toc31598"/>
      <w:bookmarkStart w:id="4" w:name="_Toc11817"/>
      <w:bookmarkStart w:id="5" w:name="_Toc15158"/>
      <w:bookmarkStart w:id="6" w:name="_Toc8964"/>
      <w:bookmarkStart w:id="7" w:name="_Toc7779"/>
      <w:bookmarkStart w:id="8" w:name="_Toc8362"/>
      <w:bookmarkStart w:id="9" w:name="_Toc2272545"/>
      <w:bookmarkStart w:id="10" w:name="_Toc22598"/>
      <w:bookmarkStart w:id="11" w:name="_Toc25370"/>
    </w:p>
    <w:p w14:paraId="3A001CF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br w:type="page"/>
      </w:r>
      <w:bookmarkStart w:id="326" w:name="_GoBack"/>
      <w:bookmarkEnd w:id="326"/>
    </w:p>
    <w:p w14:paraId="03793A73">
      <w:pPr>
        <w:pStyle w:val="2"/>
        <w:jc w:val="center"/>
        <w:rPr>
          <w:rFonts w:hint="eastAsia"/>
          <w:color w:val="auto"/>
          <w:highlight w:val="none"/>
        </w:rPr>
      </w:pPr>
      <w:bookmarkStart w:id="12" w:name="_Toc8684"/>
      <w:bookmarkStart w:id="13" w:name="_Toc29488"/>
      <w:r>
        <w:rPr>
          <w:rFonts w:hint="eastAsia"/>
          <w:color w:val="auto"/>
          <w:highlight w:val="none"/>
        </w:rPr>
        <w:t>第一章 投标须知</w:t>
      </w:r>
      <w:bookmarkEnd w:id="1"/>
      <w:bookmarkEnd w:id="2"/>
      <w:bookmarkEnd w:id="3"/>
      <w:bookmarkEnd w:id="4"/>
      <w:bookmarkEnd w:id="5"/>
      <w:bookmarkEnd w:id="6"/>
      <w:bookmarkEnd w:id="7"/>
      <w:bookmarkEnd w:id="8"/>
      <w:bookmarkEnd w:id="9"/>
      <w:bookmarkEnd w:id="10"/>
      <w:bookmarkEnd w:id="11"/>
      <w:bookmarkEnd w:id="12"/>
      <w:bookmarkEnd w:id="13"/>
    </w:p>
    <w:p w14:paraId="15110967">
      <w:pPr>
        <w:pStyle w:val="3"/>
        <w:spacing w:line="360" w:lineRule="auto"/>
        <w:rPr>
          <w:rFonts w:hint="eastAsia"/>
          <w:color w:val="auto"/>
          <w:highlight w:val="none"/>
        </w:rPr>
      </w:pPr>
      <w:bookmarkStart w:id="14" w:name="_Toc474"/>
      <w:bookmarkStart w:id="15" w:name="_Toc17518"/>
      <w:bookmarkStart w:id="16" w:name="_Toc15272"/>
      <w:bookmarkStart w:id="17" w:name="_Toc1940"/>
      <w:bookmarkStart w:id="18" w:name="_Toc20608"/>
      <w:bookmarkStart w:id="19" w:name="_Toc7928"/>
      <w:bookmarkStart w:id="20" w:name="_Toc25865"/>
      <w:bookmarkStart w:id="21" w:name="_Toc14709"/>
      <w:bookmarkStart w:id="22" w:name="_Toc2997"/>
      <w:bookmarkStart w:id="23" w:name="_Toc26400"/>
      <w:bookmarkStart w:id="24" w:name="_Toc26894"/>
      <w:bookmarkStart w:id="25" w:name="_Toc2272546"/>
      <w:bookmarkStart w:id="26" w:name="_Toc24375"/>
      <w:r>
        <w:rPr>
          <w:rFonts w:hint="eastAsia"/>
          <w:color w:val="auto"/>
          <w:highlight w:val="none"/>
        </w:rPr>
        <w:t>一、投标须知前附表</w:t>
      </w:r>
      <w:bookmarkEnd w:id="14"/>
      <w:bookmarkEnd w:id="15"/>
      <w:bookmarkEnd w:id="16"/>
      <w:bookmarkEnd w:id="17"/>
      <w:bookmarkEnd w:id="18"/>
      <w:bookmarkEnd w:id="19"/>
      <w:bookmarkEnd w:id="20"/>
      <w:bookmarkEnd w:id="21"/>
      <w:bookmarkEnd w:id="22"/>
      <w:bookmarkEnd w:id="23"/>
      <w:bookmarkEnd w:id="24"/>
      <w:bookmarkEnd w:id="25"/>
      <w:bookmarkEnd w:id="26"/>
    </w:p>
    <w:p w14:paraId="7A0EE628">
      <w:pPr>
        <w:pStyle w:val="6"/>
        <w:spacing w:line="360" w:lineRule="auto"/>
        <w:ind w:firstLine="0"/>
        <w:rPr>
          <w:rFonts w:hint="eastAsia" w:ascii="宋体" w:hAnsi="宋体" w:cs="宋体"/>
          <w:b/>
          <w:color w:val="auto"/>
          <w:sz w:val="24"/>
          <w:szCs w:val="24"/>
          <w:highlight w:val="none"/>
        </w:rPr>
      </w:pPr>
      <w:r>
        <w:rPr>
          <w:rFonts w:hint="eastAsia" w:ascii="宋体" w:hAnsi="宋体" w:cs="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5"/>
        <w:tblW w:w="4983"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039"/>
        <w:gridCol w:w="2169"/>
        <w:gridCol w:w="5988"/>
      </w:tblGrid>
      <w:tr w14:paraId="5CCC06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369" w:type="pct"/>
            <w:tcBorders>
              <w:top w:val="double" w:color="auto" w:sz="4" w:space="0"/>
              <w:left w:val="double" w:color="auto" w:sz="4" w:space="0"/>
              <w:bottom w:val="single" w:color="auto" w:sz="4" w:space="0"/>
              <w:right w:val="single" w:color="auto" w:sz="4" w:space="0"/>
            </w:tcBorders>
            <w:vAlign w:val="center"/>
          </w:tcPr>
          <w:p w14:paraId="46C52288">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w:t>
            </w:r>
          </w:p>
        </w:tc>
        <w:tc>
          <w:tcPr>
            <w:tcW w:w="523" w:type="pct"/>
            <w:tcBorders>
              <w:top w:val="double" w:color="auto" w:sz="4" w:space="0"/>
              <w:left w:val="single" w:color="auto" w:sz="4" w:space="0"/>
              <w:bottom w:val="single" w:color="auto" w:sz="4" w:space="0"/>
              <w:right w:val="single" w:color="auto" w:sz="4" w:space="0"/>
            </w:tcBorders>
            <w:vAlign w:val="center"/>
          </w:tcPr>
          <w:p w14:paraId="1B3EDB11">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条款号</w:t>
            </w:r>
          </w:p>
        </w:tc>
        <w:tc>
          <w:tcPr>
            <w:tcW w:w="1092" w:type="pct"/>
            <w:tcBorders>
              <w:top w:val="double" w:color="auto" w:sz="4" w:space="0"/>
              <w:left w:val="single" w:color="auto" w:sz="4" w:space="0"/>
              <w:bottom w:val="single" w:color="auto" w:sz="4" w:space="0"/>
              <w:right w:val="single" w:color="auto" w:sz="4" w:space="0"/>
            </w:tcBorders>
            <w:vAlign w:val="center"/>
          </w:tcPr>
          <w:p w14:paraId="46472AEE">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内容</w:t>
            </w:r>
          </w:p>
        </w:tc>
        <w:tc>
          <w:tcPr>
            <w:tcW w:w="3015" w:type="pct"/>
            <w:tcBorders>
              <w:top w:val="double" w:color="auto" w:sz="4" w:space="0"/>
              <w:left w:val="single" w:color="auto" w:sz="4" w:space="0"/>
              <w:bottom w:val="single" w:color="auto" w:sz="4" w:space="0"/>
              <w:right w:val="double" w:color="auto" w:sz="4" w:space="0"/>
            </w:tcBorders>
            <w:vAlign w:val="center"/>
          </w:tcPr>
          <w:p w14:paraId="4F3C6A9D">
            <w:pPr>
              <w:pStyle w:val="13"/>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说明与要求</w:t>
            </w:r>
          </w:p>
        </w:tc>
      </w:tr>
      <w:tr w14:paraId="3ACEC3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369" w:type="pct"/>
            <w:tcBorders>
              <w:top w:val="single" w:color="auto" w:sz="4" w:space="0"/>
              <w:left w:val="double" w:color="auto" w:sz="4" w:space="0"/>
              <w:bottom w:val="single" w:color="auto" w:sz="4" w:space="0"/>
              <w:right w:val="single" w:color="auto" w:sz="4" w:space="0"/>
            </w:tcBorders>
            <w:vAlign w:val="center"/>
          </w:tcPr>
          <w:p w14:paraId="3D5B18F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523" w:type="pct"/>
            <w:tcBorders>
              <w:top w:val="single" w:color="auto" w:sz="4" w:space="0"/>
              <w:left w:val="single" w:color="auto" w:sz="4" w:space="0"/>
              <w:bottom w:val="single" w:color="auto" w:sz="4" w:space="0"/>
              <w:right w:val="single" w:color="auto" w:sz="4" w:space="0"/>
            </w:tcBorders>
            <w:vAlign w:val="center"/>
          </w:tcPr>
          <w:p w14:paraId="316B1A8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1092" w:type="pct"/>
            <w:tcBorders>
              <w:top w:val="single" w:color="auto" w:sz="4" w:space="0"/>
              <w:left w:val="single" w:color="auto" w:sz="4" w:space="0"/>
              <w:bottom w:val="single" w:color="auto" w:sz="4" w:space="0"/>
              <w:right w:val="single" w:color="auto" w:sz="4" w:space="0"/>
            </w:tcBorders>
            <w:vAlign w:val="center"/>
          </w:tcPr>
          <w:p w14:paraId="196C8A8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定义</w:t>
            </w:r>
          </w:p>
        </w:tc>
        <w:tc>
          <w:tcPr>
            <w:tcW w:w="3015" w:type="pct"/>
            <w:tcBorders>
              <w:top w:val="single" w:color="auto" w:sz="4" w:space="0"/>
              <w:left w:val="single" w:color="auto" w:sz="4" w:space="0"/>
              <w:bottom w:val="single" w:color="auto" w:sz="4" w:space="0"/>
              <w:right w:val="double" w:color="auto" w:sz="4" w:space="0"/>
            </w:tcBorders>
            <w:vAlign w:val="center"/>
          </w:tcPr>
          <w:p w14:paraId="213BD773">
            <w:pPr>
              <w:spacing w:line="36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招标人（即发包人）：</w:t>
            </w:r>
            <w:r>
              <w:rPr>
                <w:rFonts w:hint="eastAsia" w:ascii="宋体" w:hAnsi="宋体" w:cs="宋体"/>
                <w:color w:val="auto"/>
                <w:szCs w:val="21"/>
                <w:highlight w:val="none"/>
                <w:u w:val="single"/>
                <w:lang w:eastAsia="zh-CN"/>
              </w:rPr>
              <w:t>广州东进新区开发有限公司</w:t>
            </w:r>
          </w:p>
          <w:p w14:paraId="31B40E9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rPr>
              <w:t>广州筑正工程建设管理有限公司</w:t>
            </w:r>
          </w:p>
          <w:p w14:paraId="363DEE6D">
            <w:pPr>
              <w:spacing w:line="360" w:lineRule="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设计单位：</w:t>
            </w:r>
            <w:r>
              <w:rPr>
                <w:rFonts w:hint="eastAsia" w:ascii="宋体" w:hAnsi="宋体" w:cs="宋体"/>
                <w:color w:val="auto"/>
                <w:szCs w:val="21"/>
                <w:highlight w:val="none"/>
                <w:u w:val="single"/>
                <w:lang w:val="en-US" w:eastAsia="zh-CN"/>
              </w:rPr>
              <w:t xml:space="preserve">        /        </w:t>
            </w:r>
          </w:p>
          <w:p w14:paraId="7F41CB7C">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监理单位：</w:t>
            </w:r>
            <w:r>
              <w:rPr>
                <w:rFonts w:hint="eastAsia" w:ascii="宋体" w:hAnsi="宋体" w:cs="宋体"/>
                <w:color w:val="auto"/>
                <w:szCs w:val="21"/>
                <w:highlight w:val="none"/>
                <w:u w:val="single"/>
                <w:lang w:val="en-US" w:eastAsia="zh-CN"/>
              </w:rPr>
              <w:t xml:space="preserve">        /        </w:t>
            </w:r>
          </w:p>
          <w:p w14:paraId="54692980">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造价咨询单位：</w:t>
            </w:r>
            <w:r>
              <w:rPr>
                <w:rFonts w:hint="eastAsia" w:ascii="宋体" w:hAnsi="宋体" w:cs="宋体"/>
                <w:color w:val="auto"/>
                <w:szCs w:val="21"/>
                <w:highlight w:val="none"/>
                <w:u w:val="single"/>
                <w:lang w:val="en-US" w:eastAsia="zh-CN"/>
              </w:rPr>
              <w:t xml:space="preserve">        /        </w:t>
            </w:r>
          </w:p>
          <w:p w14:paraId="55053C3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检测机构：</w:t>
            </w:r>
            <w:r>
              <w:rPr>
                <w:rFonts w:hint="eastAsia" w:ascii="宋体" w:hAnsi="宋体" w:cs="宋体"/>
                <w:color w:val="auto"/>
                <w:szCs w:val="21"/>
                <w:highlight w:val="none"/>
                <w:u w:val="single"/>
                <w:lang w:val="en-US" w:eastAsia="zh-CN"/>
              </w:rPr>
              <w:t xml:space="preserve">        /        </w:t>
            </w:r>
          </w:p>
        </w:tc>
      </w:tr>
      <w:tr w14:paraId="5CC459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69" w:type="pct"/>
            <w:tcBorders>
              <w:top w:val="single" w:color="auto" w:sz="4" w:space="0"/>
              <w:left w:val="double" w:color="auto" w:sz="4" w:space="0"/>
              <w:bottom w:val="single" w:color="auto" w:sz="4" w:space="0"/>
              <w:right w:val="single" w:color="auto" w:sz="4" w:space="0"/>
            </w:tcBorders>
            <w:vAlign w:val="center"/>
          </w:tcPr>
          <w:p w14:paraId="6E65A93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p>
        </w:tc>
        <w:tc>
          <w:tcPr>
            <w:tcW w:w="523" w:type="pct"/>
            <w:tcBorders>
              <w:top w:val="single" w:color="auto" w:sz="4" w:space="0"/>
              <w:left w:val="single" w:color="auto" w:sz="4" w:space="0"/>
              <w:bottom w:val="single" w:color="auto" w:sz="4" w:space="0"/>
              <w:right w:val="single" w:color="auto" w:sz="4" w:space="0"/>
            </w:tcBorders>
            <w:vAlign w:val="center"/>
          </w:tcPr>
          <w:p w14:paraId="04ACEB8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w:t>
            </w:r>
          </w:p>
        </w:tc>
        <w:tc>
          <w:tcPr>
            <w:tcW w:w="1092" w:type="pct"/>
            <w:tcBorders>
              <w:top w:val="single" w:color="auto" w:sz="4" w:space="0"/>
              <w:left w:val="single" w:color="auto" w:sz="4" w:space="0"/>
              <w:bottom w:val="single" w:color="auto" w:sz="4" w:space="0"/>
              <w:right w:val="single" w:color="auto" w:sz="4" w:space="0"/>
            </w:tcBorders>
            <w:vAlign w:val="center"/>
          </w:tcPr>
          <w:p w14:paraId="120F5A6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工程名称</w:t>
            </w:r>
          </w:p>
        </w:tc>
        <w:tc>
          <w:tcPr>
            <w:tcW w:w="3015" w:type="pct"/>
            <w:tcBorders>
              <w:top w:val="single" w:color="auto" w:sz="4" w:space="0"/>
              <w:left w:val="single" w:color="auto" w:sz="4" w:space="0"/>
              <w:bottom w:val="single" w:color="auto" w:sz="4" w:space="0"/>
              <w:right w:val="double" w:color="auto" w:sz="4" w:space="0"/>
            </w:tcBorders>
            <w:vAlign w:val="center"/>
          </w:tcPr>
          <w:p w14:paraId="7C3DFA36">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广州市黄埔区南岗街南岗社区亨元、柯庄片区城中村改造项目房屋拆除工程施工</w:t>
            </w:r>
          </w:p>
        </w:tc>
      </w:tr>
      <w:tr w14:paraId="21AEEB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369" w:type="pct"/>
            <w:tcBorders>
              <w:top w:val="single" w:color="auto" w:sz="4" w:space="0"/>
              <w:left w:val="double" w:color="auto" w:sz="4" w:space="0"/>
              <w:bottom w:val="single" w:color="auto" w:sz="4" w:space="0"/>
              <w:right w:val="single" w:color="auto" w:sz="4" w:space="0"/>
            </w:tcBorders>
            <w:vAlign w:val="center"/>
          </w:tcPr>
          <w:p w14:paraId="6751C37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523" w:type="pct"/>
            <w:tcBorders>
              <w:top w:val="single" w:color="auto" w:sz="4" w:space="0"/>
              <w:left w:val="single" w:color="auto" w:sz="4" w:space="0"/>
              <w:bottom w:val="single" w:color="auto" w:sz="4" w:space="0"/>
              <w:right w:val="single" w:color="auto" w:sz="4" w:space="0"/>
            </w:tcBorders>
            <w:vAlign w:val="center"/>
          </w:tcPr>
          <w:p w14:paraId="5C5406D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w:t>
            </w:r>
          </w:p>
        </w:tc>
        <w:tc>
          <w:tcPr>
            <w:tcW w:w="1092" w:type="pct"/>
            <w:tcBorders>
              <w:top w:val="single" w:color="auto" w:sz="4" w:space="0"/>
              <w:left w:val="single" w:color="auto" w:sz="4" w:space="0"/>
              <w:bottom w:val="single" w:color="auto" w:sz="4" w:space="0"/>
              <w:right w:val="single" w:color="auto" w:sz="4" w:space="0"/>
            </w:tcBorders>
            <w:vAlign w:val="center"/>
          </w:tcPr>
          <w:p w14:paraId="4193FE1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建设地点</w:t>
            </w:r>
          </w:p>
        </w:tc>
        <w:tc>
          <w:tcPr>
            <w:tcW w:w="3015" w:type="pct"/>
            <w:tcBorders>
              <w:top w:val="single" w:color="auto" w:sz="4" w:space="0"/>
              <w:left w:val="single" w:color="auto" w:sz="4" w:space="0"/>
              <w:bottom w:val="single" w:color="auto" w:sz="4" w:space="0"/>
              <w:right w:val="double" w:color="auto" w:sz="4" w:space="0"/>
            </w:tcBorders>
            <w:vAlign w:val="center"/>
          </w:tcPr>
          <w:p w14:paraId="631B9BC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14:paraId="78BF83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369" w:type="pct"/>
            <w:tcBorders>
              <w:top w:val="single" w:color="auto" w:sz="4" w:space="0"/>
              <w:left w:val="double" w:color="auto" w:sz="4" w:space="0"/>
              <w:bottom w:val="single" w:color="auto" w:sz="4" w:space="0"/>
              <w:right w:val="single" w:color="auto" w:sz="4" w:space="0"/>
            </w:tcBorders>
            <w:vAlign w:val="center"/>
          </w:tcPr>
          <w:p w14:paraId="003EEC9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523" w:type="pct"/>
            <w:tcBorders>
              <w:top w:val="single" w:color="auto" w:sz="4" w:space="0"/>
              <w:left w:val="single" w:color="auto" w:sz="4" w:space="0"/>
              <w:bottom w:val="single" w:color="auto" w:sz="4" w:space="0"/>
              <w:right w:val="single" w:color="auto" w:sz="4" w:space="0"/>
            </w:tcBorders>
            <w:vAlign w:val="center"/>
          </w:tcPr>
          <w:p w14:paraId="0123286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w:t>
            </w:r>
          </w:p>
        </w:tc>
        <w:tc>
          <w:tcPr>
            <w:tcW w:w="1092" w:type="pct"/>
            <w:tcBorders>
              <w:top w:val="single" w:color="auto" w:sz="4" w:space="0"/>
              <w:left w:val="single" w:color="auto" w:sz="4" w:space="0"/>
              <w:bottom w:val="single" w:color="auto" w:sz="4" w:space="0"/>
              <w:right w:val="single" w:color="auto" w:sz="4" w:space="0"/>
            </w:tcBorders>
            <w:vAlign w:val="center"/>
          </w:tcPr>
          <w:p w14:paraId="714AC25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建设规模</w:t>
            </w:r>
          </w:p>
        </w:tc>
        <w:tc>
          <w:tcPr>
            <w:tcW w:w="3015" w:type="pct"/>
            <w:tcBorders>
              <w:top w:val="single" w:color="auto" w:sz="4" w:space="0"/>
              <w:left w:val="single" w:color="auto" w:sz="4" w:space="0"/>
              <w:bottom w:val="single" w:color="auto" w:sz="4" w:space="0"/>
              <w:right w:val="double" w:color="auto" w:sz="4" w:space="0"/>
            </w:tcBorders>
            <w:vAlign w:val="center"/>
          </w:tcPr>
          <w:p w14:paraId="4BC28F2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14:paraId="1EC3E1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369" w:type="pct"/>
            <w:tcBorders>
              <w:top w:val="single" w:color="auto" w:sz="4" w:space="0"/>
              <w:left w:val="double" w:color="auto" w:sz="4" w:space="0"/>
              <w:bottom w:val="single" w:color="auto" w:sz="4" w:space="0"/>
              <w:right w:val="single" w:color="auto" w:sz="4" w:space="0"/>
            </w:tcBorders>
            <w:vAlign w:val="center"/>
          </w:tcPr>
          <w:p w14:paraId="23D081D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w:t>
            </w:r>
          </w:p>
        </w:tc>
        <w:tc>
          <w:tcPr>
            <w:tcW w:w="523" w:type="pct"/>
            <w:tcBorders>
              <w:top w:val="single" w:color="auto" w:sz="4" w:space="0"/>
              <w:left w:val="single" w:color="auto" w:sz="4" w:space="0"/>
              <w:bottom w:val="single" w:color="auto" w:sz="4" w:space="0"/>
              <w:right w:val="single" w:color="auto" w:sz="4" w:space="0"/>
            </w:tcBorders>
            <w:vAlign w:val="center"/>
          </w:tcPr>
          <w:p w14:paraId="2F6F166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w:t>
            </w:r>
          </w:p>
        </w:tc>
        <w:tc>
          <w:tcPr>
            <w:tcW w:w="1092" w:type="pct"/>
            <w:tcBorders>
              <w:top w:val="single" w:color="auto" w:sz="4" w:space="0"/>
              <w:left w:val="single" w:color="auto" w:sz="4" w:space="0"/>
              <w:bottom w:val="single" w:color="auto" w:sz="4" w:space="0"/>
              <w:right w:val="single" w:color="auto" w:sz="4" w:space="0"/>
            </w:tcBorders>
            <w:vAlign w:val="center"/>
          </w:tcPr>
          <w:p w14:paraId="5B250FE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承包方式</w:t>
            </w:r>
          </w:p>
        </w:tc>
        <w:tc>
          <w:tcPr>
            <w:tcW w:w="3015" w:type="pct"/>
            <w:tcBorders>
              <w:top w:val="single" w:color="auto" w:sz="4" w:space="0"/>
              <w:left w:val="single" w:color="auto" w:sz="4" w:space="0"/>
              <w:bottom w:val="single" w:color="auto" w:sz="4" w:space="0"/>
              <w:right w:val="double" w:color="auto" w:sz="4" w:space="0"/>
            </w:tcBorders>
            <w:vAlign w:val="center"/>
          </w:tcPr>
          <w:p w14:paraId="6B7ADD0F">
            <w:pPr>
              <w:tabs>
                <w:tab w:val="left" w:pos="1764"/>
              </w:tabs>
              <w:spacing w:line="276" w:lineRule="auto"/>
              <w:ind w:left="63" w:leftChars="30" w:right="84" w:rightChars="40"/>
              <w:rPr>
                <w:rFonts w:hint="eastAsia" w:ascii="宋体" w:hAnsi="宋体" w:cs="宋体"/>
                <w:color w:val="auto"/>
                <w:szCs w:val="21"/>
                <w:highlight w:val="none"/>
                <w:u w:val="single"/>
              </w:rPr>
            </w:pPr>
            <w:r>
              <w:rPr>
                <w:rStyle w:val="45"/>
                <w:rFonts w:ascii="宋体" w:hAnsi="宋体"/>
                <w:color w:val="auto"/>
                <w:szCs w:val="21"/>
                <w:highlight w:val="none"/>
                <w:u w:val="single"/>
              </w:rPr>
              <w:t>本工程实行</w:t>
            </w:r>
            <w:r>
              <w:rPr>
                <w:rStyle w:val="45"/>
                <w:rFonts w:hint="eastAsia" w:ascii="宋体" w:hAnsi="宋体"/>
                <w:color w:val="auto"/>
                <w:szCs w:val="21"/>
                <w:highlight w:val="none"/>
                <w:u w:val="single"/>
              </w:rPr>
              <w:t>以</w:t>
            </w:r>
            <w:r>
              <w:rPr>
                <w:rStyle w:val="45"/>
                <w:rFonts w:hint="default" w:ascii="宋体" w:hAnsi="宋体" w:cs="Times New Roman"/>
                <w:bCs w:val="0"/>
                <w:color w:val="auto"/>
                <w:sz w:val="21"/>
                <w:szCs w:val="21"/>
                <w:highlight w:val="none"/>
                <w:u w:val="single"/>
                <w:lang w:val="en-US" w:eastAsia="zh-CN"/>
              </w:rPr>
              <w:t>全费用综合单价</w:t>
            </w:r>
            <w:r>
              <w:rPr>
                <w:rStyle w:val="45"/>
                <w:rFonts w:hint="eastAsia" w:ascii="宋体" w:hAnsi="宋体"/>
                <w:color w:val="auto"/>
                <w:szCs w:val="21"/>
                <w:highlight w:val="none"/>
                <w:u w:val="single"/>
              </w:rPr>
              <w:t>包干，</w:t>
            </w:r>
            <w:r>
              <w:rPr>
                <w:rFonts w:hint="eastAsia" w:ascii="宋体" w:hAnsi="宋体" w:cs="宋体"/>
                <w:color w:val="auto"/>
                <w:szCs w:val="21"/>
                <w:highlight w:val="none"/>
                <w:u w:val="single"/>
              </w:rPr>
              <w:t>包工、包料、包工期、包质量、包安全、包文明施工、包验收、</w:t>
            </w:r>
            <w:r>
              <w:rPr>
                <w:rFonts w:hint="eastAsia" w:ascii="宋体" w:hAnsi="宋体" w:cs="宋体"/>
                <w:color w:val="auto"/>
                <w:szCs w:val="21"/>
                <w:highlight w:val="none"/>
                <w:u w:val="single"/>
                <w:lang w:val="en-US" w:eastAsia="zh-CN"/>
              </w:rPr>
              <w:t>包项目措施费、包施工围蔽、包清运</w:t>
            </w:r>
            <w:r>
              <w:rPr>
                <w:rFonts w:hint="eastAsia" w:ascii="宋体" w:hAnsi="宋体" w:cs="宋体"/>
                <w:color w:val="auto"/>
                <w:szCs w:val="21"/>
                <w:highlight w:val="none"/>
                <w:u w:val="single"/>
              </w:rPr>
              <w:t>，工程量按实结算。</w:t>
            </w:r>
          </w:p>
        </w:tc>
      </w:tr>
      <w:tr w14:paraId="18EA41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369" w:type="pct"/>
            <w:tcBorders>
              <w:top w:val="single" w:color="auto" w:sz="4" w:space="0"/>
              <w:left w:val="double" w:color="auto" w:sz="4" w:space="0"/>
              <w:bottom w:val="single" w:color="auto" w:sz="4" w:space="0"/>
              <w:right w:val="single" w:color="auto" w:sz="4" w:space="0"/>
            </w:tcBorders>
            <w:vAlign w:val="center"/>
          </w:tcPr>
          <w:p w14:paraId="0BC57AA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w:t>
            </w:r>
          </w:p>
        </w:tc>
        <w:tc>
          <w:tcPr>
            <w:tcW w:w="523" w:type="pct"/>
            <w:tcBorders>
              <w:top w:val="single" w:color="auto" w:sz="4" w:space="0"/>
              <w:left w:val="single" w:color="auto" w:sz="4" w:space="0"/>
              <w:bottom w:val="single" w:color="auto" w:sz="4" w:space="0"/>
              <w:right w:val="single" w:color="auto" w:sz="4" w:space="0"/>
            </w:tcBorders>
            <w:vAlign w:val="center"/>
          </w:tcPr>
          <w:p w14:paraId="4EF17B7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w:t>
            </w:r>
          </w:p>
        </w:tc>
        <w:tc>
          <w:tcPr>
            <w:tcW w:w="1092" w:type="pct"/>
            <w:tcBorders>
              <w:top w:val="single" w:color="auto" w:sz="4" w:space="0"/>
              <w:left w:val="single" w:color="auto" w:sz="4" w:space="0"/>
              <w:bottom w:val="single" w:color="auto" w:sz="4" w:space="0"/>
              <w:right w:val="single" w:color="auto" w:sz="4" w:space="0"/>
            </w:tcBorders>
            <w:vAlign w:val="center"/>
          </w:tcPr>
          <w:p w14:paraId="6EC92EA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3015" w:type="pct"/>
            <w:tcBorders>
              <w:top w:val="single" w:color="auto" w:sz="4" w:space="0"/>
              <w:left w:val="single" w:color="auto" w:sz="4" w:space="0"/>
              <w:bottom w:val="single" w:color="auto" w:sz="4" w:space="0"/>
              <w:right w:val="double" w:color="auto" w:sz="4" w:space="0"/>
            </w:tcBorders>
            <w:vAlign w:val="center"/>
          </w:tcPr>
          <w:p w14:paraId="32F9465A">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工程质量达到国家或行业质量检验评定的合格标准。</w:t>
            </w:r>
          </w:p>
          <w:p w14:paraId="1AAF9D79">
            <w:pPr>
              <w:pStyle w:val="12"/>
              <w:rPr>
                <w:color w:val="auto"/>
                <w:highlight w:val="none"/>
              </w:rPr>
            </w:pPr>
            <w:r>
              <w:rPr>
                <w:rFonts w:hint="eastAsia" w:hAnsi="宋体" w:cs="宋体"/>
                <w:color w:val="auto"/>
                <w:szCs w:val="21"/>
                <w:highlight w:val="none"/>
                <w:u w:val="single"/>
              </w:rPr>
              <w:t>注：本工程正式签署合同时，质量标准按中标人投标文件承诺质量标准。</w:t>
            </w:r>
          </w:p>
        </w:tc>
      </w:tr>
      <w:tr w14:paraId="601D38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369" w:type="pct"/>
            <w:tcBorders>
              <w:top w:val="single" w:color="auto" w:sz="4" w:space="0"/>
              <w:left w:val="double" w:color="auto" w:sz="4" w:space="0"/>
              <w:bottom w:val="single" w:color="auto" w:sz="4" w:space="0"/>
              <w:right w:val="single" w:color="auto" w:sz="4" w:space="0"/>
            </w:tcBorders>
            <w:vAlign w:val="center"/>
          </w:tcPr>
          <w:p w14:paraId="3B75E2A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w:t>
            </w:r>
          </w:p>
        </w:tc>
        <w:tc>
          <w:tcPr>
            <w:tcW w:w="523" w:type="pct"/>
            <w:tcBorders>
              <w:top w:val="single" w:color="auto" w:sz="4" w:space="0"/>
              <w:left w:val="single" w:color="auto" w:sz="4" w:space="0"/>
              <w:bottom w:val="single" w:color="auto" w:sz="4" w:space="0"/>
              <w:right w:val="single" w:color="auto" w:sz="4" w:space="0"/>
            </w:tcBorders>
            <w:vAlign w:val="center"/>
          </w:tcPr>
          <w:p w14:paraId="20C729A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w:t>
            </w:r>
          </w:p>
        </w:tc>
        <w:tc>
          <w:tcPr>
            <w:tcW w:w="1092" w:type="pct"/>
            <w:tcBorders>
              <w:top w:val="single" w:color="auto" w:sz="4" w:space="0"/>
              <w:left w:val="single" w:color="auto" w:sz="4" w:space="0"/>
              <w:bottom w:val="single" w:color="auto" w:sz="4" w:space="0"/>
              <w:right w:val="single" w:color="auto" w:sz="4" w:space="0"/>
            </w:tcBorders>
            <w:vAlign w:val="center"/>
          </w:tcPr>
          <w:p w14:paraId="0C5BD41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3015" w:type="pct"/>
            <w:tcBorders>
              <w:top w:val="single" w:color="auto" w:sz="4" w:space="0"/>
              <w:left w:val="single" w:color="auto" w:sz="4" w:space="0"/>
              <w:bottom w:val="single" w:color="auto" w:sz="4" w:space="0"/>
              <w:right w:val="double" w:color="auto" w:sz="4" w:space="0"/>
            </w:tcBorders>
            <w:vAlign w:val="center"/>
          </w:tcPr>
          <w:p w14:paraId="6970A640">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详见本工程招标公告</w:t>
            </w:r>
          </w:p>
        </w:tc>
      </w:tr>
      <w:tr w14:paraId="4B1150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369" w:type="pct"/>
            <w:tcBorders>
              <w:top w:val="single" w:color="auto" w:sz="4" w:space="0"/>
              <w:left w:val="double" w:color="auto" w:sz="4" w:space="0"/>
              <w:bottom w:val="single" w:color="auto" w:sz="4" w:space="0"/>
              <w:right w:val="single" w:color="auto" w:sz="4" w:space="0"/>
            </w:tcBorders>
            <w:vAlign w:val="center"/>
          </w:tcPr>
          <w:p w14:paraId="0464F8D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523" w:type="pct"/>
            <w:tcBorders>
              <w:top w:val="single" w:color="auto" w:sz="4" w:space="0"/>
              <w:left w:val="single" w:color="auto" w:sz="4" w:space="0"/>
              <w:bottom w:val="single" w:color="auto" w:sz="4" w:space="0"/>
              <w:right w:val="single" w:color="auto" w:sz="4" w:space="0"/>
            </w:tcBorders>
            <w:vAlign w:val="center"/>
          </w:tcPr>
          <w:p w14:paraId="04F2A3C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w:t>
            </w:r>
          </w:p>
        </w:tc>
        <w:tc>
          <w:tcPr>
            <w:tcW w:w="1092" w:type="pct"/>
            <w:tcBorders>
              <w:top w:val="single" w:color="auto" w:sz="4" w:space="0"/>
              <w:left w:val="single" w:color="auto" w:sz="4" w:space="0"/>
              <w:bottom w:val="single" w:color="auto" w:sz="4" w:space="0"/>
              <w:right w:val="single" w:color="auto" w:sz="4" w:space="0"/>
            </w:tcBorders>
            <w:vAlign w:val="center"/>
          </w:tcPr>
          <w:p w14:paraId="661882F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工期要求</w:t>
            </w:r>
          </w:p>
        </w:tc>
        <w:tc>
          <w:tcPr>
            <w:tcW w:w="3015" w:type="pct"/>
            <w:tcBorders>
              <w:top w:val="single" w:color="auto" w:sz="4" w:space="0"/>
              <w:left w:val="single" w:color="auto" w:sz="4" w:space="0"/>
              <w:bottom w:val="single" w:color="auto" w:sz="4" w:space="0"/>
              <w:right w:val="double" w:color="auto" w:sz="4" w:space="0"/>
            </w:tcBorders>
            <w:vAlign w:val="center"/>
          </w:tcPr>
          <w:p w14:paraId="70954BB9">
            <w:pPr>
              <w:spacing w:line="360" w:lineRule="auto"/>
              <w:rPr>
                <w:rFonts w:hint="eastAsia" w:ascii="宋体" w:hAnsi="宋体" w:cs="宋体"/>
                <w:color w:val="auto"/>
                <w:highlight w:val="none"/>
              </w:rPr>
            </w:pPr>
            <w:r>
              <w:rPr>
                <w:rFonts w:hint="eastAsia" w:ascii="宋体" w:hAnsi="宋体" w:cs="宋体"/>
                <w:color w:val="auto"/>
                <w:szCs w:val="21"/>
                <w:highlight w:val="none"/>
              </w:rPr>
              <w:t>施工总工期</w:t>
            </w:r>
            <w:r>
              <w:rPr>
                <w:rFonts w:hint="eastAsia" w:ascii="宋体" w:hAnsi="宋体" w:cs="宋体"/>
                <w:color w:val="auto"/>
                <w:szCs w:val="21"/>
                <w:highlight w:val="none"/>
                <w:lang w:val="en-US" w:eastAsia="zh-CN"/>
              </w:rPr>
              <w:t>约1825</w:t>
            </w:r>
            <w:r>
              <w:rPr>
                <w:rFonts w:hint="eastAsia" w:ascii="宋体" w:hAnsi="宋体" w:cs="宋体"/>
                <w:color w:val="auto"/>
                <w:szCs w:val="21"/>
                <w:highlight w:val="none"/>
              </w:rPr>
              <w:t>日历天</w:t>
            </w:r>
            <w:r>
              <w:rPr>
                <w:rFonts w:hint="eastAsia" w:ascii="宋体" w:hAnsi="宋体" w:cs="宋体"/>
                <w:color w:val="auto"/>
                <w:highlight w:val="none"/>
              </w:rPr>
              <w:t>。</w:t>
            </w:r>
          </w:p>
          <w:p w14:paraId="2671F8DE">
            <w:pPr>
              <w:spacing w:line="360" w:lineRule="auto"/>
              <w:rPr>
                <w:rFonts w:hint="eastAsia" w:ascii="宋体" w:hAnsi="宋体" w:cs="宋体"/>
                <w:color w:val="auto"/>
                <w:highlight w:val="none"/>
              </w:rPr>
            </w:pPr>
            <w:r>
              <w:rPr>
                <w:rFonts w:hint="eastAsia" w:ascii="宋体" w:hAnsi="宋体" w:cs="宋体"/>
                <w:color w:val="auto"/>
                <w:highlight w:val="none"/>
              </w:rPr>
              <w:t>注：本工程正式签署合同时，施工工期按中标投标文件承诺工期。</w:t>
            </w:r>
          </w:p>
        </w:tc>
      </w:tr>
      <w:tr w14:paraId="38BC7C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69" w:type="pct"/>
            <w:tcBorders>
              <w:top w:val="single" w:color="auto" w:sz="4" w:space="0"/>
              <w:left w:val="double" w:color="auto" w:sz="4" w:space="0"/>
              <w:bottom w:val="single" w:color="auto" w:sz="4" w:space="0"/>
              <w:right w:val="single" w:color="auto" w:sz="4" w:space="0"/>
            </w:tcBorders>
            <w:vAlign w:val="center"/>
          </w:tcPr>
          <w:p w14:paraId="3126862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9</w:t>
            </w:r>
          </w:p>
        </w:tc>
        <w:tc>
          <w:tcPr>
            <w:tcW w:w="523" w:type="pct"/>
            <w:tcBorders>
              <w:top w:val="single" w:color="auto" w:sz="4" w:space="0"/>
              <w:left w:val="single" w:color="auto" w:sz="4" w:space="0"/>
              <w:bottom w:val="single" w:color="auto" w:sz="4" w:space="0"/>
              <w:right w:val="single" w:color="auto" w:sz="4" w:space="0"/>
            </w:tcBorders>
            <w:vAlign w:val="center"/>
          </w:tcPr>
          <w:p w14:paraId="6166978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3.1</w:t>
            </w:r>
          </w:p>
        </w:tc>
        <w:tc>
          <w:tcPr>
            <w:tcW w:w="1092" w:type="pct"/>
            <w:tcBorders>
              <w:top w:val="single" w:color="auto" w:sz="4" w:space="0"/>
              <w:left w:val="single" w:color="auto" w:sz="4" w:space="0"/>
              <w:bottom w:val="single" w:color="auto" w:sz="4" w:space="0"/>
              <w:right w:val="single" w:color="auto" w:sz="4" w:space="0"/>
            </w:tcBorders>
            <w:vAlign w:val="center"/>
          </w:tcPr>
          <w:p w14:paraId="095BB50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资金来源</w:t>
            </w:r>
          </w:p>
        </w:tc>
        <w:tc>
          <w:tcPr>
            <w:tcW w:w="3015" w:type="pct"/>
            <w:tcBorders>
              <w:top w:val="single" w:color="auto" w:sz="4" w:space="0"/>
              <w:left w:val="single" w:color="auto" w:sz="4" w:space="0"/>
              <w:bottom w:val="single" w:color="auto" w:sz="4" w:space="0"/>
              <w:right w:val="double" w:color="auto" w:sz="4" w:space="0"/>
            </w:tcBorders>
            <w:vAlign w:val="center"/>
          </w:tcPr>
          <w:p w14:paraId="2558BC02">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专项借款资金、企业自筹资金</w:t>
            </w:r>
          </w:p>
        </w:tc>
      </w:tr>
      <w:tr w14:paraId="778786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69" w:type="pct"/>
            <w:tcBorders>
              <w:top w:val="single" w:color="auto" w:sz="4" w:space="0"/>
              <w:left w:val="double" w:color="auto" w:sz="4" w:space="0"/>
              <w:bottom w:val="single" w:color="auto" w:sz="4" w:space="0"/>
              <w:right w:val="single" w:color="auto" w:sz="4" w:space="0"/>
            </w:tcBorders>
            <w:vAlign w:val="center"/>
          </w:tcPr>
          <w:p w14:paraId="0DF272B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w:t>
            </w:r>
          </w:p>
        </w:tc>
        <w:tc>
          <w:tcPr>
            <w:tcW w:w="523" w:type="pct"/>
            <w:tcBorders>
              <w:top w:val="single" w:color="auto" w:sz="4" w:space="0"/>
              <w:left w:val="single" w:color="auto" w:sz="4" w:space="0"/>
              <w:bottom w:val="single" w:color="auto" w:sz="4" w:space="0"/>
              <w:right w:val="single" w:color="auto" w:sz="4" w:space="0"/>
            </w:tcBorders>
            <w:vAlign w:val="center"/>
          </w:tcPr>
          <w:p w14:paraId="1EE15F5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4.1</w:t>
            </w:r>
          </w:p>
        </w:tc>
        <w:tc>
          <w:tcPr>
            <w:tcW w:w="1092" w:type="pct"/>
            <w:tcBorders>
              <w:top w:val="single" w:color="auto" w:sz="4" w:space="0"/>
              <w:left w:val="single" w:color="auto" w:sz="4" w:space="0"/>
              <w:bottom w:val="single" w:color="auto" w:sz="4" w:space="0"/>
              <w:right w:val="single" w:color="auto" w:sz="4" w:space="0"/>
            </w:tcBorders>
            <w:vAlign w:val="center"/>
          </w:tcPr>
          <w:p w14:paraId="5D6E823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投标人资质等级及项目负责人等级要求</w:t>
            </w:r>
          </w:p>
        </w:tc>
        <w:tc>
          <w:tcPr>
            <w:tcW w:w="3015" w:type="pct"/>
            <w:tcBorders>
              <w:top w:val="single" w:color="auto" w:sz="4" w:space="0"/>
              <w:left w:val="single" w:color="auto" w:sz="4" w:space="0"/>
              <w:bottom w:val="single" w:color="auto" w:sz="4" w:space="0"/>
              <w:right w:val="double" w:color="auto" w:sz="4" w:space="0"/>
            </w:tcBorders>
            <w:vAlign w:val="center"/>
          </w:tcPr>
          <w:p w14:paraId="5FAC760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14:paraId="5E523E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69" w:type="pct"/>
            <w:tcBorders>
              <w:top w:val="single" w:color="auto" w:sz="4" w:space="0"/>
              <w:left w:val="double" w:color="auto" w:sz="4" w:space="0"/>
              <w:bottom w:val="single" w:color="auto" w:sz="4" w:space="0"/>
              <w:right w:val="single" w:color="auto" w:sz="4" w:space="0"/>
            </w:tcBorders>
            <w:vAlign w:val="center"/>
          </w:tcPr>
          <w:p w14:paraId="07DD62D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11</w:t>
            </w:r>
          </w:p>
        </w:tc>
        <w:tc>
          <w:tcPr>
            <w:tcW w:w="523" w:type="pct"/>
            <w:tcBorders>
              <w:top w:val="single" w:color="auto" w:sz="4" w:space="0"/>
              <w:left w:val="single" w:color="auto" w:sz="4" w:space="0"/>
              <w:bottom w:val="single" w:color="auto" w:sz="4" w:space="0"/>
              <w:right w:val="single" w:color="auto" w:sz="4" w:space="0"/>
            </w:tcBorders>
            <w:vAlign w:val="center"/>
          </w:tcPr>
          <w:p w14:paraId="64A454C4">
            <w:pPr>
              <w:spacing w:line="360" w:lineRule="auto"/>
              <w:ind w:firstLine="458"/>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4DB1247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资格审查方式</w:t>
            </w:r>
          </w:p>
        </w:tc>
        <w:tc>
          <w:tcPr>
            <w:tcW w:w="3015" w:type="pct"/>
            <w:tcBorders>
              <w:top w:val="single" w:color="auto" w:sz="4" w:space="0"/>
              <w:left w:val="single" w:color="auto" w:sz="4" w:space="0"/>
              <w:bottom w:val="single" w:color="auto" w:sz="4" w:space="0"/>
              <w:right w:val="double" w:color="auto" w:sz="4" w:space="0"/>
            </w:tcBorders>
            <w:vAlign w:val="center"/>
          </w:tcPr>
          <w:p w14:paraId="43CED3A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14:paraId="694B49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69" w:type="pct"/>
            <w:tcBorders>
              <w:top w:val="single" w:color="auto" w:sz="4" w:space="0"/>
              <w:left w:val="double" w:color="auto" w:sz="4" w:space="0"/>
              <w:bottom w:val="single" w:color="auto" w:sz="4" w:space="0"/>
              <w:right w:val="single" w:color="auto" w:sz="4" w:space="0"/>
            </w:tcBorders>
            <w:vAlign w:val="center"/>
          </w:tcPr>
          <w:p w14:paraId="1C88C53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12</w:t>
            </w:r>
          </w:p>
        </w:tc>
        <w:tc>
          <w:tcPr>
            <w:tcW w:w="523" w:type="pct"/>
            <w:tcBorders>
              <w:top w:val="single" w:color="auto" w:sz="4" w:space="0"/>
              <w:left w:val="single" w:color="auto" w:sz="4" w:space="0"/>
              <w:bottom w:val="single" w:color="auto" w:sz="4" w:space="0"/>
              <w:right w:val="single" w:color="auto" w:sz="4" w:space="0"/>
            </w:tcBorders>
            <w:vAlign w:val="center"/>
          </w:tcPr>
          <w:p w14:paraId="0C26D2E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13.1</w:t>
            </w:r>
          </w:p>
        </w:tc>
        <w:tc>
          <w:tcPr>
            <w:tcW w:w="1092" w:type="pct"/>
            <w:tcBorders>
              <w:top w:val="single" w:color="auto" w:sz="4" w:space="0"/>
              <w:left w:val="single" w:color="auto" w:sz="4" w:space="0"/>
              <w:bottom w:val="single" w:color="auto" w:sz="4" w:space="0"/>
              <w:right w:val="single" w:color="auto" w:sz="4" w:space="0"/>
            </w:tcBorders>
            <w:vAlign w:val="center"/>
          </w:tcPr>
          <w:p w14:paraId="685C9AD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报价以及单价和总价计算方式</w:t>
            </w:r>
          </w:p>
        </w:tc>
        <w:tc>
          <w:tcPr>
            <w:tcW w:w="3015" w:type="pct"/>
            <w:tcBorders>
              <w:top w:val="single" w:color="auto" w:sz="4" w:space="0"/>
              <w:left w:val="single" w:color="auto" w:sz="4" w:space="0"/>
              <w:bottom w:val="single" w:color="auto" w:sz="4" w:space="0"/>
              <w:right w:val="double" w:color="auto" w:sz="4" w:space="0"/>
            </w:tcBorders>
            <w:vAlign w:val="center"/>
          </w:tcPr>
          <w:p w14:paraId="2BA0BF5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工程量清单计价，按国家、省有关计价规范执行。</w:t>
            </w:r>
          </w:p>
        </w:tc>
      </w:tr>
      <w:tr w14:paraId="29DF33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69" w:type="pct"/>
            <w:tcBorders>
              <w:top w:val="single" w:color="auto" w:sz="4" w:space="0"/>
              <w:left w:val="double" w:color="auto" w:sz="4" w:space="0"/>
              <w:bottom w:val="single" w:color="auto" w:sz="4" w:space="0"/>
              <w:right w:val="single" w:color="auto" w:sz="4" w:space="0"/>
            </w:tcBorders>
            <w:vAlign w:val="center"/>
          </w:tcPr>
          <w:p w14:paraId="736A96E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13</w:t>
            </w:r>
          </w:p>
        </w:tc>
        <w:tc>
          <w:tcPr>
            <w:tcW w:w="523" w:type="pct"/>
            <w:tcBorders>
              <w:top w:val="single" w:color="auto" w:sz="4" w:space="0"/>
              <w:left w:val="single" w:color="auto" w:sz="4" w:space="0"/>
              <w:bottom w:val="single" w:color="auto" w:sz="4" w:space="0"/>
              <w:right w:val="single" w:color="auto" w:sz="4" w:space="0"/>
            </w:tcBorders>
            <w:vAlign w:val="center"/>
          </w:tcPr>
          <w:p w14:paraId="2CEA8E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15.1</w:t>
            </w:r>
          </w:p>
        </w:tc>
        <w:tc>
          <w:tcPr>
            <w:tcW w:w="1092" w:type="pct"/>
            <w:tcBorders>
              <w:top w:val="single" w:color="auto" w:sz="4" w:space="0"/>
              <w:left w:val="single" w:color="auto" w:sz="4" w:space="0"/>
              <w:bottom w:val="single" w:color="auto" w:sz="4" w:space="0"/>
              <w:right w:val="single" w:color="auto" w:sz="4" w:space="0"/>
            </w:tcBorders>
            <w:vAlign w:val="center"/>
          </w:tcPr>
          <w:p w14:paraId="3CCA5E6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3015" w:type="pct"/>
            <w:tcBorders>
              <w:top w:val="single" w:color="auto" w:sz="4" w:space="0"/>
              <w:left w:val="single" w:color="auto" w:sz="4" w:space="0"/>
              <w:bottom w:val="single" w:color="auto" w:sz="4" w:space="0"/>
              <w:right w:val="double" w:color="auto" w:sz="4" w:space="0"/>
            </w:tcBorders>
            <w:vAlign w:val="center"/>
          </w:tcPr>
          <w:p w14:paraId="4473793D">
            <w:pPr>
              <w:spacing w:line="360" w:lineRule="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日历天。（从投标截止之日计起）。</w:t>
            </w:r>
            <w:r>
              <w:rPr>
                <w:rFonts w:hint="eastAsia" w:ascii="宋体" w:hAnsi="宋体" w:cs="宋体"/>
                <w:color w:val="auto"/>
                <w:szCs w:val="21"/>
                <w:highlight w:val="none"/>
                <w:u w:val="single"/>
              </w:rPr>
              <w:t>如投标有效期内发生异议或投诉的，则投标有效期自动延长至异议或投诉处理结束后90日历天。</w:t>
            </w:r>
            <w:r>
              <w:rPr>
                <w:rFonts w:hint="eastAsia"/>
                <w:color w:val="auto"/>
                <w:highlight w:val="none"/>
                <w:lang w:val="en-US" w:eastAsia="zh-CN"/>
              </w:rPr>
              <w:t>中标人的投标有效期自动延期至合同履行完毕。</w:t>
            </w:r>
          </w:p>
        </w:tc>
      </w:tr>
      <w:tr w14:paraId="246935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69" w:type="pct"/>
            <w:tcBorders>
              <w:top w:val="single" w:color="auto" w:sz="4" w:space="0"/>
              <w:left w:val="double" w:color="auto" w:sz="4" w:space="0"/>
              <w:bottom w:val="single" w:color="auto" w:sz="4" w:space="0"/>
              <w:right w:val="single" w:color="auto" w:sz="4" w:space="0"/>
            </w:tcBorders>
            <w:vAlign w:val="center"/>
          </w:tcPr>
          <w:p w14:paraId="5CCB3BB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14</w:t>
            </w:r>
          </w:p>
        </w:tc>
        <w:tc>
          <w:tcPr>
            <w:tcW w:w="523" w:type="pct"/>
            <w:tcBorders>
              <w:top w:val="single" w:color="auto" w:sz="4" w:space="0"/>
              <w:left w:val="single" w:color="auto" w:sz="4" w:space="0"/>
              <w:bottom w:val="single" w:color="auto" w:sz="4" w:space="0"/>
              <w:right w:val="single" w:color="auto" w:sz="4" w:space="0"/>
            </w:tcBorders>
            <w:vAlign w:val="center"/>
          </w:tcPr>
          <w:p w14:paraId="7E11BA4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16.1</w:t>
            </w:r>
          </w:p>
        </w:tc>
        <w:tc>
          <w:tcPr>
            <w:tcW w:w="1092" w:type="pct"/>
            <w:tcBorders>
              <w:top w:val="single" w:color="auto" w:sz="4" w:space="0"/>
              <w:left w:val="single" w:color="auto" w:sz="4" w:space="0"/>
              <w:bottom w:val="single" w:color="auto" w:sz="4" w:space="0"/>
              <w:right w:val="single" w:color="auto" w:sz="4" w:space="0"/>
            </w:tcBorders>
            <w:vAlign w:val="center"/>
          </w:tcPr>
          <w:p w14:paraId="0554960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3015" w:type="pct"/>
            <w:tcBorders>
              <w:top w:val="single" w:color="auto" w:sz="4" w:space="0"/>
              <w:left w:val="single" w:color="auto" w:sz="4" w:space="0"/>
              <w:bottom w:val="single" w:color="auto" w:sz="4" w:space="0"/>
              <w:right w:val="double" w:color="auto" w:sz="4" w:space="0"/>
            </w:tcBorders>
            <w:vAlign w:val="center"/>
          </w:tcPr>
          <w:p w14:paraId="5733BD5B">
            <w:pPr>
              <w:widowControl/>
              <w:adjustRightInd w:val="0"/>
              <w:snapToGrid w:val="0"/>
              <w:spacing w:line="360" w:lineRule="auto"/>
              <w:rPr>
                <w:rFonts w:hint="eastAsia" w:ascii="宋体" w:hAnsi="宋体" w:cs="宋体"/>
                <w:color w:val="auto"/>
                <w:highlight w:val="none"/>
              </w:rPr>
            </w:pPr>
            <w:r>
              <w:rPr>
                <w:rFonts w:hint="eastAsia" w:ascii="宋体" w:hAnsi="宋体" w:cs="宋体"/>
                <w:b/>
                <w:bCs/>
                <w:color w:val="auto"/>
                <w:highlight w:val="none"/>
              </w:rPr>
              <w:t>投标保证金</w:t>
            </w:r>
            <w:r>
              <w:rPr>
                <w:rFonts w:hint="eastAsia" w:ascii="宋体" w:hAnsi="宋体" w:cs="宋体"/>
                <w:b/>
                <w:bCs/>
                <w:color w:val="auto"/>
                <w:highlight w:val="none"/>
                <w:lang w:eastAsia="zh-CN"/>
              </w:rPr>
              <w:t>：本项目不</w:t>
            </w:r>
            <w:r>
              <w:rPr>
                <w:rFonts w:hint="eastAsia" w:ascii="宋体" w:hAnsi="宋体" w:cs="宋体"/>
                <w:b/>
                <w:bCs/>
                <w:color w:val="auto"/>
                <w:highlight w:val="none"/>
                <w:lang w:val="en-US" w:eastAsia="zh-CN"/>
              </w:rPr>
              <w:t>需要递交</w:t>
            </w:r>
            <w:r>
              <w:rPr>
                <w:rFonts w:hint="eastAsia" w:ascii="宋体" w:hAnsi="宋体" w:cs="宋体"/>
                <w:b/>
                <w:bCs/>
                <w:color w:val="auto"/>
                <w:highlight w:val="none"/>
                <w:lang w:eastAsia="zh-CN"/>
              </w:rPr>
              <w:t>投标保证金。</w:t>
            </w:r>
          </w:p>
        </w:tc>
      </w:tr>
      <w:tr w14:paraId="51305E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69" w:type="pct"/>
            <w:tcBorders>
              <w:top w:val="single" w:color="auto" w:sz="4" w:space="0"/>
              <w:left w:val="double" w:color="auto" w:sz="4" w:space="0"/>
              <w:bottom w:val="single" w:color="auto" w:sz="4" w:space="0"/>
              <w:right w:val="single" w:color="auto" w:sz="4" w:space="0"/>
            </w:tcBorders>
            <w:vAlign w:val="center"/>
          </w:tcPr>
          <w:p w14:paraId="3F4A8CD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w:t>
            </w:r>
          </w:p>
        </w:tc>
        <w:tc>
          <w:tcPr>
            <w:tcW w:w="523" w:type="pct"/>
            <w:tcBorders>
              <w:top w:val="single" w:color="auto" w:sz="4" w:space="0"/>
              <w:left w:val="single" w:color="auto" w:sz="4" w:space="0"/>
              <w:bottom w:val="single" w:color="auto" w:sz="4" w:space="0"/>
              <w:right w:val="single" w:color="auto" w:sz="4" w:space="0"/>
            </w:tcBorders>
            <w:vAlign w:val="center"/>
          </w:tcPr>
          <w:p w14:paraId="6B62180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w:t>
            </w:r>
          </w:p>
        </w:tc>
        <w:tc>
          <w:tcPr>
            <w:tcW w:w="1092" w:type="pct"/>
            <w:tcBorders>
              <w:top w:val="single" w:color="auto" w:sz="4" w:space="0"/>
              <w:left w:val="single" w:color="auto" w:sz="4" w:space="0"/>
              <w:bottom w:val="single" w:color="auto" w:sz="4" w:space="0"/>
              <w:right w:val="single" w:color="auto" w:sz="4" w:space="0"/>
            </w:tcBorders>
            <w:vAlign w:val="center"/>
          </w:tcPr>
          <w:p w14:paraId="40A66AE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踏勘现场</w:t>
            </w:r>
          </w:p>
        </w:tc>
        <w:tc>
          <w:tcPr>
            <w:tcW w:w="3015" w:type="pct"/>
            <w:tcBorders>
              <w:top w:val="single" w:color="auto" w:sz="4" w:space="0"/>
              <w:left w:val="single" w:color="auto" w:sz="4" w:space="0"/>
              <w:bottom w:val="single" w:color="auto" w:sz="4" w:space="0"/>
              <w:right w:val="double" w:color="auto" w:sz="4" w:space="0"/>
            </w:tcBorders>
            <w:vAlign w:val="center"/>
          </w:tcPr>
          <w:p w14:paraId="317898B8">
            <w:pPr>
              <w:pStyle w:val="13"/>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自行踏勘，投标人不进行踏勘的，视为已熟知现场条件，自行承担相关风险。</w:t>
            </w:r>
          </w:p>
        </w:tc>
      </w:tr>
      <w:tr w14:paraId="3B1C89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69" w:type="pct"/>
            <w:tcBorders>
              <w:top w:val="single" w:color="auto" w:sz="4" w:space="0"/>
              <w:left w:val="double" w:color="auto" w:sz="4" w:space="0"/>
              <w:bottom w:val="single" w:color="auto" w:sz="4" w:space="0"/>
              <w:right w:val="single" w:color="auto" w:sz="4" w:space="0"/>
            </w:tcBorders>
            <w:vAlign w:val="center"/>
          </w:tcPr>
          <w:p w14:paraId="6E94D1C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16</w:t>
            </w:r>
          </w:p>
        </w:tc>
        <w:tc>
          <w:tcPr>
            <w:tcW w:w="523" w:type="pct"/>
            <w:tcBorders>
              <w:top w:val="single" w:color="auto" w:sz="4" w:space="0"/>
              <w:left w:val="single" w:color="auto" w:sz="4" w:space="0"/>
              <w:bottom w:val="single" w:color="auto" w:sz="4" w:space="0"/>
              <w:right w:val="single" w:color="auto" w:sz="4" w:space="0"/>
            </w:tcBorders>
            <w:vAlign w:val="center"/>
          </w:tcPr>
          <w:p w14:paraId="291D2F5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1092" w:type="pct"/>
            <w:tcBorders>
              <w:top w:val="single" w:color="auto" w:sz="4" w:space="0"/>
              <w:left w:val="single" w:color="auto" w:sz="4" w:space="0"/>
              <w:bottom w:val="single" w:color="auto" w:sz="4" w:space="0"/>
              <w:right w:val="single" w:color="auto" w:sz="4" w:space="0"/>
            </w:tcBorders>
            <w:vAlign w:val="center"/>
          </w:tcPr>
          <w:p w14:paraId="7FB3A3F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投标答疑</w:t>
            </w:r>
          </w:p>
        </w:tc>
        <w:tc>
          <w:tcPr>
            <w:tcW w:w="3015" w:type="pct"/>
            <w:tcBorders>
              <w:top w:val="single" w:color="auto" w:sz="4" w:space="0"/>
              <w:left w:val="single" w:color="auto" w:sz="4" w:space="0"/>
              <w:bottom w:val="single" w:color="auto" w:sz="4" w:space="0"/>
              <w:right w:val="double" w:color="auto" w:sz="4" w:space="0"/>
            </w:tcBorders>
            <w:vAlign w:val="center"/>
          </w:tcPr>
          <w:p w14:paraId="1DC4C47A">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1.方式：网上答疑；</w:t>
            </w:r>
          </w:p>
          <w:p w14:paraId="684DCF8A">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2.疑问提交时间：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r>
              <w:rPr>
                <w:rFonts w:hint="eastAsia" w:ascii="宋体" w:hAnsi="宋体" w:cs="宋体"/>
                <w:color w:val="auto"/>
                <w:szCs w:val="21"/>
                <w:highlight w:val="none"/>
                <w:u w:val="single"/>
              </w:rPr>
              <w:t>前(</w:t>
            </w:r>
            <w:r>
              <w:rPr>
                <w:rFonts w:hint="eastAsia" w:ascii="宋体" w:hAnsi="宋体" w:cs="宋体"/>
                <w:color w:val="auto"/>
                <w:szCs w:val="21"/>
                <w:highlight w:val="none"/>
                <w:u w:val="single"/>
                <w:lang w:val="en-US" w:eastAsia="zh-CN"/>
              </w:rPr>
              <w:t>详见</w:t>
            </w:r>
            <w:r>
              <w:rPr>
                <w:rFonts w:hint="eastAsia" w:ascii="宋体" w:hAnsi="宋体" w:cs="宋体"/>
                <w:color w:val="auto"/>
                <w:szCs w:val="21"/>
                <w:highlight w:val="none"/>
                <w:u w:val="single"/>
              </w:rPr>
              <w:t>广州交易集团有限公司（广州公共资源交易中心）项目详情</w:t>
            </w:r>
            <w:r>
              <w:rPr>
                <w:rFonts w:hint="eastAsia" w:ascii="宋体" w:hAnsi="宋体" w:cs="宋体"/>
                <w:color w:val="auto"/>
                <w:szCs w:val="21"/>
                <w:highlight w:val="none"/>
                <w:u w:val="single"/>
                <w:lang w:val="en-US" w:eastAsia="zh-CN"/>
              </w:rPr>
              <w:t>--日程安排</w:t>
            </w:r>
            <w:r>
              <w:rPr>
                <w:rFonts w:hint="eastAsia" w:ascii="宋体" w:hAnsi="宋体" w:cs="宋体"/>
                <w:color w:val="auto"/>
                <w:szCs w:val="21"/>
                <w:highlight w:val="none"/>
                <w:u w:val="single"/>
              </w:rPr>
              <w:t>)；</w:t>
            </w:r>
          </w:p>
          <w:p w14:paraId="5ABDD79E">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3.招标人澄清、修补或答疑期限：在递交投标文件截止日期前15 日；</w:t>
            </w:r>
          </w:p>
          <w:p w14:paraId="2886C9CF">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4.具体要求：按照广州交易集团有限公司（广州公共资源交易中心）交易平台关于全流程电子化项目的相关指南进行操作，详见：广州交易集团有限公司（广州公共资源交易中心）网站最新指引。提问一律不得署名。</w:t>
            </w:r>
          </w:p>
        </w:tc>
      </w:tr>
      <w:tr w14:paraId="05205C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69" w:type="pct"/>
            <w:tcBorders>
              <w:top w:val="single" w:color="auto" w:sz="4" w:space="0"/>
              <w:left w:val="double" w:color="auto" w:sz="4" w:space="0"/>
              <w:bottom w:val="single" w:color="auto" w:sz="4" w:space="0"/>
              <w:right w:val="single" w:color="auto" w:sz="4" w:space="0"/>
            </w:tcBorders>
            <w:vAlign w:val="center"/>
          </w:tcPr>
          <w:p w14:paraId="671CA53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17</w:t>
            </w:r>
          </w:p>
        </w:tc>
        <w:tc>
          <w:tcPr>
            <w:tcW w:w="523" w:type="pct"/>
            <w:tcBorders>
              <w:top w:val="single" w:color="auto" w:sz="4" w:space="0"/>
              <w:left w:val="single" w:color="auto" w:sz="4" w:space="0"/>
              <w:bottom w:val="single" w:color="auto" w:sz="4" w:space="0"/>
              <w:right w:val="single" w:color="auto" w:sz="4" w:space="0"/>
            </w:tcBorders>
            <w:vAlign w:val="center"/>
          </w:tcPr>
          <w:p w14:paraId="7BAF0CF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20.1</w:t>
            </w:r>
          </w:p>
        </w:tc>
        <w:tc>
          <w:tcPr>
            <w:tcW w:w="1092" w:type="pct"/>
            <w:tcBorders>
              <w:top w:val="single" w:color="auto" w:sz="4" w:space="0"/>
              <w:left w:val="single" w:color="auto" w:sz="4" w:space="0"/>
              <w:bottom w:val="single" w:color="auto" w:sz="4" w:space="0"/>
              <w:right w:val="single" w:color="auto" w:sz="4" w:space="0"/>
            </w:tcBorders>
            <w:vAlign w:val="center"/>
          </w:tcPr>
          <w:p w14:paraId="6A21976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3015" w:type="pct"/>
            <w:tcBorders>
              <w:top w:val="single" w:color="auto" w:sz="4" w:space="0"/>
              <w:left w:val="single" w:color="auto" w:sz="4" w:space="0"/>
              <w:bottom w:val="single" w:color="auto" w:sz="4" w:space="0"/>
              <w:right w:val="double" w:color="auto" w:sz="4" w:space="0"/>
            </w:tcBorders>
            <w:vAlign w:val="center"/>
          </w:tcPr>
          <w:p w14:paraId="633A3E2A">
            <w:pPr>
              <w:spacing w:line="360" w:lineRule="auto"/>
              <w:rPr>
                <w:rFonts w:hint="eastAsia" w:ascii="宋体" w:hAnsi="宋体" w:cs="宋体"/>
                <w:strike/>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p>
        </w:tc>
      </w:tr>
      <w:tr w14:paraId="4D18D2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69" w:type="pct"/>
            <w:tcBorders>
              <w:top w:val="single" w:color="auto" w:sz="4" w:space="0"/>
              <w:left w:val="double" w:color="auto" w:sz="4" w:space="0"/>
              <w:bottom w:val="single" w:color="auto" w:sz="4" w:space="0"/>
              <w:right w:val="single" w:color="auto" w:sz="4" w:space="0"/>
            </w:tcBorders>
            <w:vAlign w:val="center"/>
          </w:tcPr>
          <w:p w14:paraId="74E562F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18</w:t>
            </w:r>
          </w:p>
        </w:tc>
        <w:tc>
          <w:tcPr>
            <w:tcW w:w="523" w:type="pct"/>
            <w:tcBorders>
              <w:top w:val="single" w:color="auto" w:sz="4" w:space="0"/>
              <w:left w:val="single" w:color="auto" w:sz="4" w:space="0"/>
              <w:bottom w:val="single" w:color="auto" w:sz="4" w:space="0"/>
              <w:right w:val="single" w:color="auto" w:sz="4" w:space="0"/>
            </w:tcBorders>
            <w:vAlign w:val="center"/>
          </w:tcPr>
          <w:p w14:paraId="2BD9DAC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20.1</w:t>
            </w:r>
          </w:p>
        </w:tc>
        <w:tc>
          <w:tcPr>
            <w:tcW w:w="1092" w:type="pct"/>
            <w:tcBorders>
              <w:top w:val="single" w:color="auto" w:sz="4" w:space="0"/>
              <w:left w:val="single" w:color="auto" w:sz="4" w:space="0"/>
              <w:bottom w:val="single" w:color="auto" w:sz="4" w:space="0"/>
              <w:right w:val="single" w:color="auto" w:sz="4" w:space="0"/>
            </w:tcBorders>
            <w:vAlign w:val="center"/>
          </w:tcPr>
          <w:p w14:paraId="6BE9E51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开标开始时间和地点</w:t>
            </w:r>
          </w:p>
        </w:tc>
        <w:tc>
          <w:tcPr>
            <w:tcW w:w="3015" w:type="pct"/>
            <w:tcBorders>
              <w:top w:val="single" w:color="auto" w:sz="4" w:space="0"/>
              <w:left w:val="single" w:color="auto" w:sz="4" w:space="0"/>
              <w:bottom w:val="single" w:color="auto" w:sz="4" w:space="0"/>
              <w:right w:val="double" w:color="auto" w:sz="4" w:space="0"/>
            </w:tcBorders>
            <w:vAlign w:val="center"/>
          </w:tcPr>
          <w:p w14:paraId="1AC1AD9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（技术标和经济标同时开标）</w:t>
            </w:r>
          </w:p>
          <w:p w14:paraId="788A24A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1、开标开始时间：</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分（与投标截止时间为同一时间），地点：</w:t>
            </w:r>
            <w:r>
              <w:rPr>
                <w:rFonts w:hint="eastAsia" w:ascii="宋体" w:hAnsi="宋体" w:cs="宋体"/>
                <w:color w:val="auto"/>
                <w:szCs w:val="21"/>
                <w:highlight w:val="none"/>
                <w:u w:val="single"/>
              </w:rPr>
              <w:t>广州交易集团有限公司（广州公共资源交易中心）黄埔交易部指定开标室。</w:t>
            </w:r>
            <w:r>
              <w:rPr>
                <w:rFonts w:hint="eastAsia" w:ascii="宋体" w:hAnsi="宋体" w:cs="宋体"/>
                <w:color w:val="auto"/>
                <w:szCs w:val="21"/>
                <w:highlight w:val="none"/>
              </w:rPr>
              <w:t>投标人也可选择参加在线开标，具体按照交易平台相关指南进行操作。详见：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14:paraId="1EAE873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注：投标文件解密问题。投标人只用执行一次解密，招标人执行解密次数根据招标文件开标次数确定。</w:t>
            </w:r>
          </w:p>
          <w:p w14:paraId="0CCC92F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2、递交投标文件备用光盘时间：</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分至</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分；递交地点：</w:t>
            </w:r>
            <w:r>
              <w:rPr>
                <w:rFonts w:hint="eastAsia" w:ascii="宋体" w:hAnsi="宋体" w:cs="宋体"/>
                <w:color w:val="auto"/>
                <w:szCs w:val="21"/>
                <w:highlight w:val="none"/>
                <w:u w:val="single"/>
              </w:rPr>
              <w:t>广州交易集团有限公司（广州公共资源交易中心）黄埔交易部指定开标室</w:t>
            </w:r>
            <w:r>
              <w:rPr>
                <w:rFonts w:hint="eastAsia" w:ascii="宋体" w:hAnsi="宋体" w:cs="宋体"/>
                <w:color w:val="auto"/>
                <w:szCs w:val="21"/>
                <w:highlight w:val="none"/>
              </w:rPr>
              <w:t>。</w:t>
            </w:r>
          </w:p>
          <w:p w14:paraId="5EDB93B4">
            <w:pPr>
              <w:spacing w:line="360" w:lineRule="auto"/>
              <w:rPr>
                <w:rFonts w:hint="eastAsia" w:ascii="宋体" w:hAnsi="宋体" w:cs="宋体"/>
                <w:color w:val="auto"/>
                <w:szCs w:val="21"/>
                <w:highlight w:val="none"/>
              </w:rPr>
            </w:pPr>
            <w:r>
              <w:rPr>
                <w:rFonts w:hint="eastAsia" w:ascii="宋体" w:hAnsi="宋体" w:cs="宋体"/>
                <w:color w:val="auto"/>
                <w:highlight w:val="none"/>
                <w:u w:val="single"/>
              </w:rPr>
              <w:t>上述时间及地点是否有改变，请密切留意补充公告（如有）和招标澄清答疑纪要（如有）的相关信息。本项目各项投标活动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p>
        </w:tc>
      </w:tr>
      <w:tr w14:paraId="33C81D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369" w:type="pct"/>
            <w:tcBorders>
              <w:top w:val="single" w:color="auto" w:sz="4" w:space="0"/>
              <w:left w:val="double" w:color="auto" w:sz="4" w:space="0"/>
              <w:bottom w:val="single" w:color="auto" w:sz="4" w:space="0"/>
              <w:right w:val="single" w:color="auto" w:sz="4" w:space="0"/>
            </w:tcBorders>
            <w:vAlign w:val="center"/>
          </w:tcPr>
          <w:p w14:paraId="5F03FBC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19</w:t>
            </w:r>
          </w:p>
        </w:tc>
        <w:tc>
          <w:tcPr>
            <w:tcW w:w="523" w:type="pct"/>
            <w:tcBorders>
              <w:top w:val="single" w:color="auto" w:sz="4" w:space="0"/>
              <w:left w:val="single" w:color="auto" w:sz="4" w:space="0"/>
              <w:bottom w:val="single" w:color="auto" w:sz="4" w:space="0"/>
              <w:right w:val="single" w:color="auto" w:sz="4" w:space="0"/>
            </w:tcBorders>
            <w:vAlign w:val="center"/>
          </w:tcPr>
          <w:p w14:paraId="67CAF60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26</w:t>
            </w:r>
          </w:p>
        </w:tc>
        <w:tc>
          <w:tcPr>
            <w:tcW w:w="1092" w:type="pct"/>
            <w:tcBorders>
              <w:top w:val="single" w:color="auto" w:sz="4" w:space="0"/>
              <w:left w:val="single" w:color="auto" w:sz="4" w:space="0"/>
              <w:bottom w:val="single" w:color="auto" w:sz="4" w:space="0"/>
              <w:right w:val="single" w:color="auto" w:sz="4" w:space="0"/>
            </w:tcBorders>
            <w:vAlign w:val="center"/>
          </w:tcPr>
          <w:p w14:paraId="53B8C6B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评标办法采用评定分离</w:t>
            </w:r>
          </w:p>
        </w:tc>
        <w:tc>
          <w:tcPr>
            <w:tcW w:w="3015" w:type="pct"/>
            <w:tcBorders>
              <w:top w:val="single" w:color="auto" w:sz="4" w:space="0"/>
              <w:left w:val="single" w:color="auto" w:sz="4" w:space="0"/>
              <w:bottom w:val="single" w:color="auto" w:sz="4" w:space="0"/>
              <w:right w:val="double" w:color="auto" w:sz="4" w:space="0"/>
            </w:tcBorders>
            <w:vAlign w:val="center"/>
          </w:tcPr>
          <w:p w14:paraId="525578E2">
            <w:pPr>
              <w:spacing w:line="360" w:lineRule="auto"/>
              <w:rPr>
                <w:rFonts w:hint="eastAsia" w:ascii="宋体" w:hAnsi="宋体" w:cs="宋体"/>
                <w:color w:val="auto"/>
                <w:highlight w:val="none"/>
              </w:rPr>
            </w:pPr>
            <w:r>
              <w:rPr>
                <w:rFonts w:hint="eastAsia" w:ascii="宋体" w:hAnsi="宋体" w:cs="宋体"/>
                <w:color w:val="auto"/>
                <w:highlight w:val="none"/>
              </w:rPr>
              <w:t>采用评定分离评标定标办法：</w:t>
            </w:r>
          </w:p>
          <w:p w14:paraId="360C33CE">
            <w:pPr>
              <w:numPr>
                <w:ilvl w:val="0"/>
                <w:numId w:val="2"/>
              </w:num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评标采用“有限数量制”推荐合格中标候选人。评标委员会应按照招标文件规定，推荐[3,10]不排序的合格中标候选人进入定标阶段【不排序，按统一社会信用代码后4位（除校验码外）大小排位，如统一社会信用代码后4位出现字母情况的，字母以“0”进行代替大小排位；如出现后4位（除校验码外）大小一致的，则随机排位。】。</w:t>
            </w:r>
          </w:p>
          <w:p w14:paraId="3429ABB1">
            <w:pPr>
              <w:numPr>
                <w:ilvl w:val="-1"/>
                <w:numId w:val="0"/>
              </w:num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2、评标办法选用：</w:t>
            </w:r>
            <w:r>
              <w:rPr>
                <w:rFonts w:hint="eastAsia" w:ascii="宋体" w:hAnsi="宋体" w:cs="宋体"/>
                <w:color w:val="auto"/>
                <w:highlight w:val="none"/>
              </w:rPr>
              <w:t>选取方法七（适合综合评分法四，技术标与经济标同时开启）</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具体内容如下：</w:t>
            </w:r>
          </w:p>
          <w:p w14:paraId="32D2F2FD">
            <w:pPr>
              <w:numPr>
                <w:ilvl w:val="-1"/>
                <w:numId w:val="0"/>
              </w:numPr>
              <w:spacing w:line="360" w:lineRule="auto"/>
              <w:rPr>
                <w:rFonts w:hint="default" w:ascii="宋体" w:hAnsi="宋体" w:cs="宋体"/>
                <w:color w:val="auto"/>
                <w:highlight w:val="none"/>
                <w:lang w:val="en-US" w:eastAsia="zh-CN"/>
              </w:rPr>
            </w:pPr>
            <w:r>
              <w:rPr>
                <w:rFonts w:hint="default" w:ascii="宋体" w:hAnsi="宋体" w:cs="宋体"/>
                <w:color w:val="auto"/>
                <w:highlight w:val="none"/>
                <w:lang w:val="en-US" w:eastAsia="zh-CN"/>
              </w:rPr>
              <w:t>投标人总得分=技术分（满分100分）×20%（技术权重）＋经济分（满分100分）×80%（经济权重）</w:t>
            </w:r>
          </w:p>
          <w:p w14:paraId="0960B083">
            <w:pPr>
              <w:numPr>
                <w:ilvl w:val="-1"/>
                <w:numId w:val="0"/>
              </w:numPr>
              <w:spacing w:line="360" w:lineRule="auto"/>
              <w:rPr>
                <w:rFonts w:hint="default" w:ascii="宋体" w:hAnsi="宋体" w:cs="宋体"/>
                <w:color w:val="auto"/>
                <w:highlight w:val="none"/>
                <w:lang w:val="en-US" w:eastAsia="zh-CN"/>
              </w:rPr>
            </w:pPr>
            <w:r>
              <w:rPr>
                <w:rFonts w:hint="default" w:ascii="宋体" w:hAnsi="宋体" w:cs="宋体"/>
                <w:color w:val="auto"/>
                <w:highlight w:val="none"/>
                <w:lang w:val="en-US" w:eastAsia="zh-CN"/>
              </w:rPr>
              <w:t>对于低于成本警戒价的投标人，不再对经济标部分进行评审。</w:t>
            </w:r>
          </w:p>
          <w:p w14:paraId="28ABCCD3">
            <w:pPr>
              <w:numPr>
                <w:ilvl w:val="-1"/>
                <w:numId w:val="0"/>
              </w:numPr>
              <w:spacing w:line="360" w:lineRule="auto"/>
              <w:rPr>
                <w:rFonts w:hint="default" w:ascii="宋体" w:hAnsi="宋体" w:cs="宋体"/>
                <w:color w:val="auto"/>
                <w:highlight w:val="none"/>
                <w:lang w:val="en-US" w:eastAsia="zh-CN"/>
              </w:rPr>
            </w:pPr>
            <w:r>
              <w:rPr>
                <w:rFonts w:hint="default" w:ascii="宋体" w:hAnsi="宋体" w:cs="宋体"/>
                <w:color w:val="auto"/>
                <w:highlight w:val="none"/>
                <w:lang w:val="en-US" w:eastAsia="zh-CN"/>
              </w:rPr>
              <w:t>计算方式相同情况下的总得分分数相同的排序方法：总得分相同的投标文件，以技术分高的排前；总得分及技术分均相同的投标文件，以投标总报价低的排前；如仍存在相同情况，则对具有相同情况的投标人，由评标委员会采用记名投票方式，确定投标人的排序。</w:t>
            </w:r>
          </w:p>
          <w:p w14:paraId="5958A787">
            <w:pPr>
              <w:numPr>
                <w:ilvl w:val="-1"/>
                <w:numId w:val="0"/>
              </w:numPr>
              <w:spacing w:line="360" w:lineRule="auto"/>
              <w:rPr>
                <w:rFonts w:hint="default" w:ascii="宋体" w:hAnsi="宋体" w:cs="宋体"/>
                <w:color w:val="auto"/>
                <w:highlight w:val="none"/>
                <w:lang w:val="en-US" w:eastAsia="zh-CN"/>
              </w:rPr>
            </w:pPr>
            <w:r>
              <w:rPr>
                <w:rFonts w:hint="default" w:ascii="宋体" w:hAnsi="宋体" w:cs="宋体"/>
                <w:color w:val="auto"/>
                <w:highlight w:val="none"/>
                <w:lang w:val="en-US" w:eastAsia="zh-CN"/>
              </w:rPr>
              <w:t>记名投票方式确定排序的具体操作步骤为：由评标委员会对出现该情况的投标人采取记名投票的方式确定，按得票数从高到低排列先后次序，以得票数高的排前，根据得票数高低确定中标候选人排序。</w:t>
            </w:r>
          </w:p>
          <w:p w14:paraId="4B0E57E3">
            <w:pPr>
              <w:numPr>
                <w:ilvl w:val="-1"/>
                <w:numId w:val="0"/>
              </w:numPr>
              <w:spacing w:line="360" w:lineRule="auto"/>
              <w:rPr>
                <w:rFonts w:hint="default" w:ascii="宋体" w:hAnsi="宋体" w:cs="宋体"/>
                <w:color w:val="auto"/>
                <w:highlight w:val="none"/>
                <w:lang w:val="en-US" w:eastAsia="zh-CN"/>
              </w:rPr>
            </w:pPr>
            <w:r>
              <w:rPr>
                <w:rFonts w:hint="default" w:ascii="宋体" w:hAnsi="宋体" w:cs="宋体"/>
                <w:color w:val="auto"/>
                <w:highlight w:val="none"/>
                <w:lang w:val="en-US" w:eastAsia="zh-CN"/>
              </w:rPr>
              <w:t>3、当通过初步评审</w:t>
            </w:r>
            <w:r>
              <w:rPr>
                <w:rFonts w:hint="eastAsia" w:ascii="宋体" w:hAnsi="宋体" w:cs="宋体"/>
                <w:color w:val="auto"/>
                <w:highlight w:val="none"/>
                <w:lang w:val="en-US" w:eastAsia="zh-CN"/>
              </w:rPr>
              <w:t>（资格审查和有效性审查）</w:t>
            </w:r>
            <w:r>
              <w:rPr>
                <w:rFonts w:hint="default" w:ascii="宋体" w:hAnsi="宋体" w:cs="宋体"/>
                <w:color w:val="auto"/>
                <w:highlight w:val="none"/>
                <w:lang w:val="en-US" w:eastAsia="zh-CN"/>
              </w:rPr>
              <w:t>的投标人数少于3名时，招标人应重新招标。4、定标办法：采用</w:t>
            </w:r>
            <w:r>
              <w:rPr>
                <w:rFonts w:hint="eastAsia" w:ascii="宋体" w:hAnsi="宋体" w:cs="宋体"/>
                <w:bCs/>
                <w:color w:val="auto"/>
                <w:szCs w:val="21"/>
                <w:highlight w:val="none"/>
                <w:u w:val="single"/>
              </w:rPr>
              <w:t>“方案因素评定法+价格因素评定法+答辩因素评定法”，其中：总得分（100分）=方案因素（50分）+价格因素（20分）+答辩因素（30分）</w:t>
            </w:r>
          </w:p>
          <w:p w14:paraId="0C0B4DBE">
            <w:pPr>
              <w:numPr>
                <w:ilvl w:val="-1"/>
                <w:numId w:val="0"/>
              </w:numPr>
              <w:spacing w:line="360" w:lineRule="auto"/>
              <w:rPr>
                <w:rFonts w:hint="eastAsia" w:ascii="宋体" w:hAnsi="宋体" w:eastAsia="宋体" w:cs="宋体"/>
                <w:color w:val="auto"/>
                <w:highlight w:val="none"/>
                <w:lang w:val="en-US" w:eastAsia="zh-CN"/>
              </w:rPr>
            </w:pPr>
            <w:r>
              <w:rPr>
                <w:rFonts w:hint="default" w:ascii="宋体" w:hAnsi="宋体" w:cs="宋体"/>
                <w:color w:val="auto"/>
                <w:highlight w:val="none"/>
                <w:lang w:val="en-US" w:eastAsia="zh-CN"/>
              </w:rPr>
              <w:t>5、定标因素：详见</w:t>
            </w:r>
            <w:r>
              <w:rPr>
                <w:rFonts w:hint="eastAsia" w:ascii="宋体" w:hAnsi="宋体" w:cs="宋体"/>
                <w:bCs/>
                <w:color w:val="auto"/>
                <w:szCs w:val="21"/>
                <w:highlight w:val="none"/>
                <w:u w:val="single"/>
                <w:lang w:bidi="ar"/>
              </w:rPr>
              <w:t>《定标因素表》</w:t>
            </w:r>
            <w:r>
              <w:rPr>
                <w:rFonts w:hint="eastAsia" w:ascii="宋体" w:hAnsi="宋体" w:cs="宋体"/>
                <w:bCs/>
                <w:color w:val="auto"/>
                <w:szCs w:val="21"/>
                <w:highlight w:val="none"/>
                <w:u w:val="single"/>
                <w:lang w:eastAsia="zh-CN" w:bidi="ar"/>
              </w:rPr>
              <w:t>。</w:t>
            </w:r>
          </w:p>
        </w:tc>
      </w:tr>
      <w:tr w14:paraId="5B3F0E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69" w:type="pct"/>
            <w:tcBorders>
              <w:top w:val="single" w:color="auto" w:sz="4" w:space="0"/>
              <w:left w:val="double" w:color="auto" w:sz="4" w:space="0"/>
              <w:bottom w:val="single" w:color="auto" w:sz="4" w:space="0"/>
              <w:right w:val="single" w:color="auto" w:sz="4" w:space="0"/>
            </w:tcBorders>
            <w:vAlign w:val="center"/>
          </w:tcPr>
          <w:p w14:paraId="76DD0AC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20</w:t>
            </w:r>
          </w:p>
        </w:tc>
        <w:tc>
          <w:tcPr>
            <w:tcW w:w="523" w:type="pct"/>
            <w:tcBorders>
              <w:top w:val="single" w:color="auto" w:sz="4" w:space="0"/>
              <w:left w:val="single" w:color="auto" w:sz="4" w:space="0"/>
              <w:bottom w:val="single" w:color="auto" w:sz="4" w:space="0"/>
              <w:right w:val="single" w:color="auto" w:sz="4" w:space="0"/>
            </w:tcBorders>
            <w:vAlign w:val="center"/>
          </w:tcPr>
          <w:p w14:paraId="665788F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29.1</w:t>
            </w:r>
          </w:p>
        </w:tc>
        <w:tc>
          <w:tcPr>
            <w:tcW w:w="1092" w:type="pct"/>
            <w:tcBorders>
              <w:top w:val="single" w:color="auto" w:sz="4" w:space="0"/>
              <w:left w:val="single" w:color="auto" w:sz="4" w:space="0"/>
              <w:bottom w:val="single" w:color="auto" w:sz="4" w:space="0"/>
              <w:right w:val="single" w:color="auto" w:sz="4" w:space="0"/>
            </w:tcBorders>
            <w:vAlign w:val="center"/>
          </w:tcPr>
          <w:p w14:paraId="6FD9242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履约担保</w:t>
            </w:r>
          </w:p>
        </w:tc>
        <w:tc>
          <w:tcPr>
            <w:tcW w:w="3015" w:type="pct"/>
            <w:tcBorders>
              <w:top w:val="single" w:color="auto" w:sz="4" w:space="0"/>
              <w:left w:val="single" w:color="auto" w:sz="4" w:space="0"/>
              <w:bottom w:val="single" w:color="auto" w:sz="4" w:space="0"/>
              <w:right w:val="double" w:color="auto" w:sz="4" w:space="0"/>
            </w:tcBorders>
            <w:vAlign w:val="center"/>
          </w:tcPr>
          <w:p w14:paraId="28A470F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方式一：中标人自主选择提供履约保证金金额的形式，履约保证金为中标价款的10%。</w:t>
            </w:r>
          </w:p>
        </w:tc>
      </w:tr>
      <w:tr w14:paraId="0C4ACE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369" w:type="pct"/>
            <w:tcBorders>
              <w:top w:val="single" w:color="auto" w:sz="4" w:space="0"/>
              <w:left w:val="double" w:color="auto" w:sz="4" w:space="0"/>
              <w:bottom w:val="single" w:color="auto" w:sz="4" w:space="0"/>
              <w:right w:val="single" w:color="auto" w:sz="4" w:space="0"/>
            </w:tcBorders>
            <w:vAlign w:val="center"/>
          </w:tcPr>
          <w:p w14:paraId="24C5D04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21</w:t>
            </w:r>
          </w:p>
        </w:tc>
        <w:tc>
          <w:tcPr>
            <w:tcW w:w="523" w:type="pct"/>
            <w:tcBorders>
              <w:top w:val="single" w:color="auto" w:sz="4" w:space="0"/>
              <w:left w:val="single" w:color="auto" w:sz="4" w:space="0"/>
              <w:bottom w:val="single" w:color="auto" w:sz="4" w:space="0"/>
              <w:right w:val="single" w:color="auto" w:sz="4" w:space="0"/>
            </w:tcBorders>
            <w:vAlign w:val="center"/>
          </w:tcPr>
          <w:p w14:paraId="3426425A">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6584B7B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最高投标限价</w:t>
            </w:r>
          </w:p>
        </w:tc>
        <w:tc>
          <w:tcPr>
            <w:tcW w:w="3015" w:type="pct"/>
            <w:tcBorders>
              <w:top w:val="single" w:color="auto" w:sz="4" w:space="0"/>
              <w:left w:val="single" w:color="auto" w:sz="4" w:space="0"/>
              <w:bottom w:val="single" w:color="auto" w:sz="4" w:space="0"/>
              <w:right w:val="double" w:color="auto" w:sz="4" w:space="0"/>
            </w:tcBorders>
            <w:vAlign w:val="center"/>
          </w:tcPr>
          <w:p w14:paraId="5EBF5FA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本项目最高投标限价为人民币</w:t>
            </w:r>
            <w:r>
              <w:rPr>
                <w:rFonts w:hint="eastAsia" w:ascii="宋体" w:hAnsi="宋体" w:cs="宋体"/>
                <w:color w:val="auto"/>
                <w:szCs w:val="21"/>
                <w:highlight w:val="none"/>
                <w:u w:val="single"/>
              </w:rPr>
              <w:t xml:space="preserve"> 23139725.00元</w:t>
            </w:r>
            <w:r>
              <w:rPr>
                <w:rFonts w:hint="eastAsia" w:ascii="宋体" w:hAnsi="宋体" w:cs="宋体"/>
                <w:color w:val="auto"/>
                <w:szCs w:val="21"/>
                <w:highlight w:val="none"/>
              </w:rPr>
              <w:t>。</w:t>
            </w:r>
          </w:p>
          <w:p w14:paraId="3333144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详见招标人最终发出的《最高投标限价公布函》，投标总报价或各工程总报价超过对应最高投标限价的投标文件将被拒绝。</w:t>
            </w:r>
          </w:p>
        </w:tc>
      </w:tr>
      <w:tr w14:paraId="69F697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trPr>
        <w:tc>
          <w:tcPr>
            <w:tcW w:w="369" w:type="pct"/>
            <w:tcBorders>
              <w:top w:val="single" w:color="auto" w:sz="4" w:space="0"/>
              <w:left w:val="double" w:color="auto" w:sz="4" w:space="0"/>
              <w:bottom w:val="single" w:color="auto" w:sz="4" w:space="0"/>
              <w:right w:val="single" w:color="auto" w:sz="4" w:space="0"/>
            </w:tcBorders>
            <w:vAlign w:val="center"/>
          </w:tcPr>
          <w:p w14:paraId="2461263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w:t>
            </w:r>
          </w:p>
        </w:tc>
        <w:tc>
          <w:tcPr>
            <w:tcW w:w="523" w:type="pct"/>
            <w:tcBorders>
              <w:top w:val="single" w:color="auto" w:sz="4" w:space="0"/>
              <w:left w:val="single" w:color="auto" w:sz="4" w:space="0"/>
              <w:bottom w:val="single" w:color="auto" w:sz="4" w:space="0"/>
              <w:right w:val="single" w:color="auto" w:sz="4" w:space="0"/>
            </w:tcBorders>
            <w:vAlign w:val="center"/>
          </w:tcPr>
          <w:p w14:paraId="4761D5CA">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712D30B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非竞争费用</w:t>
            </w:r>
          </w:p>
        </w:tc>
        <w:tc>
          <w:tcPr>
            <w:tcW w:w="3015" w:type="pct"/>
            <w:tcBorders>
              <w:top w:val="single" w:color="auto" w:sz="4" w:space="0"/>
              <w:left w:val="single" w:color="auto" w:sz="4" w:space="0"/>
              <w:bottom w:val="single" w:color="auto" w:sz="4" w:space="0"/>
              <w:right w:val="double" w:color="auto" w:sz="4" w:space="0"/>
            </w:tcBorders>
            <w:vAlign w:val="center"/>
          </w:tcPr>
          <w:p w14:paraId="2EDF689B">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本项目绿色施工安全防护措施费为</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rPr>
              <w:t>元</w:t>
            </w:r>
          </w:p>
          <w:p w14:paraId="37821ED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暂列金额为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6DF4C90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暂估价为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元。（未按招标文件规定的金额填写的，由评标委员会按照招标文件规定的金额进行修正）</w:t>
            </w:r>
          </w:p>
        </w:tc>
      </w:tr>
      <w:tr w14:paraId="139D9E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69" w:type="pct"/>
            <w:tcBorders>
              <w:top w:val="single" w:color="auto" w:sz="4" w:space="0"/>
              <w:left w:val="double" w:color="auto" w:sz="4" w:space="0"/>
              <w:bottom w:val="single" w:color="auto" w:sz="4" w:space="0"/>
              <w:right w:val="single" w:color="auto" w:sz="4" w:space="0"/>
            </w:tcBorders>
            <w:vAlign w:val="center"/>
          </w:tcPr>
          <w:p w14:paraId="3AFF6DAE">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23</w:t>
            </w:r>
          </w:p>
        </w:tc>
        <w:tc>
          <w:tcPr>
            <w:tcW w:w="523" w:type="pct"/>
            <w:tcBorders>
              <w:top w:val="single" w:color="auto" w:sz="4" w:space="0"/>
              <w:left w:val="single" w:color="auto" w:sz="4" w:space="0"/>
              <w:bottom w:val="single" w:color="auto" w:sz="4" w:space="0"/>
              <w:right w:val="single" w:color="auto" w:sz="4" w:space="0"/>
            </w:tcBorders>
            <w:vAlign w:val="center"/>
          </w:tcPr>
          <w:p w14:paraId="06C6FF10">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4F0F26B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计算评标参考价的等分点值</w:t>
            </w:r>
          </w:p>
        </w:tc>
        <w:tc>
          <w:tcPr>
            <w:tcW w:w="3015" w:type="pct"/>
            <w:tcBorders>
              <w:top w:val="single" w:color="auto" w:sz="4" w:space="0"/>
              <w:left w:val="single" w:color="auto" w:sz="4" w:space="0"/>
              <w:bottom w:val="single" w:color="auto" w:sz="4" w:space="0"/>
              <w:right w:val="double" w:color="auto" w:sz="4" w:space="0"/>
            </w:tcBorders>
            <w:vAlign w:val="center"/>
          </w:tcPr>
          <w:p w14:paraId="7028FF2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本款不适用。</w:t>
            </w:r>
          </w:p>
        </w:tc>
      </w:tr>
      <w:tr w14:paraId="0A7CB7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69" w:type="pct"/>
            <w:tcBorders>
              <w:top w:val="single" w:color="auto" w:sz="4" w:space="0"/>
              <w:left w:val="double" w:color="auto" w:sz="4" w:space="0"/>
              <w:bottom w:val="single" w:color="auto" w:sz="4" w:space="0"/>
              <w:right w:val="single" w:color="auto" w:sz="4" w:space="0"/>
            </w:tcBorders>
            <w:shd w:val="clear" w:color="auto" w:fill="auto"/>
            <w:vAlign w:val="center"/>
          </w:tcPr>
          <w:p w14:paraId="2C5B34A5">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24</w:t>
            </w:r>
          </w:p>
        </w:tc>
        <w:tc>
          <w:tcPr>
            <w:tcW w:w="523" w:type="pct"/>
            <w:tcBorders>
              <w:top w:val="single" w:color="auto" w:sz="4" w:space="0"/>
              <w:left w:val="single" w:color="auto" w:sz="4" w:space="0"/>
              <w:bottom w:val="single" w:color="auto" w:sz="4" w:space="0"/>
              <w:right w:val="single" w:color="auto" w:sz="4" w:space="0"/>
            </w:tcBorders>
            <w:vAlign w:val="center"/>
          </w:tcPr>
          <w:p w14:paraId="557000B9">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1A5D0563">
            <w:pPr>
              <w:spacing w:line="360" w:lineRule="auto"/>
              <w:rPr>
                <w:rFonts w:hint="eastAsia" w:ascii="宋体" w:hAnsi="宋体" w:cs="宋体"/>
                <w:strike/>
                <w:color w:val="auto"/>
                <w:szCs w:val="21"/>
                <w:highlight w:val="none"/>
              </w:rPr>
            </w:pPr>
            <w:r>
              <w:rPr>
                <w:rFonts w:hint="eastAsia" w:ascii="宋体" w:hAnsi="宋体" w:cs="宋体"/>
                <w:color w:val="auto"/>
                <w:szCs w:val="21"/>
                <w:highlight w:val="none"/>
              </w:rPr>
              <w:t>进入第二阶段评审的家数</w:t>
            </w:r>
          </w:p>
        </w:tc>
        <w:tc>
          <w:tcPr>
            <w:tcW w:w="3015" w:type="pct"/>
            <w:tcBorders>
              <w:top w:val="single" w:color="auto" w:sz="4" w:space="0"/>
              <w:left w:val="single" w:color="auto" w:sz="4" w:space="0"/>
              <w:bottom w:val="single" w:color="auto" w:sz="4" w:space="0"/>
              <w:right w:val="double" w:color="auto" w:sz="4" w:space="0"/>
            </w:tcBorders>
            <w:vAlign w:val="center"/>
          </w:tcPr>
          <w:p w14:paraId="0836459D">
            <w:pPr>
              <w:spacing w:line="360" w:lineRule="auto"/>
              <w:rPr>
                <w:rFonts w:hint="eastAsia" w:ascii="宋体" w:hAnsi="宋体" w:cs="宋体"/>
                <w:strike/>
                <w:color w:val="auto"/>
                <w:szCs w:val="21"/>
                <w:highlight w:val="none"/>
              </w:rPr>
            </w:pPr>
            <w:r>
              <w:rPr>
                <w:rFonts w:hint="eastAsia" w:ascii="宋体" w:hAnsi="宋体" w:cs="宋体"/>
                <w:color w:val="auto"/>
                <w:szCs w:val="21"/>
                <w:highlight w:val="none"/>
              </w:rPr>
              <w:t>本款不适用。</w:t>
            </w:r>
          </w:p>
        </w:tc>
      </w:tr>
      <w:tr w14:paraId="11B7BE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69" w:type="pct"/>
            <w:tcBorders>
              <w:top w:val="single" w:color="auto" w:sz="4" w:space="0"/>
              <w:left w:val="double" w:color="auto" w:sz="4" w:space="0"/>
              <w:bottom w:val="single" w:color="auto" w:sz="4" w:space="0"/>
              <w:right w:val="single" w:color="auto" w:sz="4" w:space="0"/>
            </w:tcBorders>
            <w:shd w:val="clear" w:color="auto" w:fill="auto"/>
            <w:vAlign w:val="center"/>
          </w:tcPr>
          <w:p w14:paraId="72EBB465">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25</w:t>
            </w:r>
          </w:p>
        </w:tc>
        <w:tc>
          <w:tcPr>
            <w:tcW w:w="523" w:type="pct"/>
            <w:tcBorders>
              <w:top w:val="single" w:color="auto" w:sz="4" w:space="0"/>
              <w:left w:val="single" w:color="auto" w:sz="4" w:space="0"/>
              <w:bottom w:val="single" w:color="auto" w:sz="4" w:space="0"/>
              <w:right w:val="single" w:color="auto" w:sz="4" w:space="0"/>
            </w:tcBorders>
            <w:vAlign w:val="center"/>
          </w:tcPr>
          <w:p w14:paraId="331180D5">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60B5D73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工程成本警戒价</w:t>
            </w:r>
          </w:p>
        </w:tc>
        <w:tc>
          <w:tcPr>
            <w:tcW w:w="3015" w:type="pct"/>
            <w:tcBorders>
              <w:top w:val="single" w:color="auto" w:sz="4" w:space="0"/>
              <w:left w:val="single" w:color="auto" w:sz="4" w:space="0"/>
              <w:bottom w:val="single" w:color="auto" w:sz="4" w:space="0"/>
              <w:right w:val="double" w:color="auto" w:sz="4" w:space="0"/>
            </w:tcBorders>
            <w:vAlign w:val="center"/>
          </w:tcPr>
          <w:p w14:paraId="661E213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工程成本警戒价为</w:t>
            </w:r>
            <w:r>
              <w:rPr>
                <w:rFonts w:hint="eastAsia" w:ascii="宋体" w:hAnsi="宋体" w:cs="宋体"/>
                <w:color w:val="auto"/>
                <w:szCs w:val="21"/>
                <w:highlight w:val="none"/>
                <w:u w:val="single"/>
              </w:rPr>
              <w:t xml:space="preserve"> 19668766.25</w:t>
            </w:r>
            <w:r>
              <w:rPr>
                <w:rFonts w:hint="eastAsia" w:ascii="宋体" w:hAnsi="宋体" w:cs="宋体"/>
                <w:color w:val="auto"/>
                <w:szCs w:val="21"/>
                <w:highlight w:val="none"/>
              </w:rPr>
              <w:t>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招标控制价的85%</w:t>
            </w:r>
            <w:r>
              <w:rPr>
                <w:rFonts w:hint="eastAsia" w:ascii="宋体" w:hAnsi="宋体" w:cs="宋体"/>
                <w:color w:val="auto"/>
                <w:szCs w:val="21"/>
                <w:highlight w:val="none"/>
                <w:lang w:eastAsia="zh-CN"/>
              </w:rPr>
              <w:t>），</w:t>
            </w:r>
            <w:r>
              <w:rPr>
                <w:rFonts w:hint="eastAsia" w:ascii="宋体" w:hAnsi="宋体" w:cs="宋体"/>
                <w:color w:val="auto"/>
                <w:szCs w:val="21"/>
                <w:highlight w:val="none"/>
              </w:rPr>
              <w:t>对低于对应警戒价的投标总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5B30A821">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注：为充分体现招标人意愿及落实项目招标人负责制，警戒价由招标人决定。</w:t>
            </w:r>
          </w:p>
        </w:tc>
      </w:tr>
      <w:tr w14:paraId="3E28FF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69" w:type="pct"/>
            <w:vMerge w:val="restart"/>
            <w:tcBorders>
              <w:top w:val="single" w:color="auto" w:sz="4" w:space="0"/>
              <w:left w:val="double" w:color="auto" w:sz="4" w:space="0"/>
              <w:right w:val="single" w:color="auto" w:sz="4" w:space="0"/>
            </w:tcBorders>
            <w:shd w:val="clear" w:color="auto" w:fill="auto"/>
            <w:vAlign w:val="center"/>
          </w:tcPr>
          <w:p w14:paraId="3AE9B085">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26</w:t>
            </w:r>
          </w:p>
        </w:tc>
        <w:tc>
          <w:tcPr>
            <w:tcW w:w="523" w:type="pct"/>
            <w:vMerge w:val="restart"/>
            <w:tcBorders>
              <w:top w:val="single" w:color="auto" w:sz="4" w:space="0"/>
              <w:left w:val="single" w:color="auto" w:sz="4" w:space="0"/>
              <w:right w:val="single" w:color="auto" w:sz="4" w:space="0"/>
            </w:tcBorders>
            <w:vAlign w:val="center"/>
          </w:tcPr>
          <w:p w14:paraId="310E264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42.2</w:t>
            </w:r>
          </w:p>
        </w:tc>
        <w:tc>
          <w:tcPr>
            <w:tcW w:w="1092" w:type="pct"/>
            <w:tcBorders>
              <w:top w:val="single" w:color="auto" w:sz="4" w:space="0"/>
              <w:left w:val="single" w:color="auto" w:sz="4" w:space="0"/>
              <w:right w:val="single" w:color="auto" w:sz="4" w:space="0"/>
            </w:tcBorders>
            <w:vAlign w:val="center"/>
          </w:tcPr>
          <w:p w14:paraId="43149DB5">
            <w:pPr>
              <w:rPr>
                <w:rFonts w:hint="eastAsia" w:ascii="宋体" w:hAnsi="宋体" w:cs="宋体"/>
                <w:color w:val="auto"/>
                <w:szCs w:val="21"/>
                <w:highlight w:val="none"/>
              </w:rPr>
            </w:pPr>
            <w:r>
              <w:rPr>
                <w:rFonts w:hint="eastAsia" w:ascii="宋体" w:hAnsi="宋体" w:cs="宋体"/>
                <w:color w:val="auto"/>
                <w:szCs w:val="21"/>
                <w:highlight w:val="none"/>
              </w:rPr>
              <w:t>评标委员会人数</w:t>
            </w:r>
          </w:p>
        </w:tc>
        <w:tc>
          <w:tcPr>
            <w:tcW w:w="3015" w:type="pct"/>
            <w:tcBorders>
              <w:top w:val="single" w:color="auto" w:sz="4" w:space="0"/>
              <w:left w:val="single" w:color="auto" w:sz="4" w:space="0"/>
              <w:bottom w:val="single" w:color="auto" w:sz="4" w:space="0"/>
              <w:right w:val="double" w:color="auto" w:sz="4" w:space="0"/>
            </w:tcBorders>
            <w:vAlign w:val="center"/>
          </w:tcPr>
          <w:p w14:paraId="38A36422">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评标委员会由招标人依法组建。</w:t>
            </w:r>
          </w:p>
        </w:tc>
      </w:tr>
      <w:tr w14:paraId="0D46E5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69" w:type="pct"/>
            <w:vMerge w:val="continue"/>
            <w:tcBorders>
              <w:left w:val="double" w:color="auto" w:sz="4" w:space="0"/>
              <w:right w:val="single" w:color="auto" w:sz="4" w:space="0"/>
            </w:tcBorders>
            <w:shd w:val="clear" w:color="auto" w:fill="auto"/>
            <w:vAlign w:val="center"/>
          </w:tcPr>
          <w:p w14:paraId="52DF4E0E">
            <w:pPr>
              <w:spacing w:line="360" w:lineRule="auto"/>
              <w:rPr>
                <w:rFonts w:hint="eastAsia" w:ascii="宋体" w:hAnsi="宋体" w:cs="宋体"/>
                <w:color w:val="auto"/>
                <w:szCs w:val="21"/>
                <w:highlight w:val="none"/>
              </w:rPr>
            </w:pPr>
          </w:p>
        </w:tc>
        <w:tc>
          <w:tcPr>
            <w:tcW w:w="523" w:type="pct"/>
            <w:vMerge w:val="continue"/>
            <w:tcBorders>
              <w:left w:val="single" w:color="auto" w:sz="4" w:space="0"/>
              <w:right w:val="single" w:color="auto" w:sz="4" w:space="0"/>
            </w:tcBorders>
            <w:vAlign w:val="center"/>
          </w:tcPr>
          <w:p w14:paraId="27E1DFC4">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right w:val="single" w:color="auto" w:sz="4" w:space="0"/>
            </w:tcBorders>
            <w:vAlign w:val="center"/>
          </w:tcPr>
          <w:p w14:paraId="74811139">
            <w:pPr>
              <w:rPr>
                <w:rFonts w:hint="eastAsia" w:ascii="宋体" w:hAnsi="宋体" w:cs="宋体"/>
                <w:color w:val="auto"/>
                <w:szCs w:val="21"/>
                <w:highlight w:val="none"/>
              </w:rPr>
            </w:pPr>
            <w:r>
              <w:rPr>
                <w:rFonts w:hint="eastAsia" w:ascii="宋体" w:hAnsi="宋体" w:cs="宋体"/>
                <w:color w:val="auto"/>
                <w:szCs w:val="21"/>
                <w:highlight w:val="none"/>
              </w:rPr>
              <w:t>定标委员会人数</w:t>
            </w:r>
          </w:p>
        </w:tc>
        <w:tc>
          <w:tcPr>
            <w:tcW w:w="3015" w:type="pct"/>
            <w:tcBorders>
              <w:top w:val="single" w:color="auto" w:sz="4" w:space="0"/>
              <w:left w:val="single" w:color="auto" w:sz="4" w:space="0"/>
              <w:bottom w:val="single" w:color="auto" w:sz="4" w:space="0"/>
              <w:right w:val="double" w:color="auto" w:sz="4" w:space="0"/>
            </w:tcBorders>
            <w:vAlign w:val="center"/>
          </w:tcPr>
          <w:p w14:paraId="0C1E34B4">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定标委员会由招标人依法组建。</w:t>
            </w:r>
          </w:p>
        </w:tc>
      </w:tr>
      <w:tr w14:paraId="041AF4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69" w:type="pct"/>
            <w:vMerge w:val="continue"/>
            <w:tcBorders>
              <w:left w:val="double" w:color="auto" w:sz="4" w:space="0"/>
              <w:right w:val="single" w:color="auto" w:sz="4" w:space="0"/>
            </w:tcBorders>
            <w:vAlign w:val="center"/>
          </w:tcPr>
          <w:p w14:paraId="68DE8E5C">
            <w:pPr>
              <w:spacing w:line="360" w:lineRule="auto"/>
              <w:rPr>
                <w:rFonts w:hint="eastAsia" w:ascii="宋体" w:hAnsi="宋体" w:cs="宋体"/>
                <w:color w:val="auto"/>
                <w:szCs w:val="21"/>
                <w:highlight w:val="none"/>
              </w:rPr>
            </w:pPr>
          </w:p>
        </w:tc>
        <w:tc>
          <w:tcPr>
            <w:tcW w:w="523" w:type="pct"/>
            <w:vMerge w:val="continue"/>
            <w:tcBorders>
              <w:left w:val="single" w:color="auto" w:sz="4" w:space="0"/>
              <w:right w:val="single" w:color="auto" w:sz="4" w:space="0"/>
            </w:tcBorders>
            <w:vAlign w:val="center"/>
          </w:tcPr>
          <w:p w14:paraId="48F07BBB">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right w:val="single" w:color="auto" w:sz="4" w:space="0"/>
            </w:tcBorders>
            <w:vAlign w:val="center"/>
          </w:tcPr>
          <w:p w14:paraId="54A0CA25">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监督小组人数</w:t>
            </w:r>
          </w:p>
        </w:tc>
        <w:tc>
          <w:tcPr>
            <w:tcW w:w="3015" w:type="pct"/>
            <w:tcBorders>
              <w:top w:val="single" w:color="auto" w:sz="4" w:space="0"/>
              <w:left w:val="single" w:color="auto" w:sz="4" w:space="0"/>
              <w:bottom w:val="single" w:color="auto" w:sz="4" w:space="0"/>
              <w:right w:val="double" w:color="auto" w:sz="4" w:space="0"/>
            </w:tcBorders>
            <w:vAlign w:val="center"/>
          </w:tcPr>
          <w:p w14:paraId="4E04EF91">
            <w:pPr>
              <w:spacing w:line="360" w:lineRule="atLeast"/>
              <w:rPr>
                <w:rFonts w:hint="eastAsia" w:ascii="宋体" w:hAnsi="宋体" w:cs="宋体"/>
                <w:color w:val="auto"/>
                <w:szCs w:val="21"/>
                <w:highlight w:val="none"/>
              </w:rPr>
            </w:pPr>
            <w:r>
              <w:rPr>
                <w:rFonts w:hint="eastAsia" w:ascii="宋体" w:hAnsi="宋体" w:cs="宋体"/>
                <w:color w:val="auto"/>
                <w:szCs w:val="21"/>
                <w:highlight w:val="none"/>
                <w:lang w:val="en-US" w:eastAsia="zh-CN"/>
              </w:rPr>
              <w:t>监督小组</w:t>
            </w:r>
            <w:r>
              <w:rPr>
                <w:rFonts w:hint="eastAsia" w:ascii="宋体" w:hAnsi="宋体" w:cs="宋体"/>
                <w:color w:val="auto"/>
                <w:szCs w:val="21"/>
                <w:highlight w:val="none"/>
              </w:rPr>
              <w:t>由招标人依法组建。</w:t>
            </w:r>
          </w:p>
        </w:tc>
      </w:tr>
      <w:tr w14:paraId="0D2734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69" w:type="pct"/>
            <w:tcBorders>
              <w:top w:val="single" w:color="auto" w:sz="4" w:space="0"/>
              <w:left w:val="double" w:color="auto" w:sz="4" w:space="0"/>
              <w:bottom w:val="single" w:color="auto" w:sz="4" w:space="0"/>
              <w:right w:val="single" w:color="auto" w:sz="4" w:space="0"/>
            </w:tcBorders>
            <w:vAlign w:val="center"/>
          </w:tcPr>
          <w:p w14:paraId="51EC8858">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p>
        </w:tc>
        <w:tc>
          <w:tcPr>
            <w:tcW w:w="523" w:type="pct"/>
            <w:tcBorders>
              <w:top w:val="single" w:color="auto" w:sz="4" w:space="0"/>
              <w:left w:val="single" w:color="auto" w:sz="4" w:space="0"/>
              <w:bottom w:val="single" w:color="auto" w:sz="4" w:space="0"/>
              <w:right w:val="single" w:color="auto" w:sz="4" w:space="0"/>
            </w:tcBorders>
            <w:vAlign w:val="center"/>
          </w:tcPr>
          <w:p w14:paraId="0D082CDB">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72115BFC">
            <w:pPr>
              <w:spacing w:line="360" w:lineRule="auto"/>
              <w:rPr>
                <w:rFonts w:hint="eastAsia" w:ascii="宋体" w:hAnsi="宋体" w:cs="宋体"/>
                <w:strike/>
                <w:color w:val="auto"/>
                <w:szCs w:val="21"/>
                <w:highlight w:val="none"/>
              </w:rPr>
            </w:pPr>
            <w:r>
              <w:rPr>
                <w:rFonts w:hint="eastAsia" w:ascii="宋体" w:hAnsi="宋体" w:cs="宋体"/>
                <w:color w:val="auto"/>
                <w:szCs w:val="21"/>
                <w:highlight w:val="none"/>
              </w:rPr>
              <w:t>企业综合诚信评价分数</w:t>
            </w:r>
          </w:p>
        </w:tc>
        <w:tc>
          <w:tcPr>
            <w:tcW w:w="3015" w:type="pct"/>
            <w:tcBorders>
              <w:top w:val="single" w:color="auto" w:sz="4" w:space="0"/>
              <w:left w:val="single" w:color="auto" w:sz="4" w:space="0"/>
              <w:bottom w:val="single" w:color="auto" w:sz="4" w:space="0"/>
              <w:right w:val="double" w:color="auto" w:sz="4" w:space="0"/>
            </w:tcBorders>
            <w:vAlign w:val="center"/>
          </w:tcPr>
          <w:p w14:paraId="40565B0F">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本款不适用。</w:t>
            </w:r>
          </w:p>
        </w:tc>
      </w:tr>
      <w:tr w14:paraId="4EC176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trPr>
        <w:tc>
          <w:tcPr>
            <w:tcW w:w="369" w:type="pct"/>
            <w:tcBorders>
              <w:top w:val="single" w:color="auto" w:sz="4" w:space="0"/>
              <w:left w:val="double" w:color="auto" w:sz="4" w:space="0"/>
              <w:bottom w:val="single" w:color="auto" w:sz="4" w:space="0"/>
              <w:right w:val="single" w:color="auto" w:sz="4" w:space="0"/>
            </w:tcBorders>
            <w:shd w:val="clear" w:color="auto" w:fill="auto"/>
            <w:vAlign w:val="center"/>
          </w:tcPr>
          <w:p w14:paraId="57987BA7">
            <w:pPr>
              <w:spacing w:line="360" w:lineRule="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28</w:t>
            </w:r>
          </w:p>
        </w:tc>
        <w:tc>
          <w:tcPr>
            <w:tcW w:w="523" w:type="pct"/>
            <w:tcBorders>
              <w:top w:val="single" w:color="auto" w:sz="4" w:space="0"/>
              <w:left w:val="single" w:color="auto" w:sz="4" w:space="0"/>
              <w:bottom w:val="single" w:color="auto" w:sz="4" w:space="0"/>
              <w:right w:val="single" w:color="auto" w:sz="4" w:space="0"/>
            </w:tcBorders>
            <w:vAlign w:val="center"/>
          </w:tcPr>
          <w:p w14:paraId="4E94DF10">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3DC1CE48">
            <w:pPr>
              <w:spacing w:line="360" w:lineRule="auto"/>
              <w:rPr>
                <w:rFonts w:hint="eastAsia" w:ascii="宋体" w:hAnsi="宋体" w:cs="宋体"/>
                <w:strike/>
                <w:color w:val="auto"/>
                <w:szCs w:val="21"/>
                <w:highlight w:val="none"/>
              </w:rPr>
            </w:pPr>
            <w:r>
              <w:rPr>
                <w:rFonts w:hint="eastAsia" w:ascii="宋体" w:hAnsi="宋体" w:cs="宋体"/>
                <w:color w:val="auto"/>
                <w:szCs w:val="21"/>
                <w:highlight w:val="none"/>
              </w:rPr>
              <w:t>第二阶段投标人名次的排序方法（适用于办法一、办法二）</w:t>
            </w:r>
          </w:p>
        </w:tc>
        <w:tc>
          <w:tcPr>
            <w:tcW w:w="3015" w:type="pct"/>
            <w:tcBorders>
              <w:top w:val="single" w:color="auto" w:sz="4" w:space="0"/>
              <w:left w:val="single" w:color="auto" w:sz="4" w:space="0"/>
              <w:bottom w:val="single" w:color="auto" w:sz="4" w:space="0"/>
              <w:right w:val="double" w:color="auto" w:sz="4" w:space="0"/>
            </w:tcBorders>
            <w:vAlign w:val="center"/>
          </w:tcPr>
          <w:p w14:paraId="26D6F6E8">
            <w:pPr>
              <w:spacing w:line="360" w:lineRule="auto"/>
              <w:rPr>
                <w:rFonts w:hint="eastAsia" w:ascii="宋体" w:hAnsi="宋体" w:cs="宋体"/>
                <w:strike/>
                <w:color w:val="auto"/>
                <w:szCs w:val="21"/>
                <w:highlight w:val="none"/>
              </w:rPr>
            </w:pPr>
            <w:r>
              <w:rPr>
                <w:rFonts w:hint="eastAsia" w:ascii="宋体" w:hAnsi="宋体" w:cs="宋体"/>
                <w:color w:val="auto"/>
                <w:szCs w:val="21"/>
                <w:highlight w:val="none"/>
                <w:u w:val="single"/>
              </w:rPr>
              <w:t>本款不适用。</w:t>
            </w:r>
          </w:p>
        </w:tc>
      </w:tr>
      <w:tr w14:paraId="127146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69" w:type="pct"/>
            <w:tcBorders>
              <w:top w:val="single" w:color="auto" w:sz="4" w:space="0"/>
              <w:left w:val="double" w:color="auto" w:sz="4" w:space="0"/>
              <w:bottom w:val="single" w:color="auto" w:sz="4" w:space="0"/>
              <w:right w:val="single" w:color="auto" w:sz="4" w:space="0"/>
            </w:tcBorders>
            <w:shd w:val="clear" w:color="auto" w:fill="auto"/>
            <w:vAlign w:val="center"/>
          </w:tcPr>
          <w:p w14:paraId="3EAECB38">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29</w:t>
            </w:r>
          </w:p>
        </w:tc>
        <w:tc>
          <w:tcPr>
            <w:tcW w:w="523" w:type="pct"/>
            <w:tcBorders>
              <w:top w:val="single" w:color="auto" w:sz="4" w:space="0"/>
              <w:left w:val="single" w:color="auto" w:sz="4" w:space="0"/>
              <w:bottom w:val="single" w:color="auto" w:sz="4" w:space="0"/>
              <w:right w:val="single" w:color="auto" w:sz="4" w:space="0"/>
            </w:tcBorders>
            <w:vAlign w:val="center"/>
          </w:tcPr>
          <w:p w14:paraId="32B393FB">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46166988">
            <w:pPr>
              <w:spacing w:line="360" w:lineRule="auto"/>
              <w:rPr>
                <w:rFonts w:hint="eastAsia" w:ascii="宋体" w:hAnsi="宋体" w:cs="宋体"/>
                <w:strike/>
                <w:color w:val="auto"/>
                <w:szCs w:val="21"/>
                <w:highlight w:val="none"/>
              </w:rPr>
            </w:pPr>
            <w:r>
              <w:rPr>
                <w:rFonts w:hint="eastAsia" w:ascii="宋体" w:hAnsi="宋体" w:cs="宋体"/>
                <w:color w:val="auto"/>
                <w:szCs w:val="21"/>
                <w:highlight w:val="none"/>
              </w:rPr>
              <w:t>经济分相同情况下的排序方法（适用于办法三、办法四）</w:t>
            </w:r>
          </w:p>
        </w:tc>
        <w:tc>
          <w:tcPr>
            <w:tcW w:w="3015" w:type="pct"/>
            <w:tcBorders>
              <w:top w:val="single" w:color="auto" w:sz="4" w:space="0"/>
              <w:left w:val="single" w:color="auto" w:sz="4" w:space="0"/>
              <w:bottom w:val="single" w:color="auto" w:sz="4" w:space="0"/>
              <w:right w:val="double" w:color="auto" w:sz="4" w:space="0"/>
            </w:tcBorders>
            <w:vAlign w:val="center"/>
          </w:tcPr>
          <w:p w14:paraId="6403F2E4">
            <w:pPr>
              <w:spacing w:line="360" w:lineRule="auto"/>
              <w:rPr>
                <w:rFonts w:hint="eastAsia" w:ascii="宋体" w:hAnsi="宋体" w:cs="宋体"/>
                <w:strike/>
                <w:color w:val="auto"/>
                <w:szCs w:val="21"/>
                <w:highlight w:val="none"/>
              </w:rPr>
            </w:pPr>
            <w:r>
              <w:rPr>
                <w:rFonts w:hint="eastAsia" w:ascii="宋体" w:hAnsi="宋体" w:cs="宋体"/>
                <w:color w:val="auto"/>
                <w:szCs w:val="21"/>
                <w:highlight w:val="none"/>
                <w:u w:val="single"/>
              </w:rPr>
              <w:t>本款不适用。</w:t>
            </w:r>
          </w:p>
        </w:tc>
      </w:tr>
      <w:tr w14:paraId="54226C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69" w:type="pct"/>
            <w:tcBorders>
              <w:top w:val="single" w:color="auto" w:sz="4" w:space="0"/>
              <w:left w:val="double" w:color="auto" w:sz="4" w:space="0"/>
              <w:bottom w:val="single" w:color="auto" w:sz="4" w:space="0"/>
              <w:right w:val="single" w:color="auto" w:sz="4" w:space="0"/>
            </w:tcBorders>
            <w:shd w:val="clear" w:color="auto" w:fill="auto"/>
            <w:vAlign w:val="center"/>
          </w:tcPr>
          <w:p w14:paraId="5E21C964">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30</w:t>
            </w:r>
          </w:p>
        </w:tc>
        <w:tc>
          <w:tcPr>
            <w:tcW w:w="523" w:type="pct"/>
            <w:tcBorders>
              <w:top w:val="single" w:color="auto" w:sz="4" w:space="0"/>
              <w:left w:val="single" w:color="auto" w:sz="4" w:space="0"/>
              <w:bottom w:val="single" w:color="auto" w:sz="4" w:space="0"/>
              <w:right w:val="single" w:color="auto" w:sz="4" w:space="0"/>
            </w:tcBorders>
            <w:vAlign w:val="center"/>
          </w:tcPr>
          <w:p w14:paraId="150307B4">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62E849F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第二阶段投标人名次的排序方法（适用于办法五、办法六）</w:t>
            </w:r>
          </w:p>
        </w:tc>
        <w:tc>
          <w:tcPr>
            <w:tcW w:w="3015" w:type="pct"/>
            <w:tcBorders>
              <w:top w:val="single" w:color="auto" w:sz="4" w:space="0"/>
              <w:left w:val="single" w:color="auto" w:sz="4" w:space="0"/>
              <w:bottom w:val="single" w:color="auto" w:sz="4" w:space="0"/>
              <w:right w:val="double" w:color="auto" w:sz="4" w:space="0"/>
            </w:tcBorders>
            <w:vAlign w:val="center"/>
          </w:tcPr>
          <w:p w14:paraId="0730A0C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本款不适用。</w:t>
            </w:r>
          </w:p>
        </w:tc>
      </w:tr>
      <w:tr w14:paraId="204F11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369" w:type="pct"/>
            <w:tcBorders>
              <w:top w:val="single" w:color="auto" w:sz="4" w:space="0"/>
              <w:left w:val="double" w:color="auto" w:sz="4" w:space="0"/>
              <w:bottom w:val="single" w:color="auto" w:sz="4" w:space="0"/>
              <w:right w:val="single" w:color="auto" w:sz="4" w:space="0"/>
            </w:tcBorders>
            <w:shd w:val="clear" w:color="auto" w:fill="auto"/>
            <w:vAlign w:val="center"/>
          </w:tcPr>
          <w:p w14:paraId="1E51FDB7">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31</w:t>
            </w:r>
          </w:p>
        </w:tc>
        <w:tc>
          <w:tcPr>
            <w:tcW w:w="523" w:type="pct"/>
            <w:tcBorders>
              <w:top w:val="single" w:color="auto" w:sz="4" w:space="0"/>
              <w:left w:val="single" w:color="auto" w:sz="4" w:space="0"/>
              <w:bottom w:val="single" w:color="auto" w:sz="4" w:space="0"/>
              <w:right w:val="single" w:color="auto" w:sz="4" w:space="0"/>
            </w:tcBorders>
            <w:vAlign w:val="center"/>
          </w:tcPr>
          <w:p w14:paraId="5D1825A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13.4、13.5.2</w:t>
            </w:r>
          </w:p>
        </w:tc>
        <w:tc>
          <w:tcPr>
            <w:tcW w:w="1092" w:type="pct"/>
            <w:tcBorders>
              <w:top w:val="single" w:color="auto" w:sz="4" w:space="0"/>
              <w:left w:val="single" w:color="auto" w:sz="4" w:space="0"/>
              <w:bottom w:val="single" w:color="auto" w:sz="4" w:space="0"/>
              <w:right w:val="single" w:color="auto" w:sz="4" w:space="0"/>
            </w:tcBorders>
            <w:vAlign w:val="center"/>
          </w:tcPr>
          <w:p w14:paraId="7A8ABB9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合同价款的调整办法</w:t>
            </w:r>
          </w:p>
        </w:tc>
        <w:tc>
          <w:tcPr>
            <w:tcW w:w="3015" w:type="pct"/>
            <w:tcBorders>
              <w:top w:val="single" w:color="auto" w:sz="4" w:space="0"/>
              <w:left w:val="single" w:color="auto" w:sz="4" w:space="0"/>
              <w:bottom w:val="single" w:color="auto" w:sz="4" w:space="0"/>
              <w:right w:val="double" w:color="auto" w:sz="4" w:space="0"/>
            </w:tcBorders>
            <w:vAlign w:val="center"/>
          </w:tcPr>
          <w:p w14:paraId="10224801">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详见招标文件及相关合同条款。</w:t>
            </w:r>
          </w:p>
        </w:tc>
      </w:tr>
      <w:tr w14:paraId="0878E7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69" w:type="pct"/>
            <w:tcBorders>
              <w:top w:val="single" w:color="auto" w:sz="4" w:space="0"/>
              <w:left w:val="double" w:color="auto" w:sz="4" w:space="0"/>
              <w:bottom w:val="single" w:color="auto" w:sz="4" w:space="0"/>
              <w:right w:val="single" w:color="auto" w:sz="4" w:space="0"/>
            </w:tcBorders>
            <w:shd w:val="clear" w:color="auto" w:fill="auto"/>
            <w:vAlign w:val="center"/>
          </w:tcPr>
          <w:p w14:paraId="6847463A">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32</w:t>
            </w:r>
          </w:p>
        </w:tc>
        <w:tc>
          <w:tcPr>
            <w:tcW w:w="523" w:type="pct"/>
            <w:tcBorders>
              <w:top w:val="single" w:color="auto" w:sz="4" w:space="0"/>
              <w:left w:val="single" w:color="auto" w:sz="4" w:space="0"/>
              <w:bottom w:val="single" w:color="auto" w:sz="4" w:space="0"/>
              <w:right w:val="single" w:color="auto" w:sz="4" w:space="0"/>
            </w:tcBorders>
            <w:vAlign w:val="center"/>
          </w:tcPr>
          <w:p w14:paraId="204DD313">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68AEA73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建设工程质量检测单位</w:t>
            </w:r>
          </w:p>
        </w:tc>
        <w:tc>
          <w:tcPr>
            <w:tcW w:w="3015" w:type="pct"/>
            <w:tcBorders>
              <w:top w:val="single" w:color="auto" w:sz="4" w:space="0"/>
              <w:left w:val="single" w:color="auto" w:sz="4" w:space="0"/>
              <w:bottom w:val="single" w:color="auto" w:sz="4" w:space="0"/>
              <w:right w:val="double" w:color="auto" w:sz="4" w:space="0"/>
            </w:tcBorders>
            <w:vAlign w:val="center"/>
          </w:tcPr>
          <w:p w14:paraId="0E6C6ED7">
            <w:pPr>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56F612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69" w:type="pct"/>
            <w:tcBorders>
              <w:top w:val="single" w:color="auto" w:sz="4" w:space="0"/>
              <w:left w:val="double" w:color="auto" w:sz="4" w:space="0"/>
              <w:bottom w:val="single" w:color="auto" w:sz="4" w:space="0"/>
              <w:right w:val="single" w:color="auto" w:sz="4" w:space="0"/>
            </w:tcBorders>
            <w:shd w:val="clear" w:color="auto" w:fill="auto"/>
            <w:vAlign w:val="center"/>
          </w:tcPr>
          <w:p w14:paraId="609EB1A3">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33</w:t>
            </w:r>
          </w:p>
        </w:tc>
        <w:tc>
          <w:tcPr>
            <w:tcW w:w="523" w:type="pct"/>
            <w:tcBorders>
              <w:top w:val="single" w:color="auto" w:sz="4" w:space="0"/>
              <w:left w:val="single" w:color="auto" w:sz="4" w:space="0"/>
              <w:bottom w:val="single" w:color="auto" w:sz="4" w:space="0"/>
              <w:right w:val="single" w:color="auto" w:sz="4" w:space="0"/>
            </w:tcBorders>
            <w:vAlign w:val="center"/>
          </w:tcPr>
          <w:p w14:paraId="162E1981">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6B34BC42">
            <w:pPr>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3015" w:type="pct"/>
            <w:tcBorders>
              <w:top w:val="single" w:color="auto" w:sz="4" w:space="0"/>
              <w:left w:val="single" w:color="auto" w:sz="4" w:space="0"/>
              <w:bottom w:val="single" w:color="auto" w:sz="4" w:space="0"/>
              <w:right w:val="double" w:color="auto" w:sz="4" w:space="0"/>
            </w:tcBorders>
            <w:vAlign w:val="center"/>
          </w:tcPr>
          <w:p w14:paraId="2720CD76">
            <w:pPr>
              <w:spacing w:line="360" w:lineRule="auto"/>
              <w:rPr>
                <w:rFonts w:hint="eastAsia" w:ascii="宋体" w:hAnsi="宋体" w:cs="宋体"/>
                <w:color w:val="auto"/>
                <w:kern w:val="0"/>
                <w:szCs w:val="21"/>
                <w:highlight w:val="none"/>
                <w:lang w:val="zh-CN"/>
              </w:rPr>
            </w:pP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zh-CN"/>
              </w:rPr>
              <w:t>不允许；</w:t>
            </w:r>
          </w:p>
          <w:p w14:paraId="678822E4">
            <w:pPr>
              <w:spacing w:line="360" w:lineRule="auto"/>
              <w:rPr>
                <w:rFonts w:hint="eastAsia" w:ascii="宋体" w:hAnsi="宋体" w:cs="宋体"/>
                <w:color w:val="auto"/>
                <w:kern w:val="0"/>
                <w:szCs w:val="21"/>
                <w:highlight w:val="none"/>
                <w:lang w:val="zh-CN"/>
              </w:rPr>
            </w:pP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zh-CN"/>
              </w:rPr>
              <w:t>允许：分包内容要求：</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zh-CN"/>
              </w:rPr>
              <w:t>。</w:t>
            </w:r>
          </w:p>
          <w:p w14:paraId="5EA658E1">
            <w:pPr>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分包金额要求：</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p>
          <w:p w14:paraId="7BBD8CB9">
            <w:pPr>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对分包人的资质要求：</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zh-CN"/>
              </w:rPr>
              <w:t>。</w:t>
            </w:r>
          </w:p>
          <w:p w14:paraId="6CC3525A">
            <w:pPr>
              <w:spacing w:line="360" w:lineRule="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zh-CN"/>
              </w:rPr>
              <w:t xml:space="preserve">        对分包人的其他要求：</w:t>
            </w:r>
            <w:r>
              <w:rPr>
                <w:rFonts w:hint="eastAsia" w:ascii="宋体" w:hAnsi="宋体" w:cs="宋体"/>
                <w:color w:val="auto"/>
                <w:szCs w:val="21"/>
                <w:highlight w:val="none"/>
                <w:u w:val="single"/>
                <w:lang w:val="en-US" w:eastAsia="zh-CN"/>
              </w:rPr>
              <w:t xml:space="preserve">    。</w:t>
            </w:r>
          </w:p>
        </w:tc>
      </w:tr>
      <w:tr w14:paraId="7E18FF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69" w:type="pct"/>
            <w:tcBorders>
              <w:top w:val="single" w:color="auto" w:sz="4" w:space="0"/>
              <w:left w:val="double" w:color="auto" w:sz="4" w:space="0"/>
              <w:bottom w:val="single" w:color="auto" w:sz="4" w:space="0"/>
              <w:right w:val="single" w:color="auto" w:sz="4" w:space="0"/>
            </w:tcBorders>
            <w:shd w:val="clear" w:color="auto" w:fill="auto"/>
            <w:vAlign w:val="center"/>
          </w:tcPr>
          <w:p w14:paraId="1239DA22">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34</w:t>
            </w:r>
          </w:p>
        </w:tc>
        <w:tc>
          <w:tcPr>
            <w:tcW w:w="523" w:type="pct"/>
            <w:tcBorders>
              <w:top w:val="single" w:color="auto" w:sz="4" w:space="0"/>
              <w:left w:val="single" w:color="auto" w:sz="4" w:space="0"/>
              <w:bottom w:val="single" w:color="auto" w:sz="4" w:space="0"/>
              <w:right w:val="single" w:color="auto" w:sz="4" w:space="0"/>
            </w:tcBorders>
            <w:vAlign w:val="center"/>
          </w:tcPr>
          <w:p w14:paraId="3FEFA7A0">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11E0819E">
            <w:pPr>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u w:val="single"/>
              </w:rPr>
              <w:t>安全生产责任保险及绿色发展理念</w:t>
            </w:r>
          </w:p>
        </w:tc>
        <w:tc>
          <w:tcPr>
            <w:tcW w:w="3015" w:type="pct"/>
            <w:tcBorders>
              <w:top w:val="single" w:color="auto" w:sz="4" w:space="0"/>
              <w:left w:val="single" w:color="auto" w:sz="4" w:space="0"/>
              <w:bottom w:val="single" w:color="auto" w:sz="4" w:space="0"/>
              <w:right w:val="double" w:color="auto" w:sz="4" w:space="0"/>
            </w:tcBorders>
            <w:vAlign w:val="center"/>
          </w:tcPr>
          <w:p w14:paraId="605806E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p w14:paraId="3B313CE0">
            <w:pPr>
              <w:spacing w:line="360" w:lineRule="auto"/>
              <w:rPr>
                <w:rFonts w:hint="eastAsia" w:ascii="宋体" w:hAnsi="宋体" w:cs="宋体"/>
                <w:color w:val="auto"/>
                <w:kern w:val="0"/>
                <w:szCs w:val="21"/>
                <w:highlight w:val="none"/>
                <w:lang w:val="zh-CN"/>
              </w:rPr>
            </w:pPr>
            <w:r>
              <w:rPr>
                <w:rFonts w:hint="eastAsia" w:ascii="宋体" w:hAnsi="宋体" w:cs="宋体"/>
                <w:b/>
                <w:bCs/>
                <w:color w:val="auto"/>
                <w:szCs w:val="21"/>
                <w:highlight w:val="none"/>
              </w:rPr>
              <w:t>2、</w:t>
            </w:r>
            <w:r>
              <w:rPr>
                <w:rFonts w:hint="eastAsia" w:ascii="宋体" w:hAnsi="宋体" w:cs="宋体"/>
                <w:b/>
                <w:bCs/>
                <w:color w:val="auto"/>
                <w:szCs w:val="21"/>
                <w:highlight w:val="none"/>
                <w:u w:val="single"/>
              </w:rPr>
              <w:t>为贯彻绿色发展理念，本项目应积极使用燃料电池汽车等新能源工程车。</w:t>
            </w:r>
          </w:p>
        </w:tc>
      </w:tr>
      <w:tr w14:paraId="60DA2D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69" w:type="pct"/>
            <w:tcBorders>
              <w:top w:val="single" w:color="auto" w:sz="4" w:space="0"/>
              <w:left w:val="double" w:color="auto" w:sz="4" w:space="0"/>
              <w:bottom w:val="single" w:color="auto" w:sz="4" w:space="0"/>
              <w:right w:val="single" w:color="auto" w:sz="4" w:space="0"/>
            </w:tcBorders>
            <w:shd w:val="clear" w:color="auto" w:fill="auto"/>
            <w:vAlign w:val="center"/>
          </w:tcPr>
          <w:p w14:paraId="5D83D333">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35</w:t>
            </w:r>
          </w:p>
        </w:tc>
        <w:tc>
          <w:tcPr>
            <w:tcW w:w="523" w:type="pct"/>
            <w:tcBorders>
              <w:top w:val="single" w:color="auto" w:sz="4" w:space="0"/>
              <w:left w:val="single" w:color="auto" w:sz="4" w:space="0"/>
              <w:bottom w:val="single" w:color="auto" w:sz="4" w:space="0"/>
              <w:right w:val="single" w:color="auto" w:sz="4" w:space="0"/>
            </w:tcBorders>
            <w:vAlign w:val="center"/>
          </w:tcPr>
          <w:p w14:paraId="72024C2C">
            <w:pPr>
              <w:spacing w:line="360" w:lineRule="auto"/>
              <w:jc w:val="center"/>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68CECA4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电子招标投标解密失败及突发情况的补救</w:t>
            </w:r>
          </w:p>
        </w:tc>
        <w:tc>
          <w:tcPr>
            <w:tcW w:w="3015" w:type="pct"/>
            <w:tcBorders>
              <w:top w:val="single" w:color="auto" w:sz="4" w:space="0"/>
              <w:left w:val="single" w:color="auto" w:sz="4" w:space="0"/>
              <w:bottom w:val="single" w:color="auto" w:sz="4" w:space="0"/>
              <w:right w:val="double" w:color="auto" w:sz="4" w:space="0"/>
            </w:tcBorders>
            <w:vAlign w:val="center"/>
          </w:tcPr>
          <w:p w14:paraId="0671DE0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 xml:space="preserve">。  </w:t>
            </w:r>
          </w:p>
          <w:p w14:paraId="571CA84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2、提交投标文件光盘备用</w:t>
            </w:r>
          </w:p>
          <w:p w14:paraId="3A09400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工程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64450D3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3、补救方案</w:t>
            </w:r>
          </w:p>
          <w:p w14:paraId="65484D7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（1）投标文件解密失败的补救方案：</w:t>
            </w:r>
          </w:p>
          <w:p w14:paraId="6A4BD6D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64A6751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（2）评标时突发情况的补救方案</w:t>
            </w:r>
          </w:p>
          <w:p w14:paraId="78635E5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14:paraId="1BAF65D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（3）除发生上述情况外，开标评标均以投标人通过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交易平台网上递交的电子投标文件为准。</w:t>
            </w:r>
          </w:p>
        </w:tc>
      </w:tr>
      <w:tr w14:paraId="75408B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69" w:type="pct"/>
            <w:tcBorders>
              <w:top w:val="single" w:color="auto" w:sz="4" w:space="0"/>
              <w:left w:val="double" w:color="auto" w:sz="4" w:space="0"/>
              <w:bottom w:val="single" w:color="auto" w:sz="4" w:space="0"/>
              <w:right w:val="single" w:color="auto" w:sz="4" w:space="0"/>
            </w:tcBorders>
            <w:shd w:val="clear" w:color="auto" w:fill="auto"/>
            <w:vAlign w:val="center"/>
          </w:tcPr>
          <w:p w14:paraId="284E7BE9">
            <w:pPr>
              <w:spacing w:line="360" w:lineRule="auto"/>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rPr>
              <w:t>36</w:t>
            </w:r>
          </w:p>
        </w:tc>
        <w:tc>
          <w:tcPr>
            <w:tcW w:w="523" w:type="pct"/>
            <w:tcBorders>
              <w:top w:val="single" w:color="auto" w:sz="4" w:space="0"/>
              <w:left w:val="single" w:color="auto" w:sz="4" w:space="0"/>
              <w:bottom w:val="single" w:color="auto" w:sz="4" w:space="0"/>
              <w:right w:val="single" w:color="auto" w:sz="4" w:space="0"/>
            </w:tcBorders>
            <w:vAlign w:val="center"/>
          </w:tcPr>
          <w:p w14:paraId="45AD897B">
            <w:pPr>
              <w:spacing w:line="360" w:lineRule="auto"/>
              <w:jc w:val="center"/>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368BB802">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招标人拒绝接收投标文件备用光盘的情况</w:t>
            </w:r>
          </w:p>
        </w:tc>
        <w:tc>
          <w:tcPr>
            <w:tcW w:w="3015" w:type="pct"/>
            <w:tcBorders>
              <w:top w:val="single" w:color="auto" w:sz="4" w:space="0"/>
              <w:left w:val="single" w:color="auto" w:sz="4" w:space="0"/>
              <w:bottom w:val="single" w:color="auto" w:sz="4" w:space="0"/>
              <w:right w:val="double" w:color="auto" w:sz="4" w:space="0"/>
            </w:tcBorders>
            <w:vAlign w:val="center"/>
          </w:tcPr>
          <w:p w14:paraId="0DBA7094">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1、在投标截止期后逾期或未在指定地点递交投标文件备用光盘的；</w:t>
            </w:r>
          </w:p>
          <w:p w14:paraId="0B039F79">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2、投标文件备用光盘未按招标文件要求密封或未在密封处盖章的；</w:t>
            </w:r>
          </w:p>
          <w:p w14:paraId="410F1CDE">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3、投标人代表未凭法定代表人证明书（原件）、授权委托书原件（仅限于非法定代表人）、本人身份证原件递交投标文件备用光盘的。</w:t>
            </w:r>
          </w:p>
        </w:tc>
      </w:tr>
      <w:tr w14:paraId="5BE1B5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69" w:type="pct"/>
            <w:tcBorders>
              <w:top w:val="single" w:color="auto" w:sz="4" w:space="0"/>
              <w:left w:val="double" w:color="auto" w:sz="4" w:space="0"/>
              <w:bottom w:val="single" w:color="auto" w:sz="4" w:space="0"/>
              <w:right w:val="single" w:color="auto" w:sz="4" w:space="0"/>
            </w:tcBorders>
            <w:shd w:val="clear" w:color="auto" w:fill="auto"/>
            <w:vAlign w:val="center"/>
          </w:tcPr>
          <w:p w14:paraId="13B5BB93">
            <w:pPr>
              <w:spacing w:line="360" w:lineRule="auto"/>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rPr>
              <w:t>37</w:t>
            </w:r>
          </w:p>
        </w:tc>
        <w:tc>
          <w:tcPr>
            <w:tcW w:w="523" w:type="pct"/>
            <w:tcBorders>
              <w:top w:val="single" w:color="auto" w:sz="4" w:space="0"/>
              <w:left w:val="single" w:color="auto" w:sz="4" w:space="0"/>
              <w:bottom w:val="single" w:color="auto" w:sz="4" w:space="0"/>
              <w:right w:val="single" w:color="auto" w:sz="4" w:space="0"/>
            </w:tcBorders>
            <w:vAlign w:val="center"/>
          </w:tcPr>
          <w:p w14:paraId="2D44BE19">
            <w:pPr>
              <w:spacing w:line="360" w:lineRule="auto"/>
              <w:jc w:val="center"/>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6F194CC3">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中标公示后中标单位提交投标文件要求</w:t>
            </w:r>
          </w:p>
        </w:tc>
        <w:tc>
          <w:tcPr>
            <w:tcW w:w="3015" w:type="pct"/>
            <w:tcBorders>
              <w:top w:val="single" w:color="auto" w:sz="4" w:space="0"/>
              <w:left w:val="single" w:color="auto" w:sz="4" w:space="0"/>
              <w:bottom w:val="single" w:color="auto" w:sz="4" w:space="0"/>
              <w:right w:val="double" w:color="auto" w:sz="4" w:space="0"/>
            </w:tcBorders>
            <w:vAlign w:val="center"/>
          </w:tcPr>
          <w:p w14:paraId="62033806">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tc>
      </w:tr>
      <w:tr w14:paraId="25705F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69" w:type="pct"/>
            <w:tcBorders>
              <w:top w:val="single" w:color="auto" w:sz="4" w:space="0"/>
              <w:left w:val="double" w:color="auto" w:sz="4" w:space="0"/>
              <w:bottom w:val="single" w:color="auto" w:sz="4" w:space="0"/>
              <w:right w:val="single" w:color="auto" w:sz="4" w:space="0"/>
            </w:tcBorders>
            <w:shd w:val="clear" w:color="auto" w:fill="auto"/>
            <w:vAlign w:val="center"/>
          </w:tcPr>
          <w:p w14:paraId="6C948549">
            <w:pPr>
              <w:spacing w:line="360" w:lineRule="auto"/>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rPr>
              <w:t>38</w:t>
            </w:r>
          </w:p>
        </w:tc>
        <w:tc>
          <w:tcPr>
            <w:tcW w:w="523" w:type="pct"/>
            <w:tcBorders>
              <w:top w:val="single" w:color="auto" w:sz="4" w:space="0"/>
              <w:left w:val="single" w:color="auto" w:sz="4" w:space="0"/>
              <w:bottom w:val="single" w:color="auto" w:sz="4" w:space="0"/>
              <w:right w:val="single" w:color="auto" w:sz="4" w:space="0"/>
            </w:tcBorders>
            <w:vAlign w:val="center"/>
          </w:tcPr>
          <w:p w14:paraId="7846B31F">
            <w:pPr>
              <w:spacing w:line="360" w:lineRule="auto"/>
              <w:jc w:val="center"/>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1EFAA9F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cs="宋体"/>
                <w:color w:val="auto"/>
                <w:szCs w:val="21"/>
                <w:highlight w:val="none"/>
                <w:u w:val="single"/>
              </w:rPr>
            </w:pPr>
            <w:r>
              <w:rPr>
                <w:rFonts w:hint="eastAsia" w:ascii="宋体" w:hAnsi="宋体" w:cs="宋体"/>
                <w:b w:val="0"/>
                <w:bCs w:val="0"/>
                <w:color w:val="auto"/>
                <w:kern w:val="0"/>
                <w:sz w:val="21"/>
                <w:szCs w:val="21"/>
                <w:highlight w:val="none"/>
              </w:rPr>
              <w:t>招标人对中标人参与“百千万工程”的具体要求</w:t>
            </w:r>
          </w:p>
        </w:tc>
        <w:tc>
          <w:tcPr>
            <w:tcW w:w="3015" w:type="pct"/>
            <w:tcBorders>
              <w:top w:val="single" w:color="auto" w:sz="4" w:space="0"/>
              <w:left w:val="single" w:color="auto" w:sz="4" w:space="0"/>
              <w:bottom w:val="single" w:color="auto" w:sz="4" w:space="0"/>
              <w:right w:val="double" w:color="auto" w:sz="4" w:space="0"/>
            </w:tcBorders>
            <w:vAlign w:val="center"/>
          </w:tcPr>
          <w:p w14:paraId="56B7B06C">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说明与要求：</w:t>
            </w:r>
          </w:p>
          <w:p w14:paraId="6961B804">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具体要求在中标后按照投标承诺和招标人的要求执行。</w:t>
            </w:r>
          </w:p>
          <w:p w14:paraId="62AAE94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cs="宋体"/>
                <w:color w:val="auto"/>
                <w:szCs w:val="21"/>
                <w:highlight w:val="none"/>
                <w:u w:val="single"/>
              </w:rPr>
            </w:pPr>
            <w:r>
              <w:rPr>
                <w:rFonts w:hint="eastAsia" w:ascii="宋体" w:hAnsi="宋体" w:cs="宋体"/>
                <w:b/>
                <w:color w:val="auto"/>
                <w:sz w:val="21"/>
                <w:szCs w:val="21"/>
                <w:highlight w:val="none"/>
                <w:u w:val="single"/>
              </w:rPr>
              <w:t>如政府部门有“百千万工程”相关要求，中标人须无条件配合。</w:t>
            </w:r>
          </w:p>
        </w:tc>
      </w:tr>
      <w:tr w14:paraId="57265B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69" w:type="pct"/>
            <w:tcBorders>
              <w:top w:val="single" w:color="auto" w:sz="4" w:space="0"/>
              <w:left w:val="double" w:color="auto" w:sz="4" w:space="0"/>
              <w:bottom w:val="single" w:color="auto" w:sz="4" w:space="0"/>
              <w:right w:val="single" w:color="auto" w:sz="4" w:space="0"/>
            </w:tcBorders>
            <w:shd w:val="clear" w:color="auto" w:fill="auto"/>
            <w:vAlign w:val="center"/>
          </w:tcPr>
          <w:p w14:paraId="65483D2C">
            <w:pPr>
              <w:spacing w:line="360" w:lineRule="auto"/>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rPr>
              <w:t>39</w:t>
            </w:r>
          </w:p>
        </w:tc>
        <w:tc>
          <w:tcPr>
            <w:tcW w:w="523" w:type="pct"/>
            <w:tcBorders>
              <w:top w:val="single" w:color="auto" w:sz="4" w:space="0"/>
              <w:left w:val="single" w:color="auto" w:sz="4" w:space="0"/>
              <w:bottom w:val="single" w:color="auto" w:sz="4" w:space="0"/>
              <w:right w:val="single" w:color="auto" w:sz="4" w:space="0"/>
            </w:tcBorders>
            <w:vAlign w:val="center"/>
          </w:tcPr>
          <w:p w14:paraId="6FCDA60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4E0D4C31">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color w:val="auto"/>
                <w:szCs w:val="21"/>
                <w:highlight w:val="none"/>
                <w:u w:val="single"/>
                <w:lang w:val="en-US" w:eastAsia="zh-CN"/>
              </w:rPr>
            </w:pPr>
            <w:r>
              <w:rPr>
                <w:rFonts w:hint="eastAsia" w:ascii="宋体" w:hAnsi="宋体" w:cs="宋体"/>
                <w:b w:val="0"/>
                <w:bCs w:val="0"/>
                <w:color w:val="auto"/>
                <w:kern w:val="0"/>
                <w:sz w:val="21"/>
                <w:szCs w:val="21"/>
                <w:highlight w:val="none"/>
                <w:u w:val="single"/>
              </w:rPr>
              <w:t>是否授权评标委员会确定中标人</w:t>
            </w:r>
          </w:p>
        </w:tc>
        <w:tc>
          <w:tcPr>
            <w:tcW w:w="3015" w:type="pct"/>
            <w:tcBorders>
              <w:top w:val="single" w:color="auto" w:sz="4" w:space="0"/>
              <w:left w:val="single" w:color="auto" w:sz="4" w:space="0"/>
              <w:bottom w:val="single" w:color="auto" w:sz="4" w:space="0"/>
              <w:right w:val="double" w:color="auto" w:sz="4" w:space="0"/>
            </w:tcBorders>
            <w:vAlign w:val="center"/>
          </w:tcPr>
          <w:p w14:paraId="563BF96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color w:val="auto"/>
                <w:szCs w:val="21"/>
                <w:highlight w:val="none"/>
                <w:u w:val="single"/>
                <w:lang w:val="en-US" w:eastAsia="zh-CN"/>
              </w:rPr>
            </w:pPr>
            <w:r>
              <w:rPr>
                <w:rFonts w:hint="eastAsia" w:ascii="宋体" w:hAnsi="宋体" w:cs="宋体"/>
                <w:b w:val="0"/>
                <w:bCs/>
                <w:color w:val="auto"/>
                <w:sz w:val="21"/>
                <w:szCs w:val="21"/>
                <w:highlight w:val="none"/>
                <w:u w:val="single"/>
              </w:rPr>
              <w:t>否</w:t>
            </w:r>
          </w:p>
        </w:tc>
      </w:tr>
      <w:tr w14:paraId="08CABB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69" w:type="pct"/>
            <w:tcBorders>
              <w:top w:val="single" w:color="auto" w:sz="4" w:space="0"/>
              <w:left w:val="double" w:color="auto" w:sz="4" w:space="0"/>
              <w:bottom w:val="single" w:color="auto" w:sz="4" w:space="0"/>
              <w:right w:val="single" w:color="auto" w:sz="4" w:space="0"/>
            </w:tcBorders>
            <w:shd w:val="clear" w:color="auto" w:fill="auto"/>
            <w:vAlign w:val="center"/>
          </w:tcPr>
          <w:p w14:paraId="2941FEB5">
            <w:pPr>
              <w:spacing w:line="360" w:lineRule="auto"/>
              <w:rPr>
                <w:rFonts w:hint="default"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lang w:val="en-US" w:eastAsia="zh-CN"/>
              </w:rPr>
              <w:t>40</w:t>
            </w:r>
          </w:p>
        </w:tc>
        <w:tc>
          <w:tcPr>
            <w:tcW w:w="523" w:type="pct"/>
            <w:tcBorders>
              <w:top w:val="single" w:color="auto" w:sz="4" w:space="0"/>
              <w:left w:val="single" w:color="auto" w:sz="4" w:space="0"/>
              <w:bottom w:val="single" w:color="auto" w:sz="4" w:space="0"/>
              <w:right w:val="single" w:color="auto" w:sz="4" w:space="0"/>
            </w:tcBorders>
            <w:vAlign w:val="center"/>
          </w:tcPr>
          <w:p w14:paraId="4912C85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shd w:val="clear" w:color="auto" w:fill="auto"/>
            <w:vAlign w:val="center"/>
          </w:tcPr>
          <w:p w14:paraId="7E835DB8">
            <w:pPr>
              <w:spacing w:line="360" w:lineRule="auto"/>
              <w:rPr>
                <w:rFonts w:hint="eastAsia" w:ascii="宋体" w:hAnsi="宋体" w:eastAsia="宋体" w:cs="宋体"/>
                <w:color w:val="auto"/>
                <w:kern w:val="2"/>
                <w:sz w:val="21"/>
                <w:szCs w:val="21"/>
                <w:highlight w:val="none"/>
                <w:u w:val="single"/>
                <w:lang w:val="en-US" w:eastAsia="zh-CN" w:bidi="ar-SA"/>
              </w:rPr>
            </w:pPr>
            <w:r>
              <w:rPr>
                <w:rFonts w:hint="default" w:ascii="宋体" w:hAnsi="宋体" w:eastAsia="宋体" w:cs="宋体"/>
                <w:color w:val="auto"/>
                <w:szCs w:val="21"/>
                <w:highlight w:val="none"/>
                <w:u w:val="single"/>
                <w:lang w:val="en-US" w:eastAsia="zh-CN"/>
              </w:rPr>
              <w:t>招标代理服务费</w:t>
            </w:r>
          </w:p>
        </w:tc>
        <w:tc>
          <w:tcPr>
            <w:tcW w:w="3015" w:type="pct"/>
            <w:tcBorders>
              <w:top w:val="single" w:color="auto" w:sz="4" w:space="0"/>
              <w:left w:val="single" w:color="auto" w:sz="4" w:space="0"/>
              <w:bottom w:val="single" w:color="auto" w:sz="4" w:space="0"/>
              <w:right w:val="double" w:color="auto" w:sz="4" w:space="0"/>
            </w:tcBorders>
            <w:shd w:val="clear" w:color="auto" w:fill="auto"/>
            <w:vAlign w:val="center"/>
          </w:tcPr>
          <w:p w14:paraId="5AAA0DEF">
            <w:pPr>
              <w:spacing w:line="360" w:lineRule="auto"/>
              <w:rPr>
                <w:rFonts w:hint="eastAsia" w:ascii="宋体" w:hAnsi="宋体" w:eastAsia="宋体" w:cs="宋体"/>
                <w:color w:val="auto"/>
                <w:kern w:val="2"/>
                <w:sz w:val="21"/>
                <w:szCs w:val="21"/>
                <w:highlight w:val="none"/>
                <w:u w:val="single"/>
                <w:lang w:val="en-US" w:eastAsia="zh-CN" w:bidi="ar-SA"/>
              </w:rPr>
            </w:pPr>
            <w:r>
              <w:rPr>
                <w:rFonts w:hint="default" w:ascii="宋体" w:hAnsi="宋体" w:eastAsia="宋体" w:cs="宋体"/>
                <w:color w:val="auto"/>
                <w:szCs w:val="21"/>
                <w:highlight w:val="none"/>
                <w:u w:val="single"/>
                <w:lang w:val="en-US" w:eastAsia="zh-CN"/>
              </w:rPr>
              <w:t>本项目招标代理服务费由中标人支付，</w:t>
            </w:r>
            <w:r>
              <w:rPr>
                <w:rFonts w:hint="eastAsia" w:ascii="宋体" w:hAnsi="宋体" w:cs="宋体"/>
                <w:color w:val="auto"/>
                <w:szCs w:val="21"/>
                <w:highlight w:val="none"/>
                <w:u w:val="single"/>
                <w:lang w:val="en-US" w:eastAsia="zh-CN"/>
              </w:rPr>
              <w:t>具体金额以招标人和招标代理机构签订的合同为准，</w:t>
            </w:r>
            <w:r>
              <w:rPr>
                <w:rFonts w:hint="default" w:ascii="宋体" w:hAnsi="宋体" w:eastAsia="宋体" w:cs="宋体"/>
                <w:color w:val="auto"/>
                <w:szCs w:val="21"/>
                <w:highlight w:val="none"/>
                <w:u w:val="single"/>
                <w:lang w:val="en-US" w:eastAsia="zh-CN"/>
              </w:rPr>
              <w:t>并在中标通知书</w:t>
            </w:r>
            <w:r>
              <w:rPr>
                <w:rFonts w:hint="eastAsia" w:ascii="宋体" w:hAnsi="宋体" w:cs="宋体"/>
                <w:color w:val="auto"/>
                <w:szCs w:val="21"/>
                <w:highlight w:val="none"/>
                <w:u w:val="single"/>
                <w:lang w:val="en-US" w:eastAsia="zh-CN"/>
              </w:rPr>
              <w:t>发放后5个工作日内</w:t>
            </w:r>
            <w:r>
              <w:rPr>
                <w:rFonts w:hint="default" w:ascii="宋体" w:hAnsi="宋体" w:eastAsia="宋体" w:cs="宋体"/>
                <w:color w:val="auto"/>
                <w:szCs w:val="21"/>
                <w:highlight w:val="none"/>
                <w:u w:val="single"/>
                <w:lang w:val="en-US" w:eastAsia="zh-CN"/>
              </w:rPr>
              <w:t>将此费用支付给招标代理单位。</w:t>
            </w:r>
          </w:p>
        </w:tc>
      </w:tr>
    </w:tbl>
    <w:p w14:paraId="6AC8CD8C">
      <w:pPr>
        <w:pStyle w:val="3"/>
        <w:spacing w:line="360" w:lineRule="auto"/>
        <w:rPr>
          <w:rFonts w:hint="eastAsia"/>
          <w:color w:val="auto"/>
          <w:highlight w:val="none"/>
        </w:rPr>
      </w:pPr>
      <w:r>
        <w:rPr>
          <w:rFonts w:hint="eastAsia"/>
          <w:color w:val="auto"/>
          <w:highlight w:val="none"/>
        </w:rPr>
        <w:br w:type="page"/>
      </w:r>
      <w:bookmarkStart w:id="27" w:name="_Toc8522"/>
      <w:bookmarkStart w:id="28" w:name="_Toc2272547"/>
      <w:bookmarkStart w:id="29" w:name="_Toc13369"/>
      <w:bookmarkStart w:id="30" w:name="_Toc20925"/>
      <w:bookmarkStart w:id="31" w:name="_Toc25257"/>
      <w:bookmarkStart w:id="32" w:name="_Toc13635"/>
      <w:bookmarkStart w:id="33" w:name="_Toc9161"/>
      <w:bookmarkStart w:id="34" w:name="_Toc21367"/>
      <w:bookmarkStart w:id="35" w:name="_Toc10170"/>
      <w:bookmarkStart w:id="36" w:name="_Toc15392"/>
      <w:bookmarkStart w:id="37" w:name="_Toc22003"/>
      <w:bookmarkStart w:id="38" w:name="_Toc27741"/>
      <w:bookmarkStart w:id="39" w:name="_Toc17688"/>
      <w:r>
        <w:rPr>
          <w:rFonts w:hint="eastAsia"/>
          <w:color w:val="auto"/>
          <w:highlight w:val="none"/>
        </w:rPr>
        <w:t>二、投标须知修改表</w:t>
      </w:r>
      <w:bookmarkEnd w:id="27"/>
      <w:bookmarkEnd w:id="28"/>
      <w:bookmarkEnd w:id="29"/>
      <w:bookmarkEnd w:id="30"/>
      <w:bookmarkEnd w:id="31"/>
      <w:bookmarkEnd w:id="32"/>
      <w:bookmarkEnd w:id="33"/>
      <w:bookmarkEnd w:id="34"/>
      <w:bookmarkEnd w:id="35"/>
      <w:bookmarkEnd w:id="36"/>
      <w:bookmarkEnd w:id="37"/>
      <w:bookmarkEnd w:id="38"/>
      <w:bookmarkEnd w:id="39"/>
    </w:p>
    <w:p w14:paraId="4A560460">
      <w:pPr>
        <w:pStyle w:val="23"/>
        <w:pBdr>
          <w:bottom w:val="single" w:color="auto" w:sz="6" w:space="1"/>
        </w:pBdr>
        <w:spacing w:after="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w:t>
      </w:r>
      <w:r>
        <w:rPr>
          <w:rFonts w:hint="eastAsia" w:ascii="宋体" w:hAnsi="宋体" w:eastAsia="宋体" w:cs="宋体"/>
          <w:b/>
          <w:color w:val="auto"/>
          <w:szCs w:val="21"/>
          <w:highlight w:val="none"/>
          <w:u w:val="single"/>
        </w:rPr>
        <w:t>网址：http://zfcj.gz.gov.cn/</w:t>
      </w:r>
      <w:r>
        <w:rPr>
          <w:rFonts w:hint="eastAsia" w:ascii="宋体" w:hAnsi="宋体" w:eastAsia="宋体" w:cs="宋体"/>
          <w:b/>
          <w:color w:val="auto"/>
          <w:szCs w:val="21"/>
          <w:highlight w:val="none"/>
        </w:rPr>
        <w:t>）下载查阅。</w:t>
      </w:r>
    </w:p>
    <w:p w14:paraId="6977C4E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条款号：2.5                          修改类型：增加</w:t>
      </w:r>
    </w:p>
    <w:p w14:paraId="55B5D170">
      <w:pPr>
        <w:pStyle w:val="23"/>
        <w:pBdr>
          <w:bottom w:val="single" w:color="auto" w:sz="6" w:space="1"/>
        </w:pBdr>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2.5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13A2DED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条款号：5.1                          修改类型：修改</w:t>
      </w:r>
    </w:p>
    <w:p w14:paraId="4AE6DB4A">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：5.1</w:t>
      </w:r>
      <w:r>
        <w:rPr>
          <w:rFonts w:hint="eastAsia" w:ascii="宋体" w:hAnsi="宋体" w:cs="宋体"/>
          <w:bCs/>
          <w:color w:val="auto"/>
          <w:szCs w:val="21"/>
          <w:highlight w:val="none"/>
        </w:rPr>
        <w:t>投标人应按本投标须知前附表第15项所述时间和要求对工程现场及周围环境进行踏勘，</w:t>
      </w:r>
      <w:r>
        <w:rPr>
          <w:rFonts w:hint="eastAsia" w:ascii="宋体" w:hAnsi="宋体" w:cs="宋体"/>
          <w:color w:val="auto"/>
          <w:szCs w:val="21"/>
          <w:highlight w:val="none"/>
        </w:rPr>
        <w:t>投标人应充分重视和仔细地进行这种考察，</w:t>
      </w:r>
      <w:r>
        <w:rPr>
          <w:rFonts w:hint="eastAsia" w:ascii="宋体" w:hAnsi="宋体" w:cs="宋体"/>
          <w:bCs/>
          <w:color w:val="auto"/>
          <w:szCs w:val="21"/>
          <w:highlight w:val="none"/>
        </w:rPr>
        <w:t>以便投标人获取</w:t>
      </w:r>
      <w:r>
        <w:rPr>
          <w:rFonts w:hint="eastAsia" w:ascii="宋体" w:hAnsi="宋体" w:cs="宋体"/>
          <w:color w:val="auto"/>
          <w:szCs w:val="21"/>
          <w:highlight w:val="none"/>
        </w:rPr>
        <w:t>那些须投标人自己负责的</w:t>
      </w:r>
      <w:r>
        <w:rPr>
          <w:rFonts w:hint="eastAsia" w:ascii="宋体" w:hAnsi="宋体" w:cs="宋体"/>
          <w:bCs/>
          <w:color w:val="auto"/>
          <w:szCs w:val="21"/>
          <w:highlight w:val="none"/>
        </w:rPr>
        <w:t>有关编制投标文件和签署合同所涉及现场所有的资料。</w:t>
      </w:r>
      <w:r>
        <w:rPr>
          <w:rFonts w:hint="eastAsia" w:ascii="宋体" w:hAnsi="宋体" w:cs="宋体"/>
          <w:color w:val="auto"/>
          <w:szCs w:val="21"/>
          <w:highlight w:val="none"/>
        </w:rPr>
        <w:t>一旦中标，这种考察即被认为其结果已在中标文件中得到充分反映。考察现场的费用由投标人自己承担。</w:t>
      </w:r>
    </w:p>
    <w:p w14:paraId="34326999">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auto"/>
          <w:szCs w:val="21"/>
          <w:highlight w:val="none"/>
          <w:u w:val="single"/>
        </w:rPr>
        <w:t>，投标人不进行踏勘的，视为已熟知现场条件，自行承担相关风险</w:t>
      </w:r>
      <w:r>
        <w:rPr>
          <w:rFonts w:hint="eastAsia" w:ascii="宋体" w:hAnsi="宋体" w:cs="宋体"/>
          <w:color w:val="auto"/>
          <w:szCs w:val="21"/>
          <w:highlight w:val="none"/>
        </w:rPr>
        <w:t>。一旦中标，这种考察即被认为其结果已在中标文件中得到充分反映。</w:t>
      </w:r>
      <w:r>
        <w:rPr>
          <w:rFonts w:hint="eastAsia" w:ascii="宋体" w:hAnsi="宋体" w:cs="宋体"/>
          <w:color w:val="auto"/>
          <w:szCs w:val="21"/>
          <w:highlight w:val="none"/>
          <w:u w:val="single"/>
        </w:rPr>
        <w:t>招标人不受理因投标人缺乏对现场条件的了解或掌握而提出的任何索赔。</w:t>
      </w:r>
      <w:r>
        <w:rPr>
          <w:rFonts w:hint="eastAsia" w:ascii="宋体" w:hAnsi="宋体" w:cs="宋体"/>
          <w:color w:val="auto"/>
          <w:szCs w:val="21"/>
          <w:highlight w:val="none"/>
        </w:rPr>
        <w:t>考察现场的费用由投标人自己承担。</w:t>
      </w:r>
    </w:p>
    <w:p w14:paraId="1E67E52D">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条款号：7.1              修改类型：修改</w:t>
      </w:r>
    </w:p>
    <w:p w14:paraId="30F3077F">
      <w:pPr>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7.1本招标文件包括下列文件，以及所有按本须知第8条发出的招标答疑会会议纪要和按本须知第9条发出的澄清或修改：</w:t>
      </w:r>
    </w:p>
    <w:p w14:paraId="589D2F39">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第一章  投标须知</w:t>
      </w:r>
    </w:p>
    <w:p w14:paraId="1FC34CDB">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第二章  开标、评标及定标办法</w:t>
      </w:r>
    </w:p>
    <w:p w14:paraId="70F53F33">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第三章  合同条款</w:t>
      </w:r>
    </w:p>
    <w:p w14:paraId="339F5503">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第四章  投标文件格式</w:t>
      </w:r>
    </w:p>
    <w:p w14:paraId="2B81A78B">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第五章  技术条件（工程建设标准）（另册）</w:t>
      </w:r>
    </w:p>
    <w:p w14:paraId="7C4BE619">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第六章  图纸及勘察资料（另册）</w:t>
      </w:r>
    </w:p>
    <w:p w14:paraId="52F09581">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第七章  招标工程量清单（另册）</w:t>
      </w:r>
    </w:p>
    <w:p w14:paraId="6F0BED5D">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第八章  最高投标限价</w:t>
      </w:r>
    </w:p>
    <w:p w14:paraId="0C5F8241">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386E9D4C">
      <w:pPr>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7.1本招标文件包括下列文件，以及所有按本须知第8条发出的招标答疑会会议纪要和按本须知第9条发出的澄清或修改：</w:t>
      </w:r>
    </w:p>
    <w:p w14:paraId="55BABD90">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第一章  投标须知</w:t>
      </w:r>
    </w:p>
    <w:p w14:paraId="6CB68D86">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第二章  开标、评标及定标办法</w:t>
      </w:r>
    </w:p>
    <w:p w14:paraId="2A680F16">
      <w:pPr>
        <w:spacing w:line="360" w:lineRule="auto"/>
        <w:ind w:firstLine="470" w:firstLineChars="224"/>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第三章  合同条款</w:t>
      </w:r>
    </w:p>
    <w:p w14:paraId="02B3D0CB">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第四章  投标文件格式</w:t>
      </w:r>
    </w:p>
    <w:p w14:paraId="12DAE3C1">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第五章  技术条件（工程建设标准）</w:t>
      </w:r>
    </w:p>
    <w:p w14:paraId="32146D1D">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w:t>
      </w:r>
      <w:r>
        <w:rPr>
          <w:rFonts w:hint="eastAsia" w:ascii="宋体" w:hAnsi="宋体" w:cs="宋体"/>
          <w:bCs/>
          <w:color w:val="auto"/>
          <w:szCs w:val="21"/>
          <w:highlight w:val="none"/>
          <w:lang w:val="en-US" w:eastAsia="zh-CN"/>
        </w:rPr>
        <w:t>六</w:t>
      </w:r>
      <w:r>
        <w:rPr>
          <w:rFonts w:hint="eastAsia" w:ascii="宋体" w:hAnsi="宋体" w:cs="宋体"/>
          <w:bCs/>
          <w:color w:val="auto"/>
          <w:szCs w:val="21"/>
          <w:highlight w:val="none"/>
        </w:rPr>
        <w:t>章  招标工程量清单（另册）</w:t>
      </w:r>
    </w:p>
    <w:p w14:paraId="6D737226">
      <w:pPr>
        <w:spacing w:line="360" w:lineRule="auto"/>
        <w:ind w:firstLine="470" w:firstLineChars="224"/>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第</w:t>
      </w:r>
      <w:r>
        <w:rPr>
          <w:rFonts w:hint="eastAsia" w:ascii="宋体" w:hAnsi="宋体" w:cs="宋体"/>
          <w:bCs/>
          <w:color w:val="auto"/>
          <w:szCs w:val="21"/>
          <w:highlight w:val="none"/>
          <w:u w:val="single"/>
          <w:lang w:val="en-US" w:eastAsia="zh-CN"/>
        </w:rPr>
        <w:t>七</w:t>
      </w:r>
      <w:r>
        <w:rPr>
          <w:rFonts w:hint="eastAsia" w:ascii="宋体" w:hAnsi="宋体" w:cs="宋体"/>
          <w:bCs/>
          <w:color w:val="auto"/>
          <w:szCs w:val="21"/>
          <w:highlight w:val="none"/>
          <w:u w:val="single"/>
        </w:rPr>
        <w:t>章  最高投标限价（另册）</w:t>
      </w:r>
    </w:p>
    <w:p w14:paraId="6A3FDE67">
      <w:pPr>
        <w:pBdr>
          <w:top w:val="none" w:color="auto" w:sz="0" w:space="1"/>
          <w:left w:val="none" w:color="auto" w:sz="0" w:space="4"/>
          <w:bottom w:val="single" w:color="auto" w:sz="4" w:space="1"/>
          <w:right w:val="none" w:color="auto" w:sz="0" w:space="4"/>
        </w:pBdr>
        <w:spacing w:line="360" w:lineRule="auto"/>
        <w:ind w:firstLine="470" w:firstLineChars="224"/>
        <w:rPr>
          <w:rFonts w:hint="eastAsia" w:ascii="宋体" w:hAnsi="宋体" w:cs="宋体"/>
          <w:color w:val="auto"/>
          <w:szCs w:val="21"/>
          <w:highlight w:val="none"/>
          <w:u w:val="single"/>
        </w:rPr>
      </w:pPr>
      <w:r>
        <w:rPr>
          <w:rFonts w:hint="eastAsia" w:ascii="宋体" w:hAnsi="宋体"/>
          <w:color w:val="auto"/>
          <w:szCs w:val="21"/>
          <w:highlight w:val="none"/>
        </w:rPr>
        <w:t>注：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p>
    <w:p w14:paraId="4AC9637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条款号：8.1                          修改类型：修改</w:t>
      </w:r>
    </w:p>
    <w:p w14:paraId="65872302">
      <w:pPr>
        <w:pStyle w:val="23"/>
        <w:pBdr>
          <w:bottom w:val="single" w:color="auto" w:sz="6" w:space="1"/>
        </w:pBdr>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8.1投标人若对招标文件（包括招标图纸）中有疑问，可以书面形式通过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交易平台提交给招标人或招标代理人，提交形式见本须知前附表第16项。</w:t>
      </w:r>
    </w:p>
    <w:p w14:paraId="48A53D58">
      <w:pPr>
        <w:pStyle w:val="23"/>
        <w:pBdr>
          <w:bottom w:val="single" w:color="auto" w:sz="6" w:space="1"/>
        </w:pBdr>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8.1</w:t>
      </w:r>
      <w:r>
        <w:rPr>
          <w:rFonts w:hint="eastAsia" w:ascii="宋体" w:hAnsi="宋体" w:eastAsia="宋体" w:cs="宋体"/>
          <w:bCs/>
          <w:color w:val="auto"/>
          <w:szCs w:val="21"/>
          <w:highlight w:val="none"/>
          <w:u w:val="single"/>
        </w:rPr>
        <w:t>投标人若对招标文件（包括招标清单、合同条款、最高投标限价）中有疑问，采用网上答疑方式进行，详见本须知前附表第16项。招标人或招标代理人将于本须知前附表第16项指定的地点（交易平台）和时间对疑问进行答复。</w:t>
      </w:r>
    </w:p>
    <w:p w14:paraId="46D9394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条款号：8.2                         修改类型：修改</w:t>
      </w:r>
    </w:p>
    <w:p w14:paraId="2985C297">
      <w:pPr>
        <w:pStyle w:val="23"/>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8.2招标答疑会会议纪要将在提交投标文件截止时间15日前在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 “项目答疑纪要”专区公开发布。答疑纪要一经在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交易平台发布，视作已发放给所有投标人。</w:t>
      </w:r>
    </w:p>
    <w:p w14:paraId="15E4BCA9">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8.2招标答疑文件将在提交投标文件截止时间15日前在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w:t>
      </w:r>
      <w:r>
        <w:rPr>
          <w:color w:val="auto"/>
          <w:highlight w:val="none"/>
        </w:rPr>
        <w:fldChar w:fldCharType="begin"/>
      </w:r>
      <w:r>
        <w:rPr>
          <w:color w:val="auto"/>
          <w:highlight w:val="none"/>
        </w:rPr>
        <w:instrText xml:space="preserve"> HYPERLINK "http://ggzy.gz.gov.cn/xmcxjsgc/index.jhtml" </w:instrText>
      </w:r>
      <w:r>
        <w:rPr>
          <w:color w:val="auto"/>
          <w:highlight w:val="none"/>
        </w:rPr>
        <w:fldChar w:fldCharType="separate"/>
      </w:r>
      <w:r>
        <w:rPr>
          <w:rFonts w:hint="eastAsia" w:ascii="宋体" w:hAnsi="宋体" w:cs="宋体"/>
          <w:color w:val="auto"/>
          <w:szCs w:val="21"/>
          <w:highlight w:val="none"/>
          <w:u w:val="single"/>
        </w:rPr>
        <w:t>项目查询(日程安排、答疑纪要)</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rPr>
        <w:t>”专区公开发布。答疑纪要一经在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交易平台发布，视作已发放给所有投标人。</w:t>
      </w:r>
    </w:p>
    <w:p w14:paraId="48E6852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条款号：8.3              修改类型：修改</w:t>
      </w:r>
    </w:p>
    <w:p w14:paraId="218A38B8">
      <w:pPr>
        <w:ind w:firstLine="482"/>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8.3</w:t>
      </w:r>
      <w:r>
        <w:rPr>
          <w:rFonts w:hint="eastAsia" w:ascii="宋体" w:hAnsi="宋体" w:cs="宋体"/>
          <w:color w:val="auto"/>
          <w:szCs w:val="21"/>
          <w:highlight w:val="none"/>
        </w:rPr>
        <w:t>答疑会会议纪要为招标文件的一部分。</w:t>
      </w:r>
    </w:p>
    <w:p w14:paraId="2D4FAC88">
      <w:pPr>
        <w:pBdr>
          <w:top w:val="none" w:color="auto" w:sz="0" w:space="1"/>
          <w:left w:val="none" w:color="auto" w:sz="0" w:space="4"/>
          <w:bottom w:val="single" w:color="auto" w:sz="4" w:space="1"/>
          <w:right w:val="none" w:color="auto" w:sz="0" w:space="4"/>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8.3</w:t>
      </w:r>
      <w:r>
        <w:rPr>
          <w:rFonts w:hint="eastAsia" w:ascii="宋体" w:hAnsi="宋体" w:cs="宋体"/>
          <w:bCs/>
          <w:color w:val="auto"/>
          <w:szCs w:val="21"/>
          <w:highlight w:val="none"/>
          <w:u w:val="single"/>
        </w:rPr>
        <w:t>招标答疑文件</w:t>
      </w:r>
      <w:r>
        <w:rPr>
          <w:rFonts w:hint="eastAsia" w:ascii="宋体" w:hAnsi="宋体" w:cs="宋体"/>
          <w:color w:val="auto"/>
          <w:szCs w:val="21"/>
          <w:highlight w:val="none"/>
        </w:rPr>
        <w:t>为招标文件的一部分。</w:t>
      </w:r>
    </w:p>
    <w:p w14:paraId="34C32B8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条款号：8.4             修改类型：修改</w:t>
      </w:r>
    </w:p>
    <w:p w14:paraId="729DA2B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8.4若招标答疑会会议纪要与招标文件有矛盾，以答疑会议纪要最后发出的书面形式的文件为准。</w:t>
      </w:r>
    </w:p>
    <w:p w14:paraId="0B053829">
      <w:pPr>
        <w:pBdr>
          <w:bottom w:val="single" w:color="auto" w:sz="6" w:space="1"/>
        </w:pBdr>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8.4若招标答疑文件与招标文件有矛盾时，以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网站最后发布的答疑纪要为准。</w:t>
      </w:r>
    </w:p>
    <w:p w14:paraId="2F0757B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条款号：9.2                         修改类型：修改</w:t>
      </w:r>
    </w:p>
    <w:p w14:paraId="375753D0">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交易平台“项目答疑纪要”专区公开发布。答疑纪要一经在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交易平台上网发布时间作为送达时间。</w:t>
      </w:r>
    </w:p>
    <w:p w14:paraId="5807E9F6">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w:t>
      </w:r>
      <w:r>
        <w:rPr>
          <w:color w:val="auto"/>
          <w:highlight w:val="none"/>
        </w:rPr>
        <w:fldChar w:fldCharType="begin"/>
      </w:r>
      <w:r>
        <w:rPr>
          <w:color w:val="auto"/>
          <w:highlight w:val="none"/>
        </w:rPr>
        <w:instrText xml:space="preserve"> HYPERLINK "http://ggzy.gz.gov.cn/xmcxjsgc/index.jhtml" </w:instrText>
      </w:r>
      <w:r>
        <w:rPr>
          <w:color w:val="auto"/>
          <w:highlight w:val="none"/>
        </w:rPr>
        <w:fldChar w:fldCharType="separate"/>
      </w:r>
      <w:r>
        <w:rPr>
          <w:rFonts w:hint="eastAsia" w:ascii="宋体" w:hAnsi="宋体" w:cs="宋体"/>
          <w:color w:val="auto"/>
          <w:szCs w:val="21"/>
          <w:highlight w:val="none"/>
          <w:u w:val="single"/>
        </w:rPr>
        <w:t>项目查询(日程安排、答疑纪要)</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rPr>
        <w:t>”专区公开发布。</w:t>
      </w:r>
      <w:r>
        <w:rPr>
          <w:rFonts w:hint="eastAsia" w:ascii="宋体" w:hAnsi="宋体" w:cs="宋体"/>
          <w:bCs/>
          <w:color w:val="auto"/>
          <w:szCs w:val="21"/>
          <w:highlight w:val="none"/>
          <w:u w:val="single"/>
        </w:rPr>
        <w:t>招标答疑文件</w:t>
      </w:r>
      <w:r>
        <w:rPr>
          <w:rFonts w:hint="eastAsia" w:ascii="宋体" w:hAnsi="宋体" w:cs="宋体"/>
          <w:color w:val="auto"/>
          <w:szCs w:val="21"/>
          <w:highlight w:val="none"/>
        </w:rPr>
        <w:t>一经在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交易平台上网发布时间作为送达时间。</w:t>
      </w:r>
    </w:p>
    <w:p w14:paraId="5FF8A60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条款号：9.4                         修改类型：修改</w:t>
      </w:r>
    </w:p>
    <w:p w14:paraId="17ED2483">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9.4招标文件的澄清或修改均以书面形式明确的内容为准。当招标文件的澄清、修改、补充等在同一内容的表述不一致时，以最后发出的书面形式的文件为准。</w:t>
      </w:r>
    </w:p>
    <w:p w14:paraId="330D8600">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9.4招标文件的澄清或修改均以</w:t>
      </w:r>
      <w:r>
        <w:rPr>
          <w:rFonts w:hint="eastAsia" w:ascii="宋体" w:hAnsi="宋体" w:cs="宋体"/>
          <w:color w:val="auto"/>
          <w:szCs w:val="21"/>
          <w:highlight w:val="none"/>
          <w:u w:val="single"/>
        </w:rPr>
        <w:t>广州交易集团有限公司（广州公共资源交易中心）交易平台发布</w:t>
      </w:r>
      <w:r>
        <w:rPr>
          <w:rFonts w:hint="eastAsia" w:ascii="宋体" w:hAnsi="宋体" w:cs="宋体"/>
          <w:color w:val="auto"/>
          <w:szCs w:val="21"/>
          <w:highlight w:val="none"/>
        </w:rPr>
        <w:t>的内容为准。当招标文件的澄清、修改、补充等在同一内容的表述不一致时，以</w:t>
      </w:r>
      <w:r>
        <w:rPr>
          <w:rFonts w:hint="eastAsia" w:ascii="宋体" w:hAnsi="宋体" w:cs="宋体"/>
          <w:color w:val="auto"/>
          <w:szCs w:val="21"/>
          <w:highlight w:val="none"/>
          <w:u w:val="single"/>
        </w:rPr>
        <w:t>广州交易集团有限公司（广州公共资源交易中心）交易平台</w:t>
      </w:r>
      <w:r>
        <w:rPr>
          <w:rFonts w:hint="eastAsia" w:ascii="宋体" w:hAnsi="宋体" w:cs="宋体"/>
          <w:color w:val="auto"/>
          <w:szCs w:val="21"/>
          <w:highlight w:val="none"/>
        </w:rPr>
        <w:t>最后发出的</w:t>
      </w:r>
      <w:r>
        <w:rPr>
          <w:rFonts w:hint="eastAsia" w:ascii="宋体" w:hAnsi="宋体" w:cs="宋体"/>
          <w:color w:val="auto"/>
          <w:szCs w:val="21"/>
          <w:highlight w:val="none"/>
          <w:u w:val="single"/>
        </w:rPr>
        <w:t>文件</w:t>
      </w:r>
      <w:r>
        <w:rPr>
          <w:rFonts w:hint="eastAsia" w:ascii="宋体" w:hAnsi="宋体" w:cs="宋体"/>
          <w:color w:val="auto"/>
          <w:szCs w:val="21"/>
          <w:highlight w:val="none"/>
        </w:rPr>
        <w:t>为准。</w:t>
      </w:r>
    </w:p>
    <w:p w14:paraId="50EDE31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条款号：11.2                       修改类型：修改</w:t>
      </w:r>
    </w:p>
    <w:p w14:paraId="2D1B2180">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原文：11.2投标文件技术标部分主要包括下列内容：</w:t>
      </w:r>
    </w:p>
    <w:p w14:paraId="794A805E">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11.2.1 技术投标文件（按招标文件的要求填写）；</w:t>
      </w:r>
    </w:p>
    <w:p w14:paraId="78FB83EA">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11.2.2 资格审查文件：</w:t>
      </w:r>
    </w:p>
    <w:p w14:paraId="521154E5">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（1）投标人声明； </w:t>
      </w:r>
    </w:p>
    <w:p w14:paraId="56CA2D8D">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（2）法定代表人证明书、法定代表人签字或盖章的本投标文件授权委托证明书；</w:t>
      </w:r>
    </w:p>
    <w:p w14:paraId="56AF5187">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（3）企业营业执照扫描件或电子证照；</w:t>
      </w:r>
    </w:p>
    <w:p w14:paraId="738E541E">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（4）企业资质证书扫描件或电子证照；</w:t>
      </w:r>
    </w:p>
    <w:p w14:paraId="295C58E0">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（5）建筑施工企业安全生产许可证扫描件或电子证照；</w:t>
      </w:r>
    </w:p>
    <w:p w14:paraId="1EECE2B7">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（6）项目负责人（按网上投标登记时选择拟投入本项目的项目负责人）</w:t>
      </w:r>
    </w:p>
    <w:p w14:paraId="67DFB31A">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（7）专职安全员（按网上投标登记时选择拟投入本项目的专职安全员）</w:t>
      </w:r>
    </w:p>
    <w:p w14:paraId="7D626263">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（8）拟委托技术负责人的相关证书、资料（具体要求由招标人明确）</w:t>
      </w:r>
    </w:p>
    <w:p w14:paraId="50B61D8B">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（9）拟委派项目负责人的有效期内的建造师注册证书扫描件或电子证书；</w:t>
      </w:r>
    </w:p>
    <w:p w14:paraId="07844F23">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（10）项目负责人在有效期内的安全生产考核合格证书（B类）或在有效期内的建筑施工企业项目负责人安全生产考核合格证书扫描件或电子证书；</w:t>
      </w:r>
    </w:p>
    <w:p w14:paraId="1576419C">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（11）专职安全员须具有在有效期内的安全生产考核合格证书（C类）或建筑施工企业专职安全生产管理人员安全生产考核合格证书扫描件或电子证书；</w:t>
      </w:r>
    </w:p>
    <w:p w14:paraId="3155D322">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（12）用于资格审查的业绩（设置业绩要求时选择此项，投标人须提供类似工程业绩的项目名称及项目编号，具体格式由招标人自定）；</w:t>
      </w:r>
    </w:p>
    <w:p w14:paraId="176B0D87">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（13）资格审查前，投标人须在广州市住房和城乡建设局建立企业信用档案，拟担任本工程项目负责人、专职安全员须是本企业信用档案中的在册人员；</w:t>
      </w:r>
    </w:p>
    <w:p w14:paraId="5F3DF20F">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21FCCDCA">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注：1.相关电子证书按规定需打印后手写本人签名的，应按照规定手写本人签名后再扫描提交。</w:t>
      </w:r>
    </w:p>
    <w:p w14:paraId="22BBDABB">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13511857">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11.2.3项目管理机构配备。</w:t>
      </w:r>
    </w:p>
    <w:p w14:paraId="781D6C0B">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14:paraId="4A720D45">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p>
    <w:p w14:paraId="31BCC11F">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（3）其他辅助说明资料。</w:t>
      </w:r>
    </w:p>
    <w:p w14:paraId="5B6F0C33">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14:paraId="2E48B4D7">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11.2.5施工组织设计或施工方案。</w:t>
      </w:r>
    </w:p>
    <w:p w14:paraId="3FC28C46">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（1）投标人在编制施工组织设计或施工方案时应按照招标人提出的施工现场建筑垃圾源头减量的具体要求以及建筑垃圾综合利用产品的使用要求提供相应措施。</w:t>
      </w:r>
    </w:p>
    <w:p w14:paraId="09972CBE">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353ECB52">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11.2.6按照招标文件要求填写的《参与编制技术标投标文件人员名单》。</w:t>
      </w:r>
    </w:p>
    <w:p w14:paraId="646E7C5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p>
    <w:p w14:paraId="2D65E93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11.2投标文件技术标部分</w:t>
      </w:r>
      <w:r>
        <w:rPr>
          <w:rFonts w:hint="eastAsia" w:ascii="宋体" w:hAnsi="宋体" w:cs="宋体"/>
          <w:color w:val="auto"/>
          <w:szCs w:val="21"/>
          <w:highlight w:val="none"/>
          <w:u w:val="single"/>
        </w:rPr>
        <w:t>（含资格审查文件）</w:t>
      </w:r>
      <w:r>
        <w:rPr>
          <w:rFonts w:hint="eastAsia" w:ascii="宋体" w:hAnsi="宋体" w:cs="宋体"/>
          <w:bCs/>
          <w:color w:val="auto"/>
          <w:szCs w:val="21"/>
          <w:highlight w:val="none"/>
        </w:rPr>
        <w:t>主要包括下列内容</w:t>
      </w:r>
      <w:r>
        <w:rPr>
          <w:rFonts w:hint="eastAsia" w:ascii="宋体" w:hAnsi="宋体" w:cs="宋体"/>
          <w:color w:val="auto"/>
          <w:szCs w:val="21"/>
          <w:highlight w:val="none"/>
          <w:u w:val="single"/>
        </w:rPr>
        <w:t>（除特别注明外，均为</w:t>
      </w:r>
      <w:r>
        <w:rPr>
          <w:rFonts w:hint="eastAsia" w:ascii="宋体" w:hAnsi="宋体" w:cs="宋体"/>
          <w:color w:val="auto"/>
          <w:szCs w:val="21"/>
          <w:highlight w:val="none"/>
          <w:u w:val="single"/>
          <w:lang w:val="en-US" w:eastAsia="zh-CN"/>
        </w:rPr>
        <w:t>清晰</w:t>
      </w:r>
      <w:r>
        <w:rPr>
          <w:rFonts w:hint="eastAsia" w:ascii="宋体" w:hAnsi="宋体" w:cs="宋体"/>
          <w:color w:val="auto"/>
          <w:szCs w:val="21"/>
          <w:highlight w:val="none"/>
          <w:u w:val="single"/>
        </w:rPr>
        <w:t>扫描件</w:t>
      </w:r>
      <w:r>
        <w:rPr>
          <w:rFonts w:hint="eastAsia" w:ascii="宋体" w:hAnsi="宋体" w:cs="宋体"/>
          <w:color w:val="auto"/>
          <w:szCs w:val="21"/>
          <w:highlight w:val="none"/>
          <w:u w:val="single"/>
          <w:lang w:val="en-US" w:eastAsia="zh-CN"/>
        </w:rPr>
        <w:t>（网页截图）</w:t>
      </w:r>
      <w:r>
        <w:rPr>
          <w:rFonts w:hint="eastAsia" w:ascii="宋体" w:hAnsi="宋体" w:cs="宋体"/>
          <w:color w:val="auto"/>
          <w:szCs w:val="21"/>
          <w:highlight w:val="none"/>
          <w:u w:val="single"/>
        </w:rPr>
        <w:t>即可）</w:t>
      </w:r>
      <w:r>
        <w:rPr>
          <w:rFonts w:hint="eastAsia" w:ascii="宋体" w:hAnsi="宋体" w:cs="宋体"/>
          <w:bCs/>
          <w:color w:val="auto"/>
          <w:szCs w:val="21"/>
          <w:highlight w:val="none"/>
        </w:rPr>
        <w:t>:</w:t>
      </w:r>
    </w:p>
    <w:p w14:paraId="477FE3BB">
      <w:pPr>
        <w:spacing w:line="360" w:lineRule="auto"/>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11.2.1</w:t>
      </w:r>
      <w:r>
        <w:rPr>
          <w:rFonts w:hint="eastAsia" w:ascii="宋体" w:hAnsi="宋体" w:cs="宋体"/>
          <w:color w:val="auto"/>
          <w:szCs w:val="21"/>
          <w:highlight w:val="none"/>
          <w:u w:val="single"/>
        </w:rPr>
        <w:t>广州建设工程施工招标投标书（技术标）（格式见第四章）；</w:t>
      </w:r>
    </w:p>
    <w:p w14:paraId="70CCE43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11.2.2 资格审查文件：</w:t>
      </w:r>
    </w:p>
    <w:p w14:paraId="7052C71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eastAsia="宋体" w:cs="宋体"/>
          <w:bCs/>
          <w:color w:val="auto"/>
          <w:sz w:val="21"/>
          <w:szCs w:val="21"/>
          <w:highlight w:val="none"/>
          <w:u w:val="single"/>
        </w:rPr>
        <w:t>《投标人声明》</w:t>
      </w:r>
      <w:r>
        <w:rPr>
          <w:rFonts w:hint="eastAsia" w:ascii="宋体" w:hAnsi="宋体" w:eastAsia="宋体" w:cs="宋体"/>
          <w:color w:val="auto"/>
          <w:sz w:val="21"/>
          <w:szCs w:val="21"/>
          <w:highlight w:val="none"/>
          <w:u w:val="single"/>
        </w:rPr>
        <w:t>扫描件</w:t>
      </w:r>
      <w:r>
        <w:rPr>
          <w:rFonts w:hint="eastAsia" w:ascii="宋体" w:hAnsi="宋体" w:eastAsia="宋体" w:cs="宋体"/>
          <w:bCs/>
          <w:color w:val="auto"/>
          <w:sz w:val="21"/>
          <w:szCs w:val="21"/>
          <w:highlight w:val="none"/>
          <w:u w:val="single"/>
        </w:rPr>
        <w:t>（须按招标公告附件内容及格式要求编制）</w:t>
      </w:r>
      <w:r>
        <w:rPr>
          <w:rFonts w:hint="eastAsia" w:ascii="宋体" w:hAnsi="宋体" w:cs="宋体"/>
          <w:bCs/>
          <w:color w:val="auto"/>
          <w:szCs w:val="21"/>
          <w:highlight w:val="none"/>
        </w:rPr>
        <w:t>；</w:t>
      </w:r>
    </w:p>
    <w:p w14:paraId="1BA1F32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r>
        <w:rPr>
          <w:rFonts w:hint="eastAsia" w:ascii="宋体" w:hAnsi="宋体" w:cs="宋体"/>
          <w:bCs/>
          <w:color w:val="auto"/>
          <w:szCs w:val="21"/>
          <w:highlight w:val="none"/>
          <w:u w:val="single"/>
        </w:rPr>
        <w:t>扫描件（如出具授权委托书，需后附授权人2025年</w:t>
      </w:r>
      <w:r>
        <w:rPr>
          <w:rFonts w:hint="eastAsia" w:ascii="宋体" w:hAnsi="宋体" w:cs="宋体"/>
          <w:bCs/>
          <w:color w:val="auto"/>
          <w:szCs w:val="21"/>
          <w:highlight w:val="none"/>
          <w:u w:val="single"/>
          <w:lang w:val="en-US" w:eastAsia="zh-CN"/>
        </w:rPr>
        <w:t>7</w:t>
      </w:r>
      <w:r>
        <w:rPr>
          <w:rFonts w:hint="eastAsia" w:ascii="宋体" w:hAnsi="宋体" w:cs="宋体"/>
          <w:bCs/>
          <w:color w:val="auto"/>
          <w:szCs w:val="21"/>
          <w:highlight w:val="none"/>
          <w:u w:val="single"/>
        </w:rPr>
        <w:t>月社保缴纳证明原件扫描件。）</w:t>
      </w:r>
      <w:r>
        <w:rPr>
          <w:rFonts w:hint="eastAsia" w:ascii="宋体" w:hAnsi="宋体" w:cs="宋体"/>
          <w:bCs/>
          <w:color w:val="auto"/>
          <w:szCs w:val="21"/>
          <w:highlight w:val="none"/>
        </w:rPr>
        <w:t>；</w:t>
      </w:r>
    </w:p>
    <w:p w14:paraId="3EC1898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14:paraId="6279AC3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（4）企业资质证书扫描件或电子证照</w:t>
      </w:r>
      <w:r>
        <w:rPr>
          <w:rFonts w:hint="eastAsia" w:ascii="宋体" w:hAnsi="宋体" w:eastAsia="宋体" w:cs="宋体"/>
          <w:bCs/>
          <w:color w:val="auto"/>
          <w:kern w:val="0"/>
          <w:sz w:val="21"/>
          <w:szCs w:val="21"/>
          <w:highlight w:val="none"/>
          <w:u w:val="single"/>
        </w:rPr>
        <w:t>或办理了资质延期的证明资料（如有，须符合招标公告第九条第4款注①的规定）</w:t>
      </w:r>
      <w:r>
        <w:rPr>
          <w:rFonts w:hint="eastAsia" w:ascii="宋体" w:hAnsi="宋体" w:cs="宋体"/>
          <w:bCs/>
          <w:color w:val="auto"/>
          <w:szCs w:val="21"/>
          <w:highlight w:val="none"/>
        </w:rPr>
        <w:t>；</w:t>
      </w:r>
    </w:p>
    <w:p w14:paraId="3AFB8C3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r>
        <w:rPr>
          <w:rFonts w:hint="eastAsia" w:ascii="宋体" w:hAnsi="宋体" w:eastAsia="宋体" w:cs="宋体"/>
          <w:bCs/>
          <w:color w:val="auto"/>
          <w:sz w:val="21"/>
          <w:szCs w:val="21"/>
          <w:highlight w:val="none"/>
        </w:rPr>
        <w:t>；</w:t>
      </w:r>
    </w:p>
    <w:p w14:paraId="03E3565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14:paraId="5828DDB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14:paraId="75407F7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（8）</w:t>
      </w:r>
      <w:r>
        <w:rPr>
          <w:rFonts w:hint="eastAsia" w:ascii="宋体" w:hAnsi="宋体" w:cs="宋体"/>
          <w:bCs/>
          <w:color w:val="auto"/>
          <w:szCs w:val="21"/>
          <w:highlight w:val="none"/>
          <w:u w:val="single"/>
        </w:rPr>
        <w:t>拟委派技术负责人的职称证书扫描件或电子证书；</w:t>
      </w:r>
    </w:p>
    <w:p w14:paraId="1B79177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（9）拟委派项目负责人的有效期内的建造师注册证书扫描件或电子证书；</w:t>
      </w:r>
    </w:p>
    <w:p w14:paraId="2E772E2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（10）项目负责人安全生产考核合格证明或在有效期内的安全考核合格证书（B类）或在有效期内的建筑施工企业项目负责人安全生产考核合格证书扫描件或电子证书；</w:t>
      </w:r>
    </w:p>
    <w:p w14:paraId="2C73BE1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（11）专职安全员须具有在有效期内的安全考核合格证书（C类）或在有效期内的建筑施工企业专职安全生产管理人员安全生产考核合格证书</w:t>
      </w:r>
      <w:r>
        <w:rPr>
          <w:rFonts w:hint="eastAsia" w:ascii="宋体" w:hAnsi="宋体" w:cs="宋体"/>
          <w:bCs/>
          <w:color w:val="auto"/>
          <w:szCs w:val="21"/>
          <w:highlight w:val="none"/>
          <w:u w:val="single"/>
        </w:rPr>
        <w:t>（C3）扫描件或电子证书</w:t>
      </w:r>
      <w:r>
        <w:rPr>
          <w:rFonts w:hint="eastAsia" w:ascii="宋体" w:hAnsi="宋体" w:cs="宋体"/>
          <w:bCs/>
          <w:color w:val="auto"/>
          <w:szCs w:val="21"/>
          <w:highlight w:val="none"/>
        </w:rPr>
        <w:t>；</w:t>
      </w:r>
    </w:p>
    <w:p w14:paraId="27AF5A3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资格审查前，</w:t>
      </w:r>
      <w:r>
        <w:rPr>
          <w:rFonts w:hint="eastAsia" w:ascii="宋体" w:hAnsi="宋体" w:eastAsia="宋体" w:cs="宋体"/>
          <w:bCs/>
          <w:color w:val="auto"/>
          <w:sz w:val="21"/>
          <w:szCs w:val="21"/>
          <w:highlight w:val="none"/>
          <w:u w:val="single"/>
        </w:rPr>
        <w:t>投标人须在广州交易集团有限公司（广州公共资源交易中心）办理企业信息登记及拟担任本工程项目负责人、专职安全员须是本企业信息登记信息中的在册人员</w:t>
      </w:r>
      <w:r>
        <w:rPr>
          <w:rFonts w:hint="eastAsia" w:ascii="宋体" w:hAnsi="宋体" w:cs="宋体"/>
          <w:bCs/>
          <w:color w:val="auto"/>
          <w:sz w:val="21"/>
          <w:szCs w:val="21"/>
          <w:highlight w:val="none"/>
          <w:u w:val="single"/>
          <w:lang w:eastAsia="zh-CN"/>
        </w:rPr>
        <w:t>（投标人无需提供证明材料）</w:t>
      </w:r>
      <w:r>
        <w:rPr>
          <w:rFonts w:hint="eastAsia" w:ascii="宋体" w:hAnsi="宋体" w:cs="宋体"/>
          <w:bCs/>
          <w:color w:val="auto"/>
          <w:szCs w:val="21"/>
          <w:highlight w:val="none"/>
        </w:rPr>
        <w:t>。</w:t>
      </w:r>
    </w:p>
    <w:p w14:paraId="5D9C2FFF">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）投标人未出现以下情形：与其它投标人的单位负责人为同一人或者存在控股、管理关系的（按投标人提供的《投标人声明》第</w:t>
      </w:r>
      <w:r>
        <w:rPr>
          <w:rFonts w:hint="eastAsia" w:ascii="宋体" w:hAnsi="宋体" w:cs="宋体"/>
          <w:bCs/>
          <w:color w:val="auto"/>
          <w:szCs w:val="21"/>
          <w:highlight w:val="none"/>
          <w:u w:val="single"/>
          <w:lang w:val="en-US" w:eastAsia="zh-CN"/>
        </w:rPr>
        <w:t>九</w:t>
      </w:r>
      <w:r>
        <w:rPr>
          <w:rFonts w:hint="eastAsia" w:ascii="宋体" w:hAnsi="宋体" w:cs="宋体"/>
          <w:bCs/>
          <w:color w:val="auto"/>
          <w:szCs w:val="21"/>
          <w:highlight w:val="none"/>
          <w:u w:val="single"/>
        </w:rPr>
        <w:t>条内容进行评审）。如不同投标申请人出现单位负责人为同一人或者存在控股、管理关系的情形，则判定为无效标。</w:t>
      </w:r>
    </w:p>
    <w:p w14:paraId="569961AB">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w:t>
      </w:r>
      <w:r>
        <w:rPr>
          <w:rFonts w:hint="eastAsia" w:ascii="宋体" w:hAnsi="宋体" w:eastAsia="宋体" w:cs="宋体"/>
          <w:bCs/>
          <w:color w:val="auto"/>
          <w:sz w:val="21"/>
          <w:szCs w:val="21"/>
          <w:highlight w:val="none"/>
          <w:u w:val="single"/>
        </w:rPr>
        <w:t>投标人未被列入拖欠农民工工资失信联合惩戒对象名单和失信被执行人</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（投标人无需提供资料，按投标截止时间广州交易集团有限公司（广州公共资源交易中心）交易系统比对的结果进行评审）</w:t>
      </w:r>
      <w:r>
        <w:rPr>
          <w:rFonts w:hint="eastAsia" w:ascii="宋体" w:hAnsi="宋体" w:cs="宋体"/>
          <w:bCs/>
          <w:color w:val="auto"/>
          <w:szCs w:val="21"/>
          <w:highlight w:val="none"/>
          <w:u w:val="single"/>
        </w:rPr>
        <w:t>。</w:t>
      </w:r>
    </w:p>
    <w:p w14:paraId="2B3BD883">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w:t>
      </w:r>
      <w:r>
        <w:rPr>
          <w:rFonts w:hint="eastAsia" w:ascii="宋体" w:hAnsi="宋体" w:eastAsia="宋体" w:cs="宋体"/>
          <w:bCs/>
          <w:color w:val="auto"/>
          <w:sz w:val="21"/>
          <w:szCs w:val="21"/>
          <w:highlight w:val="none"/>
          <w:u w:val="single"/>
          <w:shd w:val="clear" w:color="auto" w:fill="auto"/>
        </w:rPr>
        <w:t>投标人未在以往工程中因不充分履约行为被本项目招标人书面拒绝投标的企业名单</w:t>
      </w:r>
      <w:r>
        <w:rPr>
          <w:rFonts w:hint="eastAsia" w:ascii="宋体" w:hAnsi="宋体" w:cs="宋体"/>
          <w:bCs/>
          <w:color w:val="auto"/>
          <w:szCs w:val="21"/>
          <w:highlight w:val="none"/>
          <w:u w:val="single"/>
        </w:rPr>
        <w:t>（招标人无书面拒绝投标的企业名单）。</w:t>
      </w:r>
    </w:p>
    <w:p w14:paraId="6855A16A">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6</w:t>
      </w:r>
      <w:r>
        <w:rPr>
          <w:rFonts w:hint="eastAsia" w:ascii="宋体" w:hAnsi="宋体" w:cs="宋体"/>
          <w:bCs/>
          <w:color w:val="auto"/>
          <w:szCs w:val="21"/>
          <w:highlight w:val="none"/>
          <w:u w:val="single"/>
        </w:rPr>
        <w:t>）投标人认为应提供的其他资料。</w:t>
      </w:r>
    </w:p>
    <w:p w14:paraId="081C33B6">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u w:val="single"/>
        </w:rPr>
        <w:t>注：1、</w:t>
      </w:r>
      <w:r>
        <w:rPr>
          <w:rFonts w:hint="eastAsia" w:ascii="宋体" w:hAnsi="宋体" w:cs="宋体"/>
          <w:bCs/>
          <w:color w:val="auto"/>
          <w:szCs w:val="21"/>
          <w:highlight w:val="none"/>
          <w:u w:val="single"/>
        </w:rPr>
        <w:t>相关电子注册证书按规定需打印后手写本人签名的，应按照规定手写本人签名后再扫描提交。</w:t>
      </w:r>
    </w:p>
    <w:p w14:paraId="0D07CA35">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588956AA">
      <w:pPr>
        <w:pBdr>
          <w:bottom w:val="single" w:color="auto" w:sz="6" w:space="1"/>
        </w:pBd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u w:val="single"/>
        </w:rPr>
        <w:t>11.2.3《投标函》、《标函承诺书》、《项目负责人驻场承诺书》、《投入项目负责人及专职安全员承诺书》（格式见第四章）。</w:t>
      </w:r>
    </w:p>
    <w:p w14:paraId="682F91CE">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11.2.4《施工项目管理团队人员信息表》、《主要人员简历表》</w:t>
      </w:r>
      <w:r>
        <w:rPr>
          <w:rFonts w:hint="eastAsia" w:ascii="宋体" w:hAnsi="宋体" w:cs="宋体"/>
          <w:color w:val="auto"/>
          <w:szCs w:val="21"/>
          <w:highlight w:val="none"/>
          <w:u w:val="single"/>
          <w:lang w:eastAsia="zh-CN"/>
        </w:rPr>
        <w:t>、《拟投入本工程施工的主要机械设备配备表》</w:t>
      </w:r>
      <w:r>
        <w:rPr>
          <w:rFonts w:hint="eastAsia" w:ascii="宋体" w:hAnsi="宋体" w:cs="宋体"/>
          <w:color w:val="auto"/>
          <w:szCs w:val="21"/>
          <w:highlight w:val="none"/>
          <w:u w:val="single"/>
        </w:rPr>
        <w:t>（投标人需按相应表格备注要求提供相关资料）（格式见第四章）。</w:t>
      </w:r>
    </w:p>
    <w:p w14:paraId="7ADC8183">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11.2.5企业资信的证明材料（按附表四要求提交，招标文件有规定格式的，需按招标文件格式提供，无格式要求的，格式自拟）。</w:t>
      </w:r>
    </w:p>
    <w:p w14:paraId="2C4B28A7">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11.2.6《危险性较大的分部分项工程安全管理措施》（格式见第四章）。</w:t>
      </w:r>
    </w:p>
    <w:p w14:paraId="461A1F1F">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11.2.7《参与编制技术标投标文件人员名单》（格式见第四章）</w:t>
      </w:r>
      <w:r>
        <w:rPr>
          <w:rFonts w:hint="eastAsia" w:ascii="宋体" w:hAnsi="宋体" w:cs="宋体"/>
          <w:color w:val="auto"/>
          <w:szCs w:val="21"/>
          <w:highlight w:val="none"/>
        </w:rPr>
        <w:t>。</w:t>
      </w:r>
    </w:p>
    <w:p w14:paraId="00CE7D9D">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11.2.8</w:t>
      </w:r>
      <w:r>
        <w:rPr>
          <w:rFonts w:hint="eastAsia" w:ascii="宋体" w:hAnsi="宋体" w:cs="宋体"/>
          <w:bCs/>
          <w:color w:val="auto"/>
          <w:szCs w:val="21"/>
          <w:highlight w:val="none"/>
          <w:u w:val="single"/>
        </w:rPr>
        <w:t>投标人认为应提供的其他资料</w:t>
      </w:r>
      <w:r>
        <w:rPr>
          <w:rFonts w:hint="eastAsia" w:ascii="宋体" w:hAnsi="宋体" w:cs="宋体"/>
          <w:color w:val="auto"/>
          <w:szCs w:val="21"/>
          <w:highlight w:val="none"/>
          <w:u w:val="single"/>
        </w:rPr>
        <w:t>（如有）</w:t>
      </w:r>
      <w:r>
        <w:rPr>
          <w:rFonts w:hint="eastAsia" w:ascii="宋体" w:hAnsi="宋体" w:cs="宋体"/>
          <w:bCs/>
          <w:color w:val="auto"/>
          <w:szCs w:val="21"/>
          <w:highlight w:val="none"/>
          <w:u w:val="single"/>
        </w:rPr>
        <w:t>。</w:t>
      </w:r>
    </w:p>
    <w:p w14:paraId="7F58F3A2">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条款号：11.3                      修改类型：修改</w:t>
      </w:r>
    </w:p>
    <w:p w14:paraId="20DC20CD">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原文：</w:t>
      </w:r>
    </w:p>
    <w:p w14:paraId="3FF85DD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11.3经济部分投标文件主要包括下列内容：</w:t>
      </w:r>
    </w:p>
    <w:p w14:paraId="787759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11.3.1 经济投标文件(按招标文件的要求填写)。</w:t>
      </w:r>
    </w:p>
    <w:p w14:paraId="0580F3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1E709E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（1）投标总价封面、扉页；</w:t>
      </w:r>
    </w:p>
    <w:p w14:paraId="2DAC01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（2）总说明</w:t>
      </w:r>
    </w:p>
    <w:p w14:paraId="6B02B4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（3）工程项目投标报价汇总表；</w:t>
      </w:r>
    </w:p>
    <w:p w14:paraId="7D62F1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（4）单项工程投标报价汇总表；</w:t>
      </w:r>
    </w:p>
    <w:p w14:paraId="5B22F9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（5）单位工程投标报价汇总表；</w:t>
      </w:r>
    </w:p>
    <w:p w14:paraId="3D8C9F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（6）分部分项工程清单与计价表；</w:t>
      </w:r>
    </w:p>
    <w:p w14:paraId="5EAB96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（7）单价措施项目清单与计价表；</w:t>
      </w:r>
    </w:p>
    <w:p w14:paraId="453667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（8）总价措施项目清单与计价表；</w:t>
      </w:r>
    </w:p>
    <w:p w14:paraId="2E5B73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（9）综合单价分析表；</w:t>
      </w:r>
    </w:p>
    <w:p w14:paraId="7567B9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（10）其他项目清单与计价汇总表；</w:t>
      </w:r>
    </w:p>
    <w:p w14:paraId="2FF5BA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（11）暂列金额明细表；</w:t>
      </w:r>
    </w:p>
    <w:p w14:paraId="0BF0F8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（12）材料（工程设备）暂估价明细表；</w:t>
      </w:r>
    </w:p>
    <w:p w14:paraId="537E78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（13）专业工程暂估价明细表；</w:t>
      </w:r>
    </w:p>
    <w:p w14:paraId="314346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（14）计日工表；</w:t>
      </w:r>
    </w:p>
    <w:p w14:paraId="7A4219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（15）总承包服务计价表；</w:t>
      </w:r>
    </w:p>
    <w:p w14:paraId="033E6F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（16）规费和税金项目计价表；</w:t>
      </w:r>
    </w:p>
    <w:p w14:paraId="51B468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（17）人工、主要材料和设备一览表</w:t>
      </w:r>
    </w:p>
    <w:p w14:paraId="374353E6">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11.3.3按照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填写的《参与编制经济标投标文件人员名单》。</w:t>
      </w:r>
    </w:p>
    <w:p w14:paraId="1FA29BEB">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14:paraId="36F4B54C">
      <w:pPr>
        <w:pBdr>
          <w:bottom w:val="single" w:color="auto" w:sz="6" w:space="1"/>
        </w:pBd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现文：</w:t>
      </w:r>
    </w:p>
    <w:p w14:paraId="0D00E626">
      <w:pPr>
        <w:pBdr>
          <w:bottom w:val="single" w:color="auto" w:sz="6" w:space="1"/>
        </w:pBdr>
        <w:adjustRightInd w:val="0"/>
        <w:spacing w:line="360" w:lineRule="auto"/>
        <w:ind w:firstLine="420" w:firstLineChars="200"/>
        <w:textAlignment w:val="baseline"/>
        <w:rPr>
          <w:rFonts w:hint="eastAsia" w:ascii="宋体" w:hAnsi="宋体" w:cs="宋体"/>
          <w:b/>
          <w:color w:val="auto"/>
          <w:szCs w:val="21"/>
          <w:highlight w:val="none"/>
        </w:rPr>
      </w:pPr>
      <w:r>
        <w:rPr>
          <w:rFonts w:hint="eastAsia" w:ascii="宋体" w:hAnsi="宋体" w:cs="宋体"/>
          <w:bCs/>
          <w:color w:val="auto"/>
          <w:szCs w:val="21"/>
          <w:highlight w:val="none"/>
        </w:rPr>
        <w:t>11.3 经济标投标文件主要包括下列内容：</w:t>
      </w:r>
    </w:p>
    <w:p w14:paraId="7F9F924A">
      <w:pPr>
        <w:pBdr>
          <w:bottom w:val="single" w:color="auto" w:sz="6" w:space="1"/>
        </w:pBdr>
        <w:adjustRightInd w:val="0"/>
        <w:spacing w:line="360" w:lineRule="auto"/>
        <w:ind w:firstLine="420" w:firstLineChars="200"/>
        <w:textAlignment w:val="baseline"/>
        <w:rPr>
          <w:rFonts w:hint="eastAsia" w:ascii="宋体" w:hAnsi="宋体" w:cs="宋体"/>
          <w:bCs/>
          <w:color w:val="auto"/>
          <w:szCs w:val="21"/>
          <w:highlight w:val="none"/>
          <w:u w:val="single"/>
        </w:rPr>
      </w:pPr>
      <w:r>
        <w:rPr>
          <w:rFonts w:hint="eastAsia" w:ascii="宋体" w:hAnsi="宋体" w:cs="宋体"/>
          <w:color w:val="auto"/>
          <w:szCs w:val="21"/>
          <w:highlight w:val="none"/>
        </w:rPr>
        <w:t>11.3.1</w:t>
      </w:r>
      <w:r>
        <w:rPr>
          <w:rFonts w:hint="eastAsia" w:ascii="宋体" w:hAnsi="宋体" w:cs="宋体"/>
          <w:color w:val="auto"/>
          <w:szCs w:val="21"/>
          <w:highlight w:val="none"/>
          <w:u w:val="single"/>
        </w:rPr>
        <w:t>广州建设工程施工招标投标书（经济标）（格式见第四章）</w:t>
      </w:r>
      <w:r>
        <w:rPr>
          <w:rFonts w:hint="eastAsia" w:ascii="宋体" w:hAnsi="宋体" w:cs="宋体"/>
          <w:bCs/>
          <w:color w:val="auto"/>
          <w:szCs w:val="21"/>
          <w:highlight w:val="none"/>
          <w:u w:val="single"/>
        </w:rPr>
        <w:t>。</w:t>
      </w:r>
    </w:p>
    <w:p w14:paraId="59FC5258">
      <w:pPr>
        <w:pBdr>
          <w:bottom w:val="single" w:color="auto" w:sz="6" w:space="1"/>
        </w:pBdr>
        <w:adjustRightIn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和施工现场情况，结合企业成本、市场价格以及招标文件中载明的风险内容和范围等编制。其中包括如下：</w:t>
      </w:r>
    </w:p>
    <w:p w14:paraId="18107FFC">
      <w:pPr>
        <w:pBdr>
          <w:bottom w:val="single" w:color="auto" w:sz="6" w:space="1"/>
        </w:pBdr>
        <w:adjustRightIn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（1）投标总价封面、扉页；</w:t>
      </w:r>
    </w:p>
    <w:p w14:paraId="26A29658">
      <w:pPr>
        <w:pBdr>
          <w:bottom w:val="single" w:color="auto" w:sz="6" w:space="1"/>
        </w:pBdr>
        <w:adjustRightIn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（2）总说明；</w:t>
      </w:r>
    </w:p>
    <w:p w14:paraId="63B14DFE">
      <w:pPr>
        <w:pBdr>
          <w:bottom w:val="single" w:color="auto" w:sz="6" w:space="1"/>
        </w:pBdr>
        <w:adjustRightInd w:val="0"/>
        <w:spacing w:line="360" w:lineRule="auto"/>
        <w:ind w:firstLine="420" w:firstLineChars="200"/>
        <w:textAlignment w:val="baseline"/>
        <w:rPr>
          <w:rFonts w:hint="eastAsia" w:ascii="宋体" w:hAnsi="宋体" w:cs="宋体"/>
          <w:b/>
          <w:color w:val="auto"/>
          <w:szCs w:val="21"/>
          <w:highlight w:val="none"/>
        </w:rPr>
      </w:pPr>
      <w:r>
        <w:rPr>
          <w:rFonts w:hint="eastAsia" w:ascii="宋体" w:hAnsi="宋体" w:cs="宋体"/>
          <w:color w:val="auto"/>
          <w:szCs w:val="21"/>
          <w:highlight w:val="none"/>
          <w:u w:val="single"/>
        </w:rPr>
        <w:t>（3）工程量清单报价表及综合单价分析表（相关表格的内容及格式要求以招标人发出的最新版电子招标文件中的相应内容及格式为准）；</w:t>
      </w:r>
    </w:p>
    <w:p w14:paraId="3666FCBF">
      <w:pPr>
        <w:pBdr>
          <w:bottom w:val="single" w:color="auto" w:sz="6" w:space="1"/>
        </w:pBdr>
        <w:adjustRightIn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u w:val="single"/>
        </w:rPr>
        <w:t>（4）其它辅助说明资料（包括但不限于招标文件要求填写的《对投标文件编制的承诺》（格式见第四章））</w:t>
      </w:r>
      <w:r>
        <w:rPr>
          <w:rFonts w:hint="eastAsia" w:ascii="宋体" w:hAnsi="宋体" w:cs="宋体"/>
          <w:color w:val="auto"/>
          <w:szCs w:val="21"/>
          <w:highlight w:val="none"/>
        </w:rPr>
        <w:t>。</w:t>
      </w:r>
    </w:p>
    <w:p w14:paraId="0A82FC42">
      <w:pPr>
        <w:pBdr>
          <w:bottom w:val="single" w:color="auto" w:sz="6" w:space="1"/>
        </w:pBdr>
        <w:adjustRightIn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11.3.3按照招标文件要求填写的《参与编制经济标投标文件人员名单》</w:t>
      </w:r>
      <w:r>
        <w:rPr>
          <w:rFonts w:hint="eastAsia" w:ascii="宋体" w:hAnsi="宋体" w:cs="宋体"/>
          <w:color w:val="auto"/>
          <w:szCs w:val="21"/>
          <w:highlight w:val="none"/>
          <w:u w:val="single"/>
        </w:rPr>
        <w:t>（格式见第四章）</w:t>
      </w:r>
      <w:r>
        <w:rPr>
          <w:rFonts w:hint="eastAsia" w:ascii="宋体" w:hAnsi="宋体" w:cs="宋体"/>
          <w:color w:val="auto"/>
          <w:szCs w:val="21"/>
          <w:highlight w:val="none"/>
        </w:rPr>
        <w:t>。</w:t>
      </w:r>
    </w:p>
    <w:p w14:paraId="35003261">
      <w:pPr>
        <w:pBdr>
          <w:bottom w:val="single" w:color="auto" w:sz="6" w:space="1"/>
        </w:pBdr>
        <w:adjustRightIn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14:paraId="64FC88C0">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11.3.5投标人认为应提供的其他资料（如有）</w:t>
      </w:r>
      <w:r>
        <w:rPr>
          <w:rFonts w:hint="eastAsia" w:ascii="宋体" w:hAnsi="宋体" w:cs="宋体"/>
          <w:b/>
          <w:bCs/>
          <w:color w:val="auto"/>
          <w:szCs w:val="21"/>
          <w:highlight w:val="none"/>
          <w:u w:val="single"/>
        </w:rPr>
        <w:t>。</w:t>
      </w:r>
    </w:p>
    <w:p w14:paraId="31DDE2F3">
      <w:pPr>
        <w:adjustRightInd w:val="0"/>
        <w:spacing w:line="360" w:lineRule="auto"/>
        <w:ind w:firstLine="422" w:firstLineChars="200"/>
        <w:textAlignment w:val="baseline"/>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条款号：1</w:t>
      </w:r>
      <w:r>
        <w:rPr>
          <w:rFonts w:hint="eastAsia" w:ascii="宋体" w:hAnsi="宋体" w:cs="宋体"/>
          <w:b/>
          <w:color w:val="auto"/>
          <w:szCs w:val="21"/>
          <w:highlight w:val="none"/>
          <w:lang w:val="en-US" w:eastAsia="zh-CN"/>
        </w:rPr>
        <w:t>1.4</w:t>
      </w:r>
      <w:r>
        <w:rPr>
          <w:rFonts w:hint="eastAsia" w:ascii="宋体" w:hAnsi="宋体" w:cs="宋体"/>
          <w:b/>
          <w:color w:val="auto"/>
          <w:szCs w:val="21"/>
          <w:highlight w:val="none"/>
        </w:rPr>
        <w:t xml:space="preserve">                       修改类型：</w:t>
      </w:r>
      <w:r>
        <w:rPr>
          <w:rFonts w:hint="eastAsia" w:ascii="宋体" w:hAnsi="宋体" w:cs="宋体"/>
          <w:b/>
          <w:color w:val="auto"/>
          <w:szCs w:val="21"/>
          <w:highlight w:val="none"/>
          <w:lang w:val="en-US" w:eastAsia="zh-CN"/>
        </w:rPr>
        <w:t>新增</w:t>
      </w:r>
    </w:p>
    <w:p w14:paraId="149BF931">
      <w:pPr>
        <w:pBdr>
          <w:bottom w:val="single" w:color="auto" w:sz="6" w:space="1"/>
        </w:pBdr>
        <w:adjustRightInd w:val="0"/>
        <w:spacing w:line="360" w:lineRule="auto"/>
        <w:ind w:firstLine="422" w:firstLineChars="200"/>
        <w:textAlignment w:val="baseline"/>
        <w:rPr>
          <w:rFonts w:hint="eastAsia" w:ascii="宋体" w:hAnsi="宋体" w:cs="宋体"/>
          <w:b w:val="0"/>
          <w:bCs/>
          <w:color w:val="auto"/>
          <w:szCs w:val="21"/>
          <w:highlight w:val="none"/>
        </w:rPr>
      </w:pPr>
      <w:r>
        <w:rPr>
          <w:rFonts w:hint="eastAsia" w:ascii="宋体" w:hAnsi="宋体" w:cs="宋体"/>
          <w:b/>
          <w:color w:val="auto"/>
          <w:szCs w:val="21"/>
          <w:highlight w:val="none"/>
        </w:rPr>
        <w:t>现文：</w:t>
      </w:r>
      <w:r>
        <w:rPr>
          <w:rFonts w:hint="eastAsia" w:ascii="宋体" w:hAnsi="宋体" w:cs="宋体"/>
          <w:b w:val="0"/>
          <w:bCs/>
          <w:color w:val="auto"/>
          <w:szCs w:val="21"/>
          <w:highlight w:val="none"/>
        </w:rPr>
        <w:t>定标文件投标文件主要包括下列内容：</w:t>
      </w:r>
    </w:p>
    <w:p w14:paraId="20B0CF0A">
      <w:pPr>
        <w:pBdr>
          <w:bottom w:val="single" w:color="auto" w:sz="6" w:space="1"/>
        </w:pBdr>
        <w:adjustRightIn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b w:val="0"/>
          <w:bCs/>
          <w:color w:val="auto"/>
          <w:szCs w:val="21"/>
          <w:highlight w:val="none"/>
        </w:rPr>
        <w:t>定标评审方案因素按投标人提交的定标方案进行评审方案因素包含：①定标方案</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格式自拟</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rPr>
        <w:t>。定标评审价格因素按投标</w:t>
      </w:r>
      <w:r>
        <w:rPr>
          <w:rFonts w:hint="eastAsia" w:ascii="宋体" w:hAnsi="宋体" w:cs="宋体"/>
          <w:b w:val="0"/>
          <w:bCs/>
          <w:color w:val="auto"/>
          <w:szCs w:val="21"/>
          <w:highlight w:val="none"/>
          <w:lang w:val="en-US" w:eastAsia="zh-CN"/>
        </w:rPr>
        <w:t>报价</w:t>
      </w:r>
      <w:r>
        <w:rPr>
          <w:rFonts w:hint="eastAsia" w:ascii="宋体" w:hAnsi="宋体" w:cs="宋体"/>
          <w:b w:val="0"/>
          <w:bCs/>
          <w:color w:val="auto"/>
          <w:szCs w:val="21"/>
          <w:highlight w:val="none"/>
        </w:rPr>
        <w:t>评审，不需要重复提交投标报价资料</w:t>
      </w:r>
      <w:r>
        <w:rPr>
          <w:rFonts w:hint="eastAsia" w:ascii="宋体" w:hAnsi="宋体" w:cs="宋体"/>
          <w:color w:val="auto"/>
          <w:szCs w:val="21"/>
          <w:highlight w:val="none"/>
        </w:rPr>
        <w:t>。</w:t>
      </w:r>
    </w:p>
    <w:p w14:paraId="4DF49173">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条款号：12.2                        修改类型：修改</w:t>
      </w:r>
    </w:p>
    <w:p w14:paraId="4368B5F7">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12.2投标文件全部采用电子文档，投标文件所附证书证件均为原件扫描件，并采用单位数字证书，对投标文件加盖电子印章。投标文件中需个人签字或盖章的，应在线下完成后扫描上传。按照交易平台关于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4DE75F1">
      <w:pPr>
        <w:pBdr>
          <w:bottom w:val="single" w:color="auto" w:sz="6" w:space="1"/>
        </w:pBdr>
        <w:wordWrap w:val="0"/>
        <w:adjustRightInd w:val="0"/>
        <w:spacing w:line="360" w:lineRule="auto"/>
        <w:ind w:firstLine="424" w:firstLineChars="201"/>
        <w:textAlignment w:val="baseline"/>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12.2</w:t>
      </w:r>
      <w:r>
        <w:rPr>
          <w:rFonts w:hint="eastAsia" w:ascii="宋体" w:hAnsi="宋体" w:cs="宋体"/>
          <w:color w:val="auto"/>
          <w:szCs w:val="21"/>
          <w:highlight w:val="none"/>
          <w:u w:val="single"/>
        </w:rPr>
        <w:t>投标人应仔细阅读招标文件第四章投标文件格式的相关规定和要求。</w:t>
      </w:r>
      <w:r>
        <w:rPr>
          <w:rFonts w:hint="eastAsia" w:ascii="宋体" w:hAnsi="宋体" w:cs="宋体"/>
          <w:color w:val="auto"/>
          <w:szCs w:val="21"/>
          <w:highlight w:val="none"/>
        </w:rPr>
        <w:t>投标文件全部采用电子文档，投标文件所附证书证件均为扫描件或电子证照证书，并采用单位数字证书，对投标文件加盖电子印章。投标文件中需个人签字或盖章的，应在线下完成后扫描上传。按照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14:paraId="30BF474C">
      <w:pPr>
        <w:pBdr>
          <w:bottom w:val="single" w:color="auto" w:sz="6" w:space="1"/>
        </w:pBdr>
        <w:adjustRightIn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注：投标文件电子文档需要投标人单位盖章的材料，投标人加盖电子印章即可，不得将投标人未对电子文档加盖实物印章作为否决投标的情形。</w:t>
      </w:r>
    </w:p>
    <w:p w14:paraId="35F27B46">
      <w:pPr>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条款号：12.3                        修改类型：修改</w:t>
      </w:r>
    </w:p>
    <w:p w14:paraId="68539B37">
      <w:pPr>
        <w:spacing w:line="360" w:lineRule="auto"/>
        <w:ind w:firstLine="422" w:firstLineChars="200"/>
        <w:textAlignment w:val="baseline"/>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12.3投标文件应按照交易平台关于全流程电子化项目的相关指南进行编制，详见：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F1236B5">
      <w:pPr>
        <w:spacing w:line="360" w:lineRule="auto"/>
        <w:ind w:firstLine="420" w:firstLineChars="200"/>
        <w:textAlignment w:val="baseline"/>
        <w:rPr>
          <w:rFonts w:hint="eastAsia" w:ascii="宋体" w:hAnsi="宋体" w:cs="宋体"/>
          <w:b/>
          <w:color w:val="auto"/>
          <w:szCs w:val="21"/>
          <w:highlight w:val="none"/>
        </w:rPr>
      </w:pPr>
      <w:r>
        <w:rPr>
          <w:rFonts w:hint="eastAsia" w:ascii="宋体" w:hAnsi="宋体" w:cs="宋体"/>
          <w:bCs/>
          <w:color w:val="auto"/>
          <w:szCs w:val="21"/>
          <w:highlight w:val="none"/>
        </w:rPr>
        <w:t>如不按上述要求编制引起系统无法检索、读取相关信息的，其后果由投标人承担。</w:t>
      </w:r>
    </w:p>
    <w:p w14:paraId="499DEB1A">
      <w:pPr>
        <w:pBdr>
          <w:bottom w:val="single" w:color="auto" w:sz="6" w:space="1"/>
        </w:pBdr>
        <w:spacing w:line="360" w:lineRule="auto"/>
        <w:ind w:firstLine="422" w:firstLineChars="200"/>
        <w:textAlignment w:val="baseline"/>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12.3</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交易平台关于全流程电子化项目的相关指南进行编制，详见：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14:paraId="1CAB08EA">
      <w:pPr>
        <w:pBdr>
          <w:bottom w:val="single" w:color="auto" w:sz="6" w:space="1"/>
        </w:pBdr>
        <w:spacing w:line="360" w:lineRule="auto"/>
        <w:ind w:firstLine="420" w:firstLineChars="200"/>
        <w:textAlignment w:val="baseline"/>
        <w:rPr>
          <w:rFonts w:hint="eastAsia" w:ascii="宋体" w:hAnsi="宋体" w:cs="宋体"/>
          <w:b/>
          <w:color w:val="auto"/>
          <w:szCs w:val="21"/>
          <w:highlight w:val="none"/>
        </w:rPr>
      </w:pPr>
      <w:r>
        <w:rPr>
          <w:rFonts w:hint="eastAsia" w:ascii="宋体" w:hAnsi="宋体" w:cs="宋体"/>
          <w:bCs/>
          <w:color w:val="auto"/>
          <w:szCs w:val="21"/>
          <w:highlight w:val="none"/>
        </w:rPr>
        <w:t>如不按上述要求编制引起系统无法检索、读取相关信息的，其后果由投标人承担。</w:t>
      </w:r>
    </w:p>
    <w:p w14:paraId="497DCBB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条款号：13.1                        修改类型：修改</w:t>
      </w:r>
    </w:p>
    <w:p w14:paraId="08F72B4C">
      <w:pPr>
        <w:pBdr>
          <w:bottom w:val="single" w:color="auto" w:sz="6" w:space="1"/>
        </w:pBdr>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13.1本工程的投标报价采用投标须知前附表第12项所规定的方式。投标报价（含单价及总价）精确到“分”。</w:t>
      </w:r>
    </w:p>
    <w:p w14:paraId="6A4B01CB">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13.1本工程的投标报价采用投标须知前附表第12项所规定的方式。</w:t>
      </w:r>
      <w:r>
        <w:rPr>
          <w:rFonts w:hint="eastAsia" w:ascii="宋体" w:hAnsi="宋体" w:cs="宋体"/>
          <w:color w:val="auto"/>
          <w:szCs w:val="21"/>
          <w:highlight w:val="none"/>
          <w:u w:val="single"/>
        </w:rPr>
        <w:t>投标文件中的大写金额和小写金额不一致的，以大写金额为准。</w:t>
      </w:r>
      <w:r>
        <w:rPr>
          <w:rFonts w:hint="eastAsia" w:ascii="宋体" w:hAnsi="宋体" w:cs="宋体"/>
          <w:color w:val="auto"/>
          <w:szCs w:val="21"/>
          <w:highlight w:val="none"/>
        </w:rPr>
        <w:t>投标报价（含单价及总价）精确到“分”。</w:t>
      </w:r>
    </w:p>
    <w:p w14:paraId="6D5B000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条款号：13.4                         修改类型：修改</w:t>
      </w:r>
    </w:p>
    <w:p w14:paraId="4691EF05">
      <w:pPr>
        <w:pStyle w:val="23"/>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5680BD39">
      <w:pPr>
        <w:pBdr>
          <w:bottom w:val="single" w:color="auto" w:sz="6" w:space="1"/>
        </w:pBdr>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13.4投标人一旦中标，投标人对招标人提供的招标工程量清单中列出的工程项目所报出的</w:t>
      </w:r>
      <w:r>
        <w:rPr>
          <w:rFonts w:hint="eastAsia" w:ascii="宋体" w:hAnsi="宋体" w:cs="宋体"/>
          <w:color w:val="auto"/>
          <w:szCs w:val="21"/>
          <w:highlight w:val="none"/>
          <w:lang w:val="en-US" w:eastAsia="zh-CN"/>
        </w:rPr>
        <w:t>全费用</w:t>
      </w:r>
      <w:r>
        <w:rPr>
          <w:rFonts w:hint="eastAsia" w:ascii="宋体" w:hAnsi="宋体" w:cs="宋体"/>
          <w:color w:val="auto"/>
          <w:szCs w:val="21"/>
          <w:highlight w:val="none"/>
        </w:rPr>
        <w:t>综合单价</w:t>
      </w:r>
      <w:r>
        <w:rPr>
          <w:rFonts w:hint="eastAsia" w:ascii="宋体" w:hAnsi="宋体" w:cs="宋体"/>
          <w:color w:val="auto"/>
          <w:szCs w:val="21"/>
          <w:highlight w:val="none"/>
          <w:u w:val="single"/>
        </w:rPr>
        <w:t>，在工程结算时，按招标文件第三章合同条款相关约定调整。</w:t>
      </w:r>
    </w:p>
    <w:p w14:paraId="3AB8115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条款号：13.5                        修改类型：修改</w:t>
      </w:r>
    </w:p>
    <w:p w14:paraId="482A702E">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272F70FE">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13.5.1中标的投标文件工程量清单中已有相同项目的适用综合单价，则沿用；</w:t>
      </w:r>
    </w:p>
    <w:p w14:paraId="205D73D6">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536F77EC">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中标的投标文件工程量清单中没有相同项目或类似项目的，如可套取相关定额，则以相关定额为基数下浮计算单价,下浮率为中标价相对于最高投标限价的下浮率（下浮率=(最高投标限价-中标价)/最高投标限价）。</w:t>
      </w:r>
    </w:p>
    <w:p w14:paraId="05088DA3">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13.5.4 如相关定额没有相应子目的，其计价方式由招标人在本招标文件第三章中另行规定。未规定的，中标后双方协商约定。</w:t>
      </w:r>
    </w:p>
    <w:p w14:paraId="530B88B3">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13.5</w:t>
      </w:r>
      <w:r>
        <w:rPr>
          <w:rFonts w:hint="eastAsia" w:ascii="宋体" w:hAnsi="宋体" w:cs="宋体"/>
          <w:color w:val="auto"/>
          <w:szCs w:val="21"/>
          <w:highlight w:val="none"/>
          <w:u w:val="single"/>
        </w:rPr>
        <w:t>工程项目实施期间和结算时，根据招标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14:paraId="31BF272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条款号：13.6.2                      修改类型：修改</w:t>
      </w:r>
    </w:p>
    <w:p w14:paraId="779D1D5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1FBCDA63">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13.6.2在工程实施中，暂列金额</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、暂估价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所包含的工作范围和图纸、标准深化固定后，按照工程专业、设备、材料类别等分类汇总的金额，达到法定招标范围标准的</w:t>
      </w:r>
      <w:r>
        <w:rPr>
          <w:rFonts w:hint="eastAsia" w:ascii="宋体" w:hAnsi="宋体" w:cs="宋体"/>
          <w:color w:val="auto"/>
          <w:szCs w:val="21"/>
          <w:highlight w:val="none"/>
          <w:u w:val="single"/>
        </w:rPr>
        <w:t>应由招标人招标确定承包人和承包价格。</w:t>
      </w:r>
    </w:p>
    <w:p w14:paraId="4684E56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条款号：13.6.4                      修改类型：修改</w:t>
      </w:r>
    </w:p>
    <w:p w14:paraId="5514533C">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6E4C5EE8">
      <w:pPr>
        <w:pStyle w:val="23"/>
        <w:pBdr>
          <w:bottom w:val="single" w:color="auto" w:sz="6" w:space="1"/>
        </w:pBdr>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13.6.4在工程实施中，暂列金额</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、暂估价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所包含的工作范围和图纸、标准深化固定后，按照工程专业、设备、材料类别等分类汇总的金额，未达到法定招标范围标准也不适用政府采购规定，</w:t>
      </w:r>
      <w:r>
        <w:rPr>
          <w:rFonts w:hint="eastAsia" w:ascii="宋体" w:hAnsi="宋体" w:eastAsia="宋体" w:cs="宋体"/>
          <w:color w:val="auto"/>
          <w:szCs w:val="21"/>
          <w:highlight w:val="none"/>
          <w:u w:val="single"/>
        </w:rPr>
        <w:t>经发包人同意，</w:t>
      </w:r>
      <w:r>
        <w:rPr>
          <w:rFonts w:hint="eastAsia" w:ascii="宋体" w:hAnsi="宋体" w:eastAsia="宋体" w:cs="宋体"/>
          <w:color w:val="auto"/>
          <w:szCs w:val="21"/>
          <w:highlight w:val="none"/>
        </w:rPr>
        <w:t>承包人有法定的承包资格的，由承包人承包，承包人无法定的承包资格但有法定的分包权的，由承包人分包，招标人同承包人结算的价格按本投标须知13.5款规定确定。</w:t>
      </w:r>
    </w:p>
    <w:p w14:paraId="5C2EAA49">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条款号：13.</w:t>
      </w:r>
      <w:r>
        <w:rPr>
          <w:rFonts w:hint="eastAsia" w:ascii="宋体" w:hAnsi="宋体" w:cs="宋体"/>
          <w:b/>
          <w:color w:val="auto"/>
          <w:szCs w:val="21"/>
          <w:highlight w:val="none"/>
          <w:lang w:val="en-US" w:eastAsia="zh-CN"/>
        </w:rPr>
        <w:t>11</w:t>
      </w:r>
      <w:r>
        <w:rPr>
          <w:rFonts w:hint="eastAsia" w:ascii="宋体" w:hAnsi="宋体" w:cs="宋体"/>
          <w:b/>
          <w:color w:val="auto"/>
          <w:szCs w:val="21"/>
          <w:highlight w:val="none"/>
        </w:rPr>
        <w:t xml:space="preserve">                      修改类型：</w:t>
      </w:r>
      <w:r>
        <w:rPr>
          <w:rFonts w:hint="eastAsia" w:ascii="宋体" w:hAnsi="宋体" w:cs="宋体"/>
          <w:b/>
          <w:color w:val="auto"/>
          <w:szCs w:val="21"/>
          <w:highlight w:val="none"/>
          <w:lang w:val="en-US" w:eastAsia="zh-CN"/>
        </w:rPr>
        <w:t>增加</w:t>
      </w:r>
    </w:p>
    <w:p w14:paraId="2A6855B8">
      <w:pPr>
        <w:pStyle w:val="23"/>
        <w:pBdr>
          <w:bottom w:val="single" w:color="auto" w:sz="6" w:space="1"/>
        </w:pBdr>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13.11投标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包含在措施项目费中，结算时按发包人批准的实施方案，再按合同约定结算。如果中标人不及时按要求设置，业主可以另行委托实施，业主按实际发生的费用在工程款中扣除，中标人不得有任何异议。</w:t>
      </w:r>
    </w:p>
    <w:p w14:paraId="339E3DAF">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条款号：13.</w:t>
      </w:r>
      <w:r>
        <w:rPr>
          <w:rFonts w:hint="eastAsia" w:ascii="宋体" w:hAnsi="宋体" w:cs="宋体"/>
          <w:b/>
          <w:color w:val="auto"/>
          <w:szCs w:val="21"/>
          <w:highlight w:val="none"/>
          <w:lang w:val="en-US" w:eastAsia="zh-CN"/>
        </w:rPr>
        <w:t>12</w:t>
      </w:r>
      <w:r>
        <w:rPr>
          <w:rFonts w:hint="eastAsia" w:ascii="宋体" w:hAnsi="宋体" w:cs="宋体"/>
          <w:b/>
          <w:color w:val="auto"/>
          <w:szCs w:val="21"/>
          <w:highlight w:val="none"/>
        </w:rPr>
        <w:t xml:space="preserve">                      修改类型：</w:t>
      </w:r>
      <w:r>
        <w:rPr>
          <w:rFonts w:hint="eastAsia" w:ascii="宋体" w:hAnsi="宋体" w:cs="宋体"/>
          <w:b/>
          <w:color w:val="auto"/>
          <w:szCs w:val="21"/>
          <w:highlight w:val="none"/>
          <w:lang w:val="en-US" w:eastAsia="zh-CN"/>
        </w:rPr>
        <w:t>增加</w:t>
      </w:r>
    </w:p>
    <w:p w14:paraId="658E2352">
      <w:pPr>
        <w:pStyle w:val="23"/>
        <w:pBdr>
          <w:bottom w:val="single" w:color="auto" w:sz="6" w:space="1"/>
        </w:pBdr>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13.12承包人应加强周边学校、居民住宅的环境保护，制定绿色施工安全防护措施（包括防尘、防噪音、施工围蔽等），施工现场严格按照《广州市建设工程文明施工管理规定》（广州市人民政府令158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[2008]1008号）、《广州市建设工程绿色施工围蔽指导图集（V2.0版）》(穗建质〔2020〕1号）、《关于进一步落实我区市政建设项目施工围蔽提升工作的通知》（穗埔建[2019]123号）及《黄埔区住房和城乡建设局 广州开发区建设和交通局关于进一步规范全区建设工程施工围蔽标准的通知》（穗埔建﹝2020﹞183号）等相关文件要求的标准实施。以上文件要求不一致的，以后发布文件为准，若相关部门发布有关施工现场管理及施工围蔽新规定的，按新规定执行。实施相关费用已含在合同价中。如承包人未及时按要求做好围蔽等安全文明施工措施，建设业主可另行委托单位实施，建设业主按实际发生的费用在</w:t>
      </w:r>
      <w:r>
        <w:rPr>
          <w:rFonts w:hint="eastAsia" w:ascii="宋体" w:hAnsi="宋体" w:eastAsia="宋体" w:cs="宋体"/>
          <w:color w:val="auto"/>
          <w:szCs w:val="21"/>
          <w:highlight w:val="none"/>
          <w:lang w:val="en-US" w:eastAsia="zh-CN"/>
        </w:rPr>
        <w:t>本工程承包工程款</w:t>
      </w:r>
      <w:r>
        <w:rPr>
          <w:rFonts w:hint="eastAsia" w:ascii="宋体" w:hAnsi="宋体" w:eastAsia="宋体" w:cs="宋体"/>
          <w:color w:val="auto"/>
          <w:szCs w:val="21"/>
          <w:highlight w:val="none"/>
        </w:rPr>
        <w:t>中扣除。</w:t>
      </w:r>
    </w:p>
    <w:p w14:paraId="15AA4A65">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条款号：13.</w:t>
      </w:r>
      <w:r>
        <w:rPr>
          <w:rFonts w:hint="eastAsia" w:ascii="宋体" w:hAnsi="宋体" w:cs="宋体"/>
          <w:b/>
          <w:color w:val="auto"/>
          <w:szCs w:val="21"/>
          <w:highlight w:val="none"/>
          <w:lang w:val="en-US" w:eastAsia="zh-CN"/>
        </w:rPr>
        <w:t>13</w:t>
      </w:r>
      <w:r>
        <w:rPr>
          <w:rFonts w:hint="eastAsia" w:ascii="宋体" w:hAnsi="宋体" w:cs="宋体"/>
          <w:b/>
          <w:color w:val="auto"/>
          <w:szCs w:val="21"/>
          <w:highlight w:val="none"/>
        </w:rPr>
        <w:t xml:space="preserve">                      修改类型：</w:t>
      </w:r>
      <w:r>
        <w:rPr>
          <w:rFonts w:hint="eastAsia" w:ascii="宋体" w:hAnsi="宋体" w:cs="宋体"/>
          <w:b/>
          <w:color w:val="auto"/>
          <w:szCs w:val="21"/>
          <w:highlight w:val="none"/>
          <w:lang w:val="en-US" w:eastAsia="zh-CN"/>
        </w:rPr>
        <w:t>增加</w:t>
      </w:r>
    </w:p>
    <w:p w14:paraId="09CD786D">
      <w:pPr>
        <w:pStyle w:val="23"/>
        <w:pBdr>
          <w:bottom w:val="single" w:color="auto" w:sz="6" w:space="1"/>
        </w:pBdr>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13.1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工程中标人通过现场考察，提出具体施工方案，在工程施工期间内，若因施工而引起的一切索赔、赔偿、诉讼费用和其他开支，由中标人承担全部责任。该项费用在措施项目费中设有独立单项项目，该费用（除围蔽费用除外）包干使用，且中标人不得以任何理由要求业主另行增加该部分费用（中标人要充分考虑最不利因素影响而采用的施工方案所需的费用）。</w:t>
      </w:r>
    </w:p>
    <w:p w14:paraId="0EB286B8">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条款号：13.</w:t>
      </w:r>
      <w:r>
        <w:rPr>
          <w:rFonts w:hint="eastAsia" w:ascii="宋体" w:hAnsi="宋体" w:cs="宋体"/>
          <w:b/>
          <w:color w:val="auto"/>
          <w:szCs w:val="21"/>
          <w:highlight w:val="none"/>
          <w:lang w:val="en-US" w:eastAsia="zh-CN"/>
        </w:rPr>
        <w:t>14</w:t>
      </w:r>
      <w:r>
        <w:rPr>
          <w:rFonts w:hint="eastAsia" w:ascii="宋体" w:hAnsi="宋体" w:cs="宋体"/>
          <w:b/>
          <w:color w:val="auto"/>
          <w:szCs w:val="21"/>
          <w:highlight w:val="none"/>
        </w:rPr>
        <w:t xml:space="preserve">                      修改类型：</w:t>
      </w:r>
      <w:r>
        <w:rPr>
          <w:rFonts w:hint="eastAsia" w:ascii="宋体" w:hAnsi="宋体" w:cs="宋体"/>
          <w:b/>
          <w:color w:val="auto"/>
          <w:szCs w:val="21"/>
          <w:highlight w:val="none"/>
          <w:lang w:val="en-US" w:eastAsia="zh-CN"/>
        </w:rPr>
        <w:t>增加</w:t>
      </w:r>
    </w:p>
    <w:p w14:paraId="2183187C">
      <w:pPr>
        <w:pStyle w:val="23"/>
        <w:pBdr>
          <w:bottom w:val="single" w:color="auto" w:sz="6" w:space="1"/>
        </w:pBdr>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13.14投标单位应结合本工程招标内容对现场进行充分的调查，充分考虑工程招标内容及施工组织方案，承包单位应与相关管理部门（如铁路管理部门）协商，取得同意协调，按要求完成工程招标内容，工程及相关费用包含在投标总价中，不另行计费。如果中标人不及时按要求完成，业主可以另行委托实施，业主按实际发生的费用在工程款中扣除，中标人不得有任何异议。</w:t>
      </w:r>
    </w:p>
    <w:p w14:paraId="6CA86014">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条款号：13.</w:t>
      </w:r>
      <w:r>
        <w:rPr>
          <w:rFonts w:hint="eastAsia" w:ascii="宋体" w:hAnsi="宋体" w:cs="宋体"/>
          <w:b/>
          <w:color w:val="auto"/>
          <w:szCs w:val="21"/>
          <w:highlight w:val="none"/>
          <w:lang w:val="en-US" w:eastAsia="zh-CN"/>
        </w:rPr>
        <w:t>15</w:t>
      </w:r>
      <w:r>
        <w:rPr>
          <w:rFonts w:hint="eastAsia" w:ascii="宋体" w:hAnsi="宋体" w:cs="宋体"/>
          <w:b/>
          <w:color w:val="auto"/>
          <w:szCs w:val="21"/>
          <w:highlight w:val="none"/>
        </w:rPr>
        <w:t xml:space="preserve">                      修改类型：</w:t>
      </w:r>
      <w:r>
        <w:rPr>
          <w:rFonts w:hint="eastAsia" w:ascii="宋体" w:hAnsi="宋体" w:cs="宋体"/>
          <w:b/>
          <w:color w:val="auto"/>
          <w:szCs w:val="21"/>
          <w:highlight w:val="none"/>
          <w:lang w:val="en-US" w:eastAsia="zh-CN"/>
        </w:rPr>
        <w:t>增加</w:t>
      </w:r>
    </w:p>
    <w:p w14:paraId="5978D188">
      <w:pPr>
        <w:pStyle w:val="23"/>
        <w:pBdr>
          <w:bottom w:val="single" w:color="auto" w:sz="6" w:space="1"/>
        </w:pBdr>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13.15投标单位应根据区相关主管部门批复的水土保持实施方案及相关规定完成本工程的水土保持工作，承担防止水土流失职责，相关费用包含在投标总价中，不另行计费。如果中标人不及时按要求完成上述工作，业主可以另行委托实施，业主按实际发生的费用在工程款中扣除，中标人不得有任何异议。</w:t>
      </w:r>
    </w:p>
    <w:p w14:paraId="70264ED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条款号：15.2                                修改类型：修改</w:t>
      </w:r>
    </w:p>
    <w:p w14:paraId="2DF61265">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2A3157E9">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15.2 在特殊情况下，招标人在原定投标有效期内，可以根据需要以书面形式向投标人提出延长投标有效期的要求，对此要求投标人须以书面形式予以答复。</w:t>
      </w:r>
      <w:r>
        <w:rPr>
          <w:rFonts w:hint="eastAsia" w:ascii="宋体" w:hAnsi="宋体" w:cs="宋体"/>
          <w:bCs/>
          <w:color w:val="auto"/>
          <w:szCs w:val="21"/>
          <w:highlight w:val="none"/>
          <w:u w:val="single"/>
        </w:rPr>
        <w:t>投标人可以拒绝招标人这种要求。同意延长投标有效期的投标人既不能要求也不允许修改其投标文件</w:t>
      </w:r>
      <w:r>
        <w:rPr>
          <w:rFonts w:hint="eastAsia" w:ascii="宋体" w:hAnsi="宋体" w:cs="宋体"/>
          <w:color w:val="auto"/>
          <w:szCs w:val="21"/>
          <w:highlight w:val="none"/>
          <w:u w:val="single"/>
        </w:rPr>
        <w:t>。</w:t>
      </w:r>
    </w:p>
    <w:p w14:paraId="4B45CEAC">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条款号：16                                   修改类型：修改</w:t>
      </w:r>
    </w:p>
    <w:p w14:paraId="625AC115">
      <w:pPr>
        <w:pBdr>
          <w:bottom w:val="single" w:color="auto" w:sz="6" w:space="1"/>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原文：16．投标保证金</w:t>
      </w:r>
    </w:p>
    <w:p w14:paraId="1108C01E">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16.1投标人应按投标须知前附表第14项所述金额和时间递交投标保证金。招标人应当允许投标人自主选择现金、银行保函、保证保险、专业工程担保公司担保等方式缴纳投标保证金。</w:t>
      </w:r>
    </w:p>
    <w:p w14:paraId="6C3A9796">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16.1.1 采用现金或者支票形式提交的，投标保证金须从投标人的银行基本账户转出。</w:t>
      </w:r>
    </w:p>
    <w:p w14:paraId="7BFFC8B8">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1587385D">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16.1.3 采用电子形式的保函、担保或保证保险提交投标保证金的，应在招标文件中明确电子递交途径。</w:t>
      </w:r>
    </w:p>
    <w:p w14:paraId="400B25E2">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5FA6EE31">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16.3投标保证金应依据法律法规的相关规定退还。</w:t>
      </w:r>
    </w:p>
    <w:p w14:paraId="7C08AB02">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16.4如有下列情况之一的，招标人可以不予退还投标保证金（是否退还投标保证金由招标人在招标文件中规定）：</w:t>
      </w:r>
    </w:p>
    <w:p w14:paraId="6901AE43">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14:paraId="38BBD004">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16.4.2投标人在投标有效期内撤销投标文件；</w:t>
      </w:r>
    </w:p>
    <w:p w14:paraId="50D11C01">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14:paraId="1EBB13C1">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p>
    <w:p w14:paraId="7D8BC118">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16.5投标人如存在下列情况之一的，将被拒绝在一定时期内参与招标人后续工程投标（拒绝时限需在招标文件中明确）：</w:t>
      </w:r>
    </w:p>
    <w:p w14:paraId="07BB71BD">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16.5.1投标人存在16.4条款所列情形且投标人提交的保函、担保或保证保险无法兑付的；</w:t>
      </w:r>
    </w:p>
    <w:p w14:paraId="620D0D43">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16.5.2采用非电子形式提交投标保证金的投标人存在16.4条款所列情形，且未按招标人要求补交银行保函、专业工程担保公司担保或保证保险原件的；</w:t>
      </w:r>
    </w:p>
    <w:p w14:paraId="15B48EDA">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16.5.3按招标文件要求免于提供投标保证金的投标人存在16.4条款所列情形，且未按招标人要求补交投标保证金的；</w:t>
      </w:r>
    </w:p>
    <w:p w14:paraId="3CF704A1">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16.5.3按招标文件要求免于提供投标保证金的投标人存在16.4条款所列情形的。</w:t>
      </w:r>
    </w:p>
    <w:p w14:paraId="5DC79D0C">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注：16.5.3款由招标人二选一，需在招标文件中明确。</w:t>
      </w:r>
    </w:p>
    <w:p w14:paraId="06D52BED">
      <w:pPr>
        <w:pBdr>
          <w:bottom w:val="single" w:color="auto" w:sz="6" w:space="1"/>
        </w:pBdr>
        <w:tabs>
          <w:tab w:val="left" w:pos="2100"/>
        </w:tabs>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现文：16. 投标保证金</w:t>
      </w:r>
    </w:p>
    <w:p w14:paraId="21A909F9">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w:t>
      </w:r>
      <w:r>
        <w:rPr>
          <w:rFonts w:hint="eastAsia" w:ascii="宋体" w:hAnsi="宋体" w:eastAsia="宋体" w:cs="宋体"/>
          <w:color w:val="auto"/>
          <w:sz w:val="21"/>
          <w:szCs w:val="21"/>
          <w:highlight w:val="none"/>
          <w:u w:val="single"/>
        </w:rPr>
        <w:t>本项目不收投标保证金</w:t>
      </w:r>
      <w:r>
        <w:rPr>
          <w:rFonts w:hint="eastAsia" w:ascii="宋体" w:hAnsi="宋体" w:eastAsia="宋体" w:cs="宋体"/>
          <w:color w:val="auto"/>
          <w:sz w:val="21"/>
          <w:szCs w:val="21"/>
          <w:highlight w:val="none"/>
        </w:rPr>
        <w:t>。</w:t>
      </w:r>
    </w:p>
    <w:p w14:paraId="2D12A677">
      <w:pPr>
        <w:pStyle w:val="23"/>
        <w:spacing w:after="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bCs/>
          <w:color w:val="auto"/>
          <w:szCs w:val="21"/>
          <w:highlight w:val="none"/>
        </w:rPr>
        <w:t>17．</w:t>
      </w:r>
      <w:r>
        <w:rPr>
          <w:rFonts w:hint="eastAsia" w:ascii="宋体" w:hAnsi="宋体" w:eastAsia="宋体" w:cs="宋体"/>
          <w:b/>
          <w:color w:val="auto"/>
          <w:szCs w:val="21"/>
          <w:highlight w:val="none"/>
        </w:rPr>
        <w:t>投标文件的签署    修改类型：修改</w:t>
      </w:r>
    </w:p>
    <w:p w14:paraId="101439B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
          <w:bCs/>
          <w:color w:val="auto"/>
          <w:szCs w:val="21"/>
          <w:highlight w:val="none"/>
        </w:rPr>
        <w:t>17．</w:t>
      </w:r>
      <w:r>
        <w:rPr>
          <w:rFonts w:hint="eastAsia" w:ascii="宋体" w:hAnsi="宋体" w:cs="宋体"/>
          <w:b/>
          <w:color w:val="auto"/>
          <w:szCs w:val="21"/>
          <w:highlight w:val="none"/>
        </w:rPr>
        <w:t xml:space="preserve">投标文件的签署   </w:t>
      </w:r>
    </w:p>
    <w:p w14:paraId="06CCE830">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color w:val="auto"/>
          <w:szCs w:val="21"/>
          <w:highlight w:val="none"/>
        </w:rPr>
        <w:t>17.1</w:t>
      </w:r>
      <w:r>
        <w:rPr>
          <w:rFonts w:hint="eastAsia" w:ascii="宋体" w:hAnsi="宋体" w:cs="宋体"/>
          <w:bCs/>
          <w:color w:val="auto"/>
          <w:kern w:val="0"/>
          <w:szCs w:val="21"/>
          <w:highlight w:val="none"/>
        </w:rPr>
        <w:t>投标人应采用单位数字证书，对投标文件加盖电子印章。投标文件中需个人签字或盖章的，应加盖个人电子印章或在线下完成后扫描上传。按照交易平台关于全流程电子化项目的相关指南进行操作。详见：</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w:t>
      </w:r>
    </w:p>
    <w:p w14:paraId="34FE234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p>
    <w:p w14:paraId="618632FA">
      <w:pPr>
        <w:pBdr>
          <w:bottom w:val="single" w:color="auto" w:sz="6" w:space="1"/>
        </w:pBdr>
        <w:spacing w:line="360" w:lineRule="auto"/>
        <w:ind w:firstLine="422" w:firstLineChars="200"/>
        <w:rPr>
          <w:rFonts w:hint="eastAsia" w:ascii="宋体" w:hAnsi="宋体" w:cs="宋体"/>
          <w:b/>
          <w:color w:val="auto"/>
          <w:szCs w:val="21"/>
          <w:highlight w:val="none"/>
        </w:rPr>
      </w:pPr>
      <w:r>
        <w:rPr>
          <w:rFonts w:hint="eastAsia" w:ascii="宋体" w:hAnsi="宋体" w:cs="宋体"/>
          <w:b/>
          <w:bCs/>
          <w:color w:val="auto"/>
          <w:szCs w:val="21"/>
          <w:highlight w:val="none"/>
        </w:rPr>
        <w:t>17．</w:t>
      </w:r>
      <w:r>
        <w:rPr>
          <w:rFonts w:hint="eastAsia" w:ascii="宋体" w:hAnsi="宋体" w:cs="宋体"/>
          <w:b/>
          <w:color w:val="auto"/>
          <w:szCs w:val="21"/>
          <w:highlight w:val="none"/>
        </w:rPr>
        <w:t>投标文件的签署及份数</w:t>
      </w:r>
    </w:p>
    <w:p w14:paraId="017E7DB9">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17.1</w:t>
      </w:r>
      <w:r>
        <w:rPr>
          <w:rFonts w:hint="eastAsia" w:ascii="宋体" w:hAnsi="宋体" w:cs="宋体"/>
          <w:bCs/>
          <w:color w:val="auto"/>
          <w:kern w:val="0"/>
          <w:szCs w:val="21"/>
          <w:highlight w:val="none"/>
        </w:rPr>
        <w:t>投标人应采用单位数字证书，对投标文件加盖电子印章。投标文件中需个人签字或盖章的，应加盖个人电子印章或在线下完成后扫描上传。按照交易平台关于全流程电子化项目的相关指南进行操作。</w:t>
      </w:r>
      <w:r>
        <w:rPr>
          <w:rFonts w:hint="eastAsia" w:ascii="宋体" w:hAnsi="宋体" w:cs="宋体"/>
          <w:color w:val="auto"/>
          <w:szCs w:val="21"/>
          <w:highlight w:val="none"/>
        </w:rPr>
        <w:t>详见：</w:t>
      </w:r>
      <w:r>
        <w:rPr>
          <w:rFonts w:hint="eastAsia" w:ascii="宋体" w:hAnsi="宋体" w:cs="宋体"/>
          <w:color w:val="auto"/>
          <w:szCs w:val="21"/>
          <w:highlight w:val="none"/>
          <w:u w:val="single"/>
        </w:rPr>
        <w:t>广州交易集团有限公司（广州公共资源交易中心）最新指引</w:t>
      </w:r>
      <w:r>
        <w:rPr>
          <w:rFonts w:hint="eastAsia" w:ascii="宋体" w:hAnsi="宋体" w:cs="宋体"/>
          <w:color w:val="auto"/>
          <w:szCs w:val="21"/>
          <w:highlight w:val="none"/>
        </w:rPr>
        <w:t>。</w:t>
      </w:r>
    </w:p>
    <w:p w14:paraId="0352707A">
      <w:pPr>
        <w:pBdr>
          <w:bottom w:val="single" w:color="auto" w:sz="6" w:space="1"/>
        </w:pBd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17.2投标文件份数为含电子印章的加密电子投标文件1套。</w:t>
      </w:r>
      <w:r>
        <w:rPr>
          <w:rFonts w:hint="eastAsia" w:ascii="宋体" w:hAnsi="宋体" w:cs="宋体"/>
          <w:color w:val="auto"/>
          <w:szCs w:val="21"/>
          <w:highlight w:val="none"/>
          <w:u w:val="single"/>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p w14:paraId="7BEB42E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条款号：18.1                        修改类型：修改</w:t>
      </w:r>
    </w:p>
    <w:p w14:paraId="4777B6C7">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18.1</w:t>
      </w:r>
      <w:r>
        <w:rPr>
          <w:rFonts w:hint="eastAsia" w:ascii="宋体" w:hAnsi="宋体" w:cs="宋体"/>
          <w:bCs/>
          <w:color w:val="auto"/>
          <w:szCs w:val="21"/>
          <w:highlight w:val="none"/>
        </w:rPr>
        <w:t>递交的电子投标文件（不含备用光盘）必须进行加密。按照交易平台关于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0C5A626">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18.1</w:t>
      </w:r>
      <w:r>
        <w:rPr>
          <w:rFonts w:hint="eastAsia" w:ascii="宋体" w:hAnsi="宋体" w:cs="宋体"/>
          <w:bCs/>
          <w:color w:val="auto"/>
          <w:szCs w:val="21"/>
          <w:highlight w:val="none"/>
        </w:rPr>
        <w:t>递交的电子投标文件（不含备用光盘）必须进行加密。按照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bCs/>
          <w:color w:val="auto"/>
          <w:szCs w:val="21"/>
          <w:highlight w:val="none"/>
        </w:rPr>
        <w:t>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14:paraId="3398F7D4">
      <w:pPr>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条款号：18.2                       修改类型：修改</w:t>
      </w:r>
    </w:p>
    <w:p w14:paraId="289C5A55">
      <w:pPr>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18.2</w:t>
      </w:r>
      <w:r>
        <w:rPr>
          <w:rFonts w:hint="eastAsia" w:ascii="宋体" w:hAnsi="宋体" w:cs="宋体"/>
          <w:bCs/>
          <w:color w:val="auto"/>
          <w:szCs w:val="21"/>
          <w:highlight w:val="none"/>
        </w:rPr>
        <w:t>未按要求加密的投标文件，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14:paraId="43259E97">
      <w:pPr>
        <w:pBdr>
          <w:bottom w:val="single" w:color="auto" w:sz="6" w:space="1"/>
        </w:pBdr>
        <w:spacing w:line="360" w:lineRule="auto"/>
        <w:ind w:firstLine="422" w:firstLineChars="200"/>
        <w:textAlignment w:val="baseline"/>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18.2</w:t>
      </w:r>
      <w:r>
        <w:rPr>
          <w:rFonts w:hint="eastAsia" w:ascii="宋体" w:hAnsi="宋体" w:cs="宋体"/>
          <w:bCs/>
          <w:color w:val="auto"/>
          <w:szCs w:val="21"/>
          <w:highlight w:val="none"/>
        </w:rPr>
        <w:t>未按要求加密的投标文件，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14:paraId="274D618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条款号：19                          修改类型：修改</w:t>
      </w:r>
    </w:p>
    <w:p w14:paraId="7B6C2C10">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原文：19.投标文件的递交和接收</w:t>
      </w:r>
    </w:p>
    <w:p w14:paraId="4F59B080">
      <w:pPr>
        <w:pBdr>
          <w:bottom w:val="single" w:color="auto" w:sz="6" w:space="1"/>
        </w:pBd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现文：19.</w:t>
      </w:r>
      <w:r>
        <w:rPr>
          <w:rFonts w:hint="eastAsia" w:ascii="宋体" w:hAnsi="宋体" w:cs="宋体"/>
          <w:b/>
          <w:color w:val="auto"/>
          <w:szCs w:val="21"/>
          <w:highlight w:val="none"/>
          <w:u w:val="single"/>
        </w:rPr>
        <w:t>投标登记和</w:t>
      </w:r>
      <w:r>
        <w:rPr>
          <w:rFonts w:hint="eastAsia" w:ascii="宋体" w:hAnsi="宋体" w:cs="宋体"/>
          <w:b/>
          <w:color w:val="auto"/>
          <w:szCs w:val="21"/>
          <w:highlight w:val="none"/>
        </w:rPr>
        <w:t>投标文件的递交和接收</w:t>
      </w:r>
    </w:p>
    <w:p w14:paraId="4518E0D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条款号：19.1                        修改类型：修改</w:t>
      </w:r>
    </w:p>
    <w:p w14:paraId="3FE1D88D">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19.1</w:t>
      </w:r>
      <w:r>
        <w:rPr>
          <w:rFonts w:hint="eastAsia" w:ascii="宋体" w:hAnsi="宋体" w:cs="宋体"/>
          <w:bCs/>
          <w:color w:val="auto"/>
          <w:szCs w:val="21"/>
          <w:highlight w:val="none"/>
        </w:rPr>
        <w:t>投标人通过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交易平台递交电子投标文件。</w:t>
      </w:r>
    </w:p>
    <w:p w14:paraId="6C93CC72">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19.1</w:t>
      </w:r>
      <w:r>
        <w:rPr>
          <w:rFonts w:hint="eastAsia" w:ascii="宋体" w:hAnsi="宋体" w:cs="宋体"/>
          <w:bCs/>
          <w:color w:val="auto"/>
          <w:szCs w:val="21"/>
          <w:highlight w:val="none"/>
        </w:rPr>
        <w:t>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交易平台递交电子投标文件。</w:t>
      </w:r>
    </w:p>
    <w:p w14:paraId="292B0121">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条款号：19.2                       修改类型：修改</w:t>
      </w:r>
    </w:p>
    <w:p w14:paraId="7E0F5E96">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19.2</w:t>
      </w:r>
      <w:r>
        <w:rPr>
          <w:rFonts w:hint="eastAsia" w:ascii="宋体" w:hAnsi="宋体" w:cs="宋体"/>
          <w:bCs/>
          <w:color w:val="auto"/>
          <w:szCs w:val="21"/>
          <w:highlight w:val="none"/>
        </w:rPr>
        <w:t>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交易平台即时向投标人发出递交回执通知。递交时间以递交回执通知载明的传输完成时间为准。</w:t>
      </w:r>
    </w:p>
    <w:p w14:paraId="6C3FBA35">
      <w:pPr>
        <w:pBdr>
          <w:bottom w:val="single" w:color="auto" w:sz="6" w:space="1"/>
        </w:pBdr>
        <w:adjustRightInd w:val="0"/>
        <w:spacing w:line="360" w:lineRule="auto"/>
        <w:ind w:firstLine="422" w:firstLineChars="200"/>
        <w:textAlignment w:val="baseline"/>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19.2</w:t>
      </w:r>
      <w:r>
        <w:rPr>
          <w:rFonts w:hint="eastAsia" w:ascii="宋体" w:hAnsi="宋体" w:cs="宋体"/>
          <w:bCs/>
          <w:color w:val="auto"/>
          <w:szCs w:val="21"/>
          <w:highlight w:val="none"/>
        </w:rPr>
        <w:t>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交易平台即时向投标人发出递交回执通知。递交时间以递交回执通知载明的传输完成时间为准。</w:t>
      </w:r>
    </w:p>
    <w:p w14:paraId="64E86A24">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条款号：19.3                       修改类型：修改</w:t>
      </w:r>
    </w:p>
    <w:p w14:paraId="04A6B795">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19.3</w:t>
      </w:r>
      <w:r>
        <w:rPr>
          <w:rFonts w:hint="eastAsia" w:ascii="宋体" w:hAnsi="宋体" w:cs="宋体"/>
          <w:bCs/>
          <w:color w:val="auto"/>
          <w:szCs w:val="21"/>
          <w:highlight w:val="none"/>
        </w:rPr>
        <w:t>逾期送达的电子投标文件，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14:paraId="5E1F8B27">
      <w:pPr>
        <w:pBdr>
          <w:bottom w:val="single" w:color="auto" w:sz="6" w:space="1"/>
        </w:pBdr>
        <w:adjustRightInd w:val="0"/>
        <w:spacing w:line="360" w:lineRule="auto"/>
        <w:ind w:firstLine="422" w:firstLineChars="200"/>
        <w:textAlignment w:val="baseline"/>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19.3</w:t>
      </w:r>
      <w:r>
        <w:rPr>
          <w:rFonts w:hint="eastAsia" w:ascii="宋体" w:hAnsi="宋体" w:cs="宋体"/>
          <w:bCs/>
          <w:color w:val="auto"/>
          <w:szCs w:val="21"/>
          <w:highlight w:val="none"/>
        </w:rPr>
        <w:t>逾期送达的电子投标文件，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14:paraId="422E4286">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条款号：19.5                                   修改类型：修改</w:t>
      </w:r>
    </w:p>
    <w:p w14:paraId="3A85016B">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如技术标和经济标先后分别开启，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交易平台将按招标文件规定的时间分别开启技术标和经济标。</w:t>
      </w:r>
    </w:p>
    <w:p w14:paraId="29A56EB6">
      <w:pPr>
        <w:pBdr>
          <w:bottom w:val="single" w:color="auto" w:sz="6" w:space="1"/>
        </w:pBdr>
        <w:adjustRightInd w:val="0"/>
        <w:spacing w:line="360" w:lineRule="auto"/>
        <w:ind w:firstLine="422" w:firstLineChars="200"/>
        <w:textAlignment w:val="baseline"/>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技术标和经济标同时开启，广州交易集团有限公司（广州公共资源交易中心）交易平台将按招标文件规定的时间同时开启技术标</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含资格审查文件</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和经济标</w:t>
      </w:r>
      <w:r>
        <w:rPr>
          <w:rFonts w:hint="eastAsia" w:ascii="宋体" w:hAnsi="宋体" w:cs="宋体"/>
          <w:color w:val="auto"/>
          <w:szCs w:val="21"/>
          <w:highlight w:val="none"/>
        </w:rPr>
        <w:t>。</w:t>
      </w:r>
    </w:p>
    <w:p w14:paraId="7675B63F">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条款号：19.6             修改类型：删除</w:t>
      </w:r>
    </w:p>
    <w:p w14:paraId="48C2EADF">
      <w:pPr>
        <w:pBdr>
          <w:bottom w:val="single" w:color="auto" w:sz="4" w:space="0"/>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14:paraId="252D0D61">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条款号：20.3                       修改类型：修改</w:t>
      </w:r>
    </w:p>
    <w:p w14:paraId="4F5F843C">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20.3 到投标截止时间止，招标人收到的投标文件少于3家的，招标人将重新组织招标（当N个标段同时招标且不允许兼中时，若有效投标人不足N+2家，则重新组织招标）。</w:t>
      </w:r>
    </w:p>
    <w:p w14:paraId="71AD0B64">
      <w:pPr>
        <w:pBdr>
          <w:bottom w:val="single" w:color="auto" w:sz="6" w:space="1"/>
        </w:pBdr>
        <w:adjustRightInd w:val="0"/>
        <w:spacing w:line="360" w:lineRule="auto"/>
        <w:ind w:firstLine="422" w:firstLineChars="200"/>
        <w:textAlignment w:val="baseline"/>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 xml:space="preserve">20.3 </w:t>
      </w:r>
      <w:r>
        <w:rPr>
          <w:rFonts w:hint="eastAsia" w:ascii="宋体" w:hAnsi="宋体" w:cs="宋体"/>
          <w:bCs/>
          <w:color w:val="auto"/>
          <w:szCs w:val="21"/>
          <w:highlight w:val="none"/>
          <w:u w:val="single"/>
        </w:rPr>
        <w:t>到投标截止时间止，招标人收到的投标文件少于3家的，招标人将重新组织招标</w:t>
      </w:r>
      <w:r>
        <w:rPr>
          <w:rFonts w:hint="eastAsia" w:ascii="宋体" w:hAnsi="宋体" w:cs="宋体"/>
          <w:bCs/>
          <w:color w:val="auto"/>
          <w:szCs w:val="21"/>
          <w:highlight w:val="none"/>
        </w:rPr>
        <w:t>。</w:t>
      </w:r>
    </w:p>
    <w:p w14:paraId="2F8CD97A">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条款号：21.1                       修改类型：修改</w:t>
      </w:r>
    </w:p>
    <w:p w14:paraId="1089BA5B">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21.1本须知前附表第17项规定的投标截止时间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14:paraId="00267E0D">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21.1本须知前附表第17项规定的投标截止时间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14:paraId="08B926B6">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条款号：2</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 xml:space="preserve">                       修改类型：修改</w:t>
      </w:r>
    </w:p>
    <w:p w14:paraId="1D77E561">
      <w:pPr>
        <w:adjustRightInd w:val="0"/>
        <w:spacing w:line="360" w:lineRule="auto"/>
        <w:ind w:firstLine="422" w:firstLineChars="200"/>
        <w:textAlignment w:val="baseline"/>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24．评标过程的保密</w:t>
      </w:r>
    </w:p>
    <w:p w14:paraId="26D07D3E">
      <w:pPr>
        <w:adjustRightIn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24.1开标后，直至中标公示为止，凡属于对投标文件的审查、澄清、评价和比较有关的资料以及中标候选人的推荐情况，与评标有关的其他任何情况均严格保密。</w:t>
      </w:r>
    </w:p>
    <w:p w14:paraId="23E5B0D0">
      <w:pPr>
        <w:adjustRightInd w:val="0"/>
        <w:spacing w:line="360" w:lineRule="auto"/>
        <w:ind w:firstLine="420" w:firstLineChars="200"/>
        <w:textAlignment w:val="baseline"/>
        <w:rPr>
          <w:rFonts w:hint="eastAsia" w:ascii="宋体" w:hAnsi="宋体" w:cs="宋体"/>
          <w:b/>
          <w:color w:val="auto"/>
          <w:szCs w:val="21"/>
          <w:highlight w:val="none"/>
        </w:rPr>
      </w:pPr>
      <w:r>
        <w:rPr>
          <w:rFonts w:hint="eastAsia" w:ascii="宋体" w:hAnsi="宋体" w:cs="宋体"/>
          <w:color w:val="auto"/>
          <w:szCs w:val="21"/>
          <w:highlight w:val="none"/>
        </w:rPr>
        <w:t>24.2在投标文件的评审和比较、中标候选人推荐以及授予合同的过程中，投标人向招标人和评标委员会施加不公正影响的任何行为，都将会导致其投标被拒绝。</w:t>
      </w:r>
    </w:p>
    <w:p w14:paraId="4F6E3185">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评标过程的保密</w:t>
      </w:r>
    </w:p>
    <w:p w14:paraId="425C8E23">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24.1开标后，直至合格的中标候选人公示为止，凡属于对投标文件的审查、澄清、评价和比较有关的资料以及合格的中标候选人的推荐情况，与评标有关的其他任何情况均严格保密。</w:t>
      </w:r>
    </w:p>
    <w:p w14:paraId="2FEBEA30">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在投标文件的评审和比较、合格的中标候选人推荐[不排序，按统一社会信用代码后4位（除校验码外）大小排位，如统一社会信用代码后4位出现字母情况的，字母以“0”进行代替大小排位；如出现后4位（除校验码外）大小一致的，则随机排位（联合体投标的，按联合体主办方的统一社会信用代码排位）。]、定标以及授予合同的过程中，投标人向招标人和评标委员会和定标委员会施加不公正影响的任何行为，都将会导致其投标被拒绝。</w:t>
      </w:r>
    </w:p>
    <w:p w14:paraId="286EECD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条款号：27.1                        修改类型：修改</w:t>
      </w:r>
    </w:p>
    <w:p w14:paraId="2DBD0BF6">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27.1</w:t>
      </w:r>
      <w:r>
        <w:rPr>
          <w:rFonts w:hint="eastAsia" w:ascii="宋体" w:hAnsi="宋体" w:cs="宋体"/>
          <w:color w:val="auto"/>
          <w:szCs w:val="21"/>
          <w:highlight w:val="none"/>
        </w:rPr>
        <w:t>招标人将在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交易平台、广东省招标投标监管网和中国招标投标公共服务平台公示中标候选人，公示期为三天。</w:t>
      </w:r>
      <w:r>
        <w:rPr>
          <w:rFonts w:hint="eastAsia" w:ascii="宋体" w:hAnsi="宋体" w:cs="宋体"/>
          <w:b/>
          <w:bCs/>
          <w:color w:val="auto"/>
          <w:szCs w:val="21"/>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2D616DCF">
      <w:pPr>
        <w:pBdr>
          <w:bottom w:val="single" w:color="auto" w:sz="6" w:space="1"/>
        </w:pBdr>
        <w:spacing w:line="360" w:lineRule="auto"/>
        <w:ind w:firstLine="422" w:firstLineChars="200"/>
        <w:rPr>
          <w:rFonts w:hint="eastAsia" w:ascii="宋体" w:hAnsi="宋体" w:cs="宋体"/>
          <w:b/>
          <w:bCs/>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27.1</w:t>
      </w:r>
      <w:r>
        <w:rPr>
          <w:rFonts w:hint="eastAsia" w:ascii="宋体" w:hAnsi="宋体" w:cs="宋体"/>
          <w:color w:val="auto"/>
          <w:szCs w:val="21"/>
          <w:highlight w:val="none"/>
          <w:u w:val="single"/>
        </w:rPr>
        <w:t>在评标委员会完成评标工作后，</w:t>
      </w:r>
      <w:r>
        <w:rPr>
          <w:rFonts w:hint="eastAsia" w:ascii="宋体" w:hAnsi="宋体" w:cs="宋体"/>
          <w:color w:val="auto"/>
          <w:szCs w:val="21"/>
          <w:highlight w:val="none"/>
        </w:rPr>
        <w:t>招标人将在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交易平台、广东省招标投标监管网和中国招标投标公共服务平台公示合格的中标候选人，公示期为三天。</w:t>
      </w:r>
      <w:r>
        <w:rPr>
          <w:rFonts w:hint="eastAsia" w:ascii="宋体" w:hAnsi="宋体" w:cs="宋体"/>
          <w:b/>
          <w:bCs/>
          <w:color w:val="auto"/>
          <w:szCs w:val="21"/>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0D1FC76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条款号：27.4                        修改类型：修改</w:t>
      </w:r>
    </w:p>
    <w:p w14:paraId="04CE72B6">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27.4在产生中标候选人后，招标人将中标候选人的投标文件商务部分文件的所有内容（包括人员、业绩、奖项等资料）在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交易平台和广东省招标投标监管网公开。</w:t>
      </w:r>
    </w:p>
    <w:p w14:paraId="5D095951">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27.4在产生</w:t>
      </w:r>
      <w:r>
        <w:rPr>
          <w:rFonts w:hint="eastAsia" w:ascii="宋体" w:hAnsi="宋体" w:cs="宋体"/>
          <w:color w:val="auto"/>
          <w:szCs w:val="21"/>
          <w:highlight w:val="none"/>
          <w:lang w:val="en-US" w:eastAsia="zh-CN"/>
        </w:rPr>
        <w:t>合格的</w:t>
      </w:r>
      <w:r>
        <w:rPr>
          <w:rFonts w:hint="eastAsia" w:ascii="宋体" w:hAnsi="宋体" w:cs="宋体"/>
          <w:color w:val="auto"/>
          <w:szCs w:val="21"/>
          <w:highlight w:val="none"/>
        </w:rPr>
        <w:t>中标候选人后，招标人将</w:t>
      </w:r>
      <w:r>
        <w:rPr>
          <w:rFonts w:hint="eastAsia" w:ascii="宋体" w:hAnsi="宋体" w:cs="宋体"/>
          <w:color w:val="auto"/>
          <w:szCs w:val="21"/>
          <w:highlight w:val="none"/>
          <w:lang w:val="en-US" w:eastAsia="zh-CN"/>
        </w:rPr>
        <w:t>合格的</w:t>
      </w:r>
      <w:r>
        <w:rPr>
          <w:rFonts w:hint="eastAsia" w:ascii="宋体" w:hAnsi="宋体" w:cs="宋体"/>
          <w:color w:val="auto"/>
          <w:szCs w:val="21"/>
          <w:highlight w:val="none"/>
        </w:rPr>
        <w:t>中标候选人的投标文件商务部分文件的所有内容（包括人员、业绩、奖项等资料）在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交易平台和广东省招标投标监管网公开。</w:t>
      </w:r>
    </w:p>
    <w:p w14:paraId="0295980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条款号：28.2                        修改类型：修改</w:t>
      </w:r>
    </w:p>
    <w:p w14:paraId="6226BC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原文：</w:t>
      </w:r>
      <w:r>
        <w:rPr>
          <w:rFonts w:hint="eastAsia" w:ascii="宋体" w:hAnsi="宋体" w:cs="宋体"/>
          <w:color w:val="auto"/>
          <w:szCs w:val="21"/>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10D7BD0">
      <w:pPr>
        <w:pBdr>
          <w:bottom w:val="single" w:color="auto" w:sz="4" w:space="0"/>
        </w:pBdr>
        <w:spacing w:line="360" w:lineRule="auto"/>
        <w:ind w:firstLine="420" w:firstLineChars="200"/>
        <w:rPr>
          <w:rFonts w:hint="eastAsia" w:ascii="宋体" w:hAnsi="宋体" w:cs="宋体"/>
          <w:color w:val="auto"/>
          <w:sz w:val="24"/>
          <w:szCs w:val="24"/>
          <w:highlight w:val="none"/>
        </w:rPr>
      </w:pPr>
      <w:r>
        <w:rPr>
          <w:rFonts w:hint="eastAsia" w:ascii="宋体" w:hAnsi="宋体" w:cs="宋体"/>
          <w:color w:val="auto"/>
          <w:szCs w:val="21"/>
          <w:highlight w:val="none"/>
          <w:lang w:val="en-US" w:eastAsia="zh-CN"/>
        </w:rPr>
        <w:t>现文：</w:t>
      </w:r>
      <w:r>
        <w:rPr>
          <w:rFonts w:hint="eastAsia" w:ascii="宋体" w:hAnsi="宋体" w:cs="宋体"/>
          <w:color w:val="auto"/>
          <w:szCs w:val="21"/>
          <w:highlight w:val="none"/>
        </w:rPr>
        <w:t>28.2中标通知书发出之日起30日后，中标人未按上款的规定与招标人订立合同，招标人将解除中标通知书，</w:t>
      </w:r>
      <w:r>
        <w:rPr>
          <w:rFonts w:hint="eastAsia" w:ascii="宋体" w:hAnsi="宋体" w:cs="宋体"/>
          <w:color w:val="auto"/>
          <w:szCs w:val="21"/>
          <w:highlight w:val="none"/>
          <w:u w:val="single"/>
        </w:rPr>
        <w:t>原中标人</w:t>
      </w:r>
      <w:r>
        <w:rPr>
          <w:rFonts w:hint="eastAsia" w:ascii="宋体" w:hAnsi="宋体" w:cs="宋体"/>
          <w:color w:val="auto"/>
          <w:szCs w:val="21"/>
          <w:highlight w:val="none"/>
        </w:rPr>
        <w:t>依法承担相应法律责任。原中标人给招标人造成损失的，还应当予以赔偿。原中标人有异议的，可以向人民法院起诉。</w:t>
      </w:r>
    </w:p>
    <w:p w14:paraId="5DE413D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条款号：28.3                        修改类型：修改</w:t>
      </w:r>
    </w:p>
    <w:p w14:paraId="750D9F25">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28.3非经招标人同意，中标人在投标过程中使用的银行名称及帐号至完成竣工结算不得变更，否则招标人有权停止工程款项的拔付及至解除合同，由此造成的一切责任由中标人承担。</w:t>
      </w:r>
    </w:p>
    <w:p w14:paraId="64E38997">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28.3非经招标人同意，中标人在投标过程中使用的银行名称及帐号至完成竣工结算不得变更，否则招标人有权停止工程款项的</w:t>
      </w:r>
      <w:r>
        <w:rPr>
          <w:rFonts w:hint="eastAsia" w:ascii="宋体" w:hAnsi="宋体" w:cs="宋体"/>
          <w:color w:val="auto"/>
          <w:szCs w:val="21"/>
          <w:highlight w:val="none"/>
          <w:u w:val="single"/>
        </w:rPr>
        <w:t>拨付</w:t>
      </w:r>
      <w:r>
        <w:rPr>
          <w:rFonts w:hint="eastAsia" w:ascii="宋体" w:hAnsi="宋体" w:cs="宋体"/>
          <w:color w:val="auto"/>
          <w:szCs w:val="21"/>
          <w:highlight w:val="none"/>
        </w:rPr>
        <w:t>及至解除合同，由此造成的一切责任由中标人承担。</w:t>
      </w:r>
    </w:p>
    <w:p w14:paraId="37EE00EC">
      <w:pPr>
        <w:spacing w:line="360" w:lineRule="auto"/>
        <w:ind w:firstLine="422" w:firstLineChars="200"/>
        <w:contextualSpacing/>
        <w:rPr>
          <w:rFonts w:hint="eastAsia" w:ascii="宋体" w:hAnsi="宋体" w:cs="宋体"/>
          <w:b/>
          <w:color w:val="auto"/>
          <w:szCs w:val="21"/>
          <w:highlight w:val="none"/>
        </w:rPr>
      </w:pPr>
      <w:r>
        <w:rPr>
          <w:rFonts w:hint="eastAsia" w:ascii="宋体" w:hAnsi="宋体" w:cs="宋体"/>
          <w:b/>
          <w:color w:val="auto"/>
          <w:szCs w:val="21"/>
          <w:highlight w:val="none"/>
        </w:rPr>
        <w:t>条款号：28.5                        修改类型：增加</w:t>
      </w:r>
    </w:p>
    <w:p w14:paraId="3D947555">
      <w:pPr>
        <w:pBdr>
          <w:bottom w:val="single" w:color="auto" w:sz="6" w:space="1"/>
        </w:pBdr>
        <w:tabs>
          <w:tab w:val="left" w:pos="3990"/>
        </w:tabs>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28.5如本工程委托代建单位（项目建设管理单位），则可由代建单位作为发包人与中标人签订合同。</w:t>
      </w:r>
    </w:p>
    <w:p w14:paraId="6902D53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条款号：29.1                        修改类型：修改</w:t>
      </w:r>
    </w:p>
    <w:p w14:paraId="08BB6057">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29.1在收到中标通知书后的</w:t>
      </w:r>
      <w:r>
        <w:rPr>
          <w:rFonts w:hint="eastAsia" w:ascii="宋体" w:hAnsi="宋体" w:cs="宋体"/>
          <w:b/>
          <w:color w:val="auto"/>
          <w:szCs w:val="21"/>
          <w:highlight w:val="none"/>
        </w:rPr>
        <w:t>15日</w:t>
      </w:r>
      <w:r>
        <w:rPr>
          <w:rFonts w:hint="eastAsia" w:ascii="宋体" w:hAnsi="宋体" w:cs="宋体"/>
          <w:color w:val="auto"/>
          <w:szCs w:val="21"/>
          <w:highlight w:val="none"/>
        </w:rPr>
        <w:t>内，中标人应按本须知前附表第20项的规定向招标人提交履约担保。</w:t>
      </w:r>
    </w:p>
    <w:p w14:paraId="337A832C">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29.1</w:t>
      </w:r>
      <w:r>
        <w:rPr>
          <w:rFonts w:hint="eastAsia" w:ascii="宋体" w:hAnsi="宋体" w:cs="宋体"/>
          <w:color w:val="auto"/>
          <w:szCs w:val="21"/>
          <w:highlight w:val="none"/>
          <w:u w:val="single"/>
        </w:rPr>
        <w:t>合同正式签订之日后的30日内</w:t>
      </w:r>
      <w:r>
        <w:rPr>
          <w:rFonts w:hint="eastAsia" w:ascii="宋体" w:hAnsi="宋体" w:cs="宋体"/>
          <w:color w:val="auto"/>
          <w:szCs w:val="21"/>
          <w:highlight w:val="none"/>
        </w:rPr>
        <w:t>，中标人应按本须知前附表第20项的规定向招标人提交履约担保。</w:t>
      </w:r>
    </w:p>
    <w:p w14:paraId="11B914B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条款号：29.2                        修改类型：修改</w:t>
      </w:r>
    </w:p>
    <w:p w14:paraId="542235BB">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5526937">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：29.2</w:t>
      </w:r>
      <w:r>
        <w:rPr>
          <w:rFonts w:hint="eastAsia" w:ascii="宋体" w:hAnsi="宋体" w:cs="宋体"/>
          <w:color w:val="auto"/>
          <w:szCs w:val="21"/>
          <w:highlight w:val="none"/>
          <w:u w:val="single"/>
        </w:rPr>
        <w:t>合同正式签订之日后的30日内</w:t>
      </w:r>
      <w:r>
        <w:rPr>
          <w:rFonts w:hint="eastAsia" w:ascii="宋体" w:hAnsi="宋体" w:cs="宋体"/>
          <w:color w:val="auto"/>
          <w:szCs w:val="21"/>
          <w:highlight w:val="none"/>
        </w:rPr>
        <w:t>，中标人未按上款的规定递交履约担保，招标人将解除中标通知书</w:t>
      </w:r>
      <w:r>
        <w:rPr>
          <w:rFonts w:hint="eastAsia" w:ascii="宋体" w:hAnsi="宋体" w:cs="宋体"/>
          <w:color w:val="auto"/>
          <w:szCs w:val="21"/>
          <w:highlight w:val="none"/>
          <w:u w:val="single"/>
        </w:rPr>
        <w:t>，且依法承担相应法律责任</w:t>
      </w:r>
      <w:r>
        <w:rPr>
          <w:rFonts w:hint="eastAsia" w:ascii="宋体" w:hAnsi="宋体" w:cs="宋体"/>
          <w:color w:val="auto"/>
          <w:szCs w:val="21"/>
          <w:highlight w:val="none"/>
        </w:rPr>
        <w:t>。原中标人给招标人造成损失的</w:t>
      </w:r>
      <w:r>
        <w:rPr>
          <w:rFonts w:hint="eastAsia" w:ascii="宋体" w:hAnsi="宋体" w:cs="宋体"/>
          <w:color w:val="auto"/>
          <w:szCs w:val="21"/>
          <w:highlight w:val="none"/>
          <w:u w:val="single"/>
        </w:rPr>
        <w:t>，还应当予以赔偿</w:t>
      </w:r>
      <w:r>
        <w:rPr>
          <w:rFonts w:hint="eastAsia" w:ascii="宋体" w:hAnsi="宋体" w:cs="宋体"/>
          <w:color w:val="auto"/>
          <w:szCs w:val="21"/>
          <w:highlight w:val="none"/>
        </w:rPr>
        <w:t>。原中标人有异议的，可以向人民法院起诉。</w:t>
      </w:r>
    </w:p>
    <w:p w14:paraId="5D96E77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条款号：30.1                        修改类型：修改</w:t>
      </w:r>
    </w:p>
    <w:p w14:paraId="74705EBA">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30.1在合同双方全权代表在合同协议书上签字，并分别加盖双方单位的公章后，合同正式生效。</w:t>
      </w:r>
    </w:p>
    <w:p w14:paraId="276656B6">
      <w:pPr>
        <w:pBdr>
          <w:bottom w:val="single" w:color="auto" w:sz="6" w:space="1"/>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30.1在合同双方全权代表在合同协议书上签字，并分别加盖双方单位的公章</w:t>
      </w:r>
      <w:r>
        <w:rPr>
          <w:rFonts w:hint="eastAsia" w:ascii="宋体" w:hAnsi="宋体" w:cs="宋体"/>
          <w:color w:val="auto"/>
          <w:szCs w:val="21"/>
          <w:highlight w:val="none"/>
          <w:u w:val="single"/>
        </w:rPr>
        <w:t>且承包人提交履约担保后，合同正式生效。</w:t>
      </w:r>
    </w:p>
    <w:p w14:paraId="244904C3">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条款号：31                          修改类型：修改</w:t>
      </w:r>
    </w:p>
    <w:p w14:paraId="52EB7C72">
      <w:pPr>
        <w:pBdr>
          <w:bottom w:val="single" w:color="auto" w:sz="6" w:space="1"/>
        </w:pBd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原文：31.其它费用</w:t>
      </w:r>
    </w:p>
    <w:p w14:paraId="5EA2E60F">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w:t>
      </w:r>
      <w:r>
        <w:rPr>
          <w:rFonts w:hint="eastAsia" w:ascii="宋体" w:hAnsi="宋体" w:cs="宋体"/>
          <w:b/>
          <w:color w:val="auto"/>
          <w:szCs w:val="21"/>
          <w:highlight w:val="none"/>
        </w:rPr>
        <w:t>31.</w:t>
      </w:r>
      <w:r>
        <w:rPr>
          <w:rFonts w:hint="eastAsia" w:ascii="宋体" w:hAnsi="宋体" w:cs="宋体"/>
          <w:b/>
          <w:bCs/>
          <w:color w:val="auto"/>
          <w:szCs w:val="21"/>
          <w:highlight w:val="none"/>
        </w:rPr>
        <w:t>其它费用</w:t>
      </w:r>
    </w:p>
    <w:p w14:paraId="596593F6">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1.中标人应交纳交易服务费，该费用包含在投标价中。</w:t>
      </w:r>
    </w:p>
    <w:p w14:paraId="3CC6CEEA">
      <w:pPr>
        <w:adjustRightInd w:val="0"/>
        <w:spacing w:line="46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条款号：3</w:t>
      </w:r>
      <w:r>
        <w:rPr>
          <w:rFonts w:ascii="宋体" w:hAnsi="宋体" w:cs="宋体"/>
          <w:b/>
          <w:color w:val="auto"/>
          <w:szCs w:val="21"/>
          <w:highlight w:val="none"/>
        </w:rPr>
        <w:t>2</w:t>
      </w:r>
      <w:r>
        <w:rPr>
          <w:rFonts w:hint="eastAsia" w:ascii="宋体" w:hAnsi="宋体" w:cs="宋体"/>
          <w:b/>
          <w:color w:val="auto"/>
          <w:szCs w:val="21"/>
          <w:highlight w:val="none"/>
        </w:rPr>
        <w:t>.</w:t>
      </w:r>
      <w:r>
        <w:rPr>
          <w:rFonts w:ascii="宋体" w:hAnsi="宋体" w:cs="宋体"/>
          <w:b/>
          <w:color w:val="auto"/>
          <w:szCs w:val="21"/>
          <w:highlight w:val="none"/>
        </w:rPr>
        <w:t>3</w:t>
      </w:r>
      <w:r>
        <w:rPr>
          <w:rFonts w:hint="eastAsia" w:ascii="宋体" w:hAnsi="宋体" w:cs="宋体"/>
          <w:b/>
          <w:color w:val="auto"/>
          <w:szCs w:val="21"/>
          <w:highlight w:val="none"/>
        </w:rPr>
        <w:t xml:space="preserve">                       修改类型：修改</w:t>
      </w:r>
    </w:p>
    <w:p w14:paraId="3B03452C">
      <w:pPr>
        <w:adjustRightInd w:val="0"/>
        <w:spacing w:line="46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投标人如在本项目中存在串通投标、弄虚作假、行贿情形的，中标无效，行政监督部门将对其违法行为进行政处罚并通报。该投标人将被招标人列入黑名单并限制其参与招标人后续项目的投标。</w:t>
      </w:r>
    </w:p>
    <w:p w14:paraId="00395BE7">
      <w:pPr>
        <w:pBdr>
          <w:bottom w:val="single" w:color="auto" w:sz="6" w:space="1"/>
        </w:pBdr>
        <w:adjustRightInd w:val="0"/>
        <w:spacing w:line="460" w:lineRule="exact"/>
        <w:ind w:firstLine="424" w:firstLineChars="201"/>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投标人如在本项目中存在串通投标、弄虚作假</w:t>
      </w:r>
      <w:r>
        <w:rPr>
          <w:rFonts w:hint="eastAsia" w:ascii="宋体" w:hAnsi="宋体" w:cs="宋体"/>
          <w:color w:val="auto"/>
          <w:szCs w:val="21"/>
          <w:highlight w:val="none"/>
          <w:u w:val="single"/>
        </w:rPr>
        <w:t>骗取中标</w:t>
      </w:r>
      <w:r>
        <w:rPr>
          <w:rFonts w:hint="eastAsia" w:ascii="宋体" w:hAnsi="宋体" w:cs="宋体"/>
          <w:color w:val="auto"/>
          <w:szCs w:val="21"/>
          <w:highlight w:val="none"/>
        </w:rPr>
        <w:t>、行贿情形的，中标无效，行政监督部门将对其违法行为进行政处罚。该投标人将被招标人列入黑名单并限制其参与招标人后续项目的投标。</w:t>
      </w:r>
    </w:p>
    <w:p w14:paraId="4579E34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注：以上修改，仅限于本范本中有可供选择条款的情形。</w:t>
      </w:r>
    </w:p>
    <w:p w14:paraId="40AE1B15">
      <w:pPr>
        <w:spacing w:line="360" w:lineRule="auto"/>
        <w:ind w:firstLine="422" w:firstLineChars="200"/>
        <w:rPr>
          <w:rFonts w:hint="eastAsia" w:ascii="宋体" w:hAnsi="宋体" w:cs="宋体"/>
          <w:color w:val="auto"/>
          <w:highlight w:val="none"/>
        </w:rPr>
      </w:pPr>
      <w:r>
        <w:rPr>
          <w:rFonts w:hint="eastAsia" w:ascii="宋体" w:hAnsi="宋体" w:cs="宋体"/>
          <w:b/>
          <w:color w:val="auto"/>
          <w:szCs w:val="21"/>
          <w:highlight w:val="none"/>
        </w:rPr>
        <w:t>（以下无正文）</w:t>
      </w:r>
    </w:p>
    <w:p w14:paraId="23AF64A9">
      <w:pPr>
        <w:pStyle w:val="3"/>
        <w:spacing w:line="360" w:lineRule="auto"/>
        <w:rPr>
          <w:rFonts w:hint="eastAsia"/>
          <w:color w:val="auto"/>
          <w:highlight w:val="none"/>
        </w:rPr>
      </w:pPr>
      <w:r>
        <w:rPr>
          <w:rFonts w:hint="eastAsia"/>
          <w:color w:val="auto"/>
          <w:highlight w:val="none"/>
        </w:rPr>
        <w:br w:type="page"/>
      </w:r>
      <w:bookmarkStart w:id="40" w:name="_Toc5355"/>
      <w:bookmarkStart w:id="41" w:name="_Toc26141"/>
      <w:bookmarkStart w:id="42" w:name="_Toc27873"/>
      <w:bookmarkStart w:id="43" w:name="_Toc21331"/>
      <w:bookmarkStart w:id="44" w:name="_Toc27485"/>
      <w:bookmarkStart w:id="45" w:name="_Toc14676"/>
      <w:bookmarkStart w:id="46" w:name="_Toc7019"/>
      <w:bookmarkStart w:id="47" w:name="_Toc5805"/>
      <w:bookmarkStart w:id="48" w:name="_Toc1651"/>
      <w:bookmarkStart w:id="49" w:name="_Toc16625"/>
      <w:bookmarkStart w:id="50" w:name="_Toc14321"/>
      <w:bookmarkStart w:id="51" w:name="_Toc432"/>
      <w:bookmarkStart w:id="52" w:name="_Toc2272548"/>
      <w:r>
        <w:rPr>
          <w:rFonts w:hint="eastAsia"/>
          <w:color w:val="auto"/>
          <w:highlight w:val="none"/>
        </w:rPr>
        <w:t>三、投标须知通用条款</w:t>
      </w:r>
      <w:bookmarkEnd w:id="40"/>
      <w:bookmarkEnd w:id="41"/>
      <w:bookmarkEnd w:id="42"/>
      <w:bookmarkEnd w:id="43"/>
      <w:bookmarkEnd w:id="44"/>
      <w:bookmarkEnd w:id="45"/>
      <w:bookmarkEnd w:id="46"/>
      <w:bookmarkEnd w:id="47"/>
      <w:bookmarkEnd w:id="48"/>
      <w:bookmarkEnd w:id="49"/>
      <w:bookmarkEnd w:id="50"/>
      <w:bookmarkEnd w:id="51"/>
      <w:bookmarkEnd w:id="52"/>
    </w:p>
    <w:p w14:paraId="6E70C6A9">
      <w:pPr>
        <w:pStyle w:val="5"/>
        <w:keepNext w:val="0"/>
        <w:keepLines w:val="0"/>
        <w:widowControl/>
        <w:numPr>
          <w:ilvl w:val="255"/>
          <w:numId w:val="0"/>
        </w:numPr>
        <w:spacing w:before="156" w:beforeLines="50" w:after="156" w:afterLines="50"/>
        <w:rPr>
          <w:rFonts w:hint="eastAsia" w:eastAsia="宋体"/>
          <w:b/>
          <w:bCs/>
          <w:color w:val="auto"/>
          <w:highlight w:val="none"/>
          <w:lang w:eastAsia="zh-CN"/>
        </w:rPr>
      </w:pPr>
      <w:bookmarkStart w:id="53" w:name="_Toc21525493"/>
      <w:bookmarkStart w:id="54" w:name="_Toc2272549"/>
      <w:bookmarkStart w:id="55" w:name="_Toc23572"/>
      <w:bookmarkStart w:id="56" w:name="_Toc17217"/>
      <w:r>
        <w:rPr>
          <w:rFonts w:hint="eastAsia" w:eastAsia="宋体"/>
          <w:b/>
          <w:bCs/>
          <w:color w:val="auto"/>
          <w:highlight w:val="none"/>
          <w:lang w:eastAsia="zh-CN"/>
        </w:rPr>
        <w:t>（一）总则</w:t>
      </w:r>
      <w:bookmarkEnd w:id="53"/>
      <w:bookmarkEnd w:id="54"/>
      <w:bookmarkEnd w:id="55"/>
      <w:bookmarkEnd w:id="56"/>
    </w:p>
    <w:p w14:paraId="3ABC1CA8">
      <w:pPr>
        <w:pStyle w:val="23"/>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27535F59">
      <w:pPr>
        <w:pStyle w:val="23"/>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17578EEC">
      <w:pPr>
        <w:pStyle w:val="23"/>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6DF25237">
      <w:pPr>
        <w:pStyle w:val="23"/>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14:paraId="570CA56B">
      <w:pPr>
        <w:pStyle w:val="23"/>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5C7C9371">
      <w:pPr>
        <w:pStyle w:val="23"/>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39A6EC0B">
      <w:pPr>
        <w:pStyle w:val="23"/>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6B7B6D34">
      <w:pPr>
        <w:pStyle w:val="23"/>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4B51BFD8">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6F2D95DB">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4F486417">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14:paraId="287A8712">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7066A948">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0436C3E1">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31154917">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722A1F71">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1A8D193C">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14:paraId="43943114">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56D68683">
      <w:pPr>
        <w:spacing w:line="360" w:lineRule="auto"/>
        <w:ind w:firstLine="480" w:firstLineChars="200"/>
        <w:rPr>
          <w:rFonts w:ascii="宋体"/>
          <w:bCs/>
          <w:color w:val="auto"/>
          <w:sz w:val="24"/>
          <w:highlight w:val="none"/>
          <w:u w:val="singl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15</w:t>
      </w:r>
      <w:r>
        <w:rPr>
          <w:rFonts w:hint="eastAsia" w:ascii="宋体" w:hAnsi="宋体"/>
          <w:bCs/>
          <w:color w:val="auto"/>
          <w:sz w:val="24"/>
          <w:highlight w:val="none"/>
        </w:rPr>
        <w:t>项所述时间和要求对工程现场及周围环境进行踏勘，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一旦中标，这种考察即被认为其结果已在中标文件中得到充分反映。考察现场的费用由投标人自己承担。</w:t>
      </w:r>
    </w:p>
    <w:p w14:paraId="7D99BF53">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455426D7">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1C3F1205">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386BFC0C">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19670B03">
      <w:pPr>
        <w:pStyle w:val="5"/>
        <w:keepNext w:val="0"/>
        <w:keepLines w:val="0"/>
        <w:widowControl/>
        <w:numPr>
          <w:ilvl w:val="255"/>
          <w:numId w:val="0"/>
        </w:numPr>
        <w:spacing w:before="156" w:beforeLines="50" w:after="156" w:afterLines="50"/>
        <w:rPr>
          <w:rFonts w:hint="eastAsia" w:eastAsia="宋体"/>
          <w:b/>
          <w:bCs/>
          <w:color w:val="auto"/>
          <w:highlight w:val="none"/>
          <w:lang w:eastAsia="zh-CN"/>
        </w:rPr>
      </w:pPr>
      <w:bookmarkStart w:id="57" w:name="_Toc3404"/>
      <w:bookmarkStart w:id="58" w:name="_Toc25575"/>
      <w:bookmarkStart w:id="59" w:name="_Toc2272550"/>
      <w:bookmarkStart w:id="60" w:name="_Toc21525494"/>
      <w:r>
        <w:rPr>
          <w:rFonts w:hint="eastAsia" w:eastAsia="宋体"/>
          <w:b/>
          <w:bCs/>
          <w:color w:val="auto"/>
          <w:highlight w:val="none"/>
          <w:lang w:eastAsia="zh-CN"/>
        </w:rPr>
        <w:t>（二）招标文件</w:t>
      </w:r>
      <w:bookmarkEnd w:id="57"/>
      <w:bookmarkEnd w:id="58"/>
      <w:bookmarkEnd w:id="59"/>
      <w:bookmarkEnd w:id="60"/>
    </w:p>
    <w:p w14:paraId="3A22F7B5">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646CA6EC">
      <w:pPr>
        <w:spacing w:line="360" w:lineRule="auto"/>
        <w:ind w:firstLine="480" w:firstLineChars="200"/>
        <w:rPr>
          <w:rFonts w:ascii="宋体"/>
          <w:color w:val="auto"/>
          <w:sz w:val="24"/>
          <w:highlight w:val="none"/>
        </w:rPr>
      </w:pPr>
      <w:r>
        <w:rPr>
          <w:rFonts w:ascii="宋体" w:hAnsi="宋体"/>
          <w:bCs/>
          <w:color w:val="auto"/>
          <w:sz w:val="24"/>
          <w:highlight w:val="none"/>
        </w:rPr>
        <w:t>7.1</w:t>
      </w:r>
      <w:r>
        <w:rPr>
          <w:rFonts w:hint="eastAsia" w:ascii="宋体" w:hAnsi="宋体"/>
          <w:color w:val="auto"/>
          <w:sz w:val="24"/>
          <w:highlight w:val="none"/>
        </w:rPr>
        <w:t>本招标文件包括下列文件，以及所有按本须知第</w:t>
      </w:r>
      <w:r>
        <w:rPr>
          <w:rFonts w:ascii="宋体" w:hAnsi="宋体"/>
          <w:color w:val="auto"/>
          <w:sz w:val="24"/>
          <w:highlight w:val="none"/>
        </w:rPr>
        <w:t>8</w:t>
      </w:r>
      <w:r>
        <w:rPr>
          <w:rFonts w:hint="eastAsia" w:ascii="宋体" w:hAnsi="宋体"/>
          <w:color w:val="auto"/>
          <w:sz w:val="24"/>
          <w:highlight w:val="none"/>
        </w:rPr>
        <w:t>条发出的招标答疑会会议纪要和按本须知第</w:t>
      </w:r>
      <w:r>
        <w:rPr>
          <w:rFonts w:ascii="宋体" w:hAnsi="宋体"/>
          <w:color w:val="auto"/>
          <w:sz w:val="24"/>
          <w:highlight w:val="none"/>
        </w:rPr>
        <w:t>9</w:t>
      </w:r>
      <w:r>
        <w:rPr>
          <w:rFonts w:hint="eastAsia" w:ascii="宋体" w:hAnsi="宋体"/>
          <w:color w:val="auto"/>
          <w:sz w:val="24"/>
          <w:highlight w:val="none"/>
        </w:rPr>
        <w:t>条发出的澄清或修改：</w:t>
      </w:r>
    </w:p>
    <w:p w14:paraId="3FD82441">
      <w:pPr>
        <w:pStyle w:val="23"/>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第一章</w:t>
      </w:r>
      <w:r>
        <w:rPr>
          <w:rFonts w:ascii="宋体" w:hAnsi="宋体"/>
          <w:bCs/>
          <w:color w:val="auto"/>
          <w:sz w:val="24"/>
          <w:highlight w:val="none"/>
        </w:rPr>
        <w:t xml:space="preserve">  </w:t>
      </w:r>
      <w:r>
        <w:rPr>
          <w:rFonts w:hint="eastAsia" w:ascii="宋体" w:hAnsi="宋体"/>
          <w:color w:val="auto"/>
          <w:sz w:val="24"/>
          <w:highlight w:val="none"/>
        </w:rPr>
        <w:t>投标须知</w:t>
      </w:r>
    </w:p>
    <w:p w14:paraId="78ABC998">
      <w:pPr>
        <w:pStyle w:val="23"/>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第二章</w:t>
      </w:r>
      <w:r>
        <w:rPr>
          <w:rFonts w:ascii="宋体" w:hAnsi="宋体"/>
          <w:bCs/>
          <w:color w:val="auto"/>
          <w:sz w:val="24"/>
          <w:highlight w:val="none"/>
        </w:rPr>
        <w:t xml:space="preserve">  </w:t>
      </w:r>
      <w:r>
        <w:rPr>
          <w:rFonts w:hint="eastAsia" w:ascii="宋体" w:hAnsi="宋体"/>
          <w:color w:val="auto"/>
          <w:sz w:val="24"/>
          <w:highlight w:val="none"/>
        </w:rPr>
        <w:t>开标、评标及定标办法</w:t>
      </w:r>
    </w:p>
    <w:p w14:paraId="39027E98">
      <w:pPr>
        <w:pStyle w:val="23"/>
        <w:spacing w:after="0" w:line="360" w:lineRule="auto"/>
        <w:ind w:firstLine="480" w:firstLineChars="200"/>
        <w:rPr>
          <w:rFonts w:ascii="宋体"/>
          <w:color w:val="auto"/>
          <w:sz w:val="24"/>
          <w:highlight w:val="none"/>
        </w:rPr>
      </w:pPr>
      <w:r>
        <w:rPr>
          <w:rFonts w:hint="eastAsia" w:ascii="宋体" w:hAnsi="宋体"/>
          <w:color w:val="auto"/>
          <w:sz w:val="24"/>
          <w:highlight w:val="none"/>
        </w:rPr>
        <w:t>第三章</w:t>
      </w:r>
      <w:r>
        <w:rPr>
          <w:rFonts w:ascii="宋体" w:hAnsi="宋体"/>
          <w:color w:val="auto"/>
          <w:sz w:val="24"/>
          <w:highlight w:val="none"/>
        </w:rPr>
        <w:t xml:space="preserve">  </w:t>
      </w:r>
      <w:r>
        <w:rPr>
          <w:rFonts w:hint="eastAsia" w:ascii="宋体" w:hAnsi="宋体"/>
          <w:color w:val="auto"/>
          <w:sz w:val="24"/>
          <w:highlight w:val="none"/>
        </w:rPr>
        <w:t>合同条款</w:t>
      </w:r>
    </w:p>
    <w:p w14:paraId="5C553E0B">
      <w:pPr>
        <w:pStyle w:val="23"/>
        <w:spacing w:after="0" w:line="360" w:lineRule="auto"/>
        <w:ind w:firstLine="480" w:firstLineChars="200"/>
        <w:rPr>
          <w:rFonts w:ascii="宋体"/>
          <w:color w:val="auto"/>
          <w:sz w:val="24"/>
          <w:highlight w:val="none"/>
        </w:rPr>
      </w:pPr>
      <w:r>
        <w:rPr>
          <w:rFonts w:hint="eastAsia" w:ascii="宋体" w:hAnsi="宋体"/>
          <w:bCs/>
          <w:color w:val="auto"/>
          <w:sz w:val="24"/>
          <w:highlight w:val="none"/>
        </w:rPr>
        <w:t>第四章</w:t>
      </w:r>
      <w:r>
        <w:rPr>
          <w:rFonts w:ascii="宋体" w:hAnsi="宋体"/>
          <w:bCs/>
          <w:color w:val="auto"/>
          <w:sz w:val="24"/>
          <w:highlight w:val="none"/>
        </w:rPr>
        <w:t xml:space="preserve">  </w:t>
      </w:r>
      <w:r>
        <w:rPr>
          <w:rFonts w:hint="eastAsia" w:ascii="宋体" w:hAnsi="宋体"/>
          <w:color w:val="auto"/>
          <w:sz w:val="24"/>
          <w:highlight w:val="none"/>
        </w:rPr>
        <w:t>投标文件格式</w:t>
      </w:r>
    </w:p>
    <w:p w14:paraId="33C723BF">
      <w:pPr>
        <w:pStyle w:val="23"/>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第五章</w:t>
      </w:r>
      <w:r>
        <w:rPr>
          <w:rFonts w:ascii="宋体" w:hAnsi="宋体"/>
          <w:bCs/>
          <w:color w:val="auto"/>
          <w:sz w:val="24"/>
          <w:highlight w:val="none"/>
        </w:rPr>
        <w:t xml:space="preserve">  </w:t>
      </w:r>
      <w:r>
        <w:rPr>
          <w:rFonts w:hint="eastAsia" w:ascii="宋体" w:hAnsi="宋体"/>
          <w:color w:val="auto"/>
          <w:sz w:val="24"/>
          <w:highlight w:val="none"/>
        </w:rPr>
        <w:t>技术条件（工程建设标准）（另册）</w:t>
      </w:r>
    </w:p>
    <w:p w14:paraId="1E2D1931">
      <w:pPr>
        <w:pStyle w:val="23"/>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第六章</w:t>
      </w:r>
      <w:r>
        <w:rPr>
          <w:rFonts w:ascii="宋体" w:hAnsi="宋体"/>
          <w:bCs/>
          <w:color w:val="auto"/>
          <w:sz w:val="24"/>
          <w:highlight w:val="none"/>
        </w:rPr>
        <w:t xml:space="preserve">  </w:t>
      </w:r>
      <w:r>
        <w:rPr>
          <w:rFonts w:hint="eastAsia" w:ascii="宋体" w:hAnsi="宋体"/>
          <w:color w:val="auto"/>
          <w:sz w:val="24"/>
          <w:highlight w:val="none"/>
        </w:rPr>
        <w:t>图纸及勘察资料（另册）</w:t>
      </w:r>
    </w:p>
    <w:p w14:paraId="223100D6">
      <w:pPr>
        <w:pStyle w:val="23"/>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第七章</w:t>
      </w:r>
      <w:r>
        <w:rPr>
          <w:rFonts w:ascii="宋体" w:hAnsi="宋体"/>
          <w:bCs/>
          <w:color w:val="auto"/>
          <w:sz w:val="24"/>
          <w:highlight w:val="none"/>
        </w:rPr>
        <w:t xml:space="preserve">  </w:t>
      </w:r>
      <w:r>
        <w:rPr>
          <w:rFonts w:hint="eastAsia" w:ascii="宋体" w:hAnsi="宋体"/>
          <w:bCs/>
          <w:color w:val="auto"/>
          <w:sz w:val="24"/>
          <w:highlight w:val="none"/>
        </w:rPr>
        <w:t>招标</w:t>
      </w:r>
      <w:r>
        <w:rPr>
          <w:rFonts w:hint="eastAsia" w:ascii="宋体" w:hAnsi="宋体"/>
          <w:color w:val="auto"/>
          <w:sz w:val="24"/>
          <w:highlight w:val="none"/>
        </w:rPr>
        <w:t>工程量清单（另册）</w:t>
      </w:r>
    </w:p>
    <w:p w14:paraId="4366C409">
      <w:pPr>
        <w:pStyle w:val="23"/>
        <w:spacing w:after="0" w:line="360" w:lineRule="auto"/>
        <w:ind w:left="-2" w:firstLine="480" w:firstLineChars="200"/>
        <w:rPr>
          <w:rFonts w:ascii="宋体"/>
          <w:color w:val="auto"/>
          <w:sz w:val="24"/>
          <w:highlight w:val="none"/>
        </w:rPr>
      </w:pPr>
      <w:r>
        <w:rPr>
          <w:rFonts w:hint="eastAsia" w:ascii="宋体" w:hAnsi="宋体"/>
          <w:color w:val="auto"/>
          <w:sz w:val="24"/>
          <w:highlight w:val="none"/>
        </w:rPr>
        <w:t>第八章</w:t>
      </w:r>
      <w:r>
        <w:rPr>
          <w:rFonts w:ascii="宋体" w:hAnsi="宋体"/>
          <w:color w:val="auto"/>
          <w:sz w:val="24"/>
          <w:highlight w:val="none"/>
        </w:rPr>
        <w:t xml:space="preserve">  </w:t>
      </w:r>
      <w:r>
        <w:rPr>
          <w:rFonts w:hint="eastAsia" w:ascii="宋体" w:hAnsi="宋体"/>
          <w:color w:val="auto"/>
          <w:sz w:val="24"/>
          <w:highlight w:val="none"/>
        </w:rPr>
        <w:t>最高投标限价</w:t>
      </w:r>
    </w:p>
    <w:p w14:paraId="38ECFD38">
      <w:pPr>
        <w:pStyle w:val="23"/>
        <w:spacing w:after="0"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3B8CD118">
      <w:pPr>
        <w:pStyle w:val="23"/>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36F8FA1A">
      <w:pPr>
        <w:pStyle w:val="23"/>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53BF2BF2">
      <w:pPr>
        <w:pStyle w:val="23"/>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008ED280">
      <w:pPr>
        <w:pStyle w:val="23"/>
        <w:spacing w:after="0"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ascii="宋体" w:hAnsi="宋体"/>
          <w:color w:val="auto"/>
          <w:sz w:val="24"/>
          <w:highlight w:val="none"/>
        </w:rPr>
        <w:t>16</w:t>
      </w:r>
      <w:r>
        <w:rPr>
          <w:rFonts w:hint="eastAsia" w:ascii="宋体" w:hAnsi="宋体"/>
          <w:color w:val="auto"/>
          <w:sz w:val="24"/>
          <w:highlight w:val="none"/>
        </w:rPr>
        <w:t>项。</w:t>
      </w:r>
    </w:p>
    <w:p w14:paraId="21D45F08">
      <w:pPr>
        <w:pStyle w:val="23"/>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14:paraId="2F263BC7">
      <w:pPr>
        <w:pStyle w:val="23"/>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14:paraId="46BB3752">
      <w:pPr>
        <w:pStyle w:val="23"/>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14:paraId="60CE8A72">
      <w:pPr>
        <w:pStyle w:val="23"/>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362C3C7A">
      <w:pPr>
        <w:pStyle w:val="23"/>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招标文件发出后，在提交投标文件截止时间15日前，招标人可对招标文件进行必要的澄清或修改。</w:t>
      </w:r>
    </w:p>
    <w:p w14:paraId="3833C3A3">
      <w:pPr>
        <w:pStyle w:val="23"/>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6A394716">
      <w:pPr>
        <w:pStyle w:val="23"/>
        <w:spacing w:after="0"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14:paraId="2B40F5AF">
      <w:pPr>
        <w:pStyle w:val="23"/>
        <w:spacing w:after="0" w:line="360" w:lineRule="auto"/>
        <w:ind w:firstLine="480" w:firstLineChars="200"/>
        <w:rPr>
          <w:rFonts w:ascii="宋体"/>
          <w:color w:val="auto"/>
          <w:sz w:val="24"/>
          <w:highlight w:val="none"/>
        </w:rPr>
      </w:pPr>
      <w:r>
        <w:rPr>
          <w:rFonts w:ascii="宋体" w:hAnsi="宋体"/>
          <w:color w:val="auto"/>
          <w:sz w:val="24"/>
          <w:highlight w:val="none"/>
        </w:rPr>
        <w:t>9.4</w:t>
      </w:r>
      <w:r>
        <w:rPr>
          <w:rFonts w:hint="eastAsia" w:ascii="宋体" w:hAnsi="宋体"/>
          <w:color w:val="auto"/>
          <w:sz w:val="24"/>
          <w:highlight w:val="none"/>
        </w:rPr>
        <w:t>招标文件的澄清或修改均以书面形式明确的内容为准。当招标文件的澄清、修改、补充等在同一内容的表述不一致时，以最后发出的书面形式的文件为准。</w:t>
      </w:r>
    </w:p>
    <w:p w14:paraId="1953F9C8">
      <w:pPr>
        <w:pStyle w:val="23"/>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54C8136C">
      <w:pPr>
        <w:pStyle w:val="5"/>
        <w:keepNext w:val="0"/>
        <w:keepLines w:val="0"/>
        <w:widowControl/>
        <w:numPr>
          <w:ilvl w:val="255"/>
          <w:numId w:val="0"/>
        </w:numPr>
        <w:spacing w:before="156" w:beforeLines="50" w:after="156" w:afterLines="50"/>
        <w:rPr>
          <w:rFonts w:hint="eastAsia" w:eastAsia="宋体"/>
          <w:b/>
          <w:bCs/>
          <w:color w:val="auto"/>
          <w:highlight w:val="none"/>
          <w:lang w:eastAsia="zh-CN"/>
        </w:rPr>
      </w:pPr>
      <w:bookmarkStart w:id="61" w:name="_Toc30905"/>
      <w:bookmarkStart w:id="62" w:name="_Toc21525495"/>
      <w:bookmarkStart w:id="63" w:name="_Toc2272551"/>
      <w:bookmarkStart w:id="64" w:name="_Toc21989"/>
      <w:r>
        <w:rPr>
          <w:rFonts w:hint="eastAsia" w:eastAsia="宋体"/>
          <w:b/>
          <w:bCs/>
          <w:color w:val="auto"/>
          <w:highlight w:val="none"/>
          <w:lang w:eastAsia="zh-CN"/>
        </w:rPr>
        <w:t>（三）投标文件的编制</w:t>
      </w:r>
      <w:bookmarkEnd w:id="61"/>
      <w:bookmarkEnd w:id="62"/>
      <w:bookmarkEnd w:id="63"/>
      <w:bookmarkEnd w:id="64"/>
    </w:p>
    <w:p w14:paraId="7AE481B4">
      <w:pPr>
        <w:pStyle w:val="23"/>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6F7F598A">
      <w:pPr>
        <w:pStyle w:val="23"/>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36EB07D3">
      <w:pPr>
        <w:pStyle w:val="23"/>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28606269">
      <w:pPr>
        <w:pStyle w:val="23"/>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14:paraId="4D38871B">
      <w:pPr>
        <w:pStyle w:val="23"/>
        <w:spacing w:after="0" w:line="360" w:lineRule="auto"/>
        <w:ind w:firstLine="480" w:firstLineChars="200"/>
        <w:rPr>
          <w:rFonts w:ascii="宋体"/>
          <w:b/>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投标文件由技术部分（含资格审查文件）和经济部分二部分投标文件组成</w:t>
      </w:r>
      <w:r>
        <w:rPr>
          <w:rFonts w:hint="eastAsia" w:ascii="宋体" w:hAnsi="宋体"/>
          <w:bCs/>
          <w:color w:val="auto"/>
          <w:sz w:val="24"/>
          <w:highlight w:val="none"/>
        </w:rPr>
        <w:t>。</w:t>
      </w:r>
    </w:p>
    <w:p w14:paraId="34885E3E">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11.2</w:t>
      </w:r>
      <w:r>
        <w:rPr>
          <w:rFonts w:hint="eastAsia" w:ascii="宋体" w:hAnsi="宋体"/>
          <w:bCs/>
          <w:color w:val="auto"/>
          <w:sz w:val="24"/>
          <w:highlight w:val="none"/>
        </w:rPr>
        <w:t>投标文件技术标部分主要包括下列内容：</w:t>
      </w:r>
    </w:p>
    <w:p w14:paraId="4425743A">
      <w:pPr>
        <w:spacing w:line="360" w:lineRule="auto"/>
        <w:ind w:firstLine="480" w:firstLineChars="200"/>
        <w:rPr>
          <w:rFonts w:ascii="宋体"/>
          <w:bCs/>
          <w:color w:val="auto"/>
          <w:sz w:val="24"/>
          <w:highlight w:val="none"/>
        </w:rPr>
      </w:pPr>
      <w:r>
        <w:rPr>
          <w:rFonts w:hint="eastAsia" w:ascii="宋体"/>
          <w:bCs/>
          <w:color w:val="auto"/>
          <w:sz w:val="24"/>
          <w:highlight w:val="none"/>
        </w:rPr>
        <w:t>11.2.1 技术投标文件</w:t>
      </w:r>
      <w:r>
        <w:rPr>
          <w:rFonts w:hint="eastAsia" w:ascii="宋体" w:hAnsi="宋体"/>
          <w:color w:val="auto"/>
          <w:sz w:val="24"/>
          <w:highlight w:val="none"/>
        </w:rPr>
        <w:t>（按招标文件的要求填写）</w:t>
      </w:r>
      <w:r>
        <w:rPr>
          <w:rFonts w:hint="eastAsia" w:ascii="宋体"/>
          <w:bCs/>
          <w:color w:val="auto"/>
          <w:sz w:val="24"/>
          <w:highlight w:val="none"/>
        </w:rPr>
        <w:t>；</w:t>
      </w:r>
    </w:p>
    <w:p w14:paraId="7D87CF8F">
      <w:pPr>
        <w:spacing w:line="360" w:lineRule="auto"/>
        <w:ind w:firstLine="480" w:firstLineChars="200"/>
        <w:rPr>
          <w:rFonts w:ascii="宋体"/>
          <w:bCs/>
          <w:color w:val="auto"/>
          <w:sz w:val="24"/>
          <w:highlight w:val="none"/>
        </w:rPr>
      </w:pPr>
      <w:r>
        <w:rPr>
          <w:rFonts w:hint="eastAsia" w:ascii="宋体"/>
          <w:bCs/>
          <w:color w:val="auto"/>
          <w:sz w:val="24"/>
          <w:highlight w:val="none"/>
        </w:rPr>
        <w:t>11.2.2 资格审查文件：</w:t>
      </w:r>
    </w:p>
    <w:p w14:paraId="0873F175">
      <w:pPr>
        <w:spacing w:line="360" w:lineRule="auto"/>
        <w:ind w:firstLine="480" w:firstLineChars="200"/>
        <w:rPr>
          <w:rFonts w:ascii="宋体"/>
          <w:bCs/>
          <w:color w:val="auto"/>
          <w:sz w:val="24"/>
          <w:highlight w:val="none"/>
        </w:rPr>
      </w:pPr>
      <w:r>
        <w:rPr>
          <w:rFonts w:hint="eastAsia" w:ascii="宋体"/>
          <w:bCs/>
          <w:color w:val="auto"/>
          <w:sz w:val="24"/>
          <w:highlight w:val="none"/>
        </w:rPr>
        <w:t xml:space="preserve">（1）投标人声明； </w:t>
      </w:r>
    </w:p>
    <w:p w14:paraId="41F0B256">
      <w:pPr>
        <w:spacing w:line="360" w:lineRule="auto"/>
        <w:ind w:firstLine="480" w:firstLineChars="200"/>
        <w:rPr>
          <w:rFonts w:ascii="宋体"/>
          <w:bCs/>
          <w:color w:val="auto"/>
          <w:sz w:val="24"/>
          <w:highlight w:val="none"/>
        </w:rPr>
      </w:pPr>
      <w:r>
        <w:rPr>
          <w:rFonts w:hint="eastAsia" w:ascii="宋体"/>
          <w:bCs/>
          <w:color w:val="auto"/>
          <w:sz w:val="24"/>
          <w:highlight w:val="none"/>
        </w:rPr>
        <w:t>（2）法定代表人证明书、法定代表人签字或盖章的本投标文件授权委托证明书；</w:t>
      </w:r>
    </w:p>
    <w:p w14:paraId="40236180">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（3）企业营业执照扫描件或电子证照；</w:t>
      </w:r>
    </w:p>
    <w:p w14:paraId="237F0FD1">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（4）企业资质证书扫描件或电子证照；</w:t>
      </w:r>
    </w:p>
    <w:p w14:paraId="0EB6B271">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（5）建筑施工企业安全生产许可证扫描件或电子证照；</w:t>
      </w:r>
    </w:p>
    <w:p w14:paraId="11049DC6">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（6）项目负责人（按网上投标登记时选择拟投入本项目的项目负责人）</w:t>
      </w:r>
    </w:p>
    <w:p w14:paraId="00EC9AA9">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（7）专职安全员（按网上投标登记时选择拟投入本项目的专职安全员）</w:t>
      </w:r>
    </w:p>
    <w:p w14:paraId="3EB76062">
      <w:pPr>
        <w:spacing w:line="360" w:lineRule="auto"/>
        <w:ind w:firstLine="480" w:firstLineChars="200"/>
        <w:rPr>
          <w:rFonts w:ascii="宋体"/>
          <w:bCs/>
          <w:color w:val="auto"/>
          <w:sz w:val="24"/>
          <w:highlight w:val="none"/>
        </w:rPr>
      </w:pPr>
      <w:r>
        <w:rPr>
          <w:rFonts w:hint="eastAsia" w:ascii="宋体"/>
          <w:bCs/>
          <w:color w:val="auto"/>
          <w:sz w:val="24"/>
          <w:highlight w:val="none"/>
        </w:rPr>
        <w:t>（8）拟委托技术负责人的相关证书、资料（具体要求由招标人明确）</w:t>
      </w:r>
    </w:p>
    <w:p w14:paraId="3A5F90ED">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（9）拟委派项目负责人的有效期内的建造师注册证书扫描件或电子证书；</w:t>
      </w:r>
    </w:p>
    <w:p w14:paraId="407E4C34">
      <w:pPr>
        <w:spacing w:line="360" w:lineRule="auto"/>
        <w:ind w:firstLine="480" w:firstLineChars="200"/>
        <w:rPr>
          <w:rFonts w:ascii="宋体"/>
          <w:bCs/>
          <w:color w:val="auto"/>
          <w:sz w:val="24"/>
          <w:highlight w:val="none"/>
        </w:rPr>
      </w:pPr>
      <w:r>
        <w:rPr>
          <w:rFonts w:hint="eastAsia" w:ascii="宋体"/>
          <w:bCs/>
          <w:color w:val="auto"/>
          <w:sz w:val="24"/>
          <w:highlight w:val="none"/>
        </w:rPr>
        <w:t>（10）项目负责人在有效期内的安全生产考核合格证书（B类）或建筑施工企业项目负责人安全生产考核合格证书扫描件或电子证书；</w:t>
      </w:r>
    </w:p>
    <w:p w14:paraId="32F3D310">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（11）专职安全员须具有在有效期内的安全生产考核合格证书（C类）或建筑施工企业专职安全生产管理人员安全生产考核合格证书扫描件或电子证书；</w:t>
      </w:r>
    </w:p>
    <w:p w14:paraId="1F1EA9B4">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（12）</w:t>
      </w:r>
      <w:r>
        <w:rPr>
          <w:rFonts w:hint="eastAsia" w:ascii="宋体" w:hAnsi="宋体"/>
          <w:bCs/>
          <w:color w:val="auto"/>
          <w:sz w:val="24"/>
          <w:szCs w:val="24"/>
          <w:highlight w:val="none"/>
        </w:rPr>
        <w:t>用于资格审查的业绩（设置业绩要求时选择此项，投标人</w:t>
      </w:r>
      <w:r>
        <w:rPr>
          <w:rFonts w:hint="eastAsia" w:ascii="宋体" w:hAnsi="宋体"/>
          <w:color w:val="auto"/>
          <w:sz w:val="24"/>
          <w:highlight w:val="none"/>
        </w:rPr>
        <w:t>须提供类似工程业绩的项目名称及项目编号，具体格式由招标人自定</w:t>
      </w:r>
      <w:r>
        <w:rPr>
          <w:rFonts w:hint="eastAsia" w:ascii="宋体" w:hAnsi="宋体"/>
          <w:bCs/>
          <w:color w:val="auto"/>
          <w:sz w:val="24"/>
          <w:szCs w:val="24"/>
          <w:highlight w:val="none"/>
        </w:rPr>
        <w:t>）；</w:t>
      </w:r>
    </w:p>
    <w:p w14:paraId="03B10116">
      <w:pPr>
        <w:spacing w:line="360" w:lineRule="auto"/>
        <w:ind w:firstLine="480" w:firstLineChars="200"/>
        <w:rPr>
          <w:rFonts w:ascii="宋体"/>
          <w:bCs/>
          <w:color w:val="auto"/>
          <w:sz w:val="24"/>
          <w:highlight w:val="none"/>
        </w:rPr>
      </w:pPr>
      <w:r>
        <w:rPr>
          <w:rFonts w:hint="eastAsia" w:ascii="宋体"/>
          <w:bCs/>
          <w:color w:val="auto"/>
          <w:sz w:val="24"/>
          <w:highlight w:val="none"/>
        </w:rPr>
        <w:t>（13）资格审查前，投标人须在广州市住房和城乡建设局建立企业信用档案，拟担任本工程项目负责人、专职安全员须是本企业信用档案中的在册人员；</w:t>
      </w:r>
    </w:p>
    <w:p w14:paraId="40F00E9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color w:val="auto"/>
          <w:sz w:val="24"/>
          <w:szCs w:val="24"/>
          <w:highlight w:val="none"/>
        </w:rPr>
        <w:t>联合体工作协议应明确约定各方拟承担的工作和责任</w:t>
      </w:r>
      <w:r>
        <w:rPr>
          <w:rFonts w:hint="eastAsia" w:ascii="宋体" w:hAnsi="宋体"/>
          <w:bCs/>
          <w:color w:val="auto"/>
          <w:sz w:val="24"/>
          <w:szCs w:val="24"/>
          <w:highlight w:val="none"/>
        </w:rPr>
        <w:t>）；</w:t>
      </w:r>
    </w:p>
    <w:p w14:paraId="79BE1D5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注：1.相关电子证书按规定需打印后手写本人签名的，应按照规定手写本人签名后再扫描提交。</w:t>
      </w:r>
    </w:p>
    <w:p w14:paraId="1DDE98A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7A242A75">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14:paraId="73378DC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14:paraId="78C5563A">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14:paraId="7D6C0336">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14:paraId="2E7FBC96">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投标人在广州市可使用适合本工程的机械设备（附：机械设备为自有或租赁的说明；及承诺机械设备如属于租赁的，其租赁是不属于重复租赁）。</w:t>
      </w:r>
    </w:p>
    <w:p w14:paraId="500DD37C">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11.2.5施工组织设计或施工方案。</w:t>
      </w:r>
    </w:p>
    <w:p w14:paraId="5FA1EF6A">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（1）投标人在编制施工组织设计或施工方案时应按照招标人提出的施工现场建筑垃圾源头减量的具体要求以及建筑垃圾综合利用产品的使用要求提供相应措施。</w:t>
      </w:r>
    </w:p>
    <w:p w14:paraId="28B7843C">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36CA2140">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6按照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14:paraId="63D868C6">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14:paraId="11A6BC84">
      <w:pPr>
        <w:spacing w:line="360" w:lineRule="auto"/>
        <w:ind w:firstLine="480" w:firstLineChars="200"/>
        <w:rPr>
          <w:rFonts w:ascii="宋体"/>
          <w:color w:val="auto"/>
          <w:sz w:val="24"/>
          <w:highlight w:val="none"/>
        </w:rPr>
      </w:pPr>
      <w:r>
        <w:rPr>
          <w:rFonts w:ascii="宋体" w:hAnsi="宋体"/>
          <w:color w:val="auto"/>
          <w:sz w:val="24"/>
          <w:highlight w:val="none"/>
        </w:rPr>
        <w:t>11.3.1</w:t>
      </w:r>
      <w:r>
        <w:rPr>
          <w:rFonts w:hint="eastAsia" w:ascii="宋体" w:hAnsi="宋体"/>
          <w:color w:val="auto"/>
          <w:sz w:val="24"/>
          <w:highlight w:val="none"/>
        </w:rPr>
        <w:t>经济投标文件（按招标文件的要求填写）。</w:t>
      </w:r>
    </w:p>
    <w:p w14:paraId="5FE67F9A">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r>
        <w:rPr>
          <w:rFonts w:ascii="宋体"/>
          <w:color w:val="auto"/>
          <w:sz w:val="24"/>
          <w:highlight w:val="none"/>
        </w:rPr>
        <w:t xml:space="preserve"> </w:t>
      </w:r>
    </w:p>
    <w:p w14:paraId="737D0E49">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14:paraId="2ECEDF61">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14:paraId="256C8257">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14:paraId="0A07998B">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（4）单项工程投标报价汇总表；</w:t>
      </w:r>
    </w:p>
    <w:p w14:paraId="0626C4D1">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14:paraId="68EC7CCD">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14:paraId="390AD7D2">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14:paraId="385CF9A1">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14:paraId="0DFA88B9">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14:paraId="54B9B5BD">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（10）其他项目清单与计价汇总表；</w:t>
      </w:r>
    </w:p>
    <w:p w14:paraId="475DDCC7">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（11）暂列金额明细表；</w:t>
      </w:r>
    </w:p>
    <w:p w14:paraId="492138F5">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（12）材料（工程设备）暂估价明细表；</w:t>
      </w:r>
    </w:p>
    <w:p w14:paraId="12B3D7DE">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（13）专业工程暂估价明细表；</w:t>
      </w:r>
    </w:p>
    <w:p w14:paraId="328506F8">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（14）计日工表；</w:t>
      </w:r>
    </w:p>
    <w:p w14:paraId="67696FEC">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（15）总承包服务计价表；</w:t>
      </w:r>
    </w:p>
    <w:p w14:paraId="75F14717">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（16）规费和税金项目计价表；</w:t>
      </w:r>
    </w:p>
    <w:p w14:paraId="7BA7A115">
      <w:pPr>
        <w:spacing w:line="360" w:lineRule="auto"/>
        <w:ind w:firstLine="566" w:firstLineChars="236"/>
        <w:rPr>
          <w:rFonts w:ascii="宋体"/>
          <w:color w:val="auto"/>
          <w:sz w:val="24"/>
          <w:highlight w:val="none"/>
        </w:rPr>
      </w:pPr>
      <w:r>
        <w:rPr>
          <w:rFonts w:hint="eastAsia" w:ascii="宋体" w:hAnsi="宋体"/>
          <w:color w:val="auto"/>
          <w:sz w:val="24"/>
          <w:szCs w:val="24"/>
          <w:highlight w:val="none"/>
        </w:rPr>
        <w:t>（17）人工、主要材料和设备一览表</w:t>
      </w:r>
    </w:p>
    <w:p w14:paraId="3ACDECDA">
      <w:pPr>
        <w:tabs>
          <w:tab w:val="left" w:pos="1125"/>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14:paraId="6F3CB19B">
      <w:pPr>
        <w:tabs>
          <w:tab w:val="left" w:pos="112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14:paraId="4A24FF70">
      <w:pPr>
        <w:pStyle w:val="23"/>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754FEDD5">
      <w:pPr>
        <w:pStyle w:val="23"/>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14:paraId="463D5CE4">
      <w:pPr>
        <w:pStyle w:val="23"/>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对投标文件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2F8ACECE">
      <w:pPr>
        <w:pBdr>
          <w:top w:val="none" w:color="auto" w:sz="0" w:space="1"/>
          <w:left w:val="none" w:color="auto" w:sz="0" w:space="4"/>
          <w:bottom w:val="none" w:color="auto" w:sz="0" w:space="1"/>
          <w:right w:val="none" w:color="auto" w:sz="0" w:space="4"/>
        </w:pBdr>
        <w:spacing w:line="360" w:lineRule="auto"/>
        <w:ind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rPr>
        <w:t>注释：投标文件电子文档需要投标人单位盖章的材料，投标人加盖电子印章即可，不得将投标人未对电子文档加盖实物印章作为否决投标的情形。</w:t>
      </w:r>
    </w:p>
    <w:p w14:paraId="42459F60">
      <w:pPr>
        <w:pStyle w:val="23"/>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ascii="宋体" w:hAnsi="宋体"/>
          <w:color w:val="auto"/>
          <w:sz w:val="24"/>
          <w:highlight w:val="none"/>
        </w:rPr>
        <w:t xml:space="preserve">。               </w:t>
      </w:r>
    </w:p>
    <w:p w14:paraId="70D24EA8">
      <w:pPr>
        <w:pStyle w:val="23"/>
        <w:spacing w:after="0" w:line="360" w:lineRule="auto"/>
        <w:ind w:firstLine="0"/>
        <w:rPr>
          <w:rFonts w:hint="eastAsia"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527146C6">
      <w:pPr>
        <w:pStyle w:val="23"/>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63A99983">
      <w:pPr>
        <w:pStyle w:val="23"/>
        <w:spacing w:after="0" w:line="360" w:lineRule="auto"/>
        <w:ind w:firstLine="480" w:firstLineChars="200"/>
        <w:rPr>
          <w:rFonts w:asci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12</w:t>
      </w:r>
      <w:r>
        <w:rPr>
          <w:rFonts w:hint="eastAsia" w:ascii="宋体" w:hAnsi="宋体"/>
          <w:color w:val="auto"/>
          <w:sz w:val="24"/>
          <w:highlight w:val="none"/>
        </w:rPr>
        <w:t>项所规定的方式。投标报价（含单价及总价）精确到“分”。</w:t>
      </w:r>
    </w:p>
    <w:p w14:paraId="4C0CF412">
      <w:pPr>
        <w:pStyle w:val="23"/>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0C8B7314">
      <w:pPr>
        <w:pStyle w:val="23"/>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83E00AC">
      <w:pPr>
        <w:pStyle w:val="23"/>
        <w:spacing w:after="0"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52DD403">
      <w:pPr>
        <w:pStyle w:val="23"/>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302F3DEE">
      <w:pPr>
        <w:pStyle w:val="23"/>
        <w:spacing w:after="0" w:line="360" w:lineRule="auto"/>
        <w:ind w:firstLine="480" w:firstLineChars="200"/>
        <w:rPr>
          <w:rFonts w:ascii="宋体"/>
          <w:color w:val="auto"/>
          <w:sz w:val="24"/>
          <w:highlight w:val="none"/>
        </w:rPr>
      </w:pPr>
      <w:r>
        <w:rPr>
          <w:rFonts w:ascii="宋体" w:hAnsi="宋体"/>
          <w:color w:val="auto"/>
          <w:sz w:val="24"/>
          <w:highlight w:val="none"/>
        </w:rPr>
        <w:t>13.5.1</w:t>
      </w:r>
      <w:r>
        <w:rPr>
          <w:rFonts w:hint="eastAsia" w:ascii="宋体" w:hAnsi="宋体"/>
          <w:color w:val="auto"/>
          <w:sz w:val="24"/>
          <w:highlight w:val="none"/>
        </w:rPr>
        <w:t>中标的投标文件工程量清单中已有相同项目的适用综合单价，则沿用；</w:t>
      </w:r>
    </w:p>
    <w:p w14:paraId="131BDBDB">
      <w:pPr>
        <w:pStyle w:val="23"/>
        <w:spacing w:after="0" w:line="360" w:lineRule="auto"/>
        <w:ind w:firstLine="480" w:firstLineChars="200"/>
        <w:rPr>
          <w:rFonts w:asci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2A8245E">
      <w:pPr>
        <w:pStyle w:val="23"/>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w:t>
      </w:r>
      <w:r>
        <w:rPr>
          <w:rFonts w:hint="eastAsia" w:ascii="宋体"/>
          <w:color w:val="auto"/>
          <w:sz w:val="24"/>
          <w:highlight w:val="none"/>
        </w:rPr>
        <w:t>，</w:t>
      </w:r>
      <w:r>
        <w:rPr>
          <w:rFonts w:hint="eastAsia" w:ascii="宋体" w:hAnsi="宋体"/>
          <w:color w:val="auto"/>
          <w:sz w:val="24"/>
          <w:highlight w:val="none"/>
        </w:rPr>
        <w:t>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14:paraId="08DC1872">
      <w:pPr>
        <w:pStyle w:val="23"/>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14:paraId="3B6EDDCE">
      <w:pPr>
        <w:pStyle w:val="23"/>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14C8BBEE">
      <w:pPr>
        <w:pStyle w:val="23"/>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5525BE40">
      <w:pPr>
        <w:pStyle w:val="23"/>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00A864C7">
      <w:pPr>
        <w:pStyle w:val="23"/>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03CDA6BA">
      <w:pPr>
        <w:pStyle w:val="23"/>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3E1EB680">
      <w:pPr>
        <w:pStyle w:val="23"/>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44EEEF9C">
      <w:pPr>
        <w:pStyle w:val="23"/>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0AE8CFB4">
      <w:pPr>
        <w:pStyle w:val="23"/>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259F7906">
      <w:pPr>
        <w:pStyle w:val="23"/>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46D80FBE">
      <w:pPr>
        <w:pStyle w:val="23"/>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hint="eastAsia"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14:paraId="6D84FE82">
      <w:pPr>
        <w:pStyle w:val="23"/>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5056587E">
      <w:pPr>
        <w:pStyle w:val="23"/>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1A48AF3A">
      <w:pPr>
        <w:pStyle w:val="23"/>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12DCB178">
      <w:pPr>
        <w:pStyle w:val="23"/>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79BAF0D6">
      <w:pPr>
        <w:pStyle w:val="23"/>
        <w:spacing w:after="0" w:line="360" w:lineRule="auto"/>
        <w:ind w:firstLine="480" w:firstLineChars="200"/>
        <w:rPr>
          <w:rFonts w:ascii="宋体"/>
          <w:color w:val="auto"/>
          <w:sz w:val="24"/>
          <w:highlight w:val="none"/>
        </w:rPr>
      </w:pPr>
      <w:r>
        <w:rPr>
          <w:rFonts w:ascii="宋体" w:hAnsi="宋体"/>
          <w:color w:val="auto"/>
          <w:sz w:val="24"/>
          <w:highlight w:val="none"/>
        </w:rPr>
        <w:t>15.1</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14:paraId="7D448E81">
      <w:pPr>
        <w:pStyle w:val="23"/>
        <w:spacing w:after="0" w:line="360" w:lineRule="auto"/>
        <w:ind w:firstLine="480" w:firstLineChars="200"/>
        <w:rPr>
          <w:rFonts w:ascii="宋体"/>
          <w:color w:val="auto"/>
          <w:sz w:val="24"/>
          <w:highlight w:val="none"/>
        </w:rPr>
      </w:pPr>
      <w:r>
        <w:rPr>
          <w:rFonts w:ascii="宋体" w:hAnsi="宋体"/>
          <w:color w:val="auto"/>
          <w:sz w:val="24"/>
          <w:highlight w:val="none"/>
        </w:rPr>
        <w:t>15.2</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20ED2EB2">
      <w:pPr>
        <w:pStyle w:val="23"/>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14:paraId="2A35A78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投标人应按投标须知前附表第</w:t>
      </w:r>
      <w:r>
        <w:rPr>
          <w:rFonts w:ascii="宋体" w:hAnsi="宋体"/>
          <w:color w:val="auto"/>
          <w:sz w:val="24"/>
          <w:highlight w:val="none"/>
        </w:rPr>
        <w:t>14</w:t>
      </w:r>
      <w:r>
        <w:rPr>
          <w:rFonts w:hint="eastAsia" w:ascii="宋体" w:hAnsi="宋体"/>
          <w:color w:val="auto"/>
          <w:sz w:val="24"/>
          <w:highlight w:val="none"/>
        </w:rPr>
        <w:t>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。招标人应当允许投标人自主选择现金、银行保函、保证保险、专业工程担保公司担保等方式缴纳投标保证金。</w:t>
      </w:r>
    </w:p>
    <w:p w14:paraId="447D6C5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14:paraId="29A5B2F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CC229A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14:paraId="3FA837B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2053F6A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16.3投标保证金应依据法律法规的相关规定退还。</w:t>
      </w:r>
    </w:p>
    <w:p w14:paraId="06BA75C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16.4如有下列情况之一的，招标人可以不予退还投标保证金（是否退还投标保证金由招标人在招标文件中规定）：</w:t>
      </w:r>
    </w:p>
    <w:p w14:paraId="28AC0E0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16.4.1因投标人原因造成投标文件未解密的；</w:t>
      </w:r>
    </w:p>
    <w:p w14:paraId="64E7966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16.4.2投标人在投标有效期内撤销投标文件；</w:t>
      </w:r>
    </w:p>
    <w:p w14:paraId="555EE18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16.4.3中标人未能在规定期限内按要求提交履约担保；</w:t>
      </w:r>
    </w:p>
    <w:p w14:paraId="5949BB0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16.4.4中标人未能在规定期限内签署合同协议。</w:t>
      </w:r>
    </w:p>
    <w:p w14:paraId="7BB598B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16.5投标人如存在下列情况之一的，将被拒绝在一定时期内参与招标人后续工程投标（拒绝时限需在招标文件中明确）：</w:t>
      </w:r>
    </w:p>
    <w:p w14:paraId="53DC30B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16.5.1投标人存在16.4条款所列情形且投标人提交的保函、担保或保证保险无法兑付的；</w:t>
      </w:r>
    </w:p>
    <w:p w14:paraId="6996C36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16.5.2采用非电子形式提交投标保证金的投标人存在16.4条款所列情形，且未按招标人要求补交银行保函、专业工程担保公司担保或保证保险原件的；</w:t>
      </w:r>
    </w:p>
    <w:p w14:paraId="39D62C8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16.5.3按招标文件要求免于提供投标保证金的投标人存在16.4条款所列情形，且未按招标人要求补交投标保证金的；</w:t>
      </w:r>
    </w:p>
    <w:p w14:paraId="647F710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16.5.3按招标文件要求免于提供投标保证金的投标人存在16.4条款所列情形的。</w:t>
      </w:r>
    </w:p>
    <w:p w14:paraId="6A85D908">
      <w:pPr>
        <w:spacing w:line="360" w:lineRule="auto"/>
        <w:ind w:firstLine="480" w:firstLineChars="200"/>
        <w:rPr>
          <w:rFonts w:ascii="宋体"/>
          <w:color w:val="auto"/>
          <w:sz w:val="24"/>
          <w:highlight w:val="none"/>
        </w:rPr>
      </w:pPr>
      <w:r>
        <w:rPr>
          <w:rFonts w:hint="eastAsia" w:ascii="宋体" w:hAnsi="宋体"/>
          <w:color w:val="auto"/>
          <w:sz w:val="24"/>
          <w:highlight w:val="none"/>
        </w:rPr>
        <w:t>注：16.5.3款由招标人二选一，需在招标文件中明确。</w:t>
      </w:r>
    </w:p>
    <w:p w14:paraId="75749C6B">
      <w:pPr>
        <w:pStyle w:val="23"/>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0A5CF98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投标人应采用单位数字证书，对投标文件加盖电子印章。投标文件中需个人签字或盖章的，应加盖个人电子印章或在线下完成后扫描上传。按照交易平台关于全流程电子化项目的相关指南进行操作。详见：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5B5110C">
      <w:pPr>
        <w:pStyle w:val="5"/>
        <w:keepNext w:val="0"/>
        <w:keepLines w:val="0"/>
        <w:widowControl/>
        <w:numPr>
          <w:ilvl w:val="255"/>
          <w:numId w:val="0"/>
        </w:numPr>
        <w:spacing w:before="156" w:beforeLines="50" w:after="156" w:afterLines="50"/>
        <w:rPr>
          <w:rFonts w:hint="eastAsia" w:eastAsia="宋体"/>
          <w:b/>
          <w:bCs/>
          <w:color w:val="auto"/>
          <w:highlight w:val="none"/>
          <w:lang w:eastAsia="zh-CN"/>
        </w:rPr>
      </w:pPr>
      <w:bookmarkStart w:id="65" w:name="_Toc19105"/>
      <w:bookmarkStart w:id="66" w:name="_Toc2272552"/>
      <w:bookmarkStart w:id="67" w:name="_Toc21525496"/>
      <w:bookmarkStart w:id="68" w:name="_Toc15"/>
      <w:r>
        <w:rPr>
          <w:rFonts w:hint="eastAsia" w:eastAsia="宋体"/>
          <w:b/>
          <w:bCs/>
          <w:color w:val="auto"/>
          <w:highlight w:val="none"/>
          <w:lang w:eastAsia="zh-CN"/>
        </w:rPr>
        <w:t>（四）投标文件的提交</w:t>
      </w:r>
      <w:bookmarkEnd w:id="65"/>
      <w:bookmarkEnd w:id="66"/>
      <w:bookmarkEnd w:id="67"/>
      <w:bookmarkEnd w:id="68"/>
    </w:p>
    <w:p w14:paraId="5C4A3D33">
      <w:pPr>
        <w:pStyle w:val="23"/>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1D84DD59">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482BE70B">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76E707CF">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0B5CCC19">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7C8AF8D6">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17C45169">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7BFFDD07">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11B0D1D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3A4AA7A1">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5180D9AD">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14:paraId="78F8CEA8">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1340854B">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14:paraId="4B1C98D4">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45B9F9DA">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45F44B13">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16918EB9">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1D8F25A4">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741FD8FA">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14:paraId="4B150D6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14:paraId="2EC0B91B">
      <w:pPr>
        <w:pStyle w:val="5"/>
        <w:keepNext w:val="0"/>
        <w:keepLines w:val="0"/>
        <w:widowControl/>
        <w:numPr>
          <w:ilvl w:val="255"/>
          <w:numId w:val="0"/>
        </w:numPr>
        <w:spacing w:before="156" w:beforeLines="50" w:after="156" w:afterLines="50"/>
        <w:rPr>
          <w:rFonts w:hint="eastAsia" w:eastAsia="宋体"/>
          <w:b/>
          <w:bCs/>
          <w:color w:val="auto"/>
          <w:highlight w:val="none"/>
          <w:lang w:eastAsia="zh-CN"/>
        </w:rPr>
      </w:pPr>
      <w:bookmarkStart w:id="69" w:name="_Toc21525497"/>
      <w:bookmarkStart w:id="70" w:name="_Toc19792"/>
      <w:bookmarkStart w:id="71" w:name="_Toc9228"/>
      <w:bookmarkStart w:id="72" w:name="_Toc2272553"/>
      <w:r>
        <w:rPr>
          <w:rFonts w:hint="eastAsia" w:eastAsia="宋体"/>
          <w:b/>
          <w:bCs/>
          <w:color w:val="auto"/>
          <w:highlight w:val="none"/>
          <w:lang w:eastAsia="zh-CN"/>
        </w:rPr>
        <w:t>（五）开标、评标、定标及合同签定</w:t>
      </w:r>
      <w:bookmarkEnd w:id="69"/>
      <w:bookmarkEnd w:id="70"/>
      <w:bookmarkEnd w:id="71"/>
      <w:bookmarkEnd w:id="72"/>
    </w:p>
    <w:p w14:paraId="354F0F9A">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65956F09">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417A736E">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60991C0B">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171766B0">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59475461">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26C874A8">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4E380FD4">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4E57954D">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609BECBF">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14:paraId="12DDD15E">
      <w:pPr>
        <w:spacing w:line="360" w:lineRule="auto"/>
        <w:ind w:firstLine="480" w:firstLineChars="200"/>
        <w:rPr>
          <w:rFonts w:ascii="宋体"/>
          <w:color w:val="auto"/>
          <w:sz w:val="24"/>
          <w:highlight w:val="none"/>
        </w:rPr>
      </w:pPr>
      <w:r>
        <w:rPr>
          <w:rFonts w:hint="eastAsia" w:ascii="宋体" w:hAnsi="宋体"/>
          <w:color w:val="auto"/>
          <w:sz w:val="24"/>
          <w:highlight w:val="none"/>
        </w:rPr>
        <w:t>27.1招标人将在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5B89E77A">
      <w:pPr>
        <w:spacing w:line="360" w:lineRule="auto"/>
        <w:ind w:firstLine="480" w:firstLineChars="200"/>
        <w:rPr>
          <w:rFonts w:hint="eastAsia"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14:paraId="24C3C53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644405E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27.4在产生中标候选人后，招标人将中标候选人的投标文件商务部分文件的所有内容（包括人员、业绩、奖项等资料）在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p>
    <w:p w14:paraId="5F42F3CB">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14:paraId="246F5F37">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492CCA20">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730106AE">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非经招标人同意，中标人在投标过程中使用的银行名称及账号至完成竣工结算不得变更，否则招标人有权停止工程款项的拨付及至解除合同，由此造成的一切责任由中标人承担。</w:t>
      </w:r>
    </w:p>
    <w:p w14:paraId="0BB940C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工程进度款支付应不低于已完成工程价款的80%，招标人支付工程款时，中标人应按规定开具发票。质量保证金不超过工程价款总额3%。当年开工、当年不能竣工的新开工项目可以采用过程结算。</w:t>
      </w:r>
    </w:p>
    <w:p w14:paraId="4F8A78C4">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14:paraId="3D01B1D0">
      <w:pPr>
        <w:snapToGrid w:val="0"/>
        <w:spacing w:line="360" w:lineRule="auto"/>
        <w:ind w:firstLine="480" w:firstLineChars="200"/>
        <w:rPr>
          <w:rFonts w:ascii="宋体"/>
          <w:color w:val="auto"/>
          <w:sz w:val="24"/>
          <w:highlight w:val="none"/>
        </w:rPr>
      </w:pPr>
      <w:r>
        <w:rPr>
          <w:rFonts w:ascii="宋体" w:hAnsi="宋体"/>
          <w:color w:val="auto"/>
          <w:sz w:val="24"/>
          <w:highlight w:val="none"/>
        </w:rPr>
        <w:t xml:space="preserve">29.1 </w:t>
      </w:r>
      <w:r>
        <w:rPr>
          <w:rFonts w:hint="eastAsia" w:ascii="宋体" w:hAnsi="宋体"/>
          <w:color w:val="auto"/>
          <w:sz w:val="24"/>
          <w:highlight w:val="none"/>
        </w:rPr>
        <w:t>在收到中标通知书后的</w:t>
      </w:r>
      <w:r>
        <w:rPr>
          <w:rFonts w:ascii="宋体" w:hAnsi="宋体"/>
          <w:b/>
          <w:color w:val="auto"/>
          <w:sz w:val="24"/>
          <w:highlight w:val="none"/>
        </w:rPr>
        <w:t>15</w:t>
      </w:r>
      <w:r>
        <w:rPr>
          <w:rFonts w:hint="eastAsia" w:ascii="宋体" w:hAnsi="宋体"/>
          <w:b/>
          <w:color w:val="auto"/>
          <w:sz w:val="24"/>
          <w:highlight w:val="none"/>
        </w:rPr>
        <w:t>日</w:t>
      </w:r>
      <w:r>
        <w:rPr>
          <w:rFonts w:hint="eastAsia" w:ascii="宋体" w:hAnsi="宋体"/>
          <w:color w:val="auto"/>
          <w:sz w:val="24"/>
          <w:highlight w:val="none"/>
        </w:rPr>
        <w:t>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6E58EE6A">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74AA9A73">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14:paraId="3154B26B">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14:paraId="300AA3A7">
      <w:pPr>
        <w:spacing w:line="360" w:lineRule="auto"/>
        <w:ind w:firstLine="482"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14:paraId="69CAF1ED">
      <w:pPr>
        <w:pStyle w:val="23"/>
        <w:spacing w:after="0"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14:paraId="16D8F854">
      <w:pPr>
        <w:pStyle w:val="23"/>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5269059F">
      <w:pPr>
        <w:pStyle w:val="23"/>
        <w:spacing w:after="0"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2D2164F5">
      <w:pPr>
        <w:pStyle w:val="23"/>
        <w:spacing w:after="0"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4C2F963B">
      <w:pPr>
        <w:pStyle w:val="23"/>
        <w:spacing w:after="0"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66E12A55">
      <w:pPr>
        <w:pStyle w:val="23"/>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14:paraId="4F8099C2">
      <w:pPr>
        <w:spacing w:line="360" w:lineRule="auto"/>
        <w:ind w:firstLine="480" w:firstLineChars="200"/>
        <w:rPr>
          <w:rFonts w:hint="eastAsia" w:ascii="宋体" w:hAnsi="宋体" w:cs="宋体"/>
          <w:b/>
          <w:bCs/>
          <w:color w:val="auto"/>
          <w:sz w:val="24"/>
          <w:szCs w:val="24"/>
          <w:highlight w:val="none"/>
        </w:rPr>
      </w:pPr>
      <w:r>
        <w:rPr>
          <w:rFonts w:hint="eastAsia" w:ascii="宋体"/>
          <w:color w:val="auto"/>
          <w:sz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14:paraId="5DA8DDC0">
      <w:pPr>
        <w:pStyle w:val="2"/>
        <w:jc w:val="center"/>
        <w:rPr>
          <w:rFonts w:hint="eastAsia"/>
          <w:color w:val="auto"/>
          <w:highlight w:val="none"/>
        </w:rPr>
      </w:pPr>
      <w:r>
        <w:rPr>
          <w:rFonts w:hint="eastAsia"/>
          <w:color w:val="auto"/>
          <w:sz w:val="24"/>
          <w:highlight w:val="none"/>
        </w:rPr>
        <w:br w:type="page"/>
      </w:r>
      <w:bookmarkStart w:id="73" w:name="_Toc26700"/>
      <w:bookmarkStart w:id="74" w:name="_Toc6591"/>
      <w:bookmarkStart w:id="75" w:name="_Toc8216"/>
      <w:bookmarkStart w:id="76" w:name="_Toc26972"/>
      <w:bookmarkStart w:id="77" w:name="_Toc20995"/>
      <w:bookmarkStart w:id="78" w:name="_Toc25424"/>
      <w:bookmarkStart w:id="79" w:name="_Toc2272554"/>
      <w:bookmarkStart w:id="80" w:name="_Toc30544"/>
      <w:bookmarkStart w:id="81" w:name="_Toc18496"/>
      <w:bookmarkStart w:id="82" w:name="_Toc4532"/>
      <w:bookmarkStart w:id="83" w:name="_Toc30011"/>
      <w:bookmarkStart w:id="84" w:name="_Toc21361"/>
      <w:bookmarkStart w:id="85" w:name="_Toc31617"/>
      <w:r>
        <w:rPr>
          <w:rFonts w:hint="eastAsia"/>
          <w:color w:val="auto"/>
          <w:highlight w:val="none"/>
        </w:rPr>
        <w:t>第二章 开标、评标及定标办法</w:t>
      </w:r>
      <w:bookmarkEnd w:id="73"/>
      <w:bookmarkEnd w:id="74"/>
      <w:bookmarkEnd w:id="75"/>
      <w:bookmarkEnd w:id="76"/>
      <w:bookmarkEnd w:id="77"/>
      <w:bookmarkEnd w:id="78"/>
      <w:bookmarkEnd w:id="79"/>
      <w:bookmarkEnd w:id="80"/>
      <w:bookmarkEnd w:id="81"/>
      <w:bookmarkEnd w:id="82"/>
      <w:bookmarkEnd w:id="83"/>
      <w:bookmarkEnd w:id="84"/>
      <w:bookmarkEnd w:id="85"/>
    </w:p>
    <w:p w14:paraId="513C3698">
      <w:pPr>
        <w:pStyle w:val="3"/>
        <w:spacing w:line="360" w:lineRule="auto"/>
        <w:rPr>
          <w:rFonts w:hint="eastAsia"/>
          <w:color w:val="auto"/>
          <w:highlight w:val="none"/>
        </w:rPr>
      </w:pPr>
      <w:bookmarkStart w:id="86" w:name="_Toc30134"/>
      <w:bookmarkStart w:id="87" w:name="_Toc7473"/>
      <w:bookmarkStart w:id="88" w:name="_Toc17457"/>
      <w:bookmarkStart w:id="89" w:name="_Toc31947"/>
      <w:bookmarkStart w:id="90" w:name="_Toc24322"/>
      <w:bookmarkStart w:id="91" w:name="_Toc31854"/>
      <w:bookmarkStart w:id="92" w:name="_Toc3123"/>
      <w:bookmarkStart w:id="93" w:name="_Toc19520"/>
      <w:bookmarkStart w:id="94" w:name="_Toc10712"/>
      <w:bookmarkStart w:id="95" w:name="_Toc24722"/>
      <w:bookmarkStart w:id="96" w:name="_Toc6262"/>
      <w:bookmarkStart w:id="97" w:name="_Toc12910"/>
      <w:bookmarkStart w:id="98" w:name="_Toc2272555"/>
      <w:r>
        <w:rPr>
          <w:rFonts w:hint="eastAsia"/>
          <w:color w:val="auto"/>
          <w:sz w:val="28"/>
          <w:szCs w:val="28"/>
          <w:highlight w:val="none"/>
        </w:rPr>
        <w:t>一、</w:t>
      </w:r>
      <w:r>
        <w:rPr>
          <w:rFonts w:hint="eastAsia"/>
          <w:color w:val="auto"/>
          <w:highlight w:val="none"/>
        </w:rPr>
        <w:t>开标、评标及定标办法修改表</w:t>
      </w:r>
      <w:bookmarkEnd w:id="86"/>
      <w:bookmarkEnd w:id="87"/>
      <w:bookmarkEnd w:id="88"/>
      <w:bookmarkEnd w:id="89"/>
      <w:bookmarkEnd w:id="90"/>
      <w:bookmarkEnd w:id="91"/>
      <w:bookmarkEnd w:id="92"/>
      <w:bookmarkEnd w:id="93"/>
      <w:bookmarkEnd w:id="94"/>
      <w:bookmarkEnd w:id="95"/>
      <w:bookmarkEnd w:id="96"/>
      <w:bookmarkEnd w:id="97"/>
    </w:p>
    <w:p w14:paraId="13C86C86">
      <w:pPr>
        <w:pStyle w:val="23"/>
        <w:pBdr>
          <w:bottom w:val="single" w:color="auto" w:sz="6" w:space="1"/>
        </w:pBdr>
        <w:spacing w:after="0"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rFonts w:hint="eastAsia" w:ascii="宋体" w:hAnsi="宋体" w:eastAsia="宋体" w:cs="宋体"/>
          <w:b/>
          <w:color w:val="auto"/>
          <w:szCs w:val="21"/>
          <w:highlight w:val="none"/>
          <w:u w:val="single"/>
        </w:rPr>
        <w:t>http://zfcj.gz.gov.cn/</w:t>
      </w:r>
      <w:r>
        <w:rPr>
          <w:rFonts w:hint="eastAsia" w:ascii="宋体" w:hAnsi="宋体" w:eastAsia="宋体" w:cs="宋体"/>
          <w:b/>
          <w:color w:val="auto"/>
          <w:szCs w:val="21"/>
          <w:highlight w:val="none"/>
        </w:rPr>
        <w:t>）下载GZZB2018-3范本查阅。</w:t>
      </w:r>
    </w:p>
    <w:bookmarkEnd w:id="98"/>
    <w:p w14:paraId="63EFC0B5">
      <w:pPr>
        <w:spacing w:line="360" w:lineRule="auto"/>
        <w:ind w:firstLine="422" w:firstLineChars="200"/>
        <w:jc w:val="left"/>
        <w:rPr>
          <w:rFonts w:hint="eastAsia" w:ascii="宋体" w:hAnsi="宋体" w:cs="宋体"/>
          <w:b/>
          <w:color w:val="auto"/>
          <w:szCs w:val="21"/>
          <w:highlight w:val="none"/>
        </w:rPr>
      </w:pPr>
      <w:bookmarkStart w:id="99" w:name="_Toc2272556"/>
      <w:r>
        <w:rPr>
          <w:rFonts w:hint="eastAsia" w:ascii="宋体" w:hAnsi="宋体" w:cs="宋体"/>
          <w:b/>
          <w:color w:val="auto"/>
          <w:szCs w:val="21"/>
          <w:highlight w:val="none"/>
          <w:lang w:bidi="ar"/>
        </w:rPr>
        <w:t>条款号：35.13                修改类型：增加</w:t>
      </w:r>
    </w:p>
    <w:p w14:paraId="58ED4DDA">
      <w:pPr>
        <w:pStyle w:val="23"/>
        <w:spacing w:line="520" w:lineRule="exact"/>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u w:val="single"/>
        </w:rPr>
        <w:t>35.13采用评定分离定标办法</w:t>
      </w:r>
    </w:p>
    <w:p w14:paraId="4592A373">
      <w:pPr>
        <w:pStyle w:val="23"/>
        <w:pBdr>
          <w:bottom w:val="none" w:color="auto" w:sz="0" w:space="1"/>
        </w:pBdr>
        <w:spacing w:after="0" w:line="520" w:lineRule="exact"/>
        <w:ind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35.13.1.</w:t>
      </w:r>
      <w:r>
        <w:rPr>
          <w:rFonts w:hint="eastAsia" w:ascii="宋体" w:hAnsi="宋体" w:eastAsia="宋体" w:cs="宋体"/>
          <w:bCs/>
          <w:color w:val="auto"/>
          <w:szCs w:val="21"/>
          <w:highlight w:val="none"/>
          <w:u w:val="single"/>
          <w:lang w:bidi="ar"/>
        </w:rPr>
        <w:t>评标采用“有限数量制”推荐合格中标候选人</w:t>
      </w:r>
      <w:r>
        <w:rPr>
          <w:rFonts w:hint="eastAsia" w:ascii="宋体" w:hAnsi="宋体" w:cs="宋体"/>
          <w:bCs/>
          <w:color w:val="auto"/>
          <w:szCs w:val="21"/>
          <w:highlight w:val="none"/>
          <w:u w:val="single"/>
          <w:lang w:bidi="ar"/>
        </w:rPr>
        <w:t>。</w:t>
      </w:r>
      <w:r>
        <w:rPr>
          <w:rFonts w:hint="eastAsia" w:ascii="宋体" w:hAnsi="宋体" w:eastAsia="宋体" w:cs="宋体"/>
          <w:bCs/>
          <w:color w:val="auto"/>
          <w:szCs w:val="21"/>
          <w:highlight w:val="none"/>
          <w:u w:val="single"/>
          <w:lang w:bidi="ar"/>
        </w:rPr>
        <w:t>评标委员会应按照招标文件规定，推荐[3,10]不排序的合格中标候选人进入定标阶段【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color w:val="auto"/>
          <w:kern w:val="0"/>
          <w:szCs w:val="21"/>
          <w:highlight w:val="none"/>
          <w:u w:val="single"/>
        </w:rPr>
        <w:t>。</w:t>
      </w:r>
      <w:bookmarkStart w:id="100" w:name="_Hlk193984212"/>
      <w:r>
        <w:rPr>
          <w:rFonts w:hint="eastAsia" w:ascii="宋体" w:hAnsi="宋体" w:eastAsia="宋体" w:cs="宋体"/>
          <w:color w:val="auto"/>
          <w:kern w:val="0"/>
          <w:szCs w:val="21"/>
          <w:highlight w:val="none"/>
          <w:u w:val="single"/>
        </w:rPr>
        <w:t>具体推荐方式如下：</w:t>
      </w:r>
    </w:p>
    <w:p w14:paraId="0DBF8309">
      <w:pPr>
        <w:pStyle w:val="23"/>
        <w:pBdr>
          <w:bottom w:val="none" w:color="auto" w:sz="0" w:space="1"/>
        </w:pBdr>
        <w:spacing w:after="0" w:line="520" w:lineRule="exact"/>
        <w:ind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设S(S=M+N)为通过资格审查及技术标有效性审查的投标人数,其中M为低于成本警示价的投标报价数，N为不低于成本警示价的投标报价数。</w:t>
      </w:r>
    </w:p>
    <w:p w14:paraId="151B7682">
      <w:pPr>
        <w:pStyle w:val="23"/>
        <w:pBdr>
          <w:bottom w:val="none" w:color="auto" w:sz="0" w:space="1"/>
        </w:pBdr>
        <w:spacing w:after="0" w:line="520" w:lineRule="exact"/>
        <w:ind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(1)当 S</w:t>
      </w:r>
      <w:r>
        <w:rPr>
          <w:rFonts w:ascii="Segoe UI" w:hAnsi="Segoe UI" w:eastAsia="Segoe UI" w:cs="Segoe UI"/>
          <w:color w:val="auto"/>
          <w:sz w:val="24"/>
          <w:szCs w:val="24"/>
          <w:highlight w:val="none"/>
          <w:shd w:val="clear" w:color="auto" w:fill="FFFFFF"/>
        </w:rPr>
        <w:t>≥</w:t>
      </w:r>
      <w:r>
        <w:rPr>
          <w:rFonts w:hint="eastAsia" w:ascii="宋体" w:hAnsi="宋体" w:eastAsia="宋体" w:cs="宋体"/>
          <w:color w:val="auto"/>
          <w:kern w:val="0"/>
          <w:szCs w:val="21"/>
          <w:highlight w:val="none"/>
          <w:u w:val="single"/>
        </w:rPr>
        <w:t>3 时,按以下方式确定合格的中标候选人:</w:t>
      </w:r>
    </w:p>
    <w:p w14:paraId="69283113">
      <w:pPr>
        <w:pStyle w:val="23"/>
        <w:pBdr>
          <w:bottom w:val="none" w:color="auto" w:sz="0" w:space="1"/>
        </w:pBdr>
        <w:spacing w:after="0" w:line="520" w:lineRule="exact"/>
        <w:ind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①对于报价低于成本警示价的M个投标人，当 M＞</w:t>
      </w:r>
      <w:r>
        <w:rPr>
          <w:rFonts w:hint="eastAsia" w:ascii="宋体" w:hAnsi="宋体" w:eastAsia="宋体" w:cs="宋体"/>
          <w:color w:val="auto"/>
          <w:kern w:val="0"/>
          <w:szCs w:val="21"/>
          <w:highlight w:val="none"/>
          <w:u w:val="single"/>
          <w:lang w:val="en-US" w:eastAsia="zh-CN"/>
        </w:rPr>
        <w:t>3</w:t>
      </w:r>
      <w:r>
        <w:rPr>
          <w:rFonts w:hint="eastAsia" w:ascii="宋体" w:hAnsi="宋体" w:eastAsia="宋体" w:cs="宋体"/>
          <w:color w:val="auto"/>
          <w:kern w:val="0"/>
          <w:szCs w:val="21"/>
          <w:highlight w:val="none"/>
          <w:u w:val="single"/>
        </w:rPr>
        <w:t xml:space="preserve"> 时，不参加经济标详细评审，但需参加技术</w:t>
      </w:r>
      <w:r>
        <w:rPr>
          <w:rFonts w:hint="eastAsia" w:ascii="宋体" w:hAnsi="宋体" w:eastAsia="宋体" w:cs="宋体"/>
          <w:color w:val="auto"/>
          <w:kern w:val="0"/>
          <w:szCs w:val="21"/>
          <w:highlight w:val="none"/>
          <w:u w:val="single"/>
          <w:lang w:val="en-US" w:eastAsia="zh-CN"/>
        </w:rPr>
        <w:t>分</w:t>
      </w:r>
      <w:r>
        <w:rPr>
          <w:rFonts w:hint="eastAsia" w:ascii="宋体" w:hAnsi="宋体" w:eastAsia="宋体" w:cs="宋体"/>
          <w:color w:val="auto"/>
          <w:kern w:val="0"/>
          <w:szCs w:val="21"/>
          <w:highlight w:val="none"/>
          <w:u w:val="single"/>
        </w:rPr>
        <w:t>的详细评审。评标委员会根据技术</w:t>
      </w:r>
      <w:r>
        <w:rPr>
          <w:rFonts w:hint="eastAsia" w:ascii="宋体" w:hAnsi="宋体" w:eastAsia="宋体" w:cs="宋体"/>
          <w:color w:val="auto"/>
          <w:kern w:val="0"/>
          <w:szCs w:val="21"/>
          <w:highlight w:val="none"/>
          <w:u w:val="single"/>
          <w:lang w:val="en-US" w:eastAsia="zh-CN"/>
        </w:rPr>
        <w:t>分</w:t>
      </w:r>
      <w:r>
        <w:rPr>
          <w:rFonts w:hint="eastAsia" w:ascii="宋体" w:hAnsi="宋体" w:eastAsia="宋体" w:cs="宋体"/>
          <w:color w:val="auto"/>
          <w:kern w:val="0"/>
          <w:szCs w:val="21"/>
          <w:highlight w:val="none"/>
          <w:u w:val="single"/>
        </w:rPr>
        <w:t>详细评审的排序,推荐合格的中标候选人数量为 3 名。</w:t>
      </w:r>
    </w:p>
    <w:p w14:paraId="0D39293D">
      <w:pPr>
        <w:pStyle w:val="23"/>
        <w:pBdr>
          <w:bottom w:val="none" w:color="auto" w:sz="0" w:space="1"/>
        </w:pBdr>
        <w:spacing w:after="0" w:line="520" w:lineRule="exact"/>
        <w:ind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当 M</w:t>
      </w:r>
      <w:r>
        <w:rPr>
          <w:rFonts w:ascii="Segoe UI" w:hAnsi="Segoe UI" w:eastAsia="Segoe UI" w:cs="Segoe UI"/>
          <w:color w:val="auto"/>
          <w:sz w:val="24"/>
          <w:szCs w:val="24"/>
          <w:highlight w:val="none"/>
          <w:shd w:val="clear" w:color="auto" w:fill="FFFFFF"/>
        </w:rPr>
        <w:t>≤</w:t>
      </w:r>
      <w:r>
        <w:rPr>
          <w:rFonts w:hint="eastAsia" w:ascii="宋体" w:hAnsi="宋体" w:eastAsia="宋体" w:cs="宋体"/>
          <w:color w:val="auto"/>
          <w:kern w:val="0"/>
          <w:szCs w:val="21"/>
          <w:highlight w:val="none"/>
          <w:u w:val="single"/>
        </w:rPr>
        <w:t>3 时，全部推荐为中标候选人。</w:t>
      </w:r>
    </w:p>
    <w:p w14:paraId="170ED16A">
      <w:pPr>
        <w:pStyle w:val="23"/>
        <w:pBdr>
          <w:bottom w:val="none" w:color="auto" w:sz="0" w:space="1"/>
        </w:pBdr>
        <w:spacing w:after="0" w:line="520" w:lineRule="exact"/>
        <w:ind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②对于报价不低于成本警示价的N个投标人，当N＞7 时，需要参加技术</w:t>
      </w:r>
      <w:r>
        <w:rPr>
          <w:rFonts w:hint="eastAsia" w:ascii="宋体" w:hAnsi="宋体" w:eastAsia="宋体" w:cs="宋体"/>
          <w:color w:val="auto"/>
          <w:kern w:val="0"/>
          <w:szCs w:val="21"/>
          <w:highlight w:val="none"/>
          <w:u w:val="single"/>
          <w:lang w:val="en-US" w:eastAsia="zh-CN"/>
        </w:rPr>
        <w:t>分</w:t>
      </w:r>
      <w:r>
        <w:rPr>
          <w:rFonts w:hint="eastAsia" w:ascii="宋体" w:hAnsi="宋体" w:eastAsia="宋体" w:cs="宋体"/>
          <w:color w:val="auto"/>
          <w:kern w:val="0"/>
          <w:szCs w:val="21"/>
          <w:highlight w:val="none"/>
          <w:u w:val="single"/>
        </w:rPr>
        <w:t>、经济</w:t>
      </w:r>
      <w:r>
        <w:rPr>
          <w:rFonts w:hint="eastAsia" w:ascii="宋体" w:hAnsi="宋体" w:eastAsia="宋体" w:cs="宋体"/>
          <w:color w:val="auto"/>
          <w:kern w:val="0"/>
          <w:szCs w:val="21"/>
          <w:highlight w:val="none"/>
          <w:u w:val="single"/>
          <w:lang w:val="en-US" w:eastAsia="zh-CN"/>
        </w:rPr>
        <w:t>分</w:t>
      </w:r>
      <w:r>
        <w:rPr>
          <w:rFonts w:hint="eastAsia" w:ascii="宋体" w:hAnsi="宋体" w:eastAsia="宋体" w:cs="宋体"/>
          <w:color w:val="auto"/>
          <w:kern w:val="0"/>
          <w:szCs w:val="21"/>
          <w:highlight w:val="none"/>
          <w:u w:val="single"/>
        </w:rPr>
        <w:t>的详细评审并排序，推荐合格的中标候选人数量为7名。</w:t>
      </w:r>
    </w:p>
    <w:p w14:paraId="6779CBE9">
      <w:pPr>
        <w:pStyle w:val="23"/>
        <w:pBdr>
          <w:bottom w:val="none" w:color="auto" w:sz="0" w:space="1"/>
        </w:pBdr>
        <w:spacing w:after="0" w:line="520" w:lineRule="exact"/>
        <w:ind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当N</w:t>
      </w:r>
      <w:r>
        <w:rPr>
          <w:rFonts w:ascii="Segoe UI" w:hAnsi="Segoe UI" w:eastAsia="Segoe UI" w:cs="Segoe UI"/>
          <w:color w:val="auto"/>
          <w:sz w:val="24"/>
          <w:szCs w:val="24"/>
          <w:highlight w:val="none"/>
          <w:shd w:val="clear" w:color="auto" w:fill="FFFFFF"/>
        </w:rPr>
        <w:t>≤</w:t>
      </w:r>
      <w:r>
        <w:rPr>
          <w:rFonts w:ascii="宋体" w:hAnsi="宋体" w:eastAsia="宋体" w:cs="宋体"/>
          <w:color w:val="auto"/>
          <w:szCs w:val="21"/>
          <w:highlight w:val="none"/>
          <w:shd w:val="clear" w:color="auto" w:fill="FFFFFF"/>
        </w:rPr>
        <w:t>7</w:t>
      </w:r>
      <w:r>
        <w:rPr>
          <w:rFonts w:hint="eastAsia" w:ascii="宋体" w:hAnsi="宋体" w:eastAsia="宋体" w:cs="宋体"/>
          <w:color w:val="auto"/>
          <w:szCs w:val="21"/>
          <w:highlight w:val="none"/>
          <w:shd w:val="clear" w:color="auto" w:fill="FFFFFF"/>
        </w:rPr>
        <w:t>时，</w:t>
      </w:r>
      <w:r>
        <w:rPr>
          <w:rFonts w:hint="eastAsia" w:ascii="宋体" w:hAnsi="宋体" w:eastAsia="宋体" w:cs="宋体"/>
          <w:color w:val="auto"/>
          <w:kern w:val="0"/>
          <w:szCs w:val="21"/>
          <w:highlight w:val="none"/>
          <w:u w:val="single"/>
        </w:rPr>
        <w:t>全部推荐为合格的中标候选人。</w:t>
      </w:r>
    </w:p>
    <w:p w14:paraId="5D617208">
      <w:pPr>
        <w:pStyle w:val="23"/>
        <w:pBdr>
          <w:bottom w:val="none" w:color="auto" w:sz="0" w:space="1"/>
        </w:pBdr>
        <w:spacing w:after="0" w:line="520" w:lineRule="exact"/>
        <w:ind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(2)当 S&lt;3 时，招标人应重新招标。</w:t>
      </w:r>
      <w:bookmarkEnd w:id="100"/>
    </w:p>
    <w:p w14:paraId="69358708">
      <w:pPr>
        <w:pStyle w:val="23"/>
        <w:pBdr>
          <w:bottom w:val="none" w:color="auto" w:sz="0" w:space="1"/>
        </w:pBdr>
        <w:spacing w:after="0" w:line="520" w:lineRule="exact"/>
        <w:ind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u w:val="single"/>
        </w:rPr>
        <w:t>35.13.2.</w:t>
      </w:r>
      <w:r>
        <w:rPr>
          <w:rFonts w:hint="eastAsia" w:ascii="宋体" w:hAnsi="宋体" w:eastAsia="宋体" w:cs="宋体"/>
          <w:bCs/>
          <w:color w:val="auto"/>
          <w:szCs w:val="21"/>
          <w:highlight w:val="none"/>
          <w:u w:val="single"/>
        </w:rPr>
        <w:t>定标采用“方案因素评定法+价格因素评定法+答辩因素评定法”。</w:t>
      </w:r>
    </w:p>
    <w:p w14:paraId="36A98F9F">
      <w:pPr>
        <w:pStyle w:val="23"/>
        <w:pBdr>
          <w:bottom w:val="none" w:color="auto" w:sz="0" w:space="1"/>
        </w:pBdr>
        <w:spacing w:after="0" w:line="520" w:lineRule="exact"/>
        <w:ind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u w:val="single"/>
        </w:rPr>
        <w:t>定标因素为：</w:t>
      </w:r>
      <w:r>
        <w:rPr>
          <w:rFonts w:hint="eastAsia" w:ascii="宋体" w:hAnsi="宋体" w:eastAsia="宋体" w:cs="宋体"/>
          <w:bCs/>
          <w:color w:val="auto"/>
          <w:szCs w:val="21"/>
          <w:highlight w:val="none"/>
          <w:u w:val="single"/>
        </w:rPr>
        <w:t>方案因素+价格因素+答辩因素。</w:t>
      </w:r>
    </w:p>
    <w:p w14:paraId="1CEF78EB">
      <w:pPr>
        <w:pStyle w:val="23"/>
        <w:pBdr>
          <w:bottom w:val="single" w:color="auto" w:sz="6" w:space="1"/>
        </w:pBdr>
        <w:spacing w:after="0" w:line="520" w:lineRule="exact"/>
        <w:ind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定标委员会根据定标因素对各合格中标候选人进行综合评审后，按照</w:t>
      </w:r>
      <w:r>
        <w:rPr>
          <w:rFonts w:hint="eastAsia" w:ascii="宋体" w:hAnsi="宋体" w:eastAsia="宋体" w:cs="宋体"/>
          <w:bCs/>
          <w:color w:val="auto"/>
          <w:szCs w:val="21"/>
          <w:highlight w:val="none"/>
          <w:u w:val="single"/>
        </w:rPr>
        <w:t>总得分（100分）=方案因素（50分）+价格因素（20分）+答辩因素（30分）由高至低排序，确定总得分最高的中标候选人为中标人。</w:t>
      </w:r>
    </w:p>
    <w:p w14:paraId="646AA5CD">
      <w:pPr>
        <w:pStyle w:val="23"/>
        <w:pBdr>
          <w:bottom w:val="single" w:color="auto" w:sz="6" w:space="1"/>
        </w:pBdr>
        <w:spacing w:after="0" w:line="52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注：若合格中标候选人总得分相同且影响定标排序的，以方案因素得分高的排前；若方案因素得分仍相同的，以价格因素得分高的排前，若价格因素得分仍相同的，由定标委员会</w:t>
      </w:r>
      <w:r>
        <w:rPr>
          <w:rFonts w:hint="eastAsia" w:ascii="宋体" w:hAnsi="宋体" w:eastAsia="宋体" w:cs="宋体"/>
          <w:color w:val="auto"/>
          <w:szCs w:val="21"/>
          <w:highlight w:val="none"/>
          <w:lang w:val="en-US" w:eastAsia="zh-CN"/>
        </w:rPr>
        <w:t>通过记名</w:t>
      </w:r>
      <w:r>
        <w:rPr>
          <w:rFonts w:hint="eastAsia" w:ascii="宋体" w:hAnsi="宋体" w:eastAsia="宋体" w:cs="宋体"/>
          <w:color w:val="auto"/>
          <w:szCs w:val="21"/>
          <w:highlight w:val="none"/>
        </w:rPr>
        <w:t>投票确定排序。记名投票方式确定排序的具体操作步骤为：由</w:t>
      </w:r>
      <w:r>
        <w:rPr>
          <w:rFonts w:hint="eastAsia" w:ascii="宋体" w:hAnsi="宋体" w:eastAsia="宋体" w:cs="宋体"/>
          <w:color w:val="auto"/>
          <w:szCs w:val="21"/>
          <w:highlight w:val="none"/>
          <w:lang w:val="en-US" w:eastAsia="zh-CN"/>
        </w:rPr>
        <w:t>定标</w:t>
      </w:r>
      <w:r>
        <w:rPr>
          <w:rFonts w:hint="eastAsia" w:ascii="宋体" w:hAnsi="宋体" w:eastAsia="宋体" w:cs="宋体"/>
          <w:color w:val="auto"/>
          <w:szCs w:val="21"/>
          <w:highlight w:val="none"/>
        </w:rPr>
        <w:t>委员会对出现该情况的投标人采取记名投票的方式确定，按得票数从高到低排列先后次序，以得票数高的排前，根据得票数高低确定</w:t>
      </w:r>
      <w:r>
        <w:rPr>
          <w:rFonts w:hint="eastAsia" w:ascii="宋体" w:hAnsi="宋体" w:eastAsia="宋体" w:cs="宋体"/>
          <w:color w:val="auto"/>
          <w:szCs w:val="21"/>
          <w:highlight w:val="none"/>
          <w:lang w:val="en-US" w:eastAsia="zh-CN"/>
        </w:rPr>
        <w:t>合格</w:t>
      </w:r>
      <w:r>
        <w:rPr>
          <w:rFonts w:hint="eastAsia" w:ascii="宋体" w:hAnsi="宋体" w:eastAsia="宋体" w:cs="宋体"/>
          <w:color w:val="auto"/>
          <w:szCs w:val="21"/>
          <w:highlight w:val="none"/>
        </w:rPr>
        <w:t>中标候选人排序。</w:t>
      </w:r>
    </w:p>
    <w:p w14:paraId="4FBF9DFE">
      <w:pPr>
        <w:spacing w:line="360" w:lineRule="auto"/>
        <w:ind w:firstLine="495" w:firstLineChars="235"/>
        <w:rPr>
          <w:rFonts w:hint="eastAsia" w:ascii="宋体" w:hAnsi="宋体" w:cs="宋体"/>
          <w:b/>
          <w:color w:val="auto"/>
          <w:szCs w:val="21"/>
          <w:highlight w:val="none"/>
        </w:rPr>
      </w:pPr>
      <w:r>
        <w:rPr>
          <w:rFonts w:hint="eastAsia" w:ascii="宋体" w:hAnsi="宋体" w:cs="宋体"/>
          <w:b/>
          <w:color w:val="auto"/>
          <w:szCs w:val="21"/>
          <w:highlight w:val="none"/>
        </w:rPr>
        <w:t>条款号： 36.1            修改类型：修改</w:t>
      </w:r>
    </w:p>
    <w:p w14:paraId="64B3B8D2">
      <w:pPr>
        <w:spacing w:line="360" w:lineRule="auto"/>
        <w:ind w:firstLine="495" w:firstLineChars="235"/>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14:paraId="343F7A44">
      <w:pPr>
        <w:pBdr>
          <w:bottom w:val="single" w:color="auto" w:sz="6" w:space="1"/>
        </w:pBd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36.1 招标人按投标须知前附表第18项所规定的时间和地点公开开标，并邀请所有投标人参加</w:t>
      </w:r>
      <w:r>
        <w:rPr>
          <w:rFonts w:hint="eastAsia" w:ascii="宋体" w:hAnsi="宋体" w:cs="宋体"/>
          <w:color w:val="auto"/>
          <w:szCs w:val="21"/>
          <w:highlight w:val="none"/>
          <w:u w:val="single"/>
        </w:rPr>
        <w:t>现场开标会</w:t>
      </w:r>
      <w:r>
        <w:rPr>
          <w:rFonts w:hint="eastAsia" w:ascii="宋体" w:hAnsi="宋体" w:cs="宋体"/>
          <w:color w:val="auto"/>
          <w:szCs w:val="21"/>
          <w:highlight w:val="none"/>
        </w:rPr>
        <w:t>。截标后，开标开始时间因故推迟的，相关评标信息仍以原定的开标开始时间的信息为准。投标人也可选择参加在线开标，</w:t>
      </w:r>
      <w:r>
        <w:rPr>
          <w:rFonts w:hint="eastAsia" w:ascii="宋体" w:hAnsi="宋体" w:cs="宋体"/>
          <w:color w:val="auto"/>
          <w:szCs w:val="21"/>
          <w:highlight w:val="none"/>
          <w:u w:val="single"/>
        </w:rPr>
        <w:t>若投标人不参加现场开标会的，其投标文件在开标现场的投标人或招标人代表、招标代理机构代表及交易中心代表见证下公开开启、解密、公布，并视同该投标人认可开标结果</w:t>
      </w:r>
      <w:r>
        <w:rPr>
          <w:rFonts w:hint="eastAsia" w:ascii="宋体" w:hAnsi="宋体" w:cs="宋体"/>
          <w:color w:val="auto"/>
          <w:szCs w:val="21"/>
          <w:highlight w:val="none"/>
        </w:rPr>
        <w:t>。</w:t>
      </w:r>
    </w:p>
    <w:p w14:paraId="1076005A">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条款号：36.3                        修改类型：删除</w:t>
      </w:r>
    </w:p>
    <w:p w14:paraId="3BB0C067">
      <w:pPr>
        <w:pBdr>
          <w:bottom w:val="single" w:color="auto" w:sz="6" w:space="1"/>
        </w:pBd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589A617E">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条款号：36.4                        修改类型：修改</w:t>
      </w:r>
    </w:p>
    <w:p w14:paraId="06F04E21">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36.4若递交投标文件的投标人不足3家，则重新组织招标。（当N个标段同时招标且不允许兼中时，若有效投标人不足N+2家，则重新组织招标）</w:t>
      </w:r>
    </w:p>
    <w:p w14:paraId="01AC251F">
      <w:pPr>
        <w:pBdr>
          <w:bottom w:val="single" w:color="auto" w:sz="6" w:space="1"/>
        </w:pBd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36.4</w:t>
      </w:r>
      <w:r>
        <w:rPr>
          <w:rFonts w:hint="eastAsia" w:ascii="宋体" w:hAnsi="宋体" w:cs="宋体"/>
          <w:color w:val="auto"/>
          <w:szCs w:val="21"/>
          <w:highlight w:val="none"/>
          <w:u w:val="single"/>
        </w:rPr>
        <w:t>若递交投标文件的投标人不足3家，则重新组织招标</w:t>
      </w:r>
      <w:r>
        <w:rPr>
          <w:rFonts w:hint="eastAsia" w:ascii="宋体" w:hAnsi="宋体" w:cs="宋体"/>
          <w:color w:val="auto"/>
          <w:szCs w:val="21"/>
          <w:highlight w:val="none"/>
        </w:rPr>
        <w:t>。</w:t>
      </w:r>
    </w:p>
    <w:p w14:paraId="0FDB8B0C">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条款号：36.5.1                      修改类型：修改</w:t>
      </w:r>
    </w:p>
    <w:p w14:paraId="204B451A">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36.5.1在投标截止时间后一个小时内，投标人通过交易平台对已递交的电子投标文件进行解密。投标人完成解密后，再由招标人进行解密。解密完成后，公布招标工程名称、投标人名称、投标保证金的递交情况、投标报价、工期及其他内容；</w:t>
      </w:r>
    </w:p>
    <w:p w14:paraId="6A2972D7">
      <w:pPr>
        <w:pBdr>
          <w:bottom w:val="single" w:color="auto" w:sz="6"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36.5.1在投标截止时间后一个小时内，投标人通过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交易平台对已递交的电子投标文件进行解密。投标人完成解密后，再由招标人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进行解密。解密完成后，公布招标工程名称、投标人名称、投标报价、工期及其他内容；</w:t>
      </w:r>
    </w:p>
    <w:p w14:paraId="0CDF3289">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 xml:space="preserve">条款号：  </w:t>
      </w:r>
      <w:r>
        <w:rPr>
          <w:rFonts w:hint="eastAsia" w:ascii="宋体" w:hAnsi="宋体" w:cs="宋体"/>
          <w:b/>
          <w:bCs/>
          <w:color w:val="auto"/>
          <w:szCs w:val="21"/>
          <w:highlight w:val="none"/>
        </w:rPr>
        <w:t xml:space="preserve">36.5.3 </w:t>
      </w:r>
      <w:r>
        <w:rPr>
          <w:rFonts w:hint="eastAsia" w:ascii="宋体" w:hAnsi="宋体" w:cs="宋体"/>
          <w:b/>
          <w:color w:val="auto"/>
          <w:szCs w:val="21"/>
          <w:highlight w:val="none"/>
        </w:rPr>
        <w:t xml:space="preserve">          修改类型：修改</w:t>
      </w:r>
    </w:p>
    <w:p w14:paraId="131185C8">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36.5.3</w:t>
      </w:r>
      <w:r>
        <w:rPr>
          <w:rFonts w:hint="eastAsia" w:ascii="宋体" w:hAnsi="宋体" w:cs="宋体"/>
          <w:b/>
          <w:color w:val="auto"/>
          <w:szCs w:val="21"/>
          <w:highlight w:val="none"/>
        </w:rPr>
        <w:t xml:space="preserve"> </w:t>
      </w:r>
      <w:r>
        <w:rPr>
          <w:rFonts w:hint="eastAsia" w:ascii="宋体" w:hAnsi="宋体" w:cs="宋体"/>
          <w:color w:val="auto"/>
          <w:szCs w:val="21"/>
          <w:highlight w:val="none"/>
        </w:rPr>
        <w:t>投标人代表、招标人代表、监标人、记录人等有关人员在开标记录上签字确认；若有关人员不签字的，不影响开标程序；</w:t>
      </w:r>
    </w:p>
    <w:p w14:paraId="170F4AC9">
      <w:pPr>
        <w:pBdr>
          <w:bottom w:val="single" w:color="auto" w:sz="6"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36.5.3</w:t>
      </w:r>
      <w:r>
        <w:rPr>
          <w:rFonts w:hint="eastAsia" w:ascii="宋体" w:hAnsi="宋体" w:cs="宋体"/>
          <w:b/>
          <w:color w:val="auto"/>
          <w:szCs w:val="21"/>
          <w:highlight w:val="none"/>
        </w:rPr>
        <w:t xml:space="preserve"> </w:t>
      </w:r>
      <w:r>
        <w:rPr>
          <w:rFonts w:hint="eastAsia" w:ascii="宋体" w:hAnsi="宋体" w:cs="宋体"/>
          <w:color w:val="auto"/>
          <w:szCs w:val="21"/>
          <w:highlight w:val="none"/>
        </w:rPr>
        <w:t>投标人代表、招标人代表、监标人、记录人等有关人员在开标记录上签字确认；若有关人员不签字的，不影响开标程序；</w:t>
      </w:r>
      <w:r>
        <w:rPr>
          <w:rFonts w:hint="eastAsia" w:ascii="宋体" w:hAnsi="宋体" w:cs="宋体"/>
          <w:color w:val="auto"/>
          <w:szCs w:val="21"/>
          <w:highlight w:val="none"/>
          <w:u w:val="single"/>
        </w:rPr>
        <w:t>若投标人不参加现场开标会的，或不签字确认的，视同该投标人认可开标结果。</w:t>
      </w:r>
    </w:p>
    <w:p w14:paraId="304FCCA4">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 xml:space="preserve">条款号：  </w:t>
      </w:r>
      <w:r>
        <w:rPr>
          <w:rFonts w:hint="eastAsia" w:ascii="宋体" w:hAnsi="宋体" w:cs="宋体"/>
          <w:b/>
          <w:bCs/>
          <w:color w:val="auto"/>
          <w:szCs w:val="21"/>
          <w:highlight w:val="none"/>
        </w:rPr>
        <w:t>3</w:t>
      </w:r>
      <w:r>
        <w:rPr>
          <w:rFonts w:hint="eastAsia" w:ascii="宋体" w:hAnsi="宋体" w:cs="宋体"/>
          <w:b/>
          <w:bCs/>
          <w:color w:val="auto"/>
          <w:szCs w:val="21"/>
          <w:highlight w:val="none"/>
          <w:lang w:val="en-US" w:eastAsia="zh-CN"/>
        </w:rPr>
        <w:t>7.5</w:t>
      </w:r>
      <w:r>
        <w:rPr>
          <w:rFonts w:hint="eastAsia" w:ascii="宋体" w:hAnsi="宋体" w:cs="宋体"/>
          <w:b/>
          <w:bCs/>
          <w:color w:val="auto"/>
          <w:szCs w:val="21"/>
          <w:highlight w:val="none"/>
        </w:rPr>
        <w:t xml:space="preserve"> </w:t>
      </w:r>
      <w:r>
        <w:rPr>
          <w:rFonts w:hint="eastAsia" w:ascii="宋体" w:hAnsi="宋体" w:cs="宋体"/>
          <w:b/>
          <w:color w:val="auto"/>
          <w:szCs w:val="21"/>
          <w:highlight w:val="none"/>
        </w:rPr>
        <w:t xml:space="preserve">          修改类型：修改</w:t>
      </w:r>
    </w:p>
    <w:p w14:paraId="0EB80605">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37.5评标结束后，评标委员会递交评标报告并依法推荐中标候选人。</w:t>
      </w:r>
    </w:p>
    <w:p w14:paraId="6E97DF99">
      <w:pPr>
        <w:pBdr>
          <w:bottom w:val="single" w:color="auto" w:sz="6"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37.5评标结束后，评标委员会递交</w:t>
      </w:r>
      <w:r>
        <w:rPr>
          <w:rFonts w:hint="eastAsia" w:ascii="宋体" w:hAnsi="宋体" w:cs="宋体"/>
          <w:b/>
          <w:bCs/>
          <w:color w:val="auto"/>
          <w:szCs w:val="21"/>
          <w:highlight w:val="none"/>
        </w:rPr>
        <w:t>资格审查报告和</w:t>
      </w:r>
      <w:r>
        <w:rPr>
          <w:rFonts w:hint="eastAsia" w:ascii="宋体" w:hAnsi="宋体" w:cs="宋体"/>
          <w:color w:val="auto"/>
          <w:szCs w:val="21"/>
          <w:highlight w:val="none"/>
        </w:rPr>
        <w:t>评标报告并依法推荐</w:t>
      </w:r>
      <w:r>
        <w:rPr>
          <w:rFonts w:hint="eastAsia" w:ascii="宋体" w:hAnsi="宋体" w:cs="宋体"/>
          <w:b/>
          <w:bCs/>
          <w:color w:val="auto"/>
          <w:szCs w:val="21"/>
          <w:highlight w:val="none"/>
        </w:rPr>
        <w:t>合格的</w:t>
      </w:r>
      <w:r>
        <w:rPr>
          <w:rFonts w:hint="eastAsia" w:ascii="宋体" w:hAnsi="宋体" w:cs="宋体"/>
          <w:color w:val="auto"/>
          <w:szCs w:val="21"/>
          <w:highlight w:val="none"/>
        </w:rPr>
        <w:t>中标候选人</w:t>
      </w:r>
      <w:r>
        <w:rPr>
          <w:rFonts w:hint="eastAsia" w:ascii="宋体" w:hAnsi="宋体" w:cs="宋体"/>
          <w:b/>
          <w:bCs/>
          <w:color w:val="auto"/>
          <w:szCs w:val="21"/>
          <w:highlight w:val="none"/>
        </w:rPr>
        <w:t>进入定标阶段</w:t>
      </w:r>
      <w:r>
        <w:rPr>
          <w:rFonts w:hint="eastAsia" w:ascii="宋体" w:hAnsi="宋体" w:cs="宋体"/>
          <w:color w:val="auto"/>
          <w:szCs w:val="21"/>
          <w:highlight w:val="none"/>
        </w:rPr>
        <w:t>。</w:t>
      </w:r>
    </w:p>
    <w:p w14:paraId="35A66548">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条款号：38.1                               修改类型：修改</w:t>
      </w:r>
    </w:p>
    <w:p w14:paraId="69406716">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5D68CFE0">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38.1为有助于投标文件的审查、评价和比较，评标期间，经评标委员会或评标委员会专业评审组中两人以上（含两人）</w:t>
      </w:r>
      <w:r>
        <w:rPr>
          <w:rFonts w:hint="eastAsia" w:ascii="宋体" w:hAnsi="宋体" w:cs="宋体"/>
          <w:color w:val="auto"/>
          <w:szCs w:val="21"/>
          <w:highlight w:val="none"/>
          <w:u w:val="single"/>
        </w:rPr>
        <w:t>的成员</w:t>
      </w:r>
      <w:r>
        <w:rPr>
          <w:rFonts w:hint="eastAsia" w:ascii="宋体" w:hAnsi="宋体" w:cs="宋体"/>
          <w:color w:val="auto"/>
          <w:szCs w:val="21"/>
          <w:highlight w:val="none"/>
        </w:rPr>
        <w:t>以书面形式提出动议，评标委员会或评标委员会专业评审组应当书面发出澄清通知，要求投标人对投标文件含义不明确</w:t>
      </w:r>
      <w:r>
        <w:rPr>
          <w:rFonts w:hint="eastAsia" w:ascii="宋体" w:hAnsi="宋体" w:cs="宋体"/>
          <w:color w:val="auto"/>
          <w:szCs w:val="21"/>
          <w:highlight w:val="none"/>
          <w:u w:val="single"/>
        </w:rPr>
        <w:t>、对同类问题表述不一致、有明显文字和计算错误的内容以及细微偏差</w:t>
      </w:r>
      <w:r>
        <w:rPr>
          <w:rFonts w:hint="eastAsia" w:ascii="宋体" w:hAnsi="宋体" w:cs="宋体"/>
          <w:color w:val="auto"/>
          <w:szCs w:val="21"/>
          <w:highlight w:val="none"/>
        </w:rPr>
        <w:t>的内容作出澄清。</w:t>
      </w:r>
    </w:p>
    <w:bookmarkEnd w:id="99"/>
    <w:p w14:paraId="6381D427">
      <w:pPr>
        <w:spacing w:line="360" w:lineRule="auto"/>
        <w:ind w:firstLine="424" w:firstLineChars="201"/>
        <w:rPr>
          <w:rFonts w:hint="eastAsia" w:ascii="宋体" w:hAnsi="宋体" w:cs="宋体"/>
          <w:b/>
          <w:color w:val="auto"/>
          <w:szCs w:val="21"/>
          <w:highlight w:val="none"/>
        </w:rPr>
      </w:pPr>
      <w:bookmarkStart w:id="101" w:name="_Toc16163"/>
      <w:bookmarkStart w:id="102" w:name="_Toc31501"/>
      <w:bookmarkStart w:id="103" w:name="_Toc14783"/>
      <w:bookmarkStart w:id="104" w:name="_Toc25875"/>
      <w:bookmarkStart w:id="105" w:name="_Toc902"/>
      <w:bookmarkStart w:id="106" w:name="_Toc17484"/>
      <w:bookmarkStart w:id="107" w:name="_Toc29873"/>
      <w:bookmarkStart w:id="108" w:name="_Toc20194"/>
      <w:bookmarkStart w:id="109" w:name="_Toc13295"/>
      <w:bookmarkStart w:id="110" w:name="_Toc6210"/>
      <w:r>
        <w:rPr>
          <w:rFonts w:hint="eastAsia" w:ascii="宋体" w:hAnsi="宋体" w:cs="宋体"/>
          <w:b/>
          <w:color w:val="auto"/>
          <w:szCs w:val="21"/>
          <w:highlight w:val="none"/>
        </w:rPr>
        <w:t>条款号：38.</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 xml:space="preserve">                               修改类型：修改</w:t>
      </w:r>
    </w:p>
    <w:p w14:paraId="1818F19A">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11B7ECB0">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38.5投标人如在本项目中存在串通投标、弄虚作假、行贿情形且在评标</w:t>
      </w:r>
      <w:r>
        <w:rPr>
          <w:rFonts w:hint="eastAsia" w:ascii="宋体" w:hAnsi="宋体" w:cs="宋体"/>
          <w:b/>
          <w:bCs/>
          <w:color w:val="auto"/>
          <w:szCs w:val="21"/>
          <w:highlight w:val="none"/>
        </w:rPr>
        <w:t>或定标</w:t>
      </w:r>
      <w:r>
        <w:rPr>
          <w:rFonts w:hint="eastAsia" w:ascii="宋体" w:hAnsi="宋体" w:cs="宋体"/>
          <w:color w:val="auto"/>
          <w:szCs w:val="21"/>
          <w:highlight w:val="none"/>
        </w:rPr>
        <w:t>过程中未被发现的，该投标不改变本项目评标结果排序，</w:t>
      </w:r>
      <w:r>
        <w:rPr>
          <w:rFonts w:hint="eastAsia" w:ascii="宋体" w:hAnsi="宋体" w:cs="宋体"/>
          <w:b/>
          <w:bCs/>
          <w:color w:val="auto"/>
          <w:szCs w:val="21"/>
          <w:highlight w:val="none"/>
        </w:rPr>
        <w:t>若在定标过程中被确定为中标人，</w:t>
      </w:r>
      <w:r>
        <w:rPr>
          <w:rFonts w:hint="eastAsia" w:ascii="宋体" w:hAnsi="宋体" w:cs="宋体"/>
          <w:color w:val="auto"/>
          <w:szCs w:val="21"/>
          <w:highlight w:val="none"/>
        </w:rPr>
        <w:t>其中标无效，</w:t>
      </w:r>
      <w:r>
        <w:rPr>
          <w:rFonts w:hint="eastAsia" w:ascii="宋体" w:hAnsi="宋体" w:cs="宋体"/>
          <w:b/>
          <w:bCs/>
          <w:color w:val="auto"/>
          <w:szCs w:val="21"/>
          <w:highlight w:val="none"/>
        </w:rPr>
        <w:t>招标人可从其他合格的中标候选人中采用原定标办法，由原定标委员会重新确定中标人，也可以重新招标</w:t>
      </w:r>
      <w:r>
        <w:rPr>
          <w:rFonts w:hint="eastAsia" w:ascii="宋体" w:hAnsi="宋体" w:cs="宋体"/>
          <w:color w:val="auto"/>
          <w:szCs w:val="21"/>
          <w:highlight w:val="none"/>
        </w:rPr>
        <w:t>。</w:t>
      </w:r>
    </w:p>
    <w:p w14:paraId="50FBCF82">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条款号：3</w:t>
      </w: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 xml:space="preserve">                               修改类型：修改</w:t>
      </w:r>
    </w:p>
    <w:p w14:paraId="7E397B41">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39．定标</w:t>
      </w:r>
    </w:p>
    <w:p w14:paraId="6CBBD3CF">
      <w:pPr>
        <w:pBdr>
          <w:bottom w:val="single" w:color="auto" w:sz="6" w:space="1"/>
        </w:pBd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39.1 招标人根据评标委员会递交的评标报告，最终审定中标人。</w:t>
      </w:r>
    </w:p>
    <w:p w14:paraId="3C5BC774">
      <w:pPr>
        <w:pBdr>
          <w:bottom w:val="single" w:color="auto" w:sz="6" w:space="1"/>
        </w:pBd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39.2 依法必须进行公开招标的项目，招标人应当确定排名第一的中标候选人为中标人。</w:t>
      </w:r>
    </w:p>
    <w:p w14:paraId="5CCFC774">
      <w:pPr>
        <w:pBdr>
          <w:bottom w:val="single" w:color="auto" w:sz="6" w:space="1"/>
        </w:pBd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2B7A91A1">
      <w:pPr>
        <w:pBdr>
          <w:bottom w:val="single" w:color="auto" w:sz="6" w:space="1"/>
        </w:pBd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714652C1">
      <w:pPr>
        <w:pBdr>
          <w:bottom w:val="single" w:color="auto" w:sz="6" w:space="1"/>
        </w:pBd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39.5 重新评标的，评标信息（含业绩、奖项等）仍以投标截止时投标人的信息为准。因特殊原因需要延长投标有效期，投标人拒绝延长投标有效期的，仍参与评标，但不被推荐为中标候选人。</w:t>
      </w:r>
    </w:p>
    <w:p w14:paraId="7A34DFC9">
      <w:pPr>
        <w:pBdr>
          <w:bottom w:val="single" w:color="auto" w:sz="6" w:space="1"/>
        </w:pBdr>
        <w:spacing w:line="360" w:lineRule="auto"/>
        <w:ind w:firstLine="424" w:firstLineChars="201"/>
        <w:rPr>
          <w:rFonts w:hint="eastAsia" w:ascii="宋体" w:hAnsi="宋体" w:cs="宋体"/>
          <w:b/>
          <w:bCs/>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39.</w:t>
      </w:r>
      <w:r>
        <w:rPr>
          <w:rFonts w:hint="eastAsia" w:ascii="宋体" w:hAnsi="宋体" w:cs="宋体"/>
          <w:b/>
          <w:bCs/>
          <w:color w:val="auto"/>
          <w:szCs w:val="21"/>
          <w:highlight w:val="none"/>
        </w:rPr>
        <w:t>定标详细规定条款详见本章</w:t>
      </w:r>
      <w:r>
        <w:rPr>
          <w:rFonts w:hint="eastAsia" w:ascii="宋体" w:hAnsi="宋体" w:cs="宋体"/>
          <w:b/>
          <w:bCs/>
          <w:color w:val="auto"/>
          <w:szCs w:val="21"/>
          <w:highlight w:val="none"/>
          <w:lang w:eastAsia="zh-CN"/>
        </w:rPr>
        <w:t>5</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定标。</w:t>
      </w:r>
    </w:p>
    <w:p w14:paraId="704FB681">
      <w:pP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条款号：（二）开标评标办法程序和细则 注                             修改类型：删除</w:t>
      </w:r>
    </w:p>
    <w:p w14:paraId="381DF3C8">
      <w:pPr>
        <w:pBdr>
          <w:bottom w:val="single" w:color="auto" w:sz="4" w:space="0"/>
        </w:pBdr>
        <w:spacing w:line="360" w:lineRule="auto"/>
        <w:ind w:firstLine="424" w:firstLineChars="201"/>
        <w:rPr>
          <w:rFonts w:hint="eastAsia"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注：以下七种评标办法所述企业诚信综合评价分数即投标截止当日广州市工程招标代理行业协会网站上公布的企业诚信综合评价60日诚信分。</w:t>
      </w:r>
    </w:p>
    <w:p w14:paraId="67FF2F58">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条款号：（二）开标评标办法程序和细则          修改类型：删除</w:t>
      </w:r>
    </w:p>
    <w:p w14:paraId="29A1ECBA">
      <w:pPr>
        <w:pBdr>
          <w:bottom w:val="single" w:color="auto" w:sz="4"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可选办法一（适合综合评分法一，技术标与经济标先后分别开启）</w:t>
      </w:r>
    </w:p>
    <w:p w14:paraId="7C605681">
      <w:pPr>
        <w:pBdr>
          <w:bottom w:val="single" w:color="auto" w:sz="4"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可选办法二（适合综合评分法一，技术标与经济标同时开启）</w:t>
      </w:r>
    </w:p>
    <w:p w14:paraId="144C5D4B">
      <w:pPr>
        <w:pBdr>
          <w:bottom w:val="single" w:color="auto" w:sz="4"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可选办法三（适合综合评分法二，技术标与经济标先后分别开启）</w:t>
      </w:r>
    </w:p>
    <w:p w14:paraId="67B1F169">
      <w:pPr>
        <w:pBdr>
          <w:bottom w:val="single" w:color="auto" w:sz="4"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可选办法四（适合综合评分法二，技术标与经济标同时开启）</w:t>
      </w:r>
    </w:p>
    <w:p w14:paraId="4B352610">
      <w:pPr>
        <w:pBdr>
          <w:bottom w:val="single" w:color="auto" w:sz="4"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可选办法五（适合综合评分法三，技术标与经济标先后分别开启）</w:t>
      </w:r>
    </w:p>
    <w:p w14:paraId="75A1A412">
      <w:pPr>
        <w:pBdr>
          <w:bottom w:val="single" w:color="auto" w:sz="4"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可选办法六（适合综合评分法三，技术标与经济标同时开启）</w:t>
      </w:r>
    </w:p>
    <w:p w14:paraId="0F6C6C94">
      <w:pPr>
        <w:pBdr>
          <w:bottom w:val="single" w:color="auto" w:sz="4"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可选办法八（适合经评审的最低投标价法，技术标与经济标同时开启）</w:t>
      </w:r>
    </w:p>
    <w:p w14:paraId="27F400F8">
      <w:pPr>
        <w:spacing w:line="5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可选办法七（适合综合评分法四，技术标与经济标同时开启）</w:t>
      </w:r>
      <w:r>
        <w:rPr>
          <w:rFonts w:hint="eastAsia" w:ascii="宋体" w:hAnsi="宋体" w:cs="宋体"/>
          <w:b/>
          <w:color w:val="auto"/>
          <w:szCs w:val="21"/>
          <w:highlight w:val="none"/>
        </w:rPr>
        <w:t xml:space="preserve">     修改类型：修改</w:t>
      </w:r>
    </w:p>
    <w:p w14:paraId="4E1BAB09">
      <w:pPr>
        <w:pBdr>
          <w:bottom w:val="single" w:color="auto" w:sz="6" w:space="1"/>
        </w:pBdr>
        <w:spacing w:line="52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31607AF0">
      <w:pPr>
        <w:pBdr>
          <w:bottom w:val="single" w:color="auto" w:sz="6" w:space="1"/>
        </w:pBdr>
        <w:spacing w:line="52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评定分离评标定标办法</w:t>
      </w:r>
    </w:p>
    <w:p w14:paraId="61A6D09E">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条款号：40                          修改类型：修改</w:t>
      </w:r>
    </w:p>
    <w:p w14:paraId="3C657B97">
      <w:pP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40．开标和评标程序</w:t>
      </w:r>
    </w:p>
    <w:p w14:paraId="12565441">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40.1技术标（含资格审查文件）与经济标投标文件同时公开开标；</w:t>
      </w:r>
    </w:p>
    <w:p w14:paraId="146359DD">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40.2由评标委员会对所有已公开开标的投标人进行资格审查；</w:t>
      </w:r>
    </w:p>
    <w:p w14:paraId="1602CACE">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40.3技术标投标文件有效性审查；</w:t>
      </w:r>
    </w:p>
    <w:p w14:paraId="24D7F84B">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40.4技术标详细审查评分；</w:t>
      </w:r>
    </w:p>
    <w:p w14:paraId="6F9A213E">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 xml:space="preserve">40.5经济标详细审查评分； </w:t>
      </w:r>
    </w:p>
    <w:p w14:paraId="4330663E">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40.6评标委员会按照投标人总得分由高至低排序；</w:t>
      </w:r>
    </w:p>
    <w:p w14:paraId="265EAA43">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40.7经济标投标文件有效性审查；</w:t>
      </w:r>
    </w:p>
    <w:p w14:paraId="7626CE66">
      <w:pPr>
        <w:spacing w:line="360" w:lineRule="auto"/>
        <w:ind w:firstLine="422" w:firstLineChars="201"/>
        <w:rPr>
          <w:rFonts w:hint="eastAsia" w:ascii="宋体" w:hAnsi="宋体" w:cs="宋体"/>
          <w:b/>
          <w:color w:val="auto"/>
          <w:szCs w:val="21"/>
          <w:highlight w:val="none"/>
        </w:rPr>
      </w:pPr>
      <w:r>
        <w:rPr>
          <w:rFonts w:hint="eastAsia" w:ascii="宋体" w:hAnsi="宋体" w:cs="宋体"/>
          <w:color w:val="auto"/>
          <w:szCs w:val="21"/>
          <w:highlight w:val="none"/>
        </w:rPr>
        <w:t>40.8评标委员会按排序向招标人推荐中标候选人名单，并递交资格审查报告及评标报告。</w:t>
      </w:r>
    </w:p>
    <w:p w14:paraId="7D71B289">
      <w:pP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40．开标和评标程序</w:t>
      </w:r>
    </w:p>
    <w:p w14:paraId="33BDACCF">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40.1技术标（含资格审查文件）与经济标投标文件同时公开开标；</w:t>
      </w:r>
    </w:p>
    <w:p w14:paraId="257EB50E">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40.2由评标委员会对所有已公开开标的投标人进行资格审查</w:t>
      </w:r>
      <w:r>
        <w:rPr>
          <w:rFonts w:hint="eastAsia" w:ascii="宋体" w:hAnsi="宋体" w:cs="宋体"/>
          <w:color w:val="auto"/>
          <w:szCs w:val="21"/>
          <w:highlight w:val="none"/>
          <w:u w:val="single"/>
        </w:rPr>
        <w:t>，并编写资格审查报告</w:t>
      </w:r>
      <w:r>
        <w:rPr>
          <w:rFonts w:hint="eastAsia" w:ascii="宋体" w:hAnsi="宋体" w:cs="宋体"/>
          <w:color w:val="auto"/>
          <w:szCs w:val="21"/>
          <w:highlight w:val="none"/>
        </w:rPr>
        <w:t>；</w:t>
      </w:r>
    </w:p>
    <w:p w14:paraId="00E14016">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40.3技术标投标文件有效性审查；</w:t>
      </w:r>
    </w:p>
    <w:p w14:paraId="7226F901">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40.4技术标详细审查评分；</w:t>
      </w:r>
    </w:p>
    <w:p w14:paraId="48871CF1">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 xml:space="preserve">40.5经济标详细审查评分； </w:t>
      </w:r>
    </w:p>
    <w:p w14:paraId="27027F01">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40.6评标委员会按照投标人总得分由高至低排序；</w:t>
      </w:r>
    </w:p>
    <w:p w14:paraId="7866CCE9">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40.7经济标投标文件有效性审查；</w:t>
      </w:r>
    </w:p>
    <w:p w14:paraId="6967C4EB">
      <w:pPr>
        <w:pBdr>
          <w:bottom w:val="single" w:color="auto" w:sz="4" w:space="1"/>
        </w:pBd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40.8</w:t>
      </w:r>
      <w:r>
        <w:rPr>
          <w:rFonts w:hint="eastAsia" w:ascii="宋体" w:hAnsi="宋体" w:cs="宋体"/>
          <w:bCs/>
          <w:color w:val="auto"/>
          <w:szCs w:val="21"/>
          <w:highlight w:val="none"/>
          <w:u w:val="single"/>
        </w:rPr>
        <w:t>评标委员会编写资格审查报告以及评标报告，向招标人</w:t>
      </w:r>
      <w:r>
        <w:rPr>
          <w:rFonts w:hint="eastAsia" w:ascii="宋体" w:hAnsi="宋体" w:cs="宋体"/>
          <w:bCs/>
          <w:color w:val="auto"/>
          <w:szCs w:val="21"/>
          <w:highlight w:val="none"/>
          <w:u w:val="single"/>
          <w:lang w:bidi="ar"/>
        </w:rPr>
        <w:t>推荐[3,10]不排序的合格中标候选人进入定标阶段【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cs="宋体"/>
          <w:color w:val="auto"/>
          <w:szCs w:val="21"/>
          <w:highlight w:val="none"/>
        </w:rPr>
        <w:t>。</w:t>
      </w:r>
    </w:p>
    <w:p w14:paraId="056591C0">
      <w:pPr>
        <w:spacing w:line="400" w:lineRule="exact"/>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条款号：41.1                    修改类型：修改</w:t>
      </w:r>
    </w:p>
    <w:p w14:paraId="64C2FDEC">
      <w:pPr>
        <w:snapToGrid w:val="0"/>
        <w:spacing w:line="400" w:lineRule="exact"/>
        <w:ind w:firstLine="460" w:firstLineChars="218"/>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41.1开标由招标人主持；</w:t>
      </w:r>
    </w:p>
    <w:p w14:paraId="2D3F1786">
      <w:pPr>
        <w:pStyle w:val="23"/>
        <w:spacing w:after="0" w:line="4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41.1开标由招标人</w:t>
      </w:r>
      <w:r>
        <w:rPr>
          <w:rFonts w:hint="eastAsia" w:ascii="宋体" w:hAnsi="宋体" w:eastAsia="宋体" w:cs="宋体"/>
          <w:color w:val="auto"/>
          <w:szCs w:val="21"/>
          <w:highlight w:val="none"/>
          <w:u w:val="single"/>
        </w:rPr>
        <w:t>或招标代理</w:t>
      </w:r>
      <w:r>
        <w:rPr>
          <w:rFonts w:hint="eastAsia" w:ascii="宋体" w:hAnsi="宋体" w:eastAsia="宋体" w:cs="宋体"/>
          <w:color w:val="auto"/>
          <w:szCs w:val="21"/>
          <w:highlight w:val="none"/>
        </w:rPr>
        <w:t>主持；</w:t>
      </w:r>
    </w:p>
    <w:p w14:paraId="3FD7BB62">
      <w:pPr>
        <w:pStyle w:val="23"/>
        <w:pBdr>
          <w:top w:val="single" w:color="auto" w:sz="4" w:space="0"/>
        </w:pBdr>
        <w:spacing w:after="0" w:line="4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条款号：41.2.1</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修改类型：修改</w:t>
      </w:r>
    </w:p>
    <w:p w14:paraId="275EE3C8">
      <w:pPr>
        <w:spacing w:line="460" w:lineRule="exact"/>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41.2.1投标截止期前，各投标人递交投标文件（包括技术标投标文件、经济标投标文件）至交易平台。有关投标文件提交的事项详见第一章投标须知。</w:t>
      </w:r>
    </w:p>
    <w:p w14:paraId="0632D71F">
      <w:pPr>
        <w:pBdr>
          <w:bottom w:val="single" w:color="auto" w:sz="6" w:space="1"/>
        </w:pBdr>
        <w:spacing w:line="460" w:lineRule="exact"/>
        <w:ind w:firstLine="413" w:firstLineChars="196"/>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rPr>
        <w:t>41.2.1投标截止期前，各投标人递交投标文件（</w:t>
      </w:r>
      <w:r>
        <w:rPr>
          <w:rFonts w:hint="eastAsia" w:ascii="宋体" w:hAnsi="宋体" w:cs="宋体"/>
          <w:color w:val="auto"/>
          <w:szCs w:val="21"/>
          <w:highlight w:val="none"/>
        </w:rPr>
        <w:t>包括</w:t>
      </w:r>
      <w:r>
        <w:rPr>
          <w:rFonts w:hint="eastAsia" w:ascii="宋体" w:hAnsi="宋体" w:cs="宋体"/>
          <w:color w:val="auto"/>
          <w:szCs w:val="21"/>
          <w:highlight w:val="none"/>
          <w:u w:val="single"/>
        </w:rPr>
        <w:t>技术标投标文件（含资格审查文件）</w:t>
      </w:r>
      <w:r>
        <w:rPr>
          <w:rFonts w:hint="eastAsia" w:ascii="宋体" w:hAnsi="宋体" w:cs="宋体"/>
          <w:color w:val="auto"/>
          <w:szCs w:val="21"/>
          <w:highlight w:val="none"/>
        </w:rPr>
        <w:t>、经济标投标文件</w:t>
      </w:r>
      <w:r>
        <w:rPr>
          <w:rFonts w:hint="eastAsia" w:ascii="宋体" w:hAnsi="宋体" w:cs="宋体"/>
          <w:bCs/>
          <w:color w:val="auto"/>
          <w:szCs w:val="21"/>
          <w:highlight w:val="none"/>
        </w:rPr>
        <w:t>）至</w:t>
      </w:r>
      <w:r>
        <w:rPr>
          <w:rFonts w:hint="eastAsia" w:ascii="宋体" w:hAnsi="宋体" w:cs="宋体"/>
          <w:color w:val="auto"/>
          <w:szCs w:val="21"/>
          <w:highlight w:val="none"/>
          <w:u w:val="single"/>
        </w:rPr>
        <w:t>广州交易集团有限公司（广州公共资源交易中心）</w:t>
      </w:r>
      <w:r>
        <w:rPr>
          <w:rFonts w:hint="eastAsia" w:ascii="宋体" w:hAnsi="宋体" w:cs="宋体"/>
          <w:bCs/>
          <w:color w:val="auto"/>
          <w:szCs w:val="21"/>
          <w:highlight w:val="none"/>
        </w:rPr>
        <w:t>交易平台。有关投标文件提交的事项详见第一章投标须知。</w:t>
      </w:r>
    </w:p>
    <w:p w14:paraId="235B1987">
      <w:pPr>
        <w:pStyle w:val="23"/>
        <w:pBdr>
          <w:top w:val="single" w:color="auto" w:sz="4" w:space="0"/>
        </w:pBdr>
        <w:spacing w:after="0" w:line="4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条款号：41.2.2</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修改类型：删除</w:t>
      </w:r>
    </w:p>
    <w:p w14:paraId="4EFA42B0">
      <w:pPr>
        <w:pBdr>
          <w:bottom w:val="single" w:color="auto" w:sz="6" w:space="1"/>
        </w:pBdr>
        <w:spacing w:line="460" w:lineRule="exact"/>
        <w:ind w:firstLine="413" w:firstLineChars="196"/>
        <w:rPr>
          <w:rFonts w:hint="eastAsia"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bCs/>
          <w:color w:val="auto"/>
          <w:szCs w:val="21"/>
          <w:highlight w:val="none"/>
        </w:rPr>
        <w:t>41.2.2开标前，首先由招标人随机抽取确定该工程计算评标参考价的等分点值X。</w:t>
      </w:r>
    </w:p>
    <w:p w14:paraId="4579704A">
      <w:pPr>
        <w:pStyle w:val="23"/>
        <w:spacing w:after="0" w:line="4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条款号：41.2.4.1</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修改类型：修改</w:t>
      </w:r>
    </w:p>
    <w:p w14:paraId="68D4767F">
      <w:pPr>
        <w:spacing w:line="460" w:lineRule="exact"/>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19D17CC9">
      <w:pPr>
        <w:pBdr>
          <w:bottom w:val="single" w:color="auto" w:sz="6" w:space="1"/>
        </w:pBdr>
        <w:spacing w:line="460" w:lineRule="exact"/>
        <w:ind w:firstLine="413" w:firstLineChars="196"/>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rPr>
        <w:t>41.2.4.1开标时，公布：a、投标人名称；b、投标文件密封情况；c、投标报价；</w:t>
      </w:r>
      <w:r>
        <w:rPr>
          <w:rFonts w:hint="eastAsia" w:ascii="宋体" w:hAnsi="宋体" w:cs="宋体"/>
          <w:bCs/>
          <w:strike/>
          <w:color w:val="auto"/>
          <w:szCs w:val="21"/>
          <w:highlight w:val="none"/>
        </w:rPr>
        <w:t>d、投标保证金；</w:t>
      </w:r>
      <w:r>
        <w:rPr>
          <w:rFonts w:hint="eastAsia" w:ascii="宋体" w:hAnsi="宋体" w:cs="宋体"/>
          <w:bCs/>
          <w:color w:val="auto"/>
          <w:szCs w:val="21"/>
          <w:highlight w:val="none"/>
        </w:rPr>
        <w:t>e、项目经理（负责人）名称；f、法定代表人证明及授权委托等主要内容及开标记录表中的其他必要内容。投标报价以数字和文字两种方式表述的，应公布文字表述的投标报价。</w:t>
      </w:r>
    </w:p>
    <w:p w14:paraId="0AE3E223">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条款号：41.3                        修改类型：修改</w:t>
      </w:r>
    </w:p>
    <w:p w14:paraId="342261E3">
      <w:pP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41.3招标人对开标过程进行记录，并存档备查，投标人在技术标开标记录上签字。</w:t>
      </w:r>
    </w:p>
    <w:p w14:paraId="0F4F56B2">
      <w:pPr>
        <w:pStyle w:val="23"/>
        <w:spacing w:after="0" w:line="4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41.3招标人</w:t>
      </w:r>
      <w:r>
        <w:rPr>
          <w:rFonts w:hint="eastAsia" w:ascii="宋体" w:hAnsi="宋体" w:eastAsia="宋体" w:cs="宋体"/>
          <w:color w:val="auto"/>
          <w:szCs w:val="21"/>
          <w:highlight w:val="none"/>
          <w:u w:val="single"/>
        </w:rPr>
        <w:t>或招标代理机构</w:t>
      </w:r>
      <w:r>
        <w:rPr>
          <w:rFonts w:hint="eastAsia" w:ascii="宋体" w:hAnsi="宋体" w:eastAsia="宋体" w:cs="宋体"/>
          <w:color w:val="auto"/>
          <w:szCs w:val="21"/>
          <w:highlight w:val="none"/>
        </w:rPr>
        <w:t>对开标过程进行记录，并存档备查，</w:t>
      </w:r>
      <w:r>
        <w:rPr>
          <w:rFonts w:hint="eastAsia" w:ascii="宋体" w:hAnsi="宋体" w:eastAsia="宋体" w:cs="宋体"/>
          <w:color w:val="auto"/>
          <w:szCs w:val="21"/>
          <w:highlight w:val="none"/>
          <w:u w:val="single"/>
        </w:rPr>
        <w:t>参加开标会的</w:t>
      </w:r>
      <w:r>
        <w:rPr>
          <w:rFonts w:hint="eastAsia" w:ascii="宋体" w:hAnsi="宋体" w:eastAsia="宋体" w:cs="宋体"/>
          <w:color w:val="auto"/>
          <w:szCs w:val="21"/>
          <w:highlight w:val="none"/>
        </w:rPr>
        <w:t>投标人在</w:t>
      </w:r>
      <w:r>
        <w:rPr>
          <w:rFonts w:hint="eastAsia" w:ascii="宋体" w:hAnsi="宋体" w:eastAsia="宋体" w:cs="宋体"/>
          <w:color w:val="auto"/>
          <w:szCs w:val="21"/>
          <w:highlight w:val="none"/>
          <w:u w:val="single"/>
        </w:rPr>
        <w:t>开标记录</w:t>
      </w:r>
      <w:r>
        <w:rPr>
          <w:rFonts w:hint="eastAsia" w:ascii="宋体" w:hAnsi="宋体" w:eastAsia="宋体" w:cs="宋体"/>
          <w:color w:val="auto"/>
          <w:szCs w:val="21"/>
          <w:highlight w:val="none"/>
        </w:rPr>
        <w:t>上签字。</w:t>
      </w:r>
    </w:p>
    <w:p w14:paraId="5BCBDBE8">
      <w:pPr>
        <w:pStyle w:val="23"/>
        <w:pBdr>
          <w:top w:val="single" w:color="auto" w:sz="4" w:space="0"/>
        </w:pBdr>
        <w:spacing w:after="0" w:line="4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条款号：42.2</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修改类型：修改</w:t>
      </w:r>
    </w:p>
    <w:p w14:paraId="68811F94">
      <w:pPr>
        <w:spacing w:line="460" w:lineRule="exact"/>
        <w:ind w:firstLine="413" w:firstLineChars="196"/>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42.2评标委员会的组成：方式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p>
    <w:p w14:paraId="27F05EE0">
      <w:pP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方式一：评标委员会为综合评标委员会，负责资格审查及评标工作。</w:t>
      </w:r>
    </w:p>
    <w:p w14:paraId="04D9C385">
      <w:pPr>
        <w:spacing w:line="460" w:lineRule="exact"/>
        <w:ind w:firstLine="411" w:firstLineChars="196"/>
        <w:rPr>
          <w:rFonts w:hint="eastAsia" w:ascii="宋体" w:hAnsi="宋体" w:cs="宋体"/>
          <w:color w:val="auto"/>
          <w:szCs w:val="21"/>
          <w:highlight w:val="none"/>
        </w:rPr>
      </w:pPr>
      <w:r>
        <w:rPr>
          <w:rFonts w:hint="eastAsia" w:ascii="宋体" w:hAnsi="宋体" w:cs="宋体"/>
          <w:bCs/>
          <w:color w:val="auto"/>
          <w:szCs w:val="21"/>
          <w:highlight w:val="none"/>
        </w:rPr>
        <w:t>方式二：评标委员会由技术评审组和经济评审组组成。其中：资格审查及技术评审由技术评标组负责，经济评审由经济评审组负责。</w:t>
      </w:r>
    </w:p>
    <w:p w14:paraId="4051EEAA">
      <w:pPr>
        <w:pBdr>
          <w:bottom w:val="single" w:color="auto" w:sz="6" w:space="1"/>
        </w:pBdr>
        <w:spacing w:line="460" w:lineRule="exact"/>
        <w:ind w:firstLine="413" w:firstLineChars="196"/>
        <w:rPr>
          <w:rFonts w:hint="eastAsia"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一：评标委员会为综合评标委员会，负责资格审查及评标工作。评标委员会专家均由广东省综合评标评审专家库随机抽取，评标委员会人数为五人以上单数。</w:t>
      </w:r>
    </w:p>
    <w:p w14:paraId="495D7D1A">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条款号：43.6                      修改类型：修改</w:t>
      </w:r>
    </w:p>
    <w:p w14:paraId="75414291">
      <w:pP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43.6资格审查合格的投标人少于3名的（当N个标段同时招标且不允许兼中时，资格审查合格的投标人少于N+2名），则本项目招标失败。</w:t>
      </w:r>
    </w:p>
    <w:p w14:paraId="536C81DC">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43.6</w:t>
      </w:r>
      <w:r>
        <w:rPr>
          <w:rFonts w:hint="eastAsia" w:ascii="宋体" w:hAnsi="宋体" w:cs="宋体"/>
          <w:color w:val="auto"/>
          <w:szCs w:val="21"/>
          <w:highlight w:val="none"/>
          <w:u w:val="single"/>
        </w:rPr>
        <w:t>若满足资格审查合格条件（投标人合格条件）的投标人不足3名，则重新招标。</w:t>
      </w:r>
    </w:p>
    <w:p w14:paraId="5D6FD8EC">
      <w:pPr>
        <w:spacing w:line="480" w:lineRule="auto"/>
        <w:ind w:firstLine="525" w:firstLineChars="249"/>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 xml:space="preserve"> </w:t>
      </w:r>
      <w:r>
        <w:rPr>
          <w:rFonts w:hint="eastAsia" w:ascii="宋体" w:hAnsi="宋体" w:cs="宋体"/>
          <w:b/>
          <w:color w:val="auto"/>
          <w:szCs w:val="21"/>
          <w:highlight w:val="none"/>
        </w:rPr>
        <w:t>45.2            修改类型：修改</w:t>
      </w:r>
    </w:p>
    <w:p w14:paraId="12FEA322">
      <w:pPr>
        <w:pStyle w:val="23"/>
        <w:tabs>
          <w:tab w:val="left" w:pos="7380"/>
        </w:tabs>
        <w:snapToGrid w:val="0"/>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 xml:space="preserve"> 45.2按方法</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计算评标参考价：</w:t>
      </w:r>
    </w:p>
    <w:p w14:paraId="5207F5A6">
      <w:pPr>
        <w:widowControl/>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方法一：加权平均法</w:t>
      </w:r>
    </w:p>
    <w:p w14:paraId="056935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技术标或技术标加诚信得分（具体由招标人自定）前N名（N≥5，具体由招标人自定）的经济报价加权平均，计算评标参考价。公式如下：</w:t>
      </w:r>
    </w:p>
    <w:p w14:paraId="7F98EE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评标参考价=Σ（投标人的投标报价*报价权重）。</w:t>
      </w:r>
    </w:p>
    <w:p w14:paraId="115EEC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其中：报价权重的计算方法为：将N名投标人按技术分由高至低进行排序，第一名投标人的权重为（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szCs w:val="21"/>
          <w:highlight w:val="none"/>
        </w:rPr>
        <w:drawing>
          <wp:inline distT="0" distB="0" distL="114300" distR="114300">
            <wp:extent cx="381000" cy="447675"/>
            <wp:effectExtent l="0" t="0" r="0"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hint="eastAsia" w:ascii="宋体" w:hAnsi="宋体" w:cs="宋体"/>
          <w:color w:val="auto"/>
          <w:szCs w:val="21"/>
          <w:highlight w:val="none"/>
        </w:rPr>
        <w:drawing>
          <wp:inline distT="0" distB="0" distL="114300" distR="114300">
            <wp:extent cx="381000" cy="447675"/>
            <wp:effectExtent l="0" t="0" r="0"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），第二名投标人的权重为（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114300" distR="114300">
            <wp:extent cx="323850" cy="400050"/>
            <wp:effectExtent l="0" t="0" r="11430" b="1143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114300" distR="114300">
            <wp:extent cx="323850" cy="400050"/>
            <wp:effectExtent l="0" t="0" r="11430" b="1143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），以此类推，最后一名投标人的权重为（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114300" distR="114300">
            <wp:extent cx="323850" cy="400050"/>
            <wp:effectExtent l="0" t="0" r="11430" b="1143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114300" distR="114300">
            <wp:extent cx="323850" cy="400050"/>
            <wp:effectExtent l="0" t="0" r="11430" b="1143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w:t>
      </w:r>
    </w:p>
    <w:p w14:paraId="5E380C5C">
      <w:pPr>
        <w:widowControl/>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方法二：区间抽取法</w:t>
      </w:r>
    </w:p>
    <w:p w14:paraId="5E48E988">
      <w:pPr>
        <w:widowControl/>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00D812CA">
      <w:pPr>
        <w:widowControl/>
        <w:snapToGrid w:val="0"/>
        <w:spacing w:line="360" w:lineRule="auto"/>
        <w:ind w:firstLine="420" w:firstLineChars="200"/>
        <w:rPr>
          <w:rFonts w:hint="eastAsia" w:ascii="宋体" w:hAnsi="宋体" w:cs="宋体"/>
          <w:color w:val="auto"/>
          <w:kern w:val="0"/>
          <w:szCs w:val="21"/>
          <w:highlight w:val="none"/>
          <w:vertAlign w:val="subscript"/>
        </w:rPr>
      </w:pPr>
      <w:r>
        <w:rPr>
          <w:rFonts w:hint="eastAsia" w:ascii="宋体" w:hAnsi="宋体" w:cs="宋体"/>
          <w:color w:val="auto"/>
          <w:kern w:val="0"/>
          <w:szCs w:val="21"/>
          <w:highlight w:val="none"/>
        </w:rPr>
        <w:t>评标参考价=（Q</w:t>
      </w:r>
      <w:r>
        <w:rPr>
          <w:rFonts w:hint="eastAsia" w:ascii="宋体" w:hAnsi="宋体" w:cs="宋体"/>
          <w:color w:val="auto"/>
          <w:kern w:val="0"/>
          <w:szCs w:val="21"/>
          <w:highlight w:val="none"/>
          <w:vertAlign w:val="subscript"/>
        </w:rPr>
        <w:t>高</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低</w:t>
      </w:r>
      <w:r>
        <w:rPr>
          <w:rFonts w:hint="eastAsia" w:ascii="宋体" w:hAnsi="宋体" w:cs="宋体"/>
          <w:color w:val="auto"/>
          <w:kern w:val="0"/>
          <w:szCs w:val="21"/>
          <w:highlight w:val="none"/>
        </w:rPr>
        <w:t>）/100*Ｘ+Q</w:t>
      </w:r>
      <w:r>
        <w:rPr>
          <w:rFonts w:hint="eastAsia" w:ascii="宋体" w:hAnsi="宋体" w:cs="宋体"/>
          <w:color w:val="auto"/>
          <w:kern w:val="0"/>
          <w:szCs w:val="21"/>
          <w:highlight w:val="none"/>
          <w:vertAlign w:val="subscript"/>
        </w:rPr>
        <w:t>低</w:t>
      </w:r>
    </w:p>
    <w:p w14:paraId="519C1721">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vertAlign w:val="subscript"/>
        </w:rPr>
        <w:t>低</w:t>
      </w:r>
      <w:r>
        <w:rPr>
          <w:rFonts w:hint="eastAsia" w:ascii="宋体" w:hAnsi="宋体" w:cs="宋体"/>
          <w:color w:val="auto"/>
          <w:szCs w:val="21"/>
          <w:highlight w:val="none"/>
        </w:rPr>
        <w:t>：为达到或超过技术标及格分数线的投标人最低报价与工程成本警示价两者中的较高值；</w:t>
      </w:r>
    </w:p>
    <w:p w14:paraId="496CDA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szCs w:val="21"/>
          <w:highlight w:val="none"/>
        </w:rPr>
        <w:t>：为最高投标限价</w:t>
      </w:r>
    </w:p>
    <w:p w14:paraId="694F8C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X:为等分点值，在开标前从[0,100]整数中随机抽取</w:t>
      </w:r>
    </w:p>
    <w:p w14:paraId="3E73A8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45.3当标价等于评标参考价时得100分，标价每高于评标参考价1%，扣1.5分，每低于评标参考价1%，扣1分，扣至0分为止，得出经济分，精确到小数点后两位。</w:t>
      </w:r>
    </w:p>
    <w:p w14:paraId="22A3BA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45BEB356">
      <w:pPr>
        <w:pStyle w:val="23"/>
        <w:tabs>
          <w:tab w:val="left" w:pos="7380"/>
        </w:tabs>
        <w:snapToGrid w:val="0"/>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45.2 经济标评审（适用于</w:t>
      </w:r>
      <w:r>
        <w:rPr>
          <w:rFonts w:hint="eastAsia" w:ascii="宋体" w:hAnsi="宋体" w:cs="宋体"/>
          <w:color w:val="auto"/>
          <w:kern w:val="0"/>
          <w:szCs w:val="21"/>
          <w:highlight w:val="none"/>
        </w:rPr>
        <w:t>不低于</w:t>
      </w:r>
      <w:r>
        <w:rPr>
          <w:rFonts w:hint="eastAsia" w:ascii="宋体" w:hAnsi="宋体" w:eastAsia="宋体" w:cs="宋体"/>
          <w:color w:val="auto"/>
          <w:kern w:val="0"/>
          <w:szCs w:val="21"/>
          <w:highlight w:val="none"/>
        </w:rPr>
        <w:t>成本警戒价的投标人</w:t>
      </w:r>
      <w:r>
        <w:rPr>
          <w:rFonts w:hint="eastAsia" w:ascii="宋体" w:hAnsi="宋体" w:eastAsia="宋体" w:cs="宋体"/>
          <w:color w:val="auto"/>
          <w:szCs w:val="21"/>
          <w:highlight w:val="none"/>
        </w:rPr>
        <w:t>）：</w:t>
      </w:r>
    </w:p>
    <w:p w14:paraId="63E292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设在[成本警戒价，招标控制价×95%]区间的投标报价数量为G,上述G个投标人的技术标得分由高至低排序，将技术标得分前H名的投标报价的算术平均值作为评标参考价(如G≥10，则H=10；如1≤G&lt;10，则H=G)；若G=0的,则采用成本警戒价与“招标控制价×95%”的算术平均值为评标参考价。</w:t>
      </w:r>
    </w:p>
    <w:p w14:paraId="28CCA1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45.3</w:t>
      </w:r>
      <w:r>
        <w:rPr>
          <w:rFonts w:hint="eastAsia" w:ascii="宋体" w:hAnsi="宋体" w:cs="宋体"/>
          <w:color w:val="auto"/>
          <w:szCs w:val="21"/>
          <w:highlight w:val="none"/>
        </w:rPr>
        <w:t>当</w:t>
      </w:r>
      <w:r>
        <w:rPr>
          <w:rFonts w:hint="eastAsia" w:ascii="宋体" w:hAnsi="宋体" w:cs="宋体"/>
          <w:color w:val="auto"/>
          <w:szCs w:val="21"/>
          <w:highlight w:val="none"/>
          <w:u w:val="single"/>
        </w:rPr>
        <w:t>投标总报价</w:t>
      </w:r>
      <w:r>
        <w:rPr>
          <w:rFonts w:hint="eastAsia" w:ascii="宋体" w:hAnsi="宋体" w:cs="宋体"/>
          <w:color w:val="auto"/>
          <w:szCs w:val="21"/>
          <w:highlight w:val="none"/>
        </w:rPr>
        <w:t>等于评标参考价时得100分，</w:t>
      </w:r>
      <w:r>
        <w:rPr>
          <w:rFonts w:hint="eastAsia" w:ascii="宋体" w:hAnsi="宋体" w:cs="宋体"/>
          <w:color w:val="auto"/>
          <w:szCs w:val="21"/>
          <w:highlight w:val="none"/>
          <w:u w:val="single"/>
        </w:rPr>
        <w:t>投标总报价</w:t>
      </w:r>
      <w:r>
        <w:rPr>
          <w:rFonts w:hint="eastAsia" w:ascii="宋体" w:hAnsi="宋体" w:cs="宋体"/>
          <w:color w:val="auto"/>
          <w:szCs w:val="21"/>
          <w:highlight w:val="none"/>
        </w:rPr>
        <w:t>每高于评标参考价1%，扣1.5分，每低于评标参考价1%，扣1分，扣至0分为止。得出经济分，精确到小数点后两位。</w:t>
      </w:r>
    </w:p>
    <w:p w14:paraId="152A6F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45.4计算通过技术标有效性审查的投标人总得分。投标人总得分=</w:t>
      </w:r>
      <w:r>
        <w:rPr>
          <w:rFonts w:hint="eastAsia" w:ascii="宋体" w:hAnsi="宋体" w:cs="宋体"/>
          <w:color w:val="auto"/>
          <w:szCs w:val="21"/>
          <w:highlight w:val="none"/>
          <w:u w:val="single"/>
        </w:rPr>
        <w:t>技术分×技术分权重＋经济分×经济分权重（对于低于成本警戒价的投标人，不再对经济标部分进行评审。）</w:t>
      </w:r>
      <w:r>
        <w:rPr>
          <w:rFonts w:hint="eastAsia" w:ascii="宋体" w:hAnsi="宋体" w:cs="宋体"/>
          <w:color w:val="auto"/>
          <w:szCs w:val="21"/>
          <w:highlight w:val="none"/>
        </w:rPr>
        <w:t>。技术、经济得分权重按投标须知前附表的规定执行。总得分四舍五入保留两位小数。</w:t>
      </w:r>
    </w:p>
    <w:p w14:paraId="6304EDBC">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45.5计算方式相同情况下的总得分分数相同的排序方法：总得分相同的投标文件，以技术分高的排前；总得分及技术分均相同的投标文件，以投标总报价低的排前；如仍存在相同情况，则对具有相同情况的投标人，由评标委员会采用记名投票方式，向招标人</w:t>
      </w:r>
      <w:r>
        <w:rPr>
          <w:rFonts w:hint="eastAsia" w:ascii="宋体" w:hAnsi="宋体" w:cs="宋体"/>
          <w:bCs/>
          <w:color w:val="auto"/>
          <w:szCs w:val="21"/>
          <w:highlight w:val="none"/>
          <w:u w:val="single"/>
          <w:lang w:bidi="ar"/>
        </w:rPr>
        <w:t>推荐[3,10]名不排序的合格中标候选人进入定标阶段【不排序，按统一社会信用代码后4位（除校验码外）大小排位，如统一社会信用代码后4位出现字母情况的，字母以“0”进行代替大小排位；如出现后4位（除校验码外）大小一致的，则随机排位。】，具体推荐方式详见</w:t>
      </w:r>
      <w:r>
        <w:rPr>
          <w:rFonts w:hint="eastAsia" w:ascii="宋体" w:hAnsi="宋体" w:cs="宋体"/>
          <w:color w:val="auto"/>
          <w:szCs w:val="21"/>
          <w:highlight w:val="none"/>
          <w:u w:val="single"/>
        </w:rPr>
        <w:t>步骤35.13。</w:t>
      </w:r>
    </w:p>
    <w:p w14:paraId="51506591">
      <w:pPr>
        <w:pBdr>
          <w:bottom w:val="single" w:color="auto" w:sz="6" w:space="1"/>
        </w:pBd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u w:val="single"/>
        </w:rPr>
        <w:t>注：记名投票方式确定排序的具体操作步骤为：由评标委员会对出现该情况的投标人采取记名投票的方式确定，按得票数从高到低排列先后次序，以得票数高的排前，根据得票数高低确定排序。</w:t>
      </w:r>
    </w:p>
    <w:p w14:paraId="5DDC1362">
      <w:pPr>
        <w:pBdr>
          <w:top w:val="single" w:color="auto" w:sz="4" w:space="0"/>
        </w:pBdr>
        <w:spacing w:line="460" w:lineRule="exact"/>
        <w:ind w:firstLine="422" w:firstLineChars="200"/>
        <w:rPr>
          <w:rFonts w:hint="eastAsia" w:ascii="宋体" w:hAnsi="宋体" w:cs="宋体"/>
          <w:color w:val="auto"/>
          <w:kern w:val="0"/>
          <w:szCs w:val="21"/>
          <w:highlight w:val="none"/>
        </w:rPr>
      </w:pPr>
      <w:r>
        <w:rPr>
          <w:rFonts w:hint="eastAsia" w:ascii="宋体" w:hAnsi="宋体" w:cs="宋体"/>
          <w:b/>
          <w:color w:val="auto"/>
          <w:kern w:val="0"/>
          <w:szCs w:val="21"/>
          <w:highlight w:val="none"/>
        </w:rPr>
        <w:t>条款号：</w:t>
      </w:r>
      <w:r>
        <w:rPr>
          <w:rFonts w:hint="eastAsia" w:ascii="宋体" w:hAnsi="宋体" w:cs="宋体"/>
          <w:b/>
          <w:bCs/>
          <w:color w:val="auto"/>
          <w:kern w:val="0"/>
          <w:szCs w:val="21"/>
          <w:highlight w:val="none"/>
        </w:rPr>
        <w:t>46.2.8</w:t>
      </w:r>
      <w:r>
        <w:rPr>
          <w:rFonts w:hint="eastAsia" w:ascii="宋体" w:hAnsi="宋体" w:cs="宋体"/>
          <w:bCs/>
          <w:color w:val="auto"/>
          <w:kern w:val="0"/>
          <w:szCs w:val="21"/>
          <w:highlight w:val="none"/>
        </w:rPr>
        <w:t xml:space="preserve"> </w:t>
      </w:r>
      <w:r>
        <w:rPr>
          <w:rFonts w:hint="eastAsia" w:ascii="宋体" w:hAnsi="宋体" w:cs="宋体"/>
          <w:color w:val="auto"/>
          <w:kern w:val="0"/>
          <w:szCs w:val="21"/>
          <w:highlight w:val="none"/>
        </w:rPr>
        <w:t xml:space="preserve">           </w:t>
      </w:r>
      <w:r>
        <w:rPr>
          <w:rFonts w:hint="eastAsia" w:ascii="宋体" w:hAnsi="宋体" w:cs="宋体"/>
          <w:b/>
          <w:color w:val="auto"/>
          <w:kern w:val="0"/>
          <w:szCs w:val="21"/>
          <w:highlight w:val="none"/>
        </w:rPr>
        <w:t>修改类型：修改</w:t>
      </w:r>
    </w:p>
    <w:p w14:paraId="62D30513">
      <w:pPr>
        <w:spacing w:line="460" w:lineRule="exact"/>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14:paraId="1CD6B3BC">
      <w:pPr>
        <w:spacing w:line="460" w:lineRule="exact"/>
        <w:ind w:firstLine="413" w:firstLineChars="196"/>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u w:val="single"/>
        </w:rPr>
        <w:t>46.2.8按上述修正错误的原则及方法调整或修正投标文件的投标报价，调整后的投标报价对投标人起约束作用。如果投标人不接受修正后的报价，则取消其投标资格。</w:t>
      </w:r>
    </w:p>
    <w:p w14:paraId="2FE01834">
      <w:pPr>
        <w:pBdr>
          <w:top w:val="single" w:color="auto" w:sz="4" w:space="0"/>
        </w:pBdr>
        <w:spacing w:line="460" w:lineRule="exact"/>
        <w:ind w:firstLine="424" w:firstLineChars="201"/>
        <w:rPr>
          <w:rFonts w:hint="eastAsia" w:ascii="宋体" w:hAnsi="宋体" w:cs="宋体"/>
          <w:color w:val="auto"/>
          <w:kern w:val="0"/>
          <w:szCs w:val="21"/>
          <w:highlight w:val="none"/>
        </w:rPr>
      </w:pPr>
      <w:r>
        <w:rPr>
          <w:rFonts w:hint="eastAsia" w:ascii="宋体" w:hAnsi="宋体" w:cs="宋体"/>
          <w:b/>
          <w:color w:val="auto"/>
          <w:szCs w:val="21"/>
          <w:highlight w:val="none"/>
        </w:rPr>
        <w:t>条款号：48                      　　修改类型：修改</w:t>
      </w:r>
    </w:p>
    <w:p w14:paraId="0A8618E1">
      <w:pPr>
        <w:widowControl/>
        <w:spacing w:line="360" w:lineRule="auto"/>
        <w:ind w:firstLine="422" w:firstLineChars="200"/>
        <w:jc w:val="left"/>
        <w:rPr>
          <w:rFonts w:hint="eastAsia" w:ascii="宋体" w:hAnsi="宋体" w:cs="宋体"/>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48.评标委员会应在通过投标文件经济标有效性审查的投标人中，按步骤45.4确定的投标人第二阶段排序，推荐前3名依次为第一中标候选人至第三中标候选人，并编制评标报告。</w:t>
      </w:r>
    </w:p>
    <w:p w14:paraId="0EB43E15">
      <w:pPr>
        <w:spacing w:line="360" w:lineRule="auto"/>
        <w:ind w:firstLine="472" w:firstLineChars="224"/>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48.</w:t>
      </w:r>
      <w:r>
        <w:rPr>
          <w:rFonts w:hint="eastAsia" w:ascii="宋体" w:hAnsi="宋体" w:cs="宋体"/>
          <w:color w:val="auto"/>
          <w:szCs w:val="21"/>
          <w:highlight w:val="none"/>
          <w:u w:val="single"/>
        </w:rPr>
        <w:t>评标委员会应在通过投标文件经济标有效性审查的投标人中，按步骤35.13确定的投标人排序，</w:t>
      </w:r>
      <w:r>
        <w:rPr>
          <w:rFonts w:hint="eastAsia" w:ascii="宋体" w:hAnsi="宋体" w:cs="宋体"/>
          <w:bCs/>
          <w:color w:val="auto"/>
          <w:szCs w:val="21"/>
          <w:highlight w:val="none"/>
          <w:u w:val="single"/>
          <w:lang w:bidi="ar"/>
        </w:rPr>
        <w:t>推荐[3,10]名不排序的合格中标候选人进入定标阶段【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cs="宋体"/>
          <w:color w:val="auto"/>
          <w:szCs w:val="21"/>
          <w:highlight w:val="none"/>
          <w:u w:val="single"/>
        </w:rPr>
        <w:t>，并编制评标报告。</w:t>
      </w:r>
    </w:p>
    <w:p w14:paraId="180F5BAD">
      <w:pPr>
        <w:pStyle w:val="23"/>
        <w:pBdr>
          <w:top w:val="single" w:color="auto" w:sz="4" w:space="0"/>
        </w:pBdr>
        <w:spacing w:after="0" w:line="4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bCs/>
          <w:color w:val="auto"/>
          <w:szCs w:val="21"/>
          <w:highlight w:val="none"/>
        </w:rPr>
        <w:t>49</w:t>
      </w:r>
      <w:r>
        <w:rPr>
          <w:rFonts w:hint="eastAsia" w:ascii="宋体" w:hAnsi="宋体" w:eastAsia="宋体" w:cs="宋体"/>
          <w:bCs/>
          <w:color w:val="auto"/>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修改类型：修改</w:t>
      </w:r>
    </w:p>
    <w:p w14:paraId="70954147">
      <w:pPr>
        <w:spacing w:line="460" w:lineRule="exact"/>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49若通过经济标有效性审查的投标人不足三家，应当依法重新招标。（当N个标段同时招标且不允许兼中时，若有效投标人不足N+2家，应当依法重新招标）</w:t>
      </w:r>
    </w:p>
    <w:p w14:paraId="4448F216">
      <w:pPr>
        <w:pBdr>
          <w:bottom w:val="single" w:color="auto" w:sz="6" w:space="1"/>
        </w:pBdr>
        <w:spacing w:line="460" w:lineRule="exact"/>
        <w:ind w:firstLine="413" w:firstLineChars="196"/>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u w:val="single"/>
        </w:rPr>
        <w:t>49若通过经济标有效性审查的投标人不足三家，应当依法重新招标</w:t>
      </w:r>
      <w:r>
        <w:rPr>
          <w:rFonts w:hint="eastAsia" w:ascii="宋体" w:hAnsi="宋体" w:cs="宋体"/>
          <w:bCs/>
          <w:color w:val="auto"/>
          <w:szCs w:val="21"/>
          <w:highlight w:val="none"/>
        </w:rPr>
        <w:t>。</w:t>
      </w:r>
    </w:p>
    <w:p w14:paraId="4EB1D2CE">
      <w:pPr>
        <w:pStyle w:val="23"/>
        <w:pBdr>
          <w:top w:val="single" w:color="auto" w:sz="4" w:space="0"/>
        </w:pBdr>
        <w:spacing w:after="0" w:line="4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bCs/>
          <w:color w:val="auto"/>
          <w:szCs w:val="21"/>
          <w:highlight w:val="none"/>
        </w:rPr>
        <w:t>50</w:t>
      </w:r>
      <w:r>
        <w:rPr>
          <w:rFonts w:hint="eastAsia" w:ascii="宋体" w:hAnsi="宋体" w:eastAsia="宋体" w:cs="宋体"/>
          <w:bCs/>
          <w:color w:val="auto"/>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修改类型：</w:t>
      </w:r>
      <w:r>
        <w:rPr>
          <w:rFonts w:hint="eastAsia" w:ascii="宋体" w:hAnsi="宋体" w:eastAsia="宋体" w:cs="宋体"/>
          <w:bCs/>
          <w:color w:val="auto"/>
          <w:szCs w:val="21"/>
          <w:highlight w:val="none"/>
        </w:rPr>
        <w:t>增加</w:t>
      </w:r>
    </w:p>
    <w:p w14:paraId="1D5FE462">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现文：50.定标详细规定</w:t>
      </w:r>
    </w:p>
    <w:p w14:paraId="577002C6">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50.1定标时间和地点</w:t>
      </w:r>
    </w:p>
    <w:p w14:paraId="0466716B">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招标人在合格中标候选人公示结束后</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个工作日内在广州交易集团有限公司（广州公共资源交易中心）开展定标工作，招标人按规定程序在投标人须知的时间和地点完成定标工作。</w:t>
      </w:r>
    </w:p>
    <w:p w14:paraId="7F5F4255">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50.2定标委员会：成员数量为5人，由招标人组建。</w:t>
      </w:r>
    </w:p>
    <w:p w14:paraId="055E1731">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50.3监督小组：成员数量为2人或以上，由招标人组建。</w:t>
      </w:r>
    </w:p>
    <w:p w14:paraId="03125C30">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50.4定标办法：本次定标采用“方案因素评定法+价格因素评定法+答辩因素评定法”，定标委员会对进入定标阶段的所有合格中标候选人进行综合评审，推荐得分最高的为中标人。如评标委员会推荐的合格中标候选人不足3家，招标人应当依法重新招标，不再进行定标工作。</w:t>
      </w:r>
    </w:p>
    <w:p w14:paraId="77807298">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50.5定标因素：方案因素+价格因素+答辩因素。</w:t>
      </w:r>
    </w:p>
    <w:p w14:paraId="17B0BF2E">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50.6定标程序</w:t>
      </w:r>
    </w:p>
    <w:p w14:paraId="3BACF24D">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招标人或其委托的招标代理机构应安排1名熟悉情况的工作人员在定标会场担任招标项目负责人，按程序组织定标工作：</w:t>
      </w:r>
    </w:p>
    <w:p w14:paraId="2FE1DE71">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50.6.1招标项目负责人宣读定标委员会组建情况及成员名单，宣读定标纪律，签订廉政责任书。</w:t>
      </w:r>
    </w:p>
    <w:p w14:paraId="0EB90A8F">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50.6.2定标工作开始后，定标委员会应推荐一人为定标委员会组长。</w:t>
      </w:r>
    </w:p>
    <w:p w14:paraId="19B7928C">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50.6.3发放定标辅助资料：招标文件、评标阶段的评标报告、合格的中标候选人提交的投标文件及定标文件。</w:t>
      </w:r>
    </w:p>
    <w:p w14:paraId="1B01AA1C">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50.6.4定标委员会在评标委员会评审的基础上，根据评标阶段的评标报告、合格中标候选人提交的投标文件、定标文件及定标因素对进入定标阶段合格中标候选人进行综合评审。</w:t>
      </w:r>
    </w:p>
    <w:p w14:paraId="05AF9875">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50.6.5答辩程序</w:t>
      </w:r>
    </w:p>
    <w:p w14:paraId="5743D8EA">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①答辩签到：招标人或招标代理将《定标会议通知》以邮件送达各合格中标候选人，各合格中标候选人收到邮件后需在《定标会议通知》上盖章后回复邮件。各中标候选人拟派项目负责人、技术负责人组成1-2人的答辩小组；答辩小组须携带本单位法定代表人证明书原件、法定代表人授权委托证明书原件，本人身份证原件到达《定标会议通知》通知的开标室进行签到并递交以U盘为载体的PPT演示文件（如有），签到具体时间以《定标会议通知》为准。签到完成后，拟派答辩小组需签署《答辩纪律》、《答辩人员承诺书》等文件(签署的文件以实际下发的为准)。合格中标候选人拟派答辩小组签到时未能提供本单位法定代表人证明书原件、法定代表人授权委托证明书原件的,或未能在规定的时候内进行签到的，视为放弃答辩。签到时，拟派答辩小组需将其所有通讯设备调成关机或静音状态交招标代理保管，待其答辩完成后退还。</w:t>
      </w:r>
    </w:p>
    <w:p w14:paraId="19E854BA">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②答辩进场顺序：采用现场答辩形式,按拟派答辩小组签到顺序各自抽取答辩顺序号，按答辩顺序号从小到大依次进场答辩。在规定的签到时间内，如所有合格中标候选人均完成签到后，招标代理即可组织抽取答辩顺序号；在规定的签到时间内如存在合格中标候选人未完成签到的，在签到时间截止后，招标代理组织已完成签到的合格中标候选人抽取答辩顺序。</w:t>
      </w:r>
    </w:p>
    <w:p w14:paraId="2723E548">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③答辩人员的要求：答辩的人员在参加答辩时，应向招标人（招标代理）出示身份证原件，招标人（招标代理）核对确认身份无误后再进行答辩。答辩人员未能出示前述证明文件的不予参加答辩环节。</w:t>
      </w:r>
    </w:p>
    <w:p w14:paraId="64FF227D">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④答辩的要点与时限：答辩的要点与时限详见《定标因素表》。1)中标候选人拟派项目答辩小组对项目管理人员配备、施工安全、工期及质量管理，对本项目施工重点和难点的分析和应对措施进行介绍时，可借助广州交易集团有限公司（广州公共资源交易中心）开标室电脑播放事先准备的PPT（如有），并同步至定标室进行介绍。2)答辩小组就本项目接受评标委员会提问并进行问答。</w:t>
      </w:r>
    </w:p>
    <w:p w14:paraId="379187E6">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50.6.6将所有定标委员会成员对同一投标人的评分汇总进行算术平均【其中，</w:t>
      </w:r>
      <w:r>
        <w:rPr>
          <w:rFonts w:hint="eastAsia" w:ascii="宋体" w:hAnsi="宋体" w:cs="宋体"/>
          <w:bCs/>
          <w:color w:val="auto"/>
          <w:szCs w:val="21"/>
          <w:highlight w:val="none"/>
          <w:u w:val="single"/>
        </w:rPr>
        <w:t>总得分（100分）=方案因素（50分）+价格因素（20分）+答辩因素（30分）</w:t>
      </w:r>
      <w:r>
        <w:rPr>
          <w:rFonts w:hint="eastAsia" w:ascii="宋体" w:hAnsi="宋体" w:cs="宋体"/>
          <w:bCs/>
          <w:color w:val="auto"/>
          <w:szCs w:val="21"/>
          <w:highlight w:val="none"/>
        </w:rPr>
        <w:t>】，总分由高至低排序，总分最高的为中标人。</w:t>
      </w:r>
    </w:p>
    <w:p w14:paraId="72A3C066">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注：若合格中标候选人总得分相同且影响定标排序的，以方案因素得分高的排前；若方案因素得分仍相同的，以价格因素得分高的排前，若价格因素得分仍相同的，由定标委员会</w:t>
      </w:r>
      <w:r>
        <w:rPr>
          <w:rFonts w:hint="eastAsia" w:ascii="宋体" w:hAnsi="宋体" w:cs="宋体"/>
          <w:bCs/>
          <w:color w:val="auto"/>
          <w:szCs w:val="21"/>
          <w:highlight w:val="none"/>
          <w:lang w:val="en-US" w:eastAsia="zh-CN"/>
        </w:rPr>
        <w:t>通过记名</w:t>
      </w:r>
      <w:r>
        <w:rPr>
          <w:rFonts w:hint="eastAsia" w:ascii="宋体" w:hAnsi="宋体" w:cs="宋体"/>
          <w:bCs/>
          <w:color w:val="auto"/>
          <w:szCs w:val="21"/>
          <w:highlight w:val="none"/>
        </w:rPr>
        <w:t>投票确定排序。</w:t>
      </w:r>
      <w:r>
        <w:rPr>
          <w:rFonts w:hint="eastAsia" w:ascii="宋体" w:hAnsi="宋体" w:eastAsia="宋体" w:cs="宋体"/>
          <w:color w:val="auto"/>
          <w:szCs w:val="21"/>
          <w:highlight w:val="none"/>
        </w:rPr>
        <w:t>记名投票方式确定排序的具体操作步骤为：由</w:t>
      </w:r>
      <w:r>
        <w:rPr>
          <w:rFonts w:hint="eastAsia" w:ascii="宋体" w:hAnsi="宋体" w:eastAsia="宋体" w:cs="宋体"/>
          <w:color w:val="auto"/>
          <w:szCs w:val="21"/>
          <w:highlight w:val="none"/>
          <w:lang w:val="en-US" w:eastAsia="zh-CN"/>
        </w:rPr>
        <w:t>定标</w:t>
      </w:r>
      <w:r>
        <w:rPr>
          <w:rFonts w:hint="eastAsia" w:ascii="宋体" w:hAnsi="宋体" w:eastAsia="宋体" w:cs="宋体"/>
          <w:color w:val="auto"/>
          <w:szCs w:val="21"/>
          <w:highlight w:val="none"/>
        </w:rPr>
        <w:t>委员会对出现该情况的投标人采取记名投票的方式确定，按得票数从高到低排列先后次序，以得票数高的排前，根据得票数高低确定</w:t>
      </w:r>
      <w:r>
        <w:rPr>
          <w:rFonts w:hint="eastAsia" w:ascii="宋体" w:hAnsi="宋体" w:eastAsia="宋体" w:cs="宋体"/>
          <w:color w:val="auto"/>
          <w:szCs w:val="21"/>
          <w:highlight w:val="none"/>
          <w:lang w:val="en-US" w:eastAsia="zh-CN"/>
        </w:rPr>
        <w:t>合格</w:t>
      </w:r>
      <w:r>
        <w:rPr>
          <w:rFonts w:hint="eastAsia" w:ascii="宋体" w:hAnsi="宋体" w:eastAsia="宋体" w:cs="宋体"/>
          <w:color w:val="auto"/>
          <w:szCs w:val="21"/>
          <w:highlight w:val="none"/>
        </w:rPr>
        <w:t>中标候选人排序。</w:t>
      </w:r>
    </w:p>
    <w:p w14:paraId="60E74D6A">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50.6.7定标委员会组长根据评分情况向招标人推荐中标人。</w:t>
      </w:r>
    </w:p>
    <w:p w14:paraId="37588ED2">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50.6.8编写定标报告，定标委员会全体确认后签署定标报告。定标报告由定标委员会全体成员签字，对定标结论持有异议的成员应以书面方式阐述其不同意见和理由。</w:t>
      </w:r>
    </w:p>
    <w:p w14:paraId="5353811D">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50.7招标人应当在定标工作完成后3日内公示中标结果。</w:t>
      </w:r>
    </w:p>
    <w:p w14:paraId="1B70A269">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50.8重新评标或定标的，评标信息（含业绩、奖项等）、定标信息仍以投标截止时投标人的信息为准。因特殊原因需要延长投标有效期，投标人拒绝延长投标有效期的，仍参与评标、定标，但不被推荐为合格中标候选人。</w:t>
      </w:r>
    </w:p>
    <w:p w14:paraId="38A0C70F">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50.9 在合格中标候选人公示期间或在定标前,如有合格中标候选人放弃中标候选人资格或者被查实存在影响中标候选人资格的违法行为等情形,且合格中标候选人至少有1名的,招标人不再递补其他合格中标候选人，可以继续定标或依法重新招标;如没有合格中标候选人的，则依法重新招标。</w:t>
      </w:r>
    </w:p>
    <w:p w14:paraId="5BF46A00">
      <w:pPr>
        <w:pBdr>
          <w:bottom w:val="single" w:color="auto" w:sz="6" w:space="1"/>
        </w:pBdr>
        <w:spacing w:line="460" w:lineRule="exact"/>
        <w:ind w:firstLine="411" w:firstLineChars="196"/>
        <w:rPr>
          <w:rFonts w:hint="eastAsia" w:ascii="宋体" w:hAnsi="宋体" w:cs="宋体"/>
          <w:color w:val="auto"/>
          <w:szCs w:val="21"/>
          <w:highlight w:val="none"/>
          <w:u w:val="single"/>
        </w:rPr>
      </w:pPr>
      <w:r>
        <w:rPr>
          <w:rFonts w:hint="eastAsia" w:ascii="宋体" w:hAnsi="宋体" w:cs="宋体"/>
          <w:bCs/>
          <w:color w:val="auto"/>
          <w:szCs w:val="21"/>
          <w:highlight w:val="none"/>
        </w:rPr>
        <w:t>50.10在定标后，如中标人放弃中标、或因不可抗力提出不能履行合同，或者不按照招标文件要求提交履约担保的，或经核查发现委派的项目负责人已在其他在建项目中担任本职务的，或者被查实存在影响中标结果的违法行为等情形，招标人有权取消其中标人资格或解除合同，可由原定标委员会根据原定标办法从其他合格中标候选人中重新</w:t>
      </w:r>
      <w:r>
        <w:rPr>
          <w:rFonts w:hint="eastAsia" w:ascii="宋体" w:hAnsi="宋体" w:cs="宋体"/>
          <w:bCs/>
          <w:color w:val="auto"/>
          <w:szCs w:val="21"/>
          <w:highlight w:val="none"/>
          <w:lang w:val="en-US" w:eastAsia="zh-CN"/>
        </w:rPr>
        <w:t>评审</w:t>
      </w:r>
      <w:r>
        <w:rPr>
          <w:rFonts w:hint="eastAsia" w:ascii="宋体" w:hAnsi="宋体" w:cs="宋体"/>
          <w:bCs/>
          <w:color w:val="auto"/>
          <w:szCs w:val="21"/>
          <w:highlight w:val="none"/>
        </w:rPr>
        <w:t>确定中标人，招标人也可以依法重新招标。</w:t>
      </w:r>
    </w:p>
    <w:p w14:paraId="30792A15">
      <w:pPr>
        <w:spacing w:line="480" w:lineRule="auto"/>
        <w:ind w:firstLine="470" w:firstLineChars="223"/>
        <w:rPr>
          <w:rFonts w:hint="eastAsia" w:ascii="宋体" w:hAnsi="宋体" w:cs="宋体"/>
          <w:b/>
          <w:color w:val="auto"/>
          <w:szCs w:val="21"/>
          <w:highlight w:val="none"/>
        </w:rPr>
      </w:pPr>
      <w:r>
        <w:rPr>
          <w:rFonts w:hint="eastAsia" w:ascii="宋体" w:hAnsi="宋体" w:cs="宋体"/>
          <w:b/>
          <w:color w:val="auto"/>
          <w:szCs w:val="21"/>
          <w:highlight w:val="none"/>
        </w:rPr>
        <w:t>条款号：附表一：《资格审查表》    附表二：《技术标有效性审查表》   附表三：《经济标有效性审查表》   附表四：《技术标详细审查评分表》             修改类型：修改</w:t>
      </w:r>
    </w:p>
    <w:p w14:paraId="7CA344E4">
      <w:pPr>
        <w:spacing w:line="360" w:lineRule="auto"/>
        <w:ind w:firstLine="470" w:firstLineChars="223"/>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详见原范本附表一：《资格审查表》    附表二：《技术标有效性审查表》   附表三：《经济标有效性审查表》   附表四：《技术标详细审查评分表》。</w:t>
      </w:r>
    </w:p>
    <w:p w14:paraId="096DD58C">
      <w:pP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w:t>
      </w:r>
      <w:r>
        <w:rPr>
          <w:rFonts w:hint="eastAsia" w:ascii="宋体" w:hAnsi="宋体" w:cs="宋体"/>
          <w:color w:val="auto"/>
          <w:szCs w:val="21"/>
          <w:highlight w:val="none"/>
          <w:u w:val="single"/>
        </w:rPr>
        <w:t>附表一：《资格审查表》</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附表二：《技术标有效性审查表》</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 xml:space="preserve"> 附表三：《经济标有效性审查表》</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 xml:space="preserve"> 附表四：《技术标详细审查评分表》</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附表</w:t>
      </w:r>
      <w:r>
        <w:rPr>
          <w:rFonts w:hint="eastAsia" w:ascii="宋体" w:hAnsi="宋体" w:cs="宋体"/>
          <w:color w:val="auto"/>
          <w:szCs w:val="21"/>
          <w:highlight w:val="none"/>
          <w:u w:val="single"/>
          <w:lang w:val="en-US" w:eastAsia="zh-CN"/>
        </w:rPr>
        <w:t>七</w:t>
      </w:r>
      <w:r>
        <w:rPr>
          <w:rFonts w:hint="eastAsia" w:ascii="宋体" w:hAnsi="宋体" w:cs="宋体"/>
          <w:color w:val="auto"/>
          <w:szCs w:val="21"/>
          <w:highlight w:val="none"/>
          <w:u w:val="single"/>
        </w:rPr>
        <w:t>：《定标因素表（定标阶段用表）》。</w:t>
      </w:r>
    </w:p>
    <w:p w14:paraId="0BBB5A42">
      <w:pPr>
        <w:pBdr>
          <w:top w:val="single" w:color="auto" w:sz="4" w:space="0"/>
        </w:pBdr>
        <w:spacing w:line="360" w:lineRule="auto"/>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注：以上修改，仅限于本范本中有可供选择条款的情形。</w:t>
      </w:r>
    </w:p>
    <w:p w14:paraId="4D4F0BED">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（以下无正文）</w:t>
      </w:r>
    </w:p>
    <w:p w14:paraId="7C5DB52E">
      <w:pPr>
        <w:pStyle w:val="3"/>
        <w:spacing w:line="360" w:lineRule="auto"/>
        <w:rPr>
          <w:rFonts w:hint="eastAsia"/>
          <w:color w:val="auto"/>
          <w:highlight w:val="none"/>
        </w:rPr>
      </w:pPr>
    </w:p>
    <w:p w14:paraId="186C08BE">
      <w:pPr>
        <w:rPr>
          <w:rFonts w:hint="eastAsia" w:ascii="宋体" w:hAnsi="宋体" w:cs="宋体"/>
          <w:color w:val="auto"/>
          <w:highlight w:val="none"/>
        </w:rPr>
      </w:pPr>
    </w:p>
    <w:p w14:paraId="57AE74F3">
      <w:pPr>
        <w:rPr>
          <w:rFonts w:hint="eastAsia" w:ascii="宋体" w:hAnsi="宋体" w:cs="宋体"/>
          <w:color w:val="auto"/>
          <w:highlight w:val="none"/>
        </w:rPr>
      </w:pPr>
    </w:p>
    <w:p w14:paraId="2E8870C1">
      <w:pPr>
        <w:spacing w:line="360" w:lineRule="auto"/>
        <w:rPr>
          <w:color w:val="auto"/>
          <w:highlight w:val="none"/>
        </w:rPr>
      </w:pPr>
      <w:bookmarkStart w:id="111" w:name="_Toc3650"/>
      <w:bookmarkStart w:id="112" w:name="_Toc27864"/>
      <w:r>
        <w:rPr>
          <w:rFonts w:hint="eastAsia" w:ascii="宋体" w:hAnsi="宋体" w:cs="宋体"/>
          <w:color w:val="auto"/>
          <w:highlight w:val="none"/>
        </w:rPr>
        <w:br w:type="page"/>
      </w:r>
    </w:p>
    <w:p w14:paraId="65C911E8">
      <w:pPr>
        <w:pStyle w:val="3"/>
        <w:spacing w:line="360" w:lineRule="auto"/>
        <w:rPr>
          <w:rFonts w:hint="eastAsia"/>
          <w:color w:val="auto"/>
          <w:highlight w:val="none"/>
        </w:rPr>
      </w:pPr>
      <w:r>
        <w:rPr>
          <w:rFonts w:hint="eastAsia"/>
          <w:color w:val="auto"/>
          <w:highlight w:val="none"/>
        </w:rPr>
        <w:t>二、开标、评标及定标办法</w:t>
      </w:r>
      <w:r>
        <w:rPr>
          <w:rFonts w:hint="eastAsia"/>
          <w:color w:val="auto"/>
          <w:szCs w:val="30"/>
          <w:highlight w:val="none"/>
        </w:rPr>
        <w:t>通用条款</w:t>
      </w:r>
      <w:bookmarkEnd w:id="101"/>
      <w:bookmarkEnd w:id="102"/>
      <w:bookmarkEnd w:id="103"/>
      <w:bookmarkEnd w:id="104"/>
      <w:bookmarkEnd w:id="105"/>
      <w:bookmarkEnd w:id="106"/>
      <w:bookmarkEnd w:id="107"/>
      <w:bookmarkEnd w:id="108"/>
      <w:bookmarkEnd w:id="109"/>
      <w:bookmarkEnd w:id="110"/>
      <w:bookmarkEnd w:id="111"/>
      <w:bookmarkEnd w:id="112"/>
    </w:p>
    <w:p w14:paraId="2B30BFD5">
      <w:pPr>
        <w:widowControl/>
        <w:spacing w:before="100" w:beforeAutospacing="1" w:after="100" w:afterAutospacing="1" w:line="360" w:lineRule="auto"/>
        <w:ind w:firstLine="480" w:firstLineChars="200"/>
        <w:jc w:val="left"/>
        <w:outlineLvl w:val="2"/>
        <w:rPr>
          <w:rFonts w:hint="eastAsia" w:ascii="宋体" w:hAnsi="宋体" w:cs="宋体"/>
          <w:color w:val="auto"/>
          <w:kern w:val="0"/>
          <w:sz w:val="24"/>
          <w:szCs w:val="24"/>
          <w:highlight w:val="none"/>
        </w:rPr>
      </w:pPr>
      <w:bookmarkStart w:id="113" w:name="_Toc2715"/>
      <w:bookmarkStart w:id="114" w:name="_Toc58838579"/>
      <w:bookmarkStart w:id="115" w:name="_Toc19505"/>
      <w:bookmarkStart w:id="116" w:name="_Toc25978"/>
      <w:bookmarkStart w:id="117" w:name="_Toc26526"/>
      <w:bookmarkStart w:id="118" w:name="_Toc7160"/>
      <w:bookmarkStart w:id="119" w:name="_Toc6913"/>
      <w:bookmarkStart w:id="120" w:name="_Toc12818"/>
      <w:bookmarkStart w:id="121" w:name="_Toc6121"/>
      <w:bookmarkStart w:id="122" w:name="_Toc28877"/>
      <w:bookmarkStart w:id="123" w:name="_Toc5586"/>
      <w:bookmarkStart w:id="124" w:name="_Toc8675"/>
      <w:bookmarkStart w:id="125" w:name="_Toc18738"/>
      <w:r>
        <w:rPr>
          <w:rFonts w:hint="eastAsia" w:ascii="宋体" w:hAnsi="宋体" w:cs="宋体"/>
          <w:color w:val="auto"/>
          <w:kern w:val="0"/>
          <w:sz w:val="24"/>
          <w:szCs w:val="24"/>
          <w:highlight w:val="none"/>
        </w:rPr>
        <w:t>（一）总则</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1CF31971">
      <w:pPr>
        <w:spacing w:line="360" w:lineRule="auto"/>
        <w:ind w:firstLine="480" w:firstLineChars="200"/>
        <w:rPr>
          <w:rFonts w:hint="eastAsia" w:ascii="宋体" w:hAnsi="宋体"/>
          <w:b/>
          <w:color w:val="auto"/>
          <w:sz w:val="24"/>
          <w:szCs w:val="24"/>
          <w:highlight w:val="none"/>
        </w:rPr>
      </w:pPr>
      <w:r>
        <w:rPr>
          <w:rFonts w:ascii="宋体" w:hAnsi="宋体"/>
          <w:color w:val="auto"/>
          <w:sz w:val="24"/>
          <w:szCs w:val="24"/>
          <w:highlight w:val="none"/>
        </w:rPr>
        <w:t xml:space="preserve">35 </w:t>
      </w:r>
      <w:r>
        <w:rPr>
          <w:rFonts w:hint="eastAsia" w:ascii="宋体" w:hAnsi="宋体"/>
          <w:color w:val="auto"/>
          <w:sz w:val="24"/>
          <w:szCs w:val="24"/>
          <w:highlight w:val="none"/>
        </w:rPr>
        <w:t>开标、评标及定标所依据的规则</w:t>
      </w:r>
    </w:p>
    <w:p w14:paraId="48AEF5E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35.1</w:t>
      </w:r>
      <w:r>
        <w:rPr>
          <w:rFonts w:hint="eastAsia" w:ascii="宋体" w:hAnsi="宋体"/>
          <w:color w:val="auto"/>
          <w:sz w:val="24"/>
          <w:szCs w:val="24"/>
          <w:highlight w:val="none"/>
        </w:rPr>
        <w:t>《中华人民共和国招标投标法》；</w:t>
      </w:r>
    </w:p>
    <w:p w14:paraId="112BAFC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35.2</w:t>
      </w:r>
      <w:r>
        <w:rPr>
          <w:rFonts w:hint="eastAsia" w:ascii="宋体" w:hAnsi="宋体"/>
          <w:color w:val="auto"/>
          <w:sz w:val="24"/>
          <w:szCs w:val="24"/>
          <w:highlight w:val="none"/>
        </w:rPr>
        <w:t>《中华人民共和国招标投标法实施条例》；</w:t>
      </w:r>
    </w:p>
    <w:p w14:paraId="3F62AC8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14:paraId="2A61226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14:paraId="6AE8A15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35.5</w:t>
      </w:r>
      <w:r>
        <w:rPr>
          <w:rFonts w:hint="eastAsia" w:ascii="宋体" w:hAnsi="宋体"/>
          <w:color w:val="auto"/>
          <w:sz w:val="24"/>
          <w:szCs w:val="24"/>
          <w:highlight w:val="none"/>
        </w:rPr>
        <w:t>《广东省实施〈中华人民共和国招标投标法〉办法》；</w:t>
      </w:r>
    </w:p>
    <w:p w14:paraId="6E9661C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35.6</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14:paraId="53E6EF9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35.7</w:t>
      </w:r>
      <w:r>
        <w:rPr>
          <w:rFonts w:hint="eastAsia" w:ascii="宋体" w:hAnsi="宋体"/>
          <w:color w:val="auto"/>
          <w:sz w:val="24"/>
          <w:szCs w:val="24"/>
          <w:highlight w:val="none"/>
        </w:rPr>
        <w:t>《财政部</w:t>
      </w:r>
      <w:r>
        <w:rPr>
          <w:rFonts w:ascii="宋体" w:hAnsi="宋体"/>
          <w:color w:val="auto"/>
          <w:sz w:val="24"/>
          <w:szCs w:val="24"/>
          <w:highlight w:val="none"/>
        </w:rPr>
        <w:t> </w:t>
      </w:r>
      <w:r>
        <w:rPr>
          <w:rFonts w:hint="eastAsia" w:ascii="宋体" w:hAnsi="宋体"/>
          <w:color w:val="auto"/>
          <w:sz w:val="24"/>
          <w:szCs w:val="24"/>
          <w:highlight w:val="none"/>
        </w:rPr>
        <w:t>工业和信息化部关于印发〈政府采购促进中小企业发展管理办法〉的通知》（财库〔</w:t>
      </w:r>
      <w:r>
        <w:rPr>
          <w:rFonts w:ascii="宋体" w:hAnsi="宋体"/>
          <w:color w:val="auto"/>
          <w:sz w:val="24"/>
          <w:szCs w:val="24"/>
          <w:highlight w:val="none"/>
        </w:rPr>
        <w:t>2020</w:t>
      </w:r>
      <w:r>
        <w:rPr>
          <w:rFonts w:hint="eastAsia" w:ascii="宋体" w:hAnsi="宋体"/>
          <w:color w:val="auto"/>
          <w:sz w:val="24"/>
          <w:szCs w:val="24"/>
          <w:highlight w:val="none"/>
        </w:rPr>
        <w:t>〕</w:t>
      </w:r>
      <w:r>
        <w:rPr>
          <w:rFonts w:ascii="宋体" w:hAnsi="宋体"/>
          <w:color w:val="auto"/>
          <w:sz w:val="24"/>
          <w:szCs w:val="24"/>
          <w:highlight w:val="none"/>
        </w:rPr>
        <w:t>46</w:t>
      </w:r>
      <w:r>
        <w:rPr>
          <w:rFonts w:hint="eastAsia" w:ascii="宋体" w:hAnsi="宋体"/>
          <w:color w:val="auto"/>
          <w:sz w:val="24"/>
          <w:szCs w:val="24"/>
          <w:highlight w:val="none"/>
        </w:rPr>
        <w:t>号）；</w:t>
      </w:r>
    </w:p>
    <w:p w14:paraId="438EB2A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8《广东省加强建设工程招标投标监督管理的若干规定》（粤发[2004]4号）；</w:t>
      </w:r>
    </w:p>
    <w:p w14:paraId="79D9360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35.9</w:t>
      </w:r>
      <w:r>
        <w:rPr>
          <w:rFonts w:hint="eastAsia" w:ascii="宋体" w:hAnsi="宋体"/>
          <w:color w:val="auto"/>
          <w:sz w:val="24"/>
          <w:szCs w:val="24"/>
          <w:highlight w:val="none"/>
        </w:rPr>
        <w:t>《广东省政府采购促进中小企业发展实施细则（试行）》</w:t>
      </w:r>
    </w:p>
    <w:p w14:paraId="606B61F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10《广州市工程建设项目招标投标管理办法》（穗建规字〔2023〕12号）；</w:t>
      </w:r>
    </w:p>
    <w:p w14:paraId="722CE13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2815677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35.12本项目招标文件。</w:t>
      </w:r>
    </w:p>
    <w:p w14:paraId="3CEB135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36．开标</w:t>
      </w:r>
    </w:p>
    <w:p w14:paraId="4CB8EF0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p>
    <w:p w14:paraId="364F412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36.2 招标人在招标文件要求提交投标文件的截止时间前收到的投标文件，开标时都当众予以解密、公布。</w:t>
      </w:r>
    </w:p>
    <w:p w14:paraId="283B5A0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77B7770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36.4若递交投标文件的投标人不足3家，则重新组织招标。（当N个标段同时招标且不允许兼中时，若有效投标人不足N+2家，则重新组织招标）</w:t>
      </w:r>
    </w:p>
    <w:p w14:paraId="47971C8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36.5按下列程序进行开标：</w:t>
      </w:r>
    </w:p>
    <w:p w14:paraId="1B59226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43FAE92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36.5.2备用光盘的读取按投标须知前附表第36项的规定执行；</w:t>
      </w:r>
    </w:p>
    <w:p w14:paraId="4A2B0F0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36.5.3投标人代表、招标人代表、监标人、记录人等有关人员在开标记录上签字确认；若有关人员不签字的，不影响开标程序；</w:t>
      </w:r>
    </w:p>
    <w:p w14:paraId="7BC2422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36.5.4开标结束。</w:t>
      </w:r>
    </w:p>
    <w:p w14:paraId="722E98F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270CBBE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36.7开标时，两个（含两个）以上的投标人加密打包投标文件电脑机器特征码一致的，不参与下一程序，并由评标委员会否决其投标。</w:t>
      </w:r>
    </w:p>
    <w:p w14:paraId="675F962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37．评标</w:t>
      </w:r>
    </w:p>
    <w:p w14:paraId="044FE3D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37.1评标委员会由招标人依法组建。</w:t>
      </w:r>
    </w:p>
    <w:p w14:paraId="59751C1D">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37.2评标委员会</w:t>
      </w:r>
      <w:r>
        <w:rPr>
          <w:rFonts w:hint="eastAsia" w:ascii="宋体" w:hAnsi="宋体"/>
          <w:b/>
          <w:bCs/>
          <w:color w:val="auto"/>
          <w:sz w:val="24"/>
          <w:szCs w:val="24"/>
          <w:highlight w:val="none"/>
        </w:rPr>
        <w:t>在开始评标前，应了解评标专家</w:t>
      </w:r>
      <w:r>
        <w:rPr>
          <w:rFonts w:ascii="宋体" w:hAnsi="宋体"/>
          <w:b/>
          <w:bCs/>
          <w:color w:val="auto"/>
          <w:sz w:val="24"/>
          <w:szCs w:val="24"/>
          <w:highlight w:val="none"/>
        </w:rPr>
        <w:t>的职责及守则</w:t>
      </w:r>
      <w:r>
        <w:rPr>
          <w:rFonts w:hint="eastAsia" w:ascii="宋体" w:hAnsi="宋体"/>
          <w:b/>
          <w:bCs/>
          <w:color w:val="auto"/>
          <w:sz w:val="24"/>
          <w:szCs w:val="24"/>
          <w:highlight w:val="none"/>
        </w:rPr>
        <w:t>，认真阅读附件</w:t>
      </w:r>
      <w:r>
        <w:rPr>
          <w:rFonts w:ascii="宋体" w:hAnsi="宋体"/>
          <w:b/>
          <w:bCs/>
          <w:color w:val="auto"/>
          <w:sz w:val="24"/>
          <w:szCs w:val="24"/>
          <w:highlight w:val="none"/>
        </w:rPr>
        <w:t>1《</w:t>
      </w:r>
      <w:r>
        <w:rPr>
          <w:rFonts w:hint="eastAsia" w:ascii="宋体" w:hAnsi="宋体"/>
          <w:b/>
          <w:bCs/>
          <w:color w:val="auto"/>
          <w:sz w:val="24"/>
          <w:szCs w:val="24"/>
          <w:highlight w:val="none"/>
        </w:rPr>
        <w:t>评标委员会成员声明》的内容并签名，签字后方可进行评标。</w:t>
      </w:r>
    </w:p>
    <w:p w14:paraId="1C2ADC6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37.3评标委员会的职责及守则：</w:t>
      </w:r>
    </w:p>
    <w:p w14:paraId="39B0876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41E9F21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02439145">
      <w:pPr>
        <w:spacing w:line="360" w:lineRule="auto"/>
        <w:ind w:firstLine="480" w:firstLineChars="200"/>
        <w:rPr>
          <w:rFonts w:hint="eastAsia"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rPr>
        <w:t>3</w:t>
      </w:r>
      <w:r>
        <w:rPr>
          <w:rFonts w:ascii="宋体" w:hAnsi="宋体"/>
          <w:bCs/>
          <w:color w:val="auto"/>
          <w:sz w:val="24"/>
          <w:szCs w:val="24"/>
          <w:highlight w:val="none"/>
        </w:rPr>
        <w:t>.3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037A366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7471763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2C65D96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5FA79FB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20F95BD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1B7376A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6DDA858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37.3.4.6 必须严谨、不得随意马虎。</w:t>
      </w:r>
    </w:p>
    <w:p w14:paraId="3AD64D06">
      <w:pPr>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533137EA">
      <w:pPr>
        <w:spacing w:line="360" w:lineRule="auto"/>
        <w:ind w:firstLine="480" w:firstLineChars="200"/>
        <w:rPr>
          <w:rFonts w:hint="eastAsia" w:ascii="宋体" w:hAnsi="宋体" w:cs="宋体"/>
          <w:color w:val="auto"/>
          <w:sz w:val="24"/>
          <w:szCs w:val="24"/>
          <w:highlight w:val="none"/>
        </w:rPr>
      </w:pPr>
      <w:r>
        <w:rPr>
          <w:rFonts w:hint="eastAsia" w:ascii="宋体" w:hAnsi="宋体"/>
          <w:color w:val="auto"/>
          <w:sz w:val="24"/>
          <w:szCs w:val="24"/>
          <w:highlight w:val="none"/>
        </w:rPr>
        <w:t>37.5评标结束后，评标委员会递交评标报告并依法推荐中标候选人。</w:t>
      </w:r>
    </w:p>
    <w:p w14:paraId="084A75A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38．投标文件的澄清</w:t>
      </w:r>
    </w:p>
    <w:p w14:paraId="10322DF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600D449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3FEDE92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38.3 评标委员会或评标委员会专业评审组成员均应当阅读投标人的澄清，但应独立参考澄清对投标文件进行评审。</w:t>
      </w:r>
    </w:p>
    <w:p w14:paraId="3B3F27B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38.4如果投标文件实质上不响应招标文件的各项要求，评标委员会将按照符合性审查标准予以拒绝，不接受投标人通过修改或撤销其不符合要求的差异或保留，使之成为具有响应性的投标。</w:t>
      </w:r>
    </w:p>
    <w:p w14:paraId="5E20F52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03FB019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39．定标</w:t>
      </w:r>
    </w:p>
    <w:p w14:paraId="4198F53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39.1 招标人根据评标委员会递交的评标报告，最终审定中标人。</w:t>
      </w:r>
    </w:p>
    <w:p w14:paraId="61A809E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39.2 依法必须进行公开招标的项目，招标人应当确定排名第一的中标候选人为中标人。</w:t>
      </w:r>
    </w:p>
    <w:p w14:paraId="043AB23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5899E0B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3B26222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0A83AE78">
      <w:pPr>
        <w:widowControl/>
        <w:spacing w:before="100" w:beforeAutospacing="1" w:after="100" w:afterAutospacing="1" w:line="360" w:lineRule="auto"/>
        <w:ind w:firstLine="480" w:firstLineChars="200"/>
        <w:jc w:val="left"/>
        <w:outlineLvl w:val="2"/>
        <w:rPr>
          <w:rFonts w:hint="eastAsia" w:ascii="宋体" w:hAnsi="宋体" w:cs="宋体"/>
          <w:color w:val="auto"/>
          <w:kern w:val="0"/>
          <w:sz w:val="24"/>
          <w:szCs w:val="24"/>
          <w:highlight w:val="none"/>
        </w:rPr>
      </w:pPr>
      <w:bookmarkStart w:id="126" w:name="_Toc8499"/>
      <w:bookmarkStart w:id="127" w:name="_Toc19268"/>
      <w:bookmarkStart w:id="128" w:name="_Toc2984"/>
      <w:bookmarkStart w:id="129" w:name="_Toc58838580"/>
      <w:bookmarkStart w:id="130" w:name="_Toc8629"/>
      <w:bookmarkStart w:id="131" w:name="_Toc15216"/>
      <w:bookmarkStart w:id="132" w:name="_Toc22948"/>
      <w:bookmarkStart w:id="133" w:name="_Toc4188"/>
      <w:bookmarkStart w:id="134" w:name="_Toc5324"/>
      <w:bookmarkStart w:id="135" w:name="_Toc20104"/>
      <w:bookmarkStart w:id="136" w:name="_Toc19728"/>
      <w:bookmarkStart w:id="137" w:name="_Toc7154"/>
      <w:bookmarkStart w:id="138" w:name="_Toc17417"/>
      <w:r>
        <w:rPr>
          <w:rFonts w:hint="eastAsia" w:ascii="宋体" w:hAnsi="宋体" w:cs="宋体"/>
          <w:color w:val="auto"/>
          <w:kern w:val="0"/>
          <w:sz w:val="24"/>
          <w:szCs w:val="24"/>
          <w:highlight w:val="none"/>
        </w:rPr>
        <w:t>（二）开标评标办法程序和细则</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7E9AF3B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注：以下八种评标办法所述企业综合诚信评价分数即投标截止当日广州市工程招标行业协会网站上公布的企业综合诚信评价60日诚信分。</w:t>
      </w:r>
    </w:p>
    <w:p w14:paraId="1445ADFE">
      <w:pPr>
        <w:pStyle w:val="4"/>
        <w:spacing w:line="360" w:lineRule="auto"/>
        <w:rPr>
          <w:rFonts w:hint="eastAsia" w:cs="宋体"/>
          <w:color w:val="auto"/>
          <w:highlight w:val="none"/>
        </w:rPr>
      </w:pPr>
      <w:bookmarkStart w:id="139" w:name="_Toc2150"/>
      <w:bookmarkStart w:id="140" w:name="_Toc4110"/>
      <w:bookmarkStart w:id="141" w:name="_Toc140617521"/>
      <w:bookmarkStart w:id="142" w:name="_Toc17752"/>
      <w:bookmarkStart w:id="143" w:name="_Toc878"/>
      <w:bookmarkStart w:id="144" w:name="_Toc9203"/>
      <w:bookmarkStart w:id="145" w:name="_Toc6023"/>
      <w:bookmarkStart w:id="146" w:name="_Toc58838581"/>
      <w:bookmarkStart w:id="147" w:name="_Toc3298"/>
      <w:bookmarkStart w:id="148" w:name="_Toc60070611"/>
      <w:bookmarkStart w:id="149" w:name="_Toc47440894"/>
      <w:bookmarkStart w:id="150" w:name="_Toc24407"/>
      <w:bookmarkStart w:id="151" w:name="_Toc2272564"/>
      <w:bookmarkStart w:id="152" w:name="_Toc17908"/>
      <w:bookmarkStart w:id="153" w:name="_Toc189"/>
      <w:bookmarkStart w:id="154" w:name="_Toc11583"/>
      <w:bookmarkStart w:id="155" w:name="_Toc21525509"/>
      <w:bookmarkStart w:id="156" w:name="_Toc18116"/>
      <w:bookmarkStart w:id="157" w:name="_Toc32114"/>
      <w:r>
        <w:rPr>
          <w:rFonts w:hint="eastAsia" w:cs="宋体"/>
          <w:color w:val="auto"/>
          <w:highlight w:val="none"/>
        </w:rPr>
        <w:t>可选办法七（适合综合评分法四，技术标与经济标同时开启）</w:t>
      </w:r>
      <w:bookmarkEnd w:id="139"/>
      <w:bookmarkEnd w:id="140"/>
      <w:bookmarkEnd w:id="141"/>
      <w:bookmarkEnd w:id="142"/>
      <w:bookmarkEnd w:id="143"/>
      <w:bookmarkEnd w:id="144"/>
      <w:bookmarkEnd w:id="145"/>
      <w:bookmarkEnd w:id="146"/>
      <w:bookmarkEnd w:id="147"/>
      <w:bookmarkEnd w:id="148"/>
      <w:bookmarkEnd w:id="149"/>
      <w:bookmarkEnd w:id="150"/>
    </w:p>
    <w:p w14:paraId="2CCA1E90">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40．开标和评标程序</w:t>
      </w:r>
    </w:p>
    <w:p w14:paraId="064F3CA9">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40.1技术标（含资格审查文件）与经济标投标文件同时公开开标；</w:t>
      </w:r>
    </w:p>
    <w:p w14:paraId="5181EFE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40.2由评标委员会对所有已公开开标的投标人进行资格审查；</w:t>
      </w:r>
    </w:p>
    <w:p w14:paraId="1BEC1BD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40.3技术标投标文件有效性审查；</w:t>
      </w:r>
    </w:p>
    <w:p w14:paraId="49D554ED">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40.4技术标详细审查评分；</w:t>
      </w:r>
    </w:p>
    <w:p w14:paraId="77DB41B9">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40.5经济标详细审查评分； </w:t>
      </w:r>
    </w:p>
    <w:p w14:paraId="62FDFB0C">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40.6评标委员会按照投标人总得分由高至低排序；</w:t>
      </w:r>
    </w:p>
    <w:p w14:paraId="3532426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40.7经济标投标文件有效性审查；</w:t>
      </w:r>
    </w:p>
    <w:p w14:paraId="3B47EF86">
      <w:pPr>
        <w:snapToGrid w:val="0"/>
        <w:spacing w:line="360" w:lineRule="auto"/>
        <w:ind w:firstLine="480" w:firstLineChars="200"/>
        <w:rPr>
          <w:rFonts w:hint="eastAsia" w:ascii="宋体" w:hAnsi="宋体" w:cs="宋体"/>
          <w:color w:val="auto"/>
          <w:szCs w:val="21"/>
          <w:highlight w:val="none"/>
        </w:rPr>
      </w:pPr>
      <w:r>
        <w:rPr>
          <w:rFonts w:hint="eastAsia" w:ascii="宋体" w:hAnsi="宋体" w:cs="宋体"/>
          <w:color w:val="auto"/>
          <w:sz w:val="24"/>
          <w:szCs w:val="24"/>
          <w:highlight w:val="none"/>
        </w:rPr>
        <w:t>40.8评标委员会按排序向招标人推荐中标候选人名单，并递交资格审查报告及评标报告。</w:t>
      </w:r>
    </w:p>
    <w:p w14:paraId="305955D2">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41．开标细则</w:t>
      </w:r>
    </w:p>
    <w:p w14:paraId="16E7D09E">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41.1开标由招标人主持；</w:t>
      </w:r>
    </w:p>
    <w:p w14:paraId="37C851A6">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41.2 细则</w:t>
      </w:r>
    </w:p>
    <w:p w14:paraId="188AD5A9">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41.2.1投标截止期前，各投标人递交投标文件（包括技术标投标文件、经济标投标文件）至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交易平台。有关投标文件提交的事项详见第一章投标须知。 </w:t>
      </w:r>
    </w:p>
    <w:p w14:paraId="08B76496">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41.2.2开标前，首先由招标人随机抽取确定该工程计算评标参考价的等分点值X。</w:t>
      </w:r>
    </w:p>
    <w:p w14:paraId="3CC4CABB">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5B697CD">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41.2.4按36.5.1的规定完成解密后，公布下列内容，并予以记录，记录提交评标委员会评审： </w:t>
      </w:r>
    </w:p>
    <w:p w14:paraId="60B6CA0B">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41.2.4.1开标时，公布：a、投标人名称；b、</w:t>
      </w:r>
      <w:r>
        <w:rPr>
          <w:rFonts w:hint="eastAsia" w:ascii="宋体" w:hAnsi="宋体" w:cs="宋体"/>
          <w:color w:val="auto"/>
          <w:sz w:val="24"/>
          <w:highlight w:val="none"/>
        </w:rPr>
        <w:t>投标文件</w:t>
      </w:r>
      <w:r>
        <w:rPr>
          <w:rFonts w:hint="eastAsia" w:ascii="宋体" w:hAnsi="宋体" w:cs="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14:paraId="086A5035">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41.3招标人对开标过程进行记录，并存档备查，投标人在技术标开标记录上签字。</w:t>
      </w:r>
    </w:p>
    <w:p w14:paraId="5B3F823A">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41.4 招标人将上述符合要求的投标文件，送至评标委员会进行评审。</w:t>
      </w:r>
    </w:p>
    <w:p w14:paraId="2E1DB6B1">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 资格审查及评标细则</w:t>
      </w:r>
    </w:p>
    <w:p w14:paraId="60D685D1">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42.1资格审查及评标均由招标人依法组建的评标委员会负责。</w:t>
      </w:r>
    </w:p>
    <w:p w14:paraId="6BD5769F">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42.2评标委员会的组成：方式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AB8698F">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方式一：评标委员会为综合评标委员会，负责资格审查及评标工作。</w:t>
      </w:r>
    </w:p>
    <w:p w14:paraId="3913E622">
      <w:pPr>
        <w:tabs>
          <w:tab w:val="left" w:pos="7380"/>
        </w:tabs>
        <w:snapToGrid w:val="0"/>
        <w:spacing w:line="36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方式二：评标委员会由技术评审组和经济评审组组成。其中：资格审查及技术评审由技术评标组负责，经济评审由经济评审组负责。</w:t>
      </w:r>
    </w:p>
    <w:p w14:paraId="2DC4AAD4">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43．投标人资格审查</w:t>
      </w:r>
    </w:p>
    <w:p w14:paraId="62F0041B">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6EE66EB7">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43.2汇总资格审查情况，编写资格审查报告。</w:t>
      </w:r>
    </w:p>
    <w:p w14:paraId="05C703A7">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43.3资格审查不合格的投标文件不参加下一阶段的评标，不参与评标参考价的计算。</w:t>
      </w:r>
    </w:p>
    <w:p w14:paraId="26207E0A">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508A10D1">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43.5资审合格后，投标人的资格发生变化而不满足投标人合格条件，在发出中标通知书前，资格问题仍未解决的，招标人将取消其中标资格。</w:t>
      </w:r>
    </w:p>
    <w:p w14:paraId="2A2809E3">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43.6资格审查合格的投标人少于3名的（当N个标段同时招标且不允许兼中时，资格审查合格的投标人少于N+2名），则本项目招标失败。</w:t>
      </w:r>
    </w:p>
    <w:p w14:paraId="300DB267">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44．技术标评审</w:t>
      </w:r>
    </w:p>
    <w:p w14:paraId="110D8CA4">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3B0319FB">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6FD171F4">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45．经济标评审和得分汇总</w:t>
      </w:r>
    </w:p>
    <w:p w14:paraId="0432DCEA">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45.1若通过技术标有效性审查的投标人中有投标报价均大于等于最高投标限价，则本项目招标失败，由招标人依法重新招标。</w:t>
      </w:r>
    </w:p>
    <w:p w14:paraId="213281F7">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45.2计算评标参考价：</w:t>
      </w:r>
    </w:p>
    <w:p w14:paraId="7F684F1C">
      <w:pPr>
        <w:widowControl/>
        <w:spacing w:line="360" w:lineRule="auto"/>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区间抽取法</w:t>
      </w:r>
    </w:p>
    <w:p w14:paraId="375BC85E">
      <w:pPr>
        <w:widowControl/>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632E58E7">
      <w:pPr>
        <w:widowControl/>
        <w:snapToGrid w:val="0"/>
        <w:spacing w:line="360" w:lineRule="auto"/>
        <w:ind w:firstLine="480" w:firstLineChars="200"/>
        <w:rPr>
          <w:rFonts w:hint="eastAsia" w:ascii="宋体" w:hAnsi="宋体" w:cs="宋体"/>
          <w:color w:val="auto"/>
          <w:kern w:val="0"/>
          <w:sz w:val="24"/>
          <w:szCs w:val="24"/>
          <w:highlight w:val="none"/>
          <w:vertAlign w:val="subscript"/>
        </w:rPr>
      </w:pPr>
      <w:r>
        <w:rPr>
          <w:rFonts w:hint="eastAsia" w:ascii="宋体" w:hAnsi="宋体" w:cs="宋体"/>
          <w:color w:val="auto"/>
          <w:kern w:val="0"/>
          <w:sz w:val="24"/>
          <w:szCs w:val="24"/>
          <w:highlight w:val="none"/>
        </w:rPr>
        <w:t>评标参考价=（Q</w:t>
      </w:r>
      <w:r>
        <w:rPr>
          <w:rFonts w:hint="eastAsia" w:ascii="宋体" w:hAnsi="宋体" w:cs="宋体"/>
          <w:color w:val="auto"/>
          <w:kern w:val="0"/>
          <w:sz w:val="24"/>
          <w:szCs w:val="24"/>
          <w:highlight w:val="none"/>
          <w:vertAlign w:val="subscript"/>
        </w:rPr>
        <w:t>高</w:t>
      </w:r>
      <w:r>
        <w:rPr>
          <w:rFonts w:hint="eastAsia" w:ascii="宋体" w:hAnsi="宋体" w:cs="宋体"/>
          <w:color w:val="auto"/>
          <w:kern w:val="0"/>
          <w:sz w:val="24"/>
          <w:szCs w:val="24"/>
          <w:highlight w:val="none"/>
        </w:rPr>
        <w:t>-Q</w:t>
      </w:r>
      <w:r>
        <w:rPr>
          <w:rFonts w:hint="eastAsia" w:ascii="宋体" w:hAnsi="宋体" w:cs="宋体"/>
          <w:color w:val="auto"/>
          <w:kern w:val="0"/>
          <w:sz w:val="24"/>
          <w:szCs w:val="24"/>
          <w:highlight w:val="none"/>
          <w:vertAlign w:val="subscript"/>
        </w:rPr>
        <w:t>低</w:t>
      </w:r>
      <w:r>
        <w:rPr>
          <w:rFonts w:hint="eastAsia" w:ascii="宋体" w:hAnsi="宋体" w:cs="宋体"/>
          <w:color w:val="auto"/>
          <w:kern w:val="0"/>
          <w:sz w:val="24"/>
          <w:szCs w:val="24"/>
          <w:highlight w:val="none"/>
        </w:rPr>
        <w:t>）/100*Ｘ+Q</w:t>
      </w:r>
      <w:r>
        <w:rPr>
          <w:rFonts w:hint="eastAsia" w:ascii="宋体" w:hAnsi="宋体" w:cs="宋体"/>
          <w:color w:val="auto"/>
          <w:kern w:val="0"/>
          <w:sz w:val="24"/>
          <w:szCs w:val="24"/>
          <w:highlight w:val="none"/>
          <w:vertAlign w:val="subscript"/>
        </w:rPr>
        <w:t>低</w:t>
      </w:r>
    </w:p>
    <w:p w14:paraId="0BED125D">
      <w:pPr>
        <w:widowControl/>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Q</w:t>
      </w:r>
      <w:r>
        <w:rPr>
          <w:rFonts w:hint="eastAsia" w:ascii="宋体" w:hAnsi="宋体" w:cs="宋体"/>
          <w:color w:val="auto"/>
          <w:sz w:val="24"/>
          <w:szCs w:val="24"/>
          <w:highlight w:val="none"/>
          <w:vertAlign w:val="subscript"/>
        </w:rPr>
        <w:t>低</w:t>
      </w:r>
      <w:r>
        <w:rPr>
          <w:rFonts w:hint="eastAsia" w:ascii="宋体" w:hAnsi="宋体" w:cs="宋体"/>
          <w:color w:val="auto"/>
          <w:sz w:val="24"/>
          <w:szCs w:val="24"/>
          <w:highlight w:val="none"/>
        </w:rPr>
        <w:t>：为达到或超过技术标及格分数线的投标人最低报价与工程成本警示价两者中的较高值；</w:t>
      </w:r>
    </w:p>
    <w:p w14:paraId="1608018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Q</w:t>
      </w:r>
      <w:r>
        <w:rPr>
          <w:rFonts w:hint="eastAsia" w:ascii="宋体" w:hAnsi="宋体" w:cs="宋体"/>
          <w:color w:val="auto"/>
          <w:kern w:val="0"/>
          <w:sz w:val="24"/>
          <w:szCs w:val="24"/>
          <w:highlight w:val="none"/>
          <w:vertAlign w:val="subscript"/>
        </w:rPr>
        <w:t>高</w:t>
      </w:r>
      <w:r>
        <w:rPr>
          <w:rFonts w:hint="eastAsia" w:ascii="宋体" w:hAnsi="宋体" w:cs="宋体"/>
          <w:color w:val="auto"/>
          <w:sz w:val="24"/>
          <w:szCs w:val="24"/>
          <w:highlight w:val="none"/>
        </w:rPr>
        <w:t>：为最高投标限价</w:t>
      </w:r>
    </w:p>
    <w:p w14:paraId="3BA2DA3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X:为等分点值，从[0,100]整数中随机抽取</w:t>
      </w:r>
    </w:p>
    <w:p w14:paraId="7806CA9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s="宋体"/>
          <w:color w:val="auto"/>
          <w:sz w:val="24"/>
          <w:szCs w:val="24"/>
          <w:highlight w:val="none"/>
        </w:rPr>
        <w:t>当标价等于评标参考价时得100分，标价每高于评标参考价1%，扣1.5分，每低于评标参考价1%，扣1分，扣至0分为止，得出经济分，精确到小数点后两位。</w:t>
      </w:r>
    </w:p>
    <w:p w14:paraId="0019E6A1">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472146C5">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46.经济标的有效性审查</w:t>
      </w:r>
    </w:p>
    <w:p w14:paraId="124760F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2B9466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46.2经济标的算术校核。评标委员会对进行经济标有效性审查的投标文件投标报价按照就低不就高的原则进行算术校核，具体标准如下：</w:t>
      </w:r>
    </w:p>
    <w:p w14:paraId="69FBC38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46.2.1如果数字表示的金额和用文字表示的金额不一致时，应以文字表示的金额为准；</w:t>
      </w:r>
    </w:p>
    <w:p w14:paraId="453FCF9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46.2.2经算术复核的投标人报价与其投标报价不一致时，按就低不就高原则确定其最终报价；</w:t>
      </w:r>
    </w:p>
    <w:p w14:paraId="60C8A7B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142311A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46.2.4当合价、金额累加错误时，按就低不就高原则，如果累加修正值小于原累加值，则按累加修正值；如果累加修正值大于原累加值，则按原累加值；</w:t>
      </w:r>
    </w:p>
    <w:p w14:paraId="7DCE46D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46.2.5如果投标人的有关规费、暂列金额、暂估价、绿色施工安全防护措施费等未按招标文件规定的金额填写的，由评标委员会按照招标文件规定的金额进行修正；</w:t>
      </w:r>
    </w:p>
    <w:p w14:paraId="7AFC93F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0EEFA2E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46.2.7按就低不就高原则，当修正后报价小于原报价，总价按修正后报价；当修正后报价大于原报价，总价按原报价，并在签订合同时载明在结算价中扣除修正报价与原报价的差额。</w:t>
      </w:r>
    </w:p>
    <w:p w14:paraId="3FEB0C6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14:paraId="67DBC70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1610844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48.评标委员会应在通过投标文件经济标有效性审查的投标人中，按步骤45.4确定的投标人第二阶段排序，推荐前3名依次为第一中标候选人至第三中标候选人,并编制评标报告。</w:t>
      </w:r>
    </w:p>
    <w:p w14:paraId="7414E4AD">
      <w:pPr>
        <w:spacing w:line="360" w:lineRule="auto"/>
        <w:ind w:firstLine="480" w:firstLineChars="200"/>
        <w:rPr>
          <w:rFonts w:hint="eastAsia" w:ascii="宋体" w:hAnsi="宋体" w:cs="宋体"/>
          <w:strike/>
          <w:color w:val="auto"/>
          <w:szCs w:val="21"/>
          <w:highlight w:val="none"/>
        </w:rPr>
      </w:pPr>
      <w:r>
        <w:rPr>
          <w:rFonts w:hint="eastAsia" w:ascii="宋体" w:hAnsi="宋体" w:cs="宋体"/>
          <w:color w:val="auto"/>
          <w:sz w:val="24"/>
          <w:szCs w:val="24"/>
          <w:highlight w:val="none"/>
        </w:rPr>
        <w:t>49.若通过经济标有效性审查的投标人不足三家，应当依法重新招标。（当N个标段同时招标且不允许兼中时，若有效投标人不足N+2家，应当依法重新招标）</w:t>
      </w:r>
    </w:p>
    <w:bookmarkEnd w:id="151"/>
    <w:bookmarkEnd w:id="152"/>
    <w:bookmarkEnd w:id="153"/>
    <w:bookmarkEnd w:id="154"/>
    <w:bookmarkEnd w:id="155"/>
    <w:bookmarkEnd w:id="156"/>
    <w:bookmarkEnd w:id="157"/>
    <w:p w14:paraId="0D1DCDB5">
      <w:pPr>
        <w:rPr>
          <w:rFonts w:hint="eastAsia" w:ascii="宋体" w:hAnsi="宋体" w:cs="宋体"/>
          <w:color w:val="auto"/>
          <w:sz w:val="24"/>
          <w:szCs w:val="24"/>
          <w:highlight w:val="none"/>
        </w:rPr>
      </w:pPr>
    </w:p>
    <w:p w14:paraId="3290C480">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5706DAF2">
      <w:pPr>
        <w:rPr>
          <w:rFonts w:hint="eastAsia" w:ascii="宋体" w:hAnsi="宋体" w:cs="宋体"/>
          <w:color w:val="auto"/>
          <w:sz w:val="32"/>
          <w:szCs w:val="32"/>
          <w:highlight w:val="none"/>
        </w:rPr>
      </w:pPr>
      <w:r>
        <w:rPr>
          <w:rFonts w:hint="eastAsia" w:ascii="宋体" w:hAnsi="宋体" w:cs="宋体"/>
          <w:color w:val="auto"/>
          <w:sz w:val="32"/>
          <w:szCs w:val="32"/>
          <w:highlight w:val="none"/>
        </w:rPr>
        <w:t>附件1</w:t>
      </w:r>
    </w:p>
    <w:p w14:paraId="2634D18C">
      <w:pPr>
        <w:ind w:firstLine="723" w:firstLineChars="20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评标委员会成员声明</w:t>
      </w:r>
    </w:p>
    <w:p w14:paraId="609AE7E2">
      <w:pPr>
        <w:spacing w:line="360" w:lineRule="auto"/>
        <w:rPr>
          <w:rFonts w:hint="eastAsia" w:ascii="宋体" w:hAnsi="宋体" w:cs="宋体"/>
          <w:color w:val="auto"/>
          <w:sz w:val="24"/>
          <w:szCs w:val="24"/>
          <w:highlight w:val="none"/>
        </w:rPr>
      </w:pPr>
      <w:r>
        <w:rPr>
          <w:rFonts w:ascii="宋体" w:hAnsi="宋体" w:cs="宋体"/>
          <w:color w:val="auto"/>
          <w:sz w:val="32"/>
          <w:szCs w:val="32"/>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本项目招标人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2F14C9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本人就参与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项目的评标工作，作出郑重声明：</w:t>
      </w:r>
    </w:p>
    <w:p w14:paraId="782B344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2946B2C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3CCDD82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3E3BA7C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1F5C488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728AD56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如果本人违反上述声明内容，造成的后果由本人自行承担。</w:t>
      </w:r>
    </w:p>
    <w:p w14:paraId="0ABEED46">
      <w:pPr>
        <w:spacing w:line="360" w:lineRule="auto"/>
        <w:ind w:firstLine="480" w:firstLineChars="200"/>
        <w:rPr>
          <w:rFonts w:hint="eastAsia" w:ascii="宋体" w:hAnsi="宋体" w:cs="宋体"/>
          <w:color w:val="auto"/>
          <w:sz w:val="24"/>
          <w:szCs w:val="24"/>
          <w:highlight w:val="none"/>
        </w:rPr>
      </w:pPr>
    </w:p>
    <w:p w14:paraId="06A1C314">
      <w:pPr>
        <w:spacing w:line="360" w:lineRule="auto"/>
        <w:rPr>
          <w:rFonts w:hint="eastAsia" w:ascii="宋体" w:hAnsi="宋体" w:cs="宋体"/>
          <w:color w:val="auto"/>
          <w:sz w:val="24"/>
          <w:szCs w:val="24"/>
          <w:highlight w:val="none"/>
          <w:u w:val="singl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声明人：</w:t>
      </w:r>
      <w:r>
        <w:rPr>
          <w:rFonts w:hint="eastAsia" w:ascii="宋体" w:hAnsi="宋体" w:cs="宋体"/>
          <w:color w:val="auto"/>
          <w:sz w:val="24"/>
          <w:szCs w:val="24"/>
          <w:highlight w:val="none"/>
          <w:u w:val="single"/>
        </w:rPr>
        <w:t>（签名）</w:t>
      </w:r>
      <w:r>
        <w:rPr>
          <w:rFonts w:ascii="宋体" w:hAnsi="宋体" w:cs="宋体"/>
          <w:color w:val="auto"/>
          <w:sz w:val="24"/>
          <w:szCs w:val="24"/>
          <w:highlight w:val="none"/>
          <w:u w:val="single"/>
        </w:rPr>
        <w:t xml:space="preserve">  </w:t>
      </w:r>
    </w:p>
    <w:p w14:paraId="494D8B49">
      <w:pPr>
        <w:spacing w:line="360" w:lineRule="auto"/>
        <w:rPr>
          <w:rFonts w:hint="eastAsia" w:ascii="宋体" w:hAnsi="宋体" w:cs="宋体"/>
          <w:color w:val="auto"/>
          <w:sz w:val="24"/>
          <w:szCs w:val="24"/>
          <w:highlight w:val="none"/>
        </w:rPr>
        <w:sectPr>
          <w:footerReference r:id="rId7" w:type="first"/>
          <w:headerReference r:id="rId3" w:type="default"/>
          <w:footerReference r:id="rId5" w:type="default"/>
          <w:headerReference r:id="rId4" w:type="even"/>
          <w:footerReference r:id="rId6" w:type="even"/>
          <w:endnotePr>
            <w:numFmt w:val="decimal"/>
          </w:endnotePr>
          <w:pgSz w:w="11906" w:h="16838"/>
          <w:pgMar w:top="1440" w:right="1080" w:bottom="1440" w:left="1080" w:header="851" w:footer="907" w:gutter="0"/>
          <w:pgNumType w:start="1"/>
          <w:cols w:space="720" w:num="1"/>
          <w:titlePg/>
          <w:docGrid w:type="lines" w:linePitch="312" w:charSpace="0"/>
        </w:sectPr>
      </w:pPr>
    </w:p>
    <w:p w14:paraId="153D1264">
      <w:pPr>
        <w:pStyle w:val="3"/>
        <w:spacing w:line="360" w:lineRule="auto"/>
        <w:jc w:val="left"/>
        <w:rPr>
          <w:rFonts w:hint="eastAsia"/>
          <w:color w:val="auto"/>
          <w:highlight w:val="none"/>
        </w:rPr>
      </w:pPr>
      <w:bookmarkStart w:id="158" w:name="_Toc4199"/>
      <w:bookmarkStart w:id="159" w:name="_Toc9611"/>
      <w:bookmarkStart w:id="160" w:name="_Toc30615"/>
      <w:bookmarkStart w:id="161" w:name="_Toc7031"/>
      <w:bookmarkStart w:id="162" w:name="_Toc1088"/>
      <w:bookmarkStart w:id="163" w:name="_Toc25920"/>
      <w:bookmarkStart w:id="164" w:name="_Toc22428"/>
      <w:bookmarkStart w:id="165" w:name="_Toc17701"/>
      <w:bookmarkStart w:id="166" w:name="_Toc7589"/>
      <w:bookmarkStart w:id="167" w:name="_Toc7613"/>
      <w:bookmarkStart w:id="168" w:name="_Toc27041"/>
      <w:bookmarkStart w:id="169" w:name="_Toc8409"/>
      <w:r>
        <w:rPr>
          <w:rFonts w:hint="eastAsia"/>
          <w:color w:val="auto"/>
          <w:highlight w:val="none"/>
        </w:rPr>
        <w:t>附表一</w:t>
      </w:r>
      <w:bookmarkEnd w:id="158"/>
      <w:bookmarkEnd w:id="159"/>
      <w:bookmarkEnd w:id="160"/>
      <w:bookmarkEnd w:id="161"/>
      <w:bookmarkEnd w:id="162"/>
      <w:bookmarkEnd w:id="163"/>
      <w:bookmarkEnd w:id="164"/>
      <w:bookmarkEnd w:id="165"/>
      <w:bookmarkEnd w:id="166"/>
      <w:bookmarkEnd w:id="167"/>
      <w:bookmarkEnd w:id="168"/>
      <w:bookmarkEnd w:id="169"/>
    </w:p>
    <w:p w14:paraId="3C520862">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资格审查表</w:t>
      </w:r>
    </w:p>
    <w:p w14:paraId="58C566B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工程名称：                                                              </w:t>
      </w:r>
    </w:p>
    <w:p w14:paraId="1F48F90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5246"/>
        <w:gridCol w:w="7612"/>
        <w:gridCol w:w="1086"/>
      </w:tblGrid>
      <w:tr w14:paraId="241F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14:paraId="45BBB6DA">
            <w:pPr>
              <w:spacing w:before="120" w:after="60"/>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5246" w:type="dxa"/>
            <w:tcBorders>
              <w:top w:val="single" w:color="auto" w:sz="4" w:space="0"/>
              <w:left w:val="single" w:color="auto" w:sz="4" w:space="0"/>
              <w:bottom w:val="single" w:color="auto" w:sz="4" w:space="0"/>
              <w:right w:val="single" w:color="auto" w:sz="4" w:space="0"/>
            </w:tcBorders>
            <w:vAlign w:val="center"/>
          </w:tcPr>
          <w:p w14:paraId="578308F9">
            <w:pPr>
              <w:spacing w:before="120" w:after="60"/>
              <w:jc w:val="center"/>
              <w:rPr>
                <w:rFonts w:hint="eastAsia" w:ascii="宋体" w:hAnsi="宋体" w:cs="宋体"/>
                <w:b/>
                <w:color w:val="auto"/>
                <w:szCs w:val="21"/>
                <w:highlight w:val="none"/>
              </w:rPr>
            </w:pPr>
            <w:r>
              <w:rPr>
                <w:rFonts w:hint="eastAsia" w:ascii="宋体" w:hAnsi="宋体" w:cs="宋体"/>
                <w:b/>
                <w:color w:val="auto"/>
                <w:szCs w:val="21"/>
                <w:highlight w:val="none"/>
              </w:rPr>
              <w:t>审查项目</w:t>
            </w:r>
          </w:p>
        </w:tc>
        <w:tc>
          <w:tcPr>
            <w:tcW w:w="7612" w:type="dxa"/>
            <w:tcBorders>
              <w:top w:val="single" w:color="auto" w:sz="4" w:space="0"/>
              <w:left w:val="single" w:color="auto" w:sz="4" w:space="0"/>
              <w:bottom w:val="single" w:color="auto" w:sz="4" w:space="0"/>
              <w:right w:val="single" w:color="auto" w:sz="4" w:space="0"/>
            </w:tcBorders>
            <w:vAlign w:val="center"/>
          </w:tcPr>
          <w:p w14:paraId="22BC2EEF">
            <w:pPr>
              <w:spacing w:before="120" w:after="60"/>
              <w:jc w:val="center"/>
              <w:rPr>
                <w:rFonts w:hint="eastAsia" w:ascii="宋体" w:hAnsi="宋体" w:cs="宋体"/>
                <w:b/>
                <w:color w:val="auto"/>
                <w:szCs w:val="21"/>
                <w:highlight w:val="none"/>
              </w:rPr>
            </w:pPr>
            <w:r>
              <w:rPr>
                <w:rFonts w:hint="eastAsia" w:ascii="宋体" w:hAnsi="宋体" w:cs="宋体"/>
                <w:b/>
                <w:color w:val="auto"/>
                <w:szCs w:val="21"/>
                <w:highlight w:val="none"/>
              </w:rPr>
              <w:t>须审查的资料</w:t>
            </w:r>
          </w:p>
        </w:tc>
        <w:tc>
          <w:tcPr>
            <w:tcW w:w="1086" w:type="dxa"/>
            <w:tcBorders>
              <w:top w:val="single" w:color="auto" w:sz="4" w:space="0"/>
              <w:left w:val="single" w:color="auto" w:sz="4" w:space="0"/>
              <w:bottom w:val="single" w:color="auto" w:sz="4" w:space="0"/>
              <w:right w:val="single" w:color="auto" w:sz="4" w:space="0"/>
            </w:tcBorders>
            <w:vAlign w:val="center"/>
          </w:tcPr>
          <w:p w14:paraId="467E24B3">
            <w:pPr>
              <w:spacing w:before="120" w:after="60"/>
              <w:jc w:val="center"/>
              <w:rPr>
                <w:rFonts w:hint="eastAsia" w:ascii="宋体" w:hAnsi="宋体" w:cs="宋体"/>
                <w:b/>
                <w:color w:val="auto"/>
                <w:szCs w:val="21"/>
                <w:highlight w:val="none"/>
              </w:rPr>
            </w:pPr>
            <w:r>
              <w:rPr>
                <w:rFonts w:hint="eastAsia" w:ascii="宋体" w:hAnsi="宋体" w:cs="宋体"/>
                <w:b/>
                <w:color w:val="auto"/>
                <w:szCs w:val="21"/>
                <w:highlight w:val="none"/>
              </w:rPr>
              <w:t>审查结果</w:t>
            </w:r>
          </w:p>
        </w:tc>
      </w:tr>
      <w:tr w14:paraId="44BA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14:paraId="4447C466">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246" w:type="dxa"/>
            <w:tcBorders>
              <w:top w:val="single" w:color="auto" w:sz="4" w:space="0"/>
              <w:left w:val="single" w:color="auto" w:sz="4" w:space="0"/>
              <w:bottom w:val="single" w:color="auto" w:sz="4" w:space="0"/>
              <w:right w:val="single" w:color="auto" w:sz="4" w:space="0"/>
            </w:tcBorders>
            <w:vAlign w:val="center"/>
          </w:tcPr>
          <w:p w14:paraId="79FA9B0A">
            <w:pPr>
              <w:spacing w:before="120" w:after="60"/>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rPr>
              <w:t>投标人参加投标的意思表达清楚，投标人代表被授权有效</w:t>
            </w:r>
            <w:r>
              <w:rPr>
                <w:rFonts w:hint="eastAsia" w:ascii="宋体" w:hAnsi="宋体" w:cs="宋体"/>
                <w:color w:val="auto"/>
                <w:szCs w:val="21"/>
                <w:highlight w:val="none"/>
                <w:lang w:eastAsia="zh-CN"/>
              </w:rPr>
              <w:t>。</w:t>
            </w:r>
          </w:p>
        </w:tc>
        <w:tc>
          <w:tcPr>
            <w:tcW w:w="7612" w:type="dxa"/>
            <w:tcBorders>
              <w:top w:val="single" w:color="auto" w:sz="4" w:space="0"/>
              <w:left w:val="single" w:color="auto" w:sz="4" w:space="0"/>
              <w:bottom w:val="single" w:color="auto" w:sz="4" w:space="0"/>
              <w:right w:val="single" w:color="auto" w:sz="4" w:space="0"/>
            </w:tcBorders>
            <w:vAlign w:val="center"/>
          </w:tcPr>
          <w:p w14:paraId="7EA378CB">
            <w:pPr>
              <w:spacing w:before="120" w:after="60"/>
              <w:rPr>
                <w:rFonts w:hint="eastAsia" w:ascii="宋体" w:hAnsi="宋体" w:cs="宋体"/>
                <w:color w:val="auto"/>
                <w:szCs w:val="21"/>
                <w:highlight w:val="none"/>
              </w:rPr>
            </w:pPr>
            <w:r>
              <w:rPr>
                <w:rFonts w:hint="eastAsia" w:ascii="宋体" w:hAnsi="宋体" w:eastAsia="宋体" w:cs="宋体"/>
                <w:color w:val="auto"/>
                <w:sz w:val="21"/>
                <w:szCs w:val="21"/>
                <w:highlight w:val="none"/>
                <w:u w:val="single"/>
              </w:rPr>
              <w:t>《投标人声明》</w:t>
            </w:r>
            <w:r>
              <w:rPr>
                <w:rFonts w:hint="eastAsia" w:ascii="宋体" w:hAnsi="宋体" w:eastAsia="宋体" w:cs="宋体"/>
                <w:bCs/>
                <w:color w:val="auto"/>
                <w:sz w:val="21"/>
                <w:szCs w:val="21"/>
                <w:highlight w:val="none"/>
                <w:u w:val="single"/>
                <w:lang w:eastAsia="zh-CN"/>
              </w:rPr>
              <w:t>扫描件</w:t>
            </w:r>
            <w:r>
              <w:rPr>
                <w:rFonts w:hint="eastAsia" w:ascii="宋体" w:hAnsi="宋体" w:eastAsia="宋体" w:cs="宋体"/>
                <w:color w:val="auto"/>
                <w:sz w:val="21"/>
                <w:szCs w:val="21"/>
                <w:highlight w:val="none"/>
                <w:u w:val="single"/>
              </w:rPr>
              <w:t>、法定代表人证明书扫描件及有效的法定代表人身份证正反面扫描件；委托投标的还应提供法人授权委托证明书扫描件</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有效的被授权人身份证正反面扫描件</w:t>
            </w:r>
            <w:r>
              <w:rPr>
                <w:rFonts w:hint="eastAsia" w:ascii="宋体" w:hAnsi="宋体" w:cs="宋体"/>
                <w:color w:val="auto"/>
                <w:sz w:val="21"/>
                <w:szCs w:val="21"/>
                <w:highlight w:val="none"/>
                <w:u w:val="single"/>
                <w:lang w:val="en-US" w:eastAsia="zh-CN"/>
              </w:rPr>
              <w:t>及投标截止前近一个月（2025年7月）有效社保证明资料扫描件。</w:t>
            </w:r>
          </w:p>
        </w:tc>
        <w:tc>
          <w:tcPr>
            <w:tcW w:w="1086" w:type="dxa"/>
            <w:tcBorders>
              <w:top w:val="single" w:color="auto" w:sz="4" w:space="0"/>
              <w:left w:val="single" w:color="auto" w:sz="4" w:space="0"/>
              <w:bottom w:val="single" w:color="auto" w:sz="4" w:space="0"/>
              <w:right w:val="single" w:color="auto" w:sz="4" w:space="0"/>
            </w:tcBorders>
            <w:vAlign w:val="center"/>
          </w:tcPr>
          <w:p w14:paraId="2C3C0685">
            <w:pPr>
              <w:spacing w:before="120" w:after="60"/>
              <w:jc w:val="center"/>
              <w:rPr>
                <w:rFonts w:hint="eastAsia" w:ascii="宋体" w:hAnsi="宋体" w:cs="宋体"/>
                <w:color w:val="auto"/>
                <w:szCs w:val="21"/>
                <w:highlight w:val="none"/>
              </w:rPr>
            </w:pPr>
          </w:p>
        </w:tc>
      </w:tr>
      <w:tr w14:paraId="6564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14:paraId="59246D60">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5246" w:type="dxa"/>
            <w:tcBorders>
              <w:top w:val="single" w:color="auto" w:sz="4" w:space="0"/>
              <w:left w:val="single" w:color="auto" w:sz="4" w:space="0"/>
              <w:bottom w:val="single" w:color="auto" w:sz="4" w:space="0"/>
              <w:right w:val="single" w:color="auto" w:sz="4" w:space="0"/>
            </w:tcBorders>
            <w:vAlign w:val="center"/>
          </w:tcPr>
          <w:p w14:paraId="202D92F5">
            <w:pPr>
              <w:spacing w:before="120" w:after="60"/>
              <w:rPr>
                <w:rFonts w:hint="eastAsia" w:ascii="宋体" w:hAnsi="宋体" w:cs="宋体"/>
                <w:color w:val="auto"/>
                <w:szCs w:val="21"/>
                <w:highlight w:val="none"/>
              </w:rPr>
            </w:pPr>
            <w:r>
              <w:rPr>
                <w:rFonts w:hint="eastAsia" w:ascii="宋体" w:hAnsi="宋体" w:cs="宋体"/>
                <w:color w:val="auto"/>
                <w:szCs w:val="21"/>
                <w:highlight w:val="none"/>
              </w:rPr>
              <w:t>投标人具有独立法人资格，按国家法律经营；</w:t>
            </w:r>
          </w:p>
        </w:tc>
        <w:tc>
          <w:tcPr>
            <w:tcW w:w="7612" w:type="dxa"/>
            <w:tcBorders>
              <w:top w:val="single" w:color="auto" w:sz="4" w:space="0"/>
              <w:left w:val="single" w:color="auto" w:sz="4" w:space="0"/>
              <w:bottom w:val="single" w:color="auto" w:sz="4" w:space="0"/>
              <w:right w:val="single" w:color="auto" w:sz="4" w:space="0"/>
            </w:tcBorders>
            <w:vAlign w:val="center"/>
          </w:tcPr>
          <w:p w14:paraId="7C934BFB">
            <w:pPr>
              <w:spacing w:before="120" w:after="60"/>
              <w:rPr>
                <w:rFonts w:hint="eastAsia" w:ascii="宋体" w:hAnsi="宋体" w:cs="宋体"/>
                <w:color w:val="auto"/>
                <w:szCs w:val="21"/>
                <w:highlight w:val="none"/>
              </w:rPr>
            </w:pPr>
            <w:r>
              <w:rPr>
                <w:rFonts w:hint="eastAsia" w:ascii="宋体" w:hAnsi="宋体"/>
                <w:color w:val="auto"/>
                <w:szCs w:val="21"/>
                <w:highlight w:val="none"/>
              </w:rPr>
              <w:t>营业执照扫描件或电子证照；</w:t>
            </w:r>
          </w:p>
        </w:tc>
        <w:tc>
          <w:tcPr>
            <w:tcW w:w="1086" w:type="dxa"/>
            <w:tcBorders>
              <w:top w:val="single" w:color="auto" w:sz="4" w:space="0"/>
              <w:left w:val="single" w:color="auto" w:sz="4" w:space="0"/>
              <w:bottom w:val="single" w:color="auto" w:sz="4" w:space="0"/>
              <w:right w:val="single" w:color="auto" w:sz="4" w:space="0"/>
            </w:tcBorders>
            <w:vAlign w:val="center"/>
          </w:tcPr>
          <w:p w14:paraId="478916B3">
            <w:pPr>
              <w:spacing w:before="120" w:after="60"/>
              <w:jc w:val="center"/>
              <w:rPr>
                <w:rFonts w:hint="eastAsia" w:ascii="宋体" w:hAnsi="宋体" w:cs="宋体"/>
                <w:color w:val="auto"/>
                <w:szCs w:val="21"/>
                <w:highlight w:val="none"/>
              </w:rPr>
            </w:pPr>
          </w:p>
        </w:tc>
      </w:tr>
      <w:tr w14:paraId="4865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18DC53BE">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5246" w:type="dxa"/>
            <w:tcBorders>
              <w:top w:val="single" w:color="auto" w:sz="4" w:space="0"/>
              <w:left w:val="single" w:color="auto" w:sz="4" w:space="0"/>
              <w:bottom w:val="single" w:color="auto" w:sz="4" w:space="0"/>
              <w:right w:val="single" w:color="auto" w:sz="4" w:space="0"/>
            </w:tcBorders>
            <w:vAlign w:val="center"/>
          </w:tcPr>
          <w:p w14:paraId="639148DF">
            <w:pPr>
              <w:spacing w:before="120" w:after="60"/>
              <w:rPr>
                <w:rFonts w:hint="eastAsia" w:ascii="宋体" w:hAnsi="宋体" w:cs="宋体"/>
                <w:color w:val="auto"/>
                <w:szCs w:val="21"/>
                <w:highlight w:val="none"/>
              </w:rPr>
            </w:pPr>
            <w:r>
              <w:rPr>
                <w:rFonts w:hint="eastAsia" w:ascii="宋体" w:hAnsi="宋体" w:cs="宋体"/>
                <w:color w:val="auto"/>
                <w:szCs w:val="21"/>
                <w:highlight w:val="none"/>
              </w:rPr>
              <w:t>投标人持有建设行政主管部门颁发的有效期内的企业资质证书及安全生产许可证；投标人资质符合公告要求；</w:t>
            </w:r>
          </w:p>
        </w:tc>
        <w:tc>
          <w:tcPr>
            <w:tcW w:w="7612" w:type="dxa"/>
            <w:tcBorders>
              <w:top w:val="single" w:color="auto" w:sz="4" w:space="0"/>
              <w:left w:val="single" w:color="auto" w:sz="4" w:space="0"/>
              <w:bottom w:val="single" w:color="auto" w:sz="4" w:space="0"/>
              <w:right w:val="single" w:color="auto" w:sz="4" w:space="0"/>
            </w:tcBorders>
            <w:vAlign w:val="center"/>
          </w:tcPr>
          <w:p w14:paraId="54F86FFA">
            <w:pPr>
              <w:spacing w:before="120" w:after="60"/>
              <w:rPr>
                <w:rFonts w:hint="eastAsia" w:ascii="宋体" w:hAnsi="宋体" w:cs="宋体"/>
                <w:color w:val="auto"/>
                <w:szCs w:val="21"/>
                <w:highlight w:val="none"/>
                <w:u w:val="single"/>
              </w:rPr>
            </w:pPr>
            <w:r>
              <w:rPr>
                <w:rFonts w:hint="eastAsia" w:ascii="宋体" w:hAnsi="宋体"/>
                <w:color w:val="auto"/>
                <w:szCs w:val="21"/>
                <w:highlight w:val="none"/>
              </w:rPr>
              <w:t>资质证书扫描件或电子证照、安全生产许可证扫描件或电子证照；</w:t>
            </w:r>
          </w:p>
        </w:tc>
        <w:tc>
          <w:tcPr>
            <w:tcW w:w="1086" w:type="dxa"/>
            <w:tcBorders>
              <w:top w:val="single" w:color="auto" w:sz="4" w:space="0"/>
              <w:left w:val="single" w:color="auto" w:sz="4" w:space="0"/>
              <w:bottom w:val="single" w:color="auto" w:sz="4" w:space="0"/>
              <w:right w:val="single" w:color="auto" w:sz="4" w:space="0"/>
            </w:tcBorders>
            <w:vAlign w:val="center"/>
          </w:tcPr>
          <w:p w14:paraId="146B5E7D">
            <w:pPr>
              <w:spacing w:before="120" w:after="60"/>
              <w:jc w:val="center"/>
              <w:rPr>
                <w:rFonts w:hint="eastAsia" w:ascii="宋体" w:hAnsi="宋体" w:cs="宋体"/>
                <w:color w:val="auto"/>
                <w:szCs w:val="21"/>
                <w:highlight w:val="none"/>
              </w:rPr>
            </w:pPr>
          </w:p>
        </w:tc>
      </w:tr>
      <w:tr w14:paraId="6550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14:paraId="47B37708">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5246" w:type="dxa"/>
            <w:tcBorders>
              <w:top w:val="single" w:color="auto" w:sz="4" w:space="0"/>
              <w:left w:val="single" w:color="auto" w:sz="4" w:space="0"/>
              <w:bottom w:val="single" w:color="auto" w:sz="4" w:space="0"/>
              <w:right w:val="single" w:color="auto" w:sz="4" w:space="0"/>
            </w:tcBorders>
            <w:vAlign w:val="center"/>
          </w:tcPr>
          <w:p w14:paraId="43286EB1">
            <w:pPr>
              <w:spacing w:before="120" w:after="60"/>
              <w:rPr>
                <w:rFonts w:hint="eastAsia" w:ascii="宋体" w:hAnsi="宋体" w:cs="宋体"/>
                <w:color w:val="auto"/>
                <w:szCs w:val="21"/>
                <w:highlight w:val="none"/>
              </w:rPr>
            </w:pPr>
            <w:r>
              <w:rPr>
                <w:rFonts w:hint="eastAsia" w:ascii="宋体" w:hAnsi="宋体" w:cs="宋体"/>
                <w:color w:val="auto"/>
                <w:szCs w:val="21"/>
                <w:highlight w:val="none"/>
              </w:rPr>
              <w:t>投标人拟担任本工程项目负责人符合公告要求；</w:t>
            </w:r>
          </w:p>
        </w:tc>
        <w:tc>
          <w:tcPr>
            <w:tcW w:w="7612" w:type="dxa"/>
            <w:tcBorders>
              <w:top w:val="single" w:color="auto" w:sz="4" w:space="0"/>
              <w:left w:val="single" w:color="auto" w:sz="4" w:space="0"/>
              <w:bottom w:val="single" w:color="auto" w:sz="4" w:space="0"/>
              <w:right w:val="single" w:color="auto" w:sz="4" w:space="0"/>
            </w:tcBorders>
            <w:vAlign w:val="center"/>
          </w:tcPr>
          <w:p w14:paraId="3AC93A88">
            <w:pPr>
              <w:spacing w:before="120" w:after="60"/>
              <w:rPr>
                <w:rFonts w:hint="eastAsia" w:ascii="宋体" w:hAnsi="宋体" w:cs="宋体"/>
                <w:color w:val="auto"/>
                <w:szCs w:val="21"/>
                <w:highlight w:val="none"/>
                <w:u w:val="single"/>
              </w:rPr>
            </w:pPr>
            <w:r>
              <w:rPr>
                <w:rFonts w:hint="eastAsia" w:ascii="宋体" w:hAnsi="宋体"/>
                <w:color w:val="auto"/>
                <w:szCs w:val="21"/>
                <w:highlight w:val="none"/>
              </w:rPr>
              <w:t>有效期内的建造师注册证书扫描件或电子证书（注：打印建造师电子证书后，在个人签名处手写本人签名再扫描提交。）</w:t>
            </w:r>
          </w:p>
        </w:tc>
        <w:tc>
          <w:tcPr>
            <w:tcW w:w="1086" w:type="dxa"/>
            <w:tcBorders>
              <w:top w:val="single" w:color="auto" w:sz="4" w:space="0"/>
              <w:left w:val="single" w:color="auto" w:sz="4" w:space="0"/>
              <w:bottom w:val="single" w:color="auto" w:sz="4" w:space="0"/>
              <w:right w:val="single" w:color="auto" w:sz="4" w:space="0"/>
            </w:tcBorders>
            <w:vAlign w:val="center"/>
          </w:tcPr>
          <w:p w14:paraId="03105AC8">
            <w:pPr>
              <w:spacing w:before="120" w:after="60"/>
              <w:jc w:val="center"/>
              <w:rPr>
                <w:rFonts w:hint="eastAsia" w:ascii="宋体" w:hAnsi="宋体" w:cs="宋体"/>
                <w:color w:val="auto"/>
                <w:szCs w:val="21"/>
                <w:highlight w:val="none"/>
              </w:rPr>
            </w:pPr>
          </w:p>
        </w:tc>
      </w:tr>
      <w:tr w14:paraId="33C4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14:paraId="6C91B3C5">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5246" w:type="dxa"/>
            <w:tcBorders>
              <w:top w:val="single" w:color="auto" w:sz="4" w:space="0"/>
              <w:left w:val="single" w:color="auto" w:sz="4" w:space="0"/>
              <w:bottom w:val="single" w:color="auto" w:sz="4" w:space="0"/>
              <w:right w:val="single" w:color="auto" w:sz="4" w:space="0"/>
            </w:tcBorders>
            <w:vAlign w:val="center"/>
          </w:tcPr>
          <w:p w14:paraId="6C706761">
            <w:pPr>
              <w:spacing w:before="120" w:after="60"/>
              <w:rPr>
                <w:rFonts w:hint="eastAsia" w:ascii="宋体" w:hAnsi="宋体" w:cs="宋体"/>
                <w:color w:val="auto"/>
                <w:szCs w:val="21"/>
                <w:highlight w:val="none"/>
              </w:rPr>
            </w:pPr>
            <w:r>
              <w:rPr>
                <w:rFonts w:hint="eastAsia" w:ascii="宋体" w:hAnsi="宋体" w:cs="宋体"/>
                <w:bCs/>
                <w:color w:val="auto"/>
                <w:kern w:val="0"/>
                <w:szCs w:val="21"/>
                <w:highlight w:val="none"/>
              </w:rPr>
              <w:t>拟担任本项目的项目负责</w:t>
            </w:r>
            <w:r>
              <w:rPr>
                <w:rFonts w:hint="eastAsia" w:ascii="宋体" w:hAnsi="宋体" w:cs="宋体"/>
                <w:bCs/>
                <w:color w:val="auto"/>
                <w:kern w:val="0"/>
                <w:szCs w:val="21"/>
                <w:highlight w:val="none"/>
                <w:lang w:val="en-US" w:eastAsia="zh-CN"/>
              </w:rPr>
              <w:t>人</w:t>
            </w:r>
            <w:r>
              <w:rPr>
                <w:rFonts w:hint="eastAsia" w:ascii="宋体" w:hAnsi="宋体" w:cs="宋体"/>
                <w:bCs/>
                <w:color w:val="auto"/>
                <w:kern w:val="0"/>
                <w:szCs w:val="21"/>
                <w:highlight w:val="none"/>
              </w:rPr>
              <w:t>持有</w:t>
            </w:r>
            <w:r>
              <w:rPr>
                <w:rFonts w:hint="eastAsia" w:ascii="宋体" w:hAnsi="宋体"/>
                <w:color w:val="auto"/>
                <w:szCs w:val="21"/>
                <w:highlight w:val="none"/>
              </w:rPr>
              <w:t>有效期内的</w:t>
            </w:r>
            <w:r>
              <w:rPr>
                <w:rFonts w:hint="eastAsia" w:ascii="宋体" w:hAnsi="宋体" w:cs="宋体"/>
                <w:bCs/>
                <w:color w:val="auto"/>
                <w:kern w:val="0"/>
                <w:szCs w:val="21"/>
                <w:highlight w:val="none"/>
              </w:rPr>
              <w:t>项目负责人安全生产考核合格证（B类）或建筑施工企业项目负责人安全生产考核合格</w:t>
            </w:r>
            <w:r>
              <w:rPr>
                <w:rFonts w:hint="eastAsia" w:ascii="宋体" w:hAnsi="宋体" w:cs="宋体"/>
                <w:color w:val="auto"/>
                <w:kern w:val="0"/>
                <w:szCs w:val="21"/>
                <w:highlight w:val="none"/>
              </w:rPr>
              <w:t>证</w:t>
            </w:r>
          </w:p>
        </w:tc>
        <w:tc>
          <w:tcPr>
            <w:tcW w:w="7612" w:type="dxa"/>
            <w:tcBorders>
              <w:top w:val="single" w:color="auto" w:sz="4" w:space="0"/>
              <w:left w:val="single" w:color="auto" w:sz="4" w:space="0"/>
              <w:bottom w:val="single" w:color="auto" w:sz="4" w:space="0"/>
              <w:right w:val="single" w:color="auto" w:sz="4" w:space="0"/>
            </w:tcBorders>
            <w:vAlign w:val="center"/>
          </w:tcPr>
          <w:p w14:paraId="69FFC830">
            <w:pPr>
              <w:spacing w:before="120" w:after="60"/>
              <w:rPr>
                <w:rFonts w:hint="eastAsia" w:ascii="宋体" w:hAnsi="宋体" w:cs="宋体"/>
                <w:color w:val="auto"/>
                <w:highlight w:val="none"/>
              </w:rPr>
            </w:pPr>
            <w:r>
              <w:rPr>
                <w:rFonts w:hint="eastAsia" w:ascii="宋体" w:hAnsi="宋体"/>
                <w:color w:val="auto"/>
                <w:szCs w:val="21"/>
                <w:highlight w:val="none"/>
              </w:rPr>
              <w:t>项目负责人安全生产考核合格证（B类）或建筑施工企业项目负责人安全生产考核合格证证书扫描件或电子证书；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1086" w:type="dxa"/>
            <w:tcBorders>
              <w:top w:val="single" w:color="auto" w:sz="4" w:space="0"/>
              <w:left w:val="single" w:color="auto" w:sz="4" w:space="0"/>
              <w:bottom w:val="single" w:color="auto" w:sz="4" w:space="0"/>
              <w:right w:val="single" w:color="auto" w:sz="4" w:space="0"/>
            </w:tcBorders>
            <w:vAlign w:val="center"/>
          </w:tcPr>
          <w:p w14:paraId="636B3BE8">
            <w:pPr>
              <w:spacing w:before="120" w:after="60"/>
              <w:jc w:val="center"/>
              <w:rPr>
                <w:rFonts w:hint="eastAsia" w:ascii="宋体" w:hAnsi="宋体" w:cs="宋体"/>
                <w:color w:val="auto"/>
                <w:szCs w:val="21"/>
                <w:highlight w:val="none"/>
              </w:rPr>
            </w:pPr>
          </w:p>
        </w:tc>
      </w:tr>
      <w:tr w14:paraId="6947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2A25CE6E">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5246" w:type="dxa"/>
            <w:tcBorders>
              <w:top w:val="single" w:color="auto" w:sz="4" w:space="0"/>
              <w:left w:val="single" w:color="auto" w:sz="4" w:space="0"/>
              <w:bottom w:val="single" w:color="auto" w:sz="4" w:space="0"/>
              <w:right w:val="single" w:color="auto" w:sz="4" w:space="0"/>
            </w:tcBorders>
            <w:vAlign w:val="center"/>
          </w:tcPr>
          <w:p w14:paraId="5A9EF50C">
            <w:pPr>
              <w:spacing w:before="120" w:after="60"/>
              <w:rPr>
                <w:rFonts w:hint="eastAsia" w:ascii="宋体" w:hAnsi="宋体" w:cs="宋体"/>
                <w:color w:val="auto"/>
                <w:szCs w:val="21"/>
                <w:highlight w:val="none"/>
              </w:rPr>
            </w:pPr>
            <w:r>
              <w:rPr>
                <w:rFonts w:hint="eastAsia" w:ascii="宋体" w:hAnsi="宋体" w:cs="宋体"/>
                <w:color w:val="auto"/>
                <w:szCs w:val="21"/>
                <w:highlight w:val="none"/>
              </w:rPr>
              <w:t>投标人拟担任本工程技术负责人的资格要求为：具有建筑工程相关专业</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级或以上职称。</w:t>
            </w:r>
          </w:p>
        </w:tc>
        <w:tc>
          <w:tcPr>
            <w:tcW w:w="7612" w:type="dxa"/>
            <w:tcBorders>
              <w:top w:val="single" w:color="auto" w:sz="4" w:space="0"/>
              <w:left w:val="single" w:color="auto" w:sz="4" w:space="0"/>
              <w:bottom w:val="single" w:color="auto" w:sz="4" w:space="0"/>
              <w:right w:val="single" w:color="auto" w:sz="4" w:space="0"/>
            </w:tcBorders>
            <w:vAlign w:val="center"/>
          </w:tcPr>
          <w:p w14:paraId="7F191043">
            <w:pPr>
              <w:rPr>
                <w:rFonts w:hint="eastAsia" w:ascii="宋体" w:hAnsi="宋体" w:cs="宋体"/>
                <w:color w:val="auto"/>
                <w:szCs w:val="21"/>
                <w:highlight w:val="none"/>
              </w:rPr>
            </w:pPr>
            <w:r>
              <w:rPr>
                <w:rFonts w:hint="eastAsia" w:ascii="宋体" w:hAnsi="宋体" w:cs="宋体"/>
                <w:bCs/>
                <w:color w:val="auto"/>
                <w:szCs w:val="21"/>
                <w:highlight w:val="none"/>
                <w:u w:val="single"/>
              </w:rPr>
              <w:t>拟委派技术负责人的职称证书</w:t>
            </w:r>
            <w:r>
              <w:rPr>
                <w:rFonts w:hint="eastAsia" w:ascii="宋体" w:hAnsi="宋体"/>
                <w:color w:val="auto"/>
                <w:szCs w:val="21"/>
                <w:highlight w:val="none"/>
              </w:rPr>
              <w:t>扫描件或电子证书</w:t>
            </w:r>
            <w:r>
              <w:rPr>
                <w:rFonts w:hint="eastAsia" w:ascii="宋体" w:hAnsi="宋体" w:cs="宋体"/>
                <w:bCs/>
                <w:color w:val="auto"/>
                <w:szCs w:val="21"/>
                <w:highlight w:val="none"/>
                <w:u w:val="single"/>
              </w:rPr>
              <w:t>；</w:t>
            </w:r>
          </w:p>
        </w:tc>
        <w:tc>
          <w:tcPr>
            <w:tcW w:w="1086" w:type="dxa"/>
            <w:tcBorders>
              <w:top w:val="single" w:color="auto" w:sz="4" w:space="0"/>
              <w:left w:val="single" w:color="auto" w:sz="4" w:space="0"/>
              <w:bottom w:val="single" w:color="auto" w:sz="4" w:space="0"/>
              <w:right w:val="single" w:color="auto" w:sz="4" w:space="0"/>
            </w:tcBorders>
            <w:vAlign w:val="center"/>
          </w:tcPr>
          <w:p w14:paraId="7A3394F8">
            <w:pPr>
              <w:spacing w:before="120" w:after="60"/>
              <w:jc w:val="center"/>
              <w:rPr>
                <w:rFonts w:hint="eastAsia" w:ascii="宋体" w:hAnsi="宋体" w:cs="宋体"/>
                <w:color w:val="auto"/>
                <w:szCs w:val="21"/>
                <w:highlight w:val="none"/>
              </w:rPr>
            </w:pPr>
          </w:p>
        </w:tc>
      </w:tr>
      <w:tr w14:paraId="1957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2C1CFB9D">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5246" w:type="dxa"/>
            <w:tcBorders>
              <w:top w:val="single" w:color="auto" w:sz="4" w:space="0"/>
              <w:left w:val="single" w:color="auto" w:sz="4" w:space="0"/>
              <w:bottom w:val="single" w:color="auto" w:sz="4" w:space="0"/>
              <w:right w:val="single" w:color="auto" w:sz="4" w:space="0"/>
            </w:tcBorders>
            <w:vAlign w:val="center"/>
          </w:tcPr>
          <w:p w14:paraId="1C525D45">
            <w:pPr>
              <w:spacing w:before="120" w:after="60"/>
              <w:rPr>
                <w:rFonts w:hint="eastAsia" w:ascii="宋体" w:hAnsi="宋体" w:cs="宋体"/>
                <w:color w:val="auto"/>
                <w:szCs w:val="21"/>
                <w:highlight w:val="none"/>
              </w:rPr>
            </w:pPr>
            <w:r>
              <w:rPr>
                <w:rFonts w:hint="eastAsia" w:ascii="宋体" w:hAnsi="宋体" w:cs="宋体"/>
                <w:bCs/>
                <w:color w:val="auto"/>
                <w:kern w:val="0"/>
                <w:szCs w:val="21"/>
                <w:highlight w:val="none"/>
              </w:rPr>
              <w:t>拟担任本项目的</w:t>
            </w:r>
            <w:r>
              <w:rPr>
                <w:rFonts w:hint="eastAsia" w:ascii="宋体" w:hAnsi="宋体" w:cs="宋体"/>
                <w:color w:val="auto"/>
                <w:szCs w:val="21"/>
                <w:highlight w:val="none"/>
              </w:rPr>
              <w:t>专职安全员须具有</w:t>
            </w:r>
            <w:r>
              <w:rPr>
                <w:rFonts w:hint="eastAsia" w:ascii="宋体" w:hAnsi="宋体"/>
                <w:color w:val="auto"/>
                <w:szCs w:val="21"/>
                <w:highlight w:val="none"/>
              </w:rPr>
              <w:t>有效期内的</w:t>
            </w:r>
            <w:r>
              <w:rPr>
                <w:rFonts w:hint="eastAsia" w:ascii="宋体" w:hAnsi="宋体" w:cs="宋体"/>
                <w:color w:val="auto"/>
                <w:szCs w:val="21"/>
                <w:highlight w:val="none"/>
              </w:rPr>
              <w:t>安全生产考核合格证（C类）或建筑施工企业专职安全生产管理人员安全生产考核合格证书（C3）；项目负责人和专职安全员不为同一人；</w:t>
            </w:r>
          </w:p>
        </w:tc>
        <w:tc>
          <w:tcPr>
            <w:tcW w:w="7612" w:type="dxa"/>
            <w:tcBorders>
              <w:top w:val="single" w:color="auto" w:sz="4" w:space="0"/>
              <w:left w:val="single" w:color="auto" w:sz="4" w:space="0"/>
              <w:bottom w:val="single" w:color="auto" w:sz="4" w:space="0"/>
              <w:right w:val="single" w:color="auto" w:sz="4" w:space="0"/>
            </w:tcBorders>
            <w:vAlign w:val="center"/>
          </w:tcPr>
          <w:p w14:paraId="5E73BDEC">
            <w:pPr>
              <w:spacing w:before="120" w:after="60"/>
              <w:rPr>
                <w:rFonts w:hint="eastAsia" w:ascii="宋体" w:hAnsi="宋体" w:cs="宋体"/>
                <w:color w:val="auto"/>
                <w:highlight w:val="none"/>
              </w:rPr>
            </w:pPr>
            <w:r>
              <w:rPr>
                <w:rFonts w:hint="eastAsia" w:ascii="宋体" w:hAnsi="宋体"/>
                <w:color w:val="auto"/>
                <w:szCs w:val="21"/>
                <w:highlight w:val="none"/>
              </w:rPr>
              <w:t>专职安全员的安全生产考核合格证（C类）或建筑施工企业专职安全生产管理人员安全生产考核合格证证书扫描件或电子证书</w:t>
            </w:r>
            <w:r>
              <w:rPr>
                <w:rFonts w:hint="eastAsia" w:ascii="宋体" w:hAnsi="宋体"/>
                <w:color w:val="auto"/>
                <w:szCs w:val="21"/>
                <w:highlight w:val="none"/>
                <w:lang w:eastAsia="zh-CN"/>
              </w:rPr>
              <w:t>；</w:t>
            </w:r>
            <w:r>
              <w:rPr>
                <w:rFonts w:hint="eastAsia" w:ascii="宋体" w:hAnsi="宋体"/>
                <w:color w:val="auto"/>
                <w:szCs w:val="21"/>
                <w:highlight w:val="non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1086" w:type="dxa"/>
            <w:tcBorders>
              <w:top w:val="single" w:color="auto" w:sz="4" w:space="0"/>
              <w:left w:val="single" w:color="auto" w:sz="4" w:space="0"/>
              <w:bottom w:val="single" w:color="auto" w:sz="4" w:space="0"/>
              <w:right w:val="single" w:color="auto" w:sz="4" w:space="0"/>
            </w:tcBorders>
            <w:vAlign w:val="center"/>
          </w:tcPr>
          <w:p w14:paraId="708859F9">
            <w:pPr>
              <w:spacing w:before="120" w:after="60"/>
              <w:jc w:val="center"/>
              <w:rPr>
                <w:rFonts w:hint="eastAsia" w:ascii="宋体" w:hAnsi="宋体" w:cs="宋体"/>
                <w:color w:val="auto"/>
                <w:szCs w:val="21"/>
                <w:highlight w:val="none"/>
              </w:rPr>
            </w:pPr>
          </w:p>
        </w:tc>
      </w:tr>
      <w:tr w14:paraId="4A70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1139B44A">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5246" w:type="dxa"/>
            <w:tcBorders>
              <w:top w:val="single" w:color="auto" w:sz="4" w:space="0"/>
              <w:left w:val="single" w:color="auto" w:sz="4" w:space="0"/>
              <w:bottom w:val="single" w:color="auto" w:sz="4" w:space="0"/>
              <w:right w:val="single" w:color="auto" w:sz="4" w:space="0"/>
            </w:tcBorders>
            <w:vAlign w:val="center"/>
          </w:tcPr>
          <w:p w14:paraId="57A836CB">
            <w:pPr>
              <w:spacing w:before="120" w:after="60"/>
              <w:rPr>
                <w:rFonts w:hint="eastAsia" w:ascii="宋体" w:hAnsi="宋体" w:cs="宋体"/>
                <w:color w:val="auto"/>
                <w:szCs w:val="21"/>
                <w:highlight w:val="none"/>
              </w:rPr>
            </w:pPr>
            <w:r>
              <w:rPr>
                <w:rFonts w:hint="eastAsia" w:ascii="宋体" w:hAnsi="宋体" w:cs="宋体"/>
                <w:color w:val="auto"/>
                <w:szCs w:val="21"/>
                <w:highlight w:val="none"/>
              </w:rPr>
              <w:t>投标人提供的投标人声明符合公告要求；</w:t>
            </w:r>
          </w:p>
        </w:tc>
        <w:tc>
          <w:tcPr>
            <w:tcW w:w="7612" w:type="dxa"/>
            <w:tcBorders>
              <w:top w:val="single" w:color="auto" w:sz="4" w:space="0"/>
              <w:left w:val="single" w:color="auto" w:sz="4" w:space="0"/>
              <w:bottom w:val="single" w:color="auto" w:sz="4" w:space="0"/>
              <w:right w:val="single" w:color="auto" w:sz="4" w:space="0"/>
            </w:tcBorders>
            <w:vAlign w:val="center"/>
          </w:tcPr>
          <w:p w14:paraId="2FA3EBED">
            <w:pPr>
              <w:spacing w:before="120" w:after="60"/>
              <w:jc w:val="left"/>
              <w:rPr>
                <w:rFonts w:hint="eastAsia" w:ascii="宋体" w:hAnsi="宋体" w:cs="宋体"/>
                <w:color w:val="auto"/>
                <w:szCs w:val="21"/>
                <w:highlight w:val="none"/>
              </w:rPr>
            </w:pPr>
            <w:r>
              <w:rPr>
                <w:rFonts w:hint="eastAsia" w:ascii="宋体" w:hAnsi="宋体" w:cs="宋体"/>
                <w:color w:val="auto"/>
                <w:szCs w:val="21"/>
                <w:highlight w:val="none"/>
              </w:rPr>
              <w:t>投标人声明扫描件；</w:t>
            </w:r>
          </w:p>
        </w:tc>
        <w:tc>
          <w:tcPr>
            <w:tcW w:w="1086" w:type="dxa"/>
            <w:tcBorders>
              <w:top w:val="single" w:color="auto" w:sz="4" w:space="0"/>
              <w:left w:val="single" w:color="auto" w:sz="4" w:space="0"/>
              <w:bottom w:val="single" w:color="auto" w:sz="4" w:space="0"/>
              <w:right w:val="single" w:color="auto" w:sz="4" w:space="0"/>
            </w:tcBorders>
            <w:vAlign w:val="center"/>
          </w:tcPr>
          <w:p w14:paraId="793CFE62">
            <w:pPr>
              <w:spacing w:before="120" w:after="60"/>
              <w:jc w:val="center"/>
              <w:rPr>
                <w:rFonts w:hint="eastAsia" w:ascii="宋体" w:hAnsi="宋体" w:cs="宋体"/>
                <w:color w:val="auto"/>
                <w:szCs w:val="21"/>
                <w:highlight w:val="none"/>
              </w:rPr>
            </w:pPr>
          </w:p>
        </w:tc>
      </w:tr>
      <w:tr w14:paraId="7F80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1E6C8DE3">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5246" w:type="dxa"/>
            <w:tcBorders>
              <w:top w:val="single" w:color="auto" w:sz="4" w:space="0"/>
              <w:left w:val="single" w:color="auto" w:sz="4" w:space="0"/>
              <w:bottom w:val="single" w:color="auto" w:sz="4" w:space="0"/>
              <w:right w:val="single" w:color="auto" w:sz="4" w:space="0"/>
            </w:tcBorders>
            <w:vAlign w:val="center"/>
          </w:tcPr>
          <w:p w14:paraId="0F42309F">
            <w:pPr>
              <w:spacing w:before="120" w:after="60"/>
              <w:rPr>
                <w:rFonts w:hint="eastAsia" w:ascii="宋体" w:hAnsi="宋体" w:cs="宋体"/>
                <w:color w:val="auto"/>
                <w:szCs w:val="21"/>
                <w:highlight w:val="none"/>
              </w:rPr>
            </w:pPr>
            <w:r>
              <w:rPr>
                <w:rFonts w:hint="eastAsia" w:ascii="宋体" w:hAnsi="宋体" w:cs="宋体"/>
                <w:color w:val="auto"/>
                <w:szCs w:val="21"/>
                <w:highlight w:val="none"/>
              </w:rPr>
              <w:t>投标人声明中签字的项目负责人和技术负责人与本项目拟派的项目负责人和技术负责人一致；</w:t>
            </w:r>
          </w:p>
        </w:tc>
        <w:tc>
          <w:tcPr>
            <w:tcW w:w="7612" w:type="dxa"/>
            <w:tcBorders>
              <w:top w:val="single" w:color="auto" w:sz="4" w:space="0"/>
              <w:left w:val="single" w:color="auto" w:sz="4" w:space="0"/>
              <w:bottom w:val="single" w:color="auto" w:sz="4" w:space="0"/>
              <w:right w:val="single" w:color="auto" w:sz="4" w:space="0"/>
            </w:tcBorders>
            <w:vAlign w:val="center"/>
          </w:tcPr>
          <w:p w14:paraId="3559A98B">
            <w:pPr>
              <w:spacing w:before="120" w:after="60"/>
              <w:jc w:val="left"/>
              <w:rPr>
                <w:rFonts w:hint="eastAsia" w:ascii="宋体" w:hAnsi="宋体" w:cs="宋体"/>
                <w:color w:val="auto"/>
                <w:szCs w:val="21"/>
                <w:highlight w:val="none"/>
              </w:rPr>
            </w:pPr>
            <w:r>
              <w:rPr>
                <w:rFonts w:hint="eastAsia" w:ascii="宋体" w:hAnsi="宋体" w:cs="宋体"/>
                <w:color w:val="auto"/>
                <w:szCs w:val="21"/>
                <w:highlight w:val="none"/>
              </w:rPr>
              <w:t>网上投标时选择拟投标的项目负责人、资格审查文件中拟委派的技术负责人及投标人声明；</w:t>
            </w:r>
          </w:p>
        </w:tc>
        <w:tc>
          <w:tcPr>
            <w:tcW w:w="1086" w:type="dxa"/>
            <w:tcBorders>
              <w:top w:val="single" w:color="auto" w:sz="4" w:space="0"/>
              <w:left w:val="single" w:color="auto" w:sz="4" w:space="0"/>
              <w:bottom w:val="single" w:color="auto" w:sz="4" w:space="0"/>
              <w:right w:val="single" w:color="auto" w:sz="4" w:space="0"/>
            </w:tcBorders>
            <w:vAlign w:val="center"/>
          </w:tcPr>
          <w:p w14:paraId="325E1740">
            <w:pPr>
              <w:spacing w:before="120" w:after="60"/>
              <w:jc w:val="center"/>
              <w:rPr>
                <w:rFonts w:hint="eastAsia" w:ascii="宋体" w:hAnsi="宋体" w:cs="宋体"/>
                <w:color w:val="auto"/>
                <w:szCs w:val="21"/>
                <w:highlight w:val="none"/>
              </w:rPr>
            </w:pPr>
          </w:p>
        </w:tc>
      </w:tr>
      <w:tr w14:paraId="4286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EBF1A6C">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5246" w:type="dxa"/>
            <w:tcBorders>
              <w:top w:val="single" w:color="auto" w:sz="4" w:space="0"/>
              <w:left w:val="single" w:color="auto" w:sz="4" w:space="0"/>
              <w:bottom w:val="single" w:color="auto" w:sz="4" w:space="0"/>
              <w:right w:val="single" w:color="auto" w:sz="4" w:space="0"/>
            </w:tcBorders>
            <w:vAlign w:val="center"/>
          </w:tcPr>
          <w:p w14:paraId="49F2D4ED">
            <w:pPr>
              <w:spacing w:before="120" w:after="60"/>
              <w:rPr>
                <w:rFonts w:hint="eastAsia" w:ascii="宋体" w:hAnsi="宋体" w:cs="宋体"/>
                <w:color w:val="auto"/>
                <w:szCs w:val="21"/>
                <w:highlight w:val="none"/>
              </w:rPr>
            </w:pPr>
            <w:r>
              <w:rPr>
                <w:rFonts w:hint="eastAsia" w:ascii="宋体" w:hAnsi="宋体" w:cs="宋体"/>
                <w:color w:val="auto"/>
                <w:szCs w:val="21"/>
                <w:highlight w:val="none"/>
              </w:rPr>
              <w:t>关于联合体投标：本项目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tc>
        <w:tc>
          <w:tcPr>
            <w:tcW w:w="7612" w:type="dxa"/>
            <w:tcBorders>
              <w:top w:val="single" w:color="auto" w:sz="4" w:space="0"/>
              <w:left w:val="single" w:color="auto" w:sz="4" w:space="0"/>
              <w:bottom w:val="single" w:color="auto" w:sz="4" w:space="0"/>
              <w:right w:val="single" w:color="auto" w:sz="4" w:space="0"/>
            </w:tcBorders>
            <w:vAlign w:val="center"/>
          </w:tcPr>
          <w:p w14:paraId="79D65D76">
            <w:pPr>
              <w:spacing w:before="120" w:after="60"/>
              <w:jc w:val="left"/>
              <w:rPr>
                <w:rFonts w:hint="eastAsia" w:ascii="宋体" w:hAnsi="宋体" w:cs="宋体"/>
                <w:color w:val="auto"/>
                <w:szCs w:val="21"/>
                <w:highlight w:val="none"/>
                <w:u w:val="singl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tc>
        <w:tc>
          <w:tcPr>
            <w:tcW w:w="1086" w:type="dxa"/>
            <w:tcBorders>
              <w:top w:val="single" w:color="auto" w:sz="4" w:space="0"/>
              <w:left w:val="single" w:color="auto" w:sz="4" w:space="0"/>
              <w:bottom w:val="single" w:color="auto" w:sz="4" w:space="0"/>
              <w:right w:val="single" w:color="auto" w:sz="4" w:space="0"/>
            </w:tcBorders>
            <w:vAlign w:val="center"/>
          </w:tcPr>
          <w:p w14:paraId="0D6F2CC8">
            <w:pPr>
              <w:spacing w:before="120" w:after="60"/>
              <w:jc w:val="center"/>
              <w:rPr>
                <w:rFonts w:hint="eastAsia" w:ascii="宋体" w:hAnsi="宋体" w:cs="宋体"/>
                <w:color w:val="auto"/>
                <w:szCs w:val="21"/>
                <w:highlight w:val="none"/>
              </w:rPr>
            </w:pPr>
          </w:p>
        </w:tc>
      </w:tr>
      <w:tr w14:paraId="3839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4DA2CCB5">
            <w:pPr>
              <w:spacing w:before="120" w:after="6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p>
        </w:tc>
        <w:tc>
          <w:tcPr>
            <w:tcW w:w="5246" w:type="dxa"/>
            <w:tcBorders>
              <w:top w:val="single" w:color="auto" w:sz="4" w:space="0"/>
              <w:left w:val="single" w:color="auto" w:sz="4" w:space="0"/>
              <w:bottom w:val="single" w:color="auto" w:sz="4" w:space="0"/>
              <w:right w:val="single" w:color="auto" w:sz="4" w:space="0"/>
            </w:tcBorders>
            <w:vAlign w:val="center"/>
          </w:tcPr>
          <w:p w14:paraId="72C805F0">
            <w:pPr>
              <w:spacing w:before="120" w:after="60"/>
              <w:rPr>
                <w:rFonts w:hint="eastAsia" w:ascii="宋体" w:hAnsi="宋体" w:cs="宋体"/>
                <w:color w:val="auto"/>
                <w:szCs w:val="21"/>
                <w:highlight w:val="none"/>
              </w:rPr>
            </w:pPr>
            <w:r>
              <w:rPr>
                <w:rFonts w:hint="eastAsia" w:ascii="宋体" w:hAnsi="宋体" w:cs="宋体"/>
                <w:color w:val="auto"/>
                <w:szCs w:val="21"/>
                <w:highlight w:val="none"/>
              </w:rPr>
              <w:t>资格审查前，投标人须在广州市住建行业信用管理平台内建立企业信用档案及拟担任本工程项目负责人、专职安全员须是本企业中的在册人员；</w:t>
            </w:r>
          </w:p>
        </w:tc>
        <w:tc>
          <w:tcPr>
            <w:tcW w:w="7612" w:type="dxa"/>
            <w:tcBorders>
              <w:top w:val="single" w:color="auto" w:sz="4" w:space="0"/>
              <w:left w:val="single" w:color="auto" w:sz="4" w:space="0"/>
              <w:bottom w:val="single" w:color="auto" w:sz="4" w:space="0"/>
              <w:right w:val="single" w:color="auto" w:sz="4" w:space="0"/>
            </w:tcBorders>
            <w:vAlign w:val="center"/>
          </w:tcPr>
          <w:p w14:paraId="5EA3F812">
            <w:pPr>
              <w:spacing w:before="120" w:after="60"/>
              <w:jc w:val="left"/>
              <w:rPr>
                <w:rFonts w:hint="eastAsia" w:ascii="宋体" w:hAnsi="宋体" w:cs="宋体"/>
                <w:color w:val="auto"/>
                <w:szCs w:val="21"/>
                <w:highlight w:val="none"/>
              </w:rPr>
            </w:pPr>
            <w:r>
              <w:rPr>
                <w:rFonts w:hint="eastAsia" w:ascii="宋体" w:hAnsi="宋体" w:cs="宋体"/>
                <w:color w:val="auto"/>
                <w:szCs w:val="21"/>
                <w:highlight w:val="none"/>
              </w:rPr>
              <w:t>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tc>
        <w:tc>
          <w:tcPr>
            <w:tcW w:w="1086" w:type="dxa"/>
            <w:tcBorders>
              <w:top w:val="single" w:color="auto" w:sz="4" w:space="0"/>
              <w:left w:val="single" w:color="auto" w:sz="4" w:space="0"/>
              <w:bottom w:val="single" w:color="auto" w:sz="4" w:space="0"/>
              <w:right w:val="single" w:color="auto" w:sz="4" w:space="0"/>
            </w:tcBorders>
            <w:vAlign w:val="center"/>
          </w:tcPr>
          <w:p w14:paraId="47DD9BA0">
            <w:pPr>
              <w:spacing w:before="120" w:after="60"/>
              <w:jc w:val="center"/>
              <w:rPr>
                <w:rFonts w:hint="eastAsia" w:ascii="宋体" w:hAnsi="宋体" w:cs="宋体"/>
                <w:color w:val="auto"/>
                <w:szCs w:val="21"/>
                <w:highlight w:val="none"/>
              </w:rPr>
            </w:pPr>
          </w:p>
        </w:tc>
      </w:tr>
      <w:tr w14:paraId="44AC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3D0105EF">
            <w:pPr>
              <w:spacing w:before="120" w:after="6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p>
        </w:tc>
        <w:tc>
          <w:tcPr>
            <w:tcW w:w="5246" w:type="dxa"/>
            <w:tcBorders>
              <w:top w:val="single" w:color="auto" w:sz="4" w:space="0"/>
              <w:left w:val="single" w:color="auto" w:sz="4" w:space="0"/>
              <w:bottom w:val="single" w:color="auto" w:sz="4" w:space="0"/>
              <w:right w:val="single" w:color="auto" w:sz="4" w:space="0"/>
            </w:tcBorders>
            <w:vAlign w:val="center"/>
          </w:tcPr>
          <w:p w14:paraId="5D2BECD7">
            <w:pPr>
              <w:spacing w:before="120" w:after="60"/>
              <w:rPr>
                <w:rFonts w:hint="eastAsia" w:ascii="宋体" w:hAnsi="宋体" w:cs="宋体"/>
                <w:color w:val="auto"/>
                <w:szCs w:val="21"/>
                <w:highlight w:val="none"/>
              </w:rPr>
            </w:pPr>
            <w:r>
              <w:rPr>
                <w:rFonts w:hint="eastAsia" w:ascii="宋体" w:hAnsi="宋体" w:cs="宋体"/>
                <w:color w:val="auto"/>
                <w:szCs w:val="21"/>
                <w:highlight w:val="none"/>
              </w:rPr>
              <w:t>投标人未出现以下情形：与其它投标人的单位负责人为同一人或者存在控股、管理关系的（按投标人提供的《投标人声明》第</w:t>
            </w: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条内容进行评审）；</w:t>
            </w:r>
          </w:p>
        </w:tc>
        <w:tc>
          <w:tcPr>
            <w:tcW w:w="7612" w:type="dxa"/>
            <w:tcBorders>
              <w:top w:val="single" w:color="auto" w:sz="4" w:space="0"/>
              <w:left w:val="single" w:color="auto" w:sz="4" w:space="0"/>
              <w:bottom w:val="single" w:color="auto" w:sz="4" w:space="0"/>
              <w:right w:val="single" w:color="auto" w:sz="4" w:space="0"/>
            </w:tcBorders>
            <w:vAlign w:val="center"/>
          </w:tcPr>
          <w:p w14:paraId="17452878">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bCs/>
                <w:color w:val="auto"/>
                <w:sz w:val="21"/>
                <w:szCs w:val="21"/>
                <w:highlight w:val="none"/>
                <w:u w:val="single"/>
                <w:lang w:eastAsia="zh-CN"/>
              </w:rPr>
            </w:pPr>
            <w:r>
              <w:rPr>
                <w:rFonts w:hint="eastAsia" w:ascii="宋体" w:hAnsi="宋体" w:eastAsia="宋体" w:cs="宋体"/>
                <w:color w:val="auto"/>
                <w:sz w:val="21"/>
                <w:szCs w:val="21"/>
                <w:highlight w:val="none"/>
                <w:u w:val="single"/>
              </w:rPr>
              <w:t>《投标人声明》</w:t>
            </w:r>
            <w:r>
              <w:rPr>
                <w:rFonts w:hint="eastAsia" w:ascii="宋体" w:hAnsi="宋体" w:eastAsia="宋体" w:cs="宋体"/>
                <w:bCs/>
                <w:color w:val="auto"/>
                <w:sz w:val="21"/>
                <w:szCs w:val="21"/>
                <w:highlight w:val="none"/>
                <w:u w:val="single"/>
                <w:lang w:eastAsia="zh-CN"/>
              </w:rPr>
              <w:t>扫描件。</w:t>
            </w:r>
          </w:p>
          <w:p w14:paraId="0BCA7758">
            <w:pPr>
              <w:spacing w:before="120" w:after="60"/>
              <w:jc w:val="left"/>
              <w:rPr>
                <w:rFonts w:hint="eastAsia" w:ascii="宋体" w:hAnsi="宋体" w:cs="宋体"/>
                <w:color w:val="auto"/>
                <w:szCs w:val="21"/>
                <w:highlight w:val="none"/>
              </w:rPr>
            </w:pPr>
            <w:r>
              <w:rPr>
                <w:rFonts w:hint="eastAsia"/>
                <w:color w:val="auto"/>
                <w:highlight w:val="none"/>
                <w:lang w:val="en-US" w:eastAsia="zh-CN"/>
              </w:rPr>
              <w:t>若投标人未列全符合相关条件的单位，但同时未列全的相关单位未参与本项目投标的，不视为该投标人违反了本条规定，不作为对其投标文件进行无效标处理的依据。</w:t>
            </w:r>
          </w:p>
        </w:tc>
        <w:tc>
          <w:tcPr>
            <w:tcW w:w="1086" w:type="dxa"/>
            <w:tcBorders>
              <w:top w:val="single" w:color="auto" w:sz="4" w:space="0"/>
              <w:left w:val="single" w:color="auto" w:sz="4" w:space="0"/>
              <w:bottom w:val="single" w:color="auto" w:sz="4" w:space="0"/>
              <w:right w:val="single" w:color="auto" w:sz="4" w:space="0"/>
            </w:tcBorders>
            <w:vAlign w:val="center"/>
          </w:tcPr>
          <w:p w14:paraId="4AD72897">
            <w:pPr>
              <w:spacing w:before="120" w:after="60"/>
              <w:jc w:val="center"/>
              <w:rPr>
                <w:rFonts w:hint="eastAsia" w:ascii="宋体" w:hAnsi="宋体" w:cs="宋体"/>
                <w:color w:val="auto"/>
                <w:szCs w:val="21"/>
                <w:highlight w:val="none"/>
              </w:rPr>
            </w:pPr>
          </w:p>
        </w:tc>
      </w:tr>
      <w:tr w14:paraId="393C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187A9C15">
            <w:pPr>
              <w:spacing w:before="120" w:after="6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p>
        </w:tc>
        <w:tc>
          <w:tcPr>
            <w:tcW w:w="5246" w:type="dxa"/>
            <w:tcBorders>
              <w:top w:val="single" w:color="auto" w:sz="4" w:space="0"/>
              <w:left w:val="single" w:color="auto" w:sz="4" w:space="0"/>
              <w:bottom w:val="single" w:color="auto" w:sz="4" w:space="0"/>
              <w:right w:val="single" w:color="auto" w:sz="4" w:space="0"/>
            </w:tcBorders>
            <w:vAlign w:val="center"/>
          </w:tcPr>
          <w:p w14:paraId="5F15115D">
            <w:pPr>
              <w:spacing w:before="120" w:after="60"/>
              <w:jc w:val="left"/>
              <w:rPr>
                <w:rFonts w:hint="eastAsia" w:ascii="宋体" w:hAnsi="宋体" w:cs="宋体"/>
                <w:color w:val="auto"/>
                <w:szCs w:val="21"/>
                <w:highlight w:val="none"/>
              </w:rPr>
            </w:pPr>
            <w:r>
              <w:rPr>
                <w:rFonts w:hint="eastAsia" w:ascii="宋体" w:hAnsi="宋体" w:cs="宋体"/>
                <w:color w:val="auto"/>
                <w:szCs w:val="21"/>
                <w:highlight w:val="none"/>
              </w:rPr>
              <w:t>投标人未被列入拖欠农民工工资失信联合惩戒对象名单和失信被执行人；</w:t>
            </w:r>
          </w:p>
        </w:tc>
        <w:tc>
          <w:tcPr>
            <w:tcW w:w="7612" w:type="dxa"/>
            <w:tcBorders>
              <w:top w:val="single" w:color="auto" w:sz="4" w:space="0"/>
              <w:left w:val="single" w:color="auto" w:sz="4" w:space="0"/>
              <w:bottom w:val="single" w:color="auto" w:sz="4" w:space="0"/>
              <w:right w:val="single" w:color="auto" w:sz="4" w:space="0"/>
            </w:tcBorders>
            <w:vAlign w:val="center"/>
          </w:tcPr>
          <w:p w14:paraId="40EE8761">
            <w:pPr>
              <w:spacing w:before="120" w:after="60"/>
              <w:jc w:val="left"/>
              <w:rPr>
                <w:rFonts w:hint="eastAsia" w:ascii="宋体" w:hAnsi="宋体" w:cs="宋体"/>
                <w:color w:val="auto"/>
                <w:szCs w:val="21"/>
                <w:highlight w:val="none"/>
              </w:rPr>
            </w:pPr>
            <w:r>
              <w:rPr>
                <w:rFonts w:hint="eastAsia" w:ascii="宋体" w:hAnsi="宋体" w:cs="宋体"/>
                <w:color w:val="auto"/>
                <w:szCs w:val="21"/>
                <w:highlight w:val="none"/>
              </w:rPr>
              <w:t>投标人无需提供资料，按投标截止时间广州交易集团有限公司（广州公共资源交易中心）交易系统比对的结果进行评审；</w:t>
            </w:r>
          </w:p>
        </w:tc>
        <w:tc>
          <w:tcPr>
            <w:tcW w:w="1086" w:type="dxa"/>
            <w:tcBorders>
              <w:top w:val="single" w:color="auto" w:sz="4" w:space="0"/>
              <w:left w:val="single" w:color="auto" w:sz="4" w:space="0"/>
              <w:bottom w:val="single" w:color="auto" w:sz="4" w:space="0"/>
              <w:right w:val="single" w:color="auto" w:sz="4" w:space="0"/>
            </w:tcBorders>
            <w:vAlign w:val="center"/>
          </w:tcPr>
          <w:p w14:paraId="0C427829">
            <w:pPr>
              <w:spacing w:before="120" w:after="60"/>
              <w:jc w:val="center"/>
              <w:rPr>
                <w:rFonts w:hint="eastAsia" w:ascii="宋体" w:hAnsi="宋体" w:cs="宋体"/>
                <w:color w:val="auto"/>
                <w:szCs w:val="21"/>
                <w:highlight w:val="none"/>
              </w:rPr>
            </w:pPr>
          </w:p>
        </w:tc>
      </w:tr>
      <w:tr w14:paraId="3475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82512FE">
            <w:pPr>
              <w:spacing w:before="120" w:after="6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p>
        </w:tc>
        <w:tc>
          <w:tcPr>
            <w:tcW w:w="5246" w:type="dxa"/>
            <w:tcBorders>
              <w:top w:val="single" w:color="auto" w:sz="4" w:space="0"/>
              <w:left w:val="single" w:color="auto" w:sz="4" w:space="0"/>
              <w:bottom w:val="single" w:color="auto" w:sz="4" w:space="0"/>
              <w:right w:val="single" w:color="auto" w:sz="4" w:space="0"/>
            </w:tcBorders>
            <w:vAlign w:val="center"/>
          </w:tcPr>
          <w:p w14:paraId="42877A46">
            <w:pPr>
              <w:spacing w:before="120" w:after="6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未在以往工程中因不充分履约行为被本项目招标人书面拒绝投标的</w:t>
            </w:r>
            <w:r>
              <w:rPr>
                <w:rFonts w:hint="eastAsia" w:ascii="宋体" w:hAnsi="宋体" w:cs="宋体"/>
                <w:color w:val="auto"/>
                <w:szCs w:val="21"/>
                <w:highlight w:val="none"/>
                <w:lang w:eastAsia="zh-CN"/>
              </w:rPr>
              <w:t>。</w:t>
            </w:r>
          </w:p>
        </w:tc>
        <w:tc>
          <w:tcPr>
            <w:tcW w:w="7612" w:type="dxa"/>
            <w:tcBorders>
              <w:top w:val="single" w:color="auto" w:sz="4" w:space="0"/>
              <w:left w:val="single" w:color="auto" w:sz="4" w:space="0"/>
              <w:bottom w:val="single" w:color="auto" w:sz="4" w:space="0"/>
              <w:right w:val="single" w:color="auto" w:sz="4" w:space="0"/>
            </w:tcBorders>
            <w:vAlign w:val="center"/>
          </w:tcPr>
          <w:p w14:paraId="040FCD24">
            <w:pPr>
              <w:spacing w:before="120" w:after="60"/>
              <w:jc w:val="left"/>
              <w:rPr>
                <w:rFonts w:hint="eastAsia" w:ascii="宋体" w:hAnsi="宋体" w:cs="宋体"/>
                <w:color w:val="auto"/>
                <w:szCs w:val="21"/>
                <w:highlight w:val="none"/>
              </w:rPr>
            </w:pPr>
            <w:r>
              <w:rPr>
                <w:rFonts w:hint="eastAsia" w:ascii="宋体" w:hAnsi="宋体" w:cs="宋体"/>
                <w:color w:val="auto"/>
                <w:szCs w:val="21"/>
                <w:highlight w:val="none"/>
              </w:rPr>
              <w:t>招标人无书面拒绝投标的企业名单。</w:t>
            </w:r>
          </w:p>
        </w:tc>
        <w:tc>
          <w:tcPr>
            <w:tcW w:w="1086" w:type="dxa"/>
            <w:tcBorders>
              <w:top w:val="single" w:color="auto" w:sz="4" w:space="0"/>
              <w:left w:val="single" w:color="auto" w:sz="4" w:space="0"/>
              <w:bottom w:val="single" w:color="auto" w:sz="4" w:space="0"/>
              <w:right w:val="single" w:color="auto" w:sz="4" w:space="0"/>
            </w:tcBorders>
            <w:vAlign w:val="center"/>
          </w:tcPr>
          <w:p w14:paraId="44B321AF">
            <w:pPr>
              <w:spacing w:before="120" w:after="60"/>
              <w:jc w:val="center"/>
              <w:rPr>
                <w:rFonts w:hint="eastAsia" w:ascii="宋体" w:hAnsi="宋体" w:cs="宋体"/>
                <w:color w:val="auto"/>
                <w:szCs w:val="21"/>
                <w:highlight w:val="none"/>
              </w:rPr>
            </w:pPr>
          </w:p>
        </w:tc>
      </w:tr>
    </w:tbl>
    <w:p w14:paraId="063EADA8">
      <w:pPr>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 xml:space="preserve">备注：1、每一项目符合的打“○”，不符合的打“×”； </w:t>
      </w:r>
    </w:p>
    <w:p w14:paraId="28DD8FB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2、若评委意见不一致时，则按少数服从多数的原则，作出评审结论。汇总后，出现一个“×”的结论为“不通过”。</w:t>
      </w:r>
    </w:p>
    <w:p w14:paraId="31BE4AD7">
      <w:pPr>
        <w:ind w:firstLine="420" w:firstLineChars="200"/>
        <w:rPr>
          <w:rFonts w:hint="eastAsia" w:ascii="宋体" w:hAnsi="宋体" w:cs="宋体"/>
          <w:b/>
          <w:bCs/>
          <w:color w:val="auto"/>
          <w:highlight w:val="none"/>
          <w:u w:val="single"/>
        </w:rPr>
        <w:sectPr>
          <w:endnotePr>
            <w:numFmt w:val="decimal"/>
          </w:endnotePr>
          <w:pgSz w:w="16838" w:h="11906" w:orient="landscape"/>
          <w:pgMar w:top="1440" w:right="1080" w:bottom="1440" w:left="1080" w:header="851" w:footer="907" w:gutter="0"/>
          <w:cols w:space="720" w:num="1"/>
          <w:titlePg/>
          <w:docGrid w:type="linesAndChars" w:linePitch="312" w:charSpace="0"/>
        </w:sectPr>
      </w:pPr>
      <w:r>
        <w:rPr>
          <w:rFonts w:hint="eastAsia" w:ascii="宋体" w:hAnsi="宋体" w:cs="宋体"/>
          <w:b/>
          <w:bCs/>
          <w:color w:val="auto"/>
          <w:szCs w:val="21"/>
          <w:highlight w:val="none"/>
          <w:u w:val="singl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6037FE91">
      <w:pPr>
        <w:pStyle w:val="3"/>
        <w:spacing w:line="240" w:lineRule="auto"/>
        <w:jc w:val="left"/>
        <w:rPr>
          <w:rFonts w:hint="eastAsia"/>
          <w:color w:val="auto"/>
          <w:highlight w:val="none"/>
        </w:rPr>
      </w:pPr>
      <w:bookmarkStart w:id="170" w:name="_Toc9663"/>
      <w:bookmarkStart w:id="171" w:name="_Toc21395"/>
      <w:bookmarkStart w:id="172" w:name="_Toc9180"/>
      <w:bookmarkStart w:id="173" w:name="_Toc9291"/>
      <w:bookmarkStart w:id="174" w:name="_Toc14138"/>
      <w:bookmarkStart w:id="175" w:name="_Toc25570"/>
      <w:bookmarkStart w:id="176" w:name="_Toc18533"/>
      <w:bookmarkStart w:id="177" w:name="_Toc29687"/>
      <w:bookmarkStart w:id="178" w:name="_Toc26098"/>
      <w:bookmarkStart w:id="179" w:name="_Toc28701"/>
      <w:bookmarkStart w:id="180" w:name="_Toc30974"/>
      <w:bookmarkStart w:id="181" w:name="_Toc28868"/>
      <w:r>
        <w:rPr>
          <w:rFonts w:hint="eastAsia"/>
          <w:color w:val="auto"/>
          <w:highlight w:val="none"/>
        </w:rPr>
        <w:t>附表二</w:t>
      </w:r>
      <w:bookmarkEnd w:id="170"/>
      <w:bookmarkEnd w:id="171"/>
      <w:bookmarkEnd w:id="172"/>
      <w:bookmarkEnd w:id="173"/>
      <w:bookmarkEnd w:id="174"/>
      <w:bookmarkEnd w:id="175"/>
      <w:bookmarkEnd w:id="176"/>
      <w:bookmarkEnd w:id="177"/>
      <w:bookmarkEnd w:id="178"/>
      <w:bookmarkEnd w:id="179"/>
      <w:bookmarkEnd w:id="180"/>
      <w:bookmarkEnd w:id="181"/>
    </w:p>
    <w:p w14:paraId="1951D706">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技术标有效性审查表</w:t>
      </w:r>
    </w:p>
    <w:p w14:paraId="0D196E6C">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25"/>
        <w:tblW w:w="14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0546"/>
        <w:gridCol w:w="840"/>
        <w:gridCol w:w="860"/>
        <w:gridCol w:w="880"/>
        <w:gridCol w:w="890"/>
      </w:tblGrid>
      <w:tr w14:paraId="7CA8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23" w:type="dxa"/>
            <w:tcBorders>
              <w:top w:val="single" w:color="auto" w:sz="4" w:space="0"/>
              <w:left w:val="single" w:color="auto" w:sz="4" w:space="0"/>
              <w:bottom w:val="single" w:color="auto" w:sz="4" w:space="0"/>
              <w:right w:val="single" w:color="auto" w:sz="4" w:space="0"/>
            </w:tcBorders>
            <w:vAlign w:val="center"/>
          </w:tcPr>
          <w:p w14:paraId="00BD57CF">
            <w:pPr>
              <w:adjustRightInd w:val="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0546" w:type="dxa"/>
            <w:tcBorders>
              <w:top w:val="single" w:color="auto" w:sz="4" w:space="0"/>
              <w:left w:val="single" w:color="auto" w:sz="4" w:space="0"/>
              <w:bottom w:val="single" w:color="auto" w:sz="4" w:space="0"/>
              <w:right w:val="single" w:color="auto" w:sz="4" w:space="0"/>
              <w:tl2br w:val="single" w:color="auto" w:sz="4" w:space="0"/>
            </w:tcBorders>
          </w:tcPr>
          <w:p w14:paraId="035B39C5">
            <w:pPr>
              <w:adjustRightInd w:val="0"/>
              <w:ind w:firstLine="4830" w:firstLineChars="2300"/>
              <w:rPr>
                <w:rFonts w:hint="eastAsia" w:ascii="宋体" w:hAnsi="宋体" w:cs="宋体"/>
                <w:color w:val="auto"/>
                <w:szCs w:val="21"/>
                <w:highlight w:val="none"/>
              </w:rPr>
            </w:pPr>
            <w:r>
              <w:rPr>
                <w:rFonts w:hint="eastAsia" w:ascii="宋体" w:hAnsi="宋体" w:cs="宋体"/>
                <w:color w:val="auto"/>
                <w:szCs w:val="21"/>
                <w:highlight w:val="none"/>
              </w:rPr>
              <w:t>投标人</w:t>
            </w:r>
          </w:p>
          <w:p w14:paraId="6CA2E453">
            <w:pPr>
              <w:adjustRightInd w:val="0"/>
              <w:rPr>
                <w:rFonts w:hint="eastAsia" w:ascii="宋体" w:hAnsi="宋体" w:cs="宋体"/>
                <w:color w:val="auto"/>
                <w:szCs w:val="21"/>
                <w:highlight w:val="none"/>
              </w:rPr>
            </w:pPr>
            <w:r>
              <w:rPr>
                <w:rFonts w:hint="eastAsia" w:ascii="宋体" w:hAnsi="宋体" w:cs="宋体"/>
                <w:color w:val="auto"/>
                <w:szCs w:val="21"/>
                <w:highlight w:val="none"/>
              </w:rPr>
              <w:t>评审内容</w:t>
            </w:r>
          </w:p>
        </w:tc>
        <w:tc>
          <w:tcPr>
            <w:tcW w:w="840" w:type="dxa"/>
            <w:tcBorders>
              <w:top w:val="single" w:color="auto" w:sz="4" w:space="0"/>
              <w:left w:val="single" w:color="auto" w:sz="4" w:space="0"/>
              <w:bottom w:val="single" w:color="auto" w:sz="4" w:space="0"/>
              <w:right w:val="single" w:color="auto" w:sz="4" w:space="0"/>
            </w:tcBorders>
          </w:tcPr>
          <w:p w14:paraId="0BE45ADE">
            <w:pPr>
              <w:adjustRightInd w:val="0"/>
              <w:rPr>
                <w:rFonts w:hint="eastAsia" w:ascii="宋体" w:hAnsi="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tcPr>
          <w:p w14:paraId="6B6F2D2E">
            <w:pPr>
              <w:adjustRightInd w:val="0"/>
              <w:rPr>
                <w:rFonts w:hint="eastAsia"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156AD2F8">
            <w:pPr>
              <w:adjustRightInd w:val="0"/>
              <w:rPr>
                <w:rFonts w:hint="eastAsia" w:ascii="宋体" w:hAnsi="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tcPr>
          <w:p w14:paraId="253817E5">
            <w:pPr>
              <w:adjustRightInd w:val="0"/>
              <w:rPr>
                <w:rFonts w:hint="eastAsia" w:ascii="宋体" w:hAnsi="宋体" w:cs="宋体"/>
                <w:color w:val="auto"/>
                <w:szCs w:val="21"/>
                <w:highlight w:val="none"/>
              </w:rPr>
            </w:pPr>
          </w:p>
        </w:tc>
      </w:tr>
      <w:tr w14:paraId="5952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23" w:type="dxa"/>
            <w:tcBorders>
              <w:top w:val="single" w:color="auto" w:sz="4" w:space="0"/>
              <w:left w:val="single" w:color="auto" w:sz="4" w:space="0"/>
              <w:bottom w:val="single" w:color="auto" w:sz="4" w:space="0"/>
              <w:right w:val="single" w:color="auto" w:sz="4" w:space="0"/>
            </w:tcBorders>
            <w:vAlign w:val="center"/>
          </w:tcPr>
          <w:p w14:paraId="5A33D7AF">
            <w:pPr>
              <w:adjustRightInd w:val="0"/>
              <w:rPr>
                <w:rFonts w:hint="eastAsia" w:ascii="宋体" w:hAnsi="宋体" w:cs="宋体"/>
                <w:color w:val="auto"/>
                <w:szCs w:val="21"/>
                <w:highlight w:val="none"/>
              </w:rPr>
            </w:pPr>
            <w:r>
              <w:rPr>
                <w:rFonts w:hint="eastAsia" w:ascii="宋体" w:hAnsi="宋体" w:cs="宋体"/>
                <w:color w:val="auto"/>
                <w:szCs w:val="21"/>
                <w:highlight w:val="none"/>
              </w:rPr>
              <w:t>1</w:t>
            </w:r>
          </w:p>
        </w:tc>
        <w:tc>
          <w:tcPr>
            <w:tcW w:w="10546" w:type="dxa"/>
            <w:tcBorders>
              <w:top w:val="single" w:color="auto" w:sz="4" w:space="0"/>
              <w:left w:val="single" w:color="auto" w:sz="4" w:space="0"/>
              <w:bottom w:val="single" w:color="auto" w:sz="4" w:space="0"/>
              <w:right w:val="single" w:color="auto" w:sz="4" w:space="0"/>
            </w:tcBorders>
            <w:vAlign w:val="center"/>
          </w:tcPr>
          <w:p w14:paraId="13827EE8">
            <w:pPr>
              <w:adjustRightIn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《广州建设工程施工招标投标书（技术标）》中填报的投标总工期不符合招标文件要求的；</w:t>
            </w:r>
          </w:p>
        </w:tc>
        <w:tc>
          <w:tcPr>
            <w:tcW w:w="840" w:type="dxa"/>
            <w:tcBorders>
              <w:top w:val="single" w:color="auto" w:sz="4" w:space="0"/>
              <w:left w:val="single" w:color="auto" w:sz="4" w:space="0"/>
              <w:bottom w:val="single" w:color="auto" w:sz="4" w:space="0"/>
              <w:right w:val="single" w:color="auto" w:sz="4" w:space="0"/>
            </w:tcBorders>
          </w:tcPr>
          <w:p w14:paraId="428FA956">
            <w:pPr>
              <w:adjustRightInd w:val="0"/>
              <w:rPr>
                <w:rFonts w:hint="eastAsia" w:ascii="宋体" w:hAnsi="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tcPr>
          <w:p w14:paraId="5EBC1BBC">
            <w:pPr>
              <w:adjustRightInd w:val="0"/>
              <w:rPr>
                <w:rFonts w:hint="eastAsia"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663BA39D">
            <w:pPr>
              <w:adjustRightInd w:val="0"/>
              <w:rPr>
                <w:rFonts w:hint="eastAsia" w:ascii="宋体" w:hAnsi="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tcPr>
          <w:p w14:paraId="099A55A2">
            <w:pPr>
              <w:adjustRightInd w:val="0"/>
              <w:rPr>
                <w:rFonts w:hint="eastAsia" w:ascii="宋体" w:hAnsi="宋体" w:cs="宋体"/>
                <w:color w:val="auto"/>
                <w:szCs w:val="21"/>
                <w:highlight w:val="none"/>
              </w:rPr>
            </w:pPr>
          </w:p>
        </w:tc>
      </w:tr>
      <w:tr w14:paraId="665B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23" w:type="dxa"/>
            <w:tcBorders>
              <w:top w:val="single" w:color="auto" w:sz="4" w:space="0"/>
              <w:left w:val="single" w:color="auto" w:sz="4" w:space="0"/>
              <w:bottom w:val="single" w:color="auto" w:sz="4" w:space="0"/>
              <w:right w:val="single" w:color="auto" w:sz="4" w:space="0"/>
            </w:tcBorders>
            <w:vAlign w:val="center"/>
          </w:tcPr>
          <w:p w14:paraId="756CA79D">
            <w:pPr>
              <w:adjustRightInd w:val="0"/>
              <w:rPr>
                <w:rFonts w:hint="eastAsia" w:ascii="宋体" w:hAnsi="宋体" w:cs="宋体"/>
                <w:color w:val="auto"/>
                <w:szCs w:val="21"/>
                <w:highlight w:val="none"/>
              </w:rPr>
            </w:pPr>
            <w:r>
              <w:rPr>
                <w:rFonts w:hint="eastAsia" w:ascii="宋体" w:hAnsi="宋体" w:cs="宋体"/>
                <w:color w:val="auto"/>
                <w:szCs w:val="21"/>
                <w:highlight w:val="none"/>
              </w:rPr>
              <w:t>2</w:t>
            </w:r>
          </w:p>
        </w:tc>
        <w:tc>
          <w:tcPr>
            <w:tcW w:w="10546" w:type="dxa"/>
            <w:tcBorders>
              <w:top w:val="single" w:color="auto" w:sz="4" w:space="0"/>
              <w:left w:val="single" w:color="auto" w:sz="4" w:space="0"/>
              <w:bottom w:val="single" w:color="auto" w:sz="4" w:space="0"/>
              <w:right w:val="single" w:color="auto" w:sz="4" w:space="0"/>
            </w:tcBorders>
            <w:vAlign w:val="center"/>
          </w:tcPr>
          <w:p w14:paraId="0458C71F">
            <w:pPr>
              <w:adjustRightInd w:val="0"/>
              <w:rPr>
                <w:rFonts w:hint="eastAsia" w:ascii="宋体" w:hAnsi="宋体" w:cs="宋体"/>
                <w:color w:val="auto"/>
                <w:szCs w:val="21"/>
                <w:highlight w:val="none"/>
              </w:rPr>
            </w:pPr>
            <w:r>
              <w:rPr>
                <w:rFonts w:hint="eastAsia" w:ascii="宋体" w:hAnsi="宋体" w:cs="宋体"/>
                <w:color w:val="auto"/>
                <w:szCs w:val="21"/>
                <w:highlight w:val="none"/>
                <w:u w:val="single"/>
              </w:rPr>
              <w:t>《广州建设工程施工招标投标书（技术标）》中填报的工程质量标准不符合招标文件要求的；</w:t>
            </w:r>
          </w:p>
        </w:tc>
        <w:tc>
          <w:tcPr>
            <w:tcW w:w="840" w:type="dxa"/>
            <w:tcBorders>
              <w:top w:val="single" w:color="auto" w:sz="4" w:space="0"/>
              <w:left w:val="single" w:color="auto" w:sz="4" w:space="0"/>
              <w:bottom w:val="single" w:color="auto" w:sz="4" w:space="0"/>
              <w:right w:val="single" w:color="auto" w:sz="4" w:space="0"/>
            </w:tcBorders>
          </w:tcPr>
          <w:p w14:paraId="1065EC3D">
            <w:pPr>
              <w:adjustRightInd w:val="0"/>
              <w:rPr>
                <w:rFonts w:hint="eastAsia" w:ascii="宋体" w:hAnsi="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tcPr>
          <w:p w14:paraId="3317E577">
            <w:pPr>
              <w:adjustRightInd w:val="0"/>
              <w:rPr>
                <w:rFonts w:hint="eastAsia"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211981F1">
            <w:pPr>
              <w:adjustRightInd w:val="0"/>
              <w:rPr>
                <w:rFonts w:hint="eastAsia" w:ascii="宋体" w:hAnsi="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tcPr>
          <w:p w14:paraId="4683C6C1">
            <w:pPr>
              <w:adjustRightInd w:val="0"/>
              <w:rPr>
                <w:rFonts w:hint="eastAsia" w:ascii="宋体" w:hAnsi="宋体" w:cs="宋体"/>
                <w:color w:val="auto"/>
                <w:szCs w:val="21"/>
                <w:highlight w:val="none"/>
              </w:rPr>
            </w:pPr>
          </w:p>
        </w:tc>
      </w:tr>
      <w:tr w14:paraId="5A15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34018C52">
            <w:pPr>
              <w:adjustRightIn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3</w:t>
            </w:r>
          </w:p>
        </w:tc>
        <w:tc>
          <w:tcPr>
            <w:tcW w:w="10546" w:type="dxa"/>
            <w:tcBorders>
              <w:top w:val="single" w:color="auto" w:sz="4" w:space="0"/>
              <w:left w:val="single" w:color="auto" w:sz="4" w:space="0"/>
              <w:bottom w:val="single" w:color="auto" w:sz="4" w:space="0"/>
              <w:right w:val="single" w:color="auto" w:sz="4" w:space="0"/>
            </w:tcBorders>
            <w:vAlign w:val="center"/>
          </w:tcPr>
          <w:p w14:paraId="531575F3">
            <w:pPr>
              <w:adjustRightInd w:val="0"/>
              <w:rPr>
                <w:rFonts w:hint="eastAsia" w:ascii="宋体" w:hAnsi="宋体" w:cs="宋体"/>
                <w:color w:val="auto"/>
                <w:szCs w:val="21"/>
                <w:highlight w:val="none"/>
              </w:rPr>
            </w:pPr>
            <w:r>
              <w:rPr>
                <w:rFonts w:hint="eastAsia" w:ascii="宋体" w:hAnsi="宋体" w:cs="宋体"/>
                <w:color w:val="auto"/>
                <w:szCs w:val="21"/>
                <w:highlight w:val="none"/>
              </w:rPr>
              <w:t>投标文件中没有有效的法定代表人证明书，或由委托代理人签署的投标文件中没有法定代表人授权书；</w:t>
            </w:r>
          </w:p>
        </w:tc>
        <w:tc>
          <w:tcPr>
            <w:tcW w:w="840" w:type="dxa"/>
            <w:tcBorders>
              <w:top w:val="single" w:color="auto" w:sz="4" w:space="0"/>
              <w:left w:val="single" w:color="auto" w:sz="4" w:space="0"/>
              <w:bottom w:val="single" w:color="auto" w:sz="4" w:space="0"/>
              <w:right w:val="single" w:color="auto" w:sz="4" w:space="0"/>
            </w:tcBorders>
          </w:tcPr>
          <w:p w14:paraId="2E6EC4CB">
            <w:pPr>
              <w:adjustRightInd w:val="0"/>
              <w:rPr>
                <w:rFonts w:hint="eastAsia" w:ascii="宋体" w:hAnsi="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tcPr>
          <w:p w14:paraId="5D1065C4">
            <w:pPr>
              <w:adjustRightInd w:val="0"/>
              <w:rPr>
                <w:rFonts w:hint="eastAsia"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325580A8">
            <w:pPr>
              <w:adjustRightInd w:val="0"/>
              <w:rPr>
                <w:rFonts w:hint="eastAsia" w:ascii="宋体" w:hAnsi="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tcPr>
          <w:p w14:paraId="362176A6">
            <w:pPr>
              <w:adjustRightInd w:val="0"/>
              <w:rPr>
                <w:rFonts w:hint="eastAsia" w:ascii="宋体" w:hAnsi="宋体" w:cs="宋体"/>
                <w:color w:val="auto"/>
                <w:szCs w:val="21"/>
                <w:highlight w:val="none"/>
              </w:rPr>
            </w:pPr>
          </w:p>
        </w:tc>
      </w:tr>
      <w:tr w14:paraId="4EB6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4F42AD7D">
            <w:pPr>
              <w:adjustRightIn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4</w:t>
            </w:r>
          </w:p>
        </w:tc>
        <w:tc>
          <w:tcPr>
            <w:tcW w:w="10546" w:type="dxa"/>
            <w:tcBorders>
              <w:top w:val="single" w:color="auto" w:sz="4" w:space="0"/>
              <w:left w:val="single" w:color="auto" w:sz="4" w:space="0"/>
              <w:bottom w:val="single" w:color="auto" w:sz="4" w:space="0"/>
              <w:right w:val="single" w:color="auto" w:sz="4" w:space="0"/>
            </w:tcBorders>
            <w:vAlign w:val="center"/>
          </w:tcPr>
          <w:p w14:paraId="4B6D9C67">
            <w:pPr>
              <w:adjustRightInd w:val="0"/>
              <w:rPr>
                <w:rFonts w:hint="eastAsia" w:ascii="宋体" w:hAnsi="宋体" w:cs="宋体"/>
                <w:color w:val="auto"/>
                <w:szCs w:val="21"/>
                <w:highlight w:val="none"/>
                <w:u w:val="single"/>
              </w:rPr>
            </w:pPr>
            <w:r>
              <w:rPr>
                <w:rFonts w:hint="eastAsia" w:ascii="宋体" w:hAnsi="宋体" w:cs="宋体"/>
                <w:color w:val="auto"/>
                <w:szCs w:val="21"/>
                <w:highlight w:val="none"/>
              </w:rPr>
              <w:t>投标文件未按规定的格式填写</w:t>
            </w:r>
            <w:r>
              <w:rPr>
                <w:rFonts w:hint="eastAsia" w:ascii="宋体" w:hAnsi="宋体" w:cs="宋体"/>
                <w:color w:val="auto"/>
                <w:szCs w:val="21"/>
                <w:highlight w:val="none"/>
                <w:u w:val="single"/>
              </w:rPr>
              <w:t>（指招标文件第四章提供格式的《广州建设工程施工招标投标书（技术标）》、《投标函》、《标函承诺书》、《项目负责人驻场承诺书》、《危险性较大的分部分项工程安全管理措施》</w:t>
            </w:r>
            <w:r>
              <w:rPr>
                <w:rFonts w:hint="eastAsia" w:ascii="宋体" w:hAnsi="宋体" w:cs="宋体"/>
                <w:color w:val="auto"/>
                <w:szCs w:val="21"/>
                <w:highlight w:val="none"/>
              </w:rPr>
              <w:t>，或主要内容（指投标文件组成内容）不全，或关键字迹模糊、无法辨认的；</w:t>
            </w:r>
          </w:p>
        </w:tc>
        <w:tc>
          <w:tcPr>
            <w:tcW w:w="840" w:type="dxa"/>
            <w:tcBorders>
              <w:top w:val="single" w:color="auto" w:sz="4" w:space="0"/>
              <w:left w:val="single" w:color="auto" w:sz="4" w:space="0"/>
              <w:bottom w:val="single" w:color="auto" w:sz="4" w:space="0"/>
              <w:right w:val="single" w:color="auto" w:sz="4" w:space="0"/>
            </w:tcBorders>
          </w:tcPr>
          <w:p w14:paraId="1B3F5ABE">
            <w:pPr>
              <w:adjustRightInd w:val="0"/>
              <w:rPr>
                <w:rFonts w:hint="eastAsia" w:ascii="宋体" w:hAnsi="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tcPr>
          <w:p w14:paraId="1AFC5975">
            <w:pPr>
              <w:adjustRightInd w:val="0"/>
              <w:rPr>
                <w:rFonts w:hint="eastAsia"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3C82E177">
            <w:pPr>
              <w:adjustRightInd w:val="0"/>
              <w:rPr>
                <w:rFonts w:hint="eastAsia" w:ascii="宋体" w:hAnsi="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tcPr>
          <w:p w14:paraId="6C7152C9">
            <w:pPr>
              <w:adjustRightInd w:val="0"/>
              <w:rPr>
                <w:rFonts w:hint="eastAsia" w:ascii="宋体" w:hAnsi="宋体" w:cs="宋体"/>
                <w:color w:val="auto"/>
                <w:szCs w:val="21"/>
                <w:highlight w:val="none"/>
              </w:rPr>
            </w:pPr>
          </w:p>
        </w:tc>
      </w:tr>
      <w:tr w14:paraId="645E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0C1CFAEE">
            <w:pPr>
              <w:adjustRightIn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5</w:t>
            </w:r>
          </w:p>
        </w:tc>
        <w:tc>
          <w:tcPr>
            <w:tcW w:w="10546" w:type="dxa"/>
            <w:tcBorders>
              <w:top w:val="single" w:color="auto" w:sz="4" w:space="0"/>
              <w:left w:val="single" w:color="auto" w:sz="4" w:space="0"/>
              <w:bottom w:val="single" w:color="auto" w:sz="4" w:space="0"/>
              <w:right w:val="single" w:color="auto" w:sz="4" w:space="0"/>
            </w:tcBorders>
            <w:vAlign w:val="center"/>
          </w:tcPr>
          <w:p w14:paraId="1C329413">
            <w:pPr>
              <w:adjustRightInd w:val="0"/>
              <w:rPr>
                <w:rFonts w:hint="eastAsia"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840" w:type="dxa"/>
            <w:tcBorders>
              <w:top w:val="single" w:color="auto" w:sz="4" w:space="0"/>
              <w:left w:val="single" w:color="auto" w:sz="4" w:space="0"/>
              <w:bottom w:val="single" w:color="auto" w:sz="4" w:space="0"/>
              <w:right w:val="single" w:color="auto" w:sz="4" w:space="0"/>
            </w:tcBorders>
          </w:tcPr>
          <w:p w14:paraId="6DCCE8C1">
            <w:pPr>
              <w:adjustRightInd w:val="0"/>
              <w:rPr>
                <w:rFonts w:hint="eastAsia" w:ascii="宋体" w:hAnsi="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tcPr>
          <w:p w14:paraId="7B5C4706">
            <w:pPr>
              <w:adjustRightInd w:val="0"/>
              <w:rPr>
                <w:rFonts w:hint="eastAsia"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6BF60911">
            <w:pPr>
              <w:adjustRightInd w:val="0"/>
              <w:rPr>
                <w:rFonts w:hint="eastAsia" w:ascii="宋体" w:hAnsi="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tcPr>
          <w:p w14:paraId="2D296964">
            <w:pPr>
              <w:adjustRightInd w:val="0"/>
              <w:rPr>
                <w:rFonts w:hint="eastAsia" w:ascii="宋体" w:hAnsi="宋体" w:cs="宋体"/>
                <w:color w:val="auto"/>
                <w:szCs w:val="21"/>
                <w:highlight w:val="none"/>
              </w:rPr>
            </w:pPr>
          </w:p>
        </w:tc>
      </w:tr>
      <w:tr w14:paraId="166C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tcBorders>
              <w:top w:val="single" w:color="auto" w:sz="4" w:space="0"/>
              <w:left w:val="single" w:color="auto" w:sz="4" w:space="0"/>
              <w:bottom w:val="single" w:color="auto" w:sz="4" w:space="0"/>
              <w:right w:val="single" w:color="auto" w:sz="4" w:space="0"/>
            </w:tcBorders>
            <w:vAlign w:val="center"/>
          </w:tcPr>
          <w:p w14:paraId="09B03EC0">
            <w:pPr>
              <w:adjustRightIn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6</w:t>
            </w:r>
          </w:p>
        </w:tc>
        <w:tc>
          <w:tcPr>
            <w:tcW w:w="10546" w:type="dxa"/>
            <w:tcBorders>
              <w:top w:val="single" w:color="auto" w:sz="4" w:space="0"/>
              <w:left w:val="single" w:color="auto" w:sz="4" w:space="0"/>
              <w:bottom w:val="single" w:color="auto" w:sz="4" w:space="0"/>
              <w:right w:val="single" w:color="auto" w:sz="4" w:space="0"/>
            </w:tcBorders>
            <w:vAlign w:val="center"/>
          </w:tcPr>
          <w:p w14:paraId="0E4C8157">
            <w:pPr>
              <w:adjustRightInd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无《参与编制技术标投标文件人员名单》的</w:t>
            </w:r>
            <w:r>
              <w:rPr>
                <w:rFonts w:hint="eastAsia" w:ascii="宋体" w:hAnsi="宋体" w:cs="宋体"/>
                <w:color w:val="auto"/>
                <w:szCs w:val="21"/>
                <w:highlight w:val="none"/>
                <w:lang w:eastAsia="zh-CN"/>
              </w:rPr>
              <w:t>，</w:t>
            </w:r>
            <w:r>
              <w:rPr>
                <w:rFonts w:hint="eastAsia"/>
                <w:color w:val="auto"/>
                <w:highlight w:val="none"/>
                <w:lang w:val="en-US" w:eastAsia="zh-CN"/>
              </w:rPr>
              <w:t>或未提供编制人员有效社保证明的；</w:t>
            </w:r>
          </w:p>
        </w:tc>
        <w:tc>
          <w:tcPr>
            <w:tcW w:w="840" w:type="dxa"/>
            <w:tcBorders>
              <w:top w:val="single" w:color="auto" w:sz="4" w:space="0"/>
              <w:left w:val="single" w:color="auto" w:sz="4" w:space="0"/>
              <w:bottom w:val="single" w:color="auto" w:sz="4" w:space="0"/>
              <w:right w:val="single" w:color="auto" w:sz="4" w:space="0"/>
            </w:tcBorders>
          </w:tcPr>
          <w:p w14:paraId="33C71C69">
            <w:pPr>
              <w:adjustRightInd w:val="0"/>
              <w:rPr>
                <w:rFonts w:hint="eastAsia" w:ascii="宋体" w:hAnsi="宋体" w:cs="宋体"/>
                <w:color w:val="auto"/>
                <w:szCs w:val="21"/>
                <w:highlight w:val="none"/>
                <w:shd w:val="pct10" w:color="auto" w:fill="FFFFFF"/>
              </w:rPr>
            </w:pPr>
          </w:p>
        </w:tc>
        <w:tc>
          <w:tcPr>
            <w:tcW w:w="860" w:type="dxa"/>
            <w:tcBorders>
              <w:top w:val="single" w:color="auto" w:sz="4" w:space="0"/>
              <w:left w:val="single" w:color="auto" w:sz="4" w:space="0"/>
              <w:bottom w:val="single" w:color="auto" w:sz="4" w:space="0"/>
              <w:right w:val="single" w:color="auto" w:sz="4" w:space="0"/>
            </w:tcBorders>
          </w:tcPr>
          <w:p w14:paraId="7102D313">
            <w:pPr>
              <w:adjustRightInd w:val="0"/>
              <w:rPr>
                <w:rFonts w:hint="eastAsia" w:ascii="宋体" w:hAnsi="宋体" w:cs="宋体"/>
                <w:color w:val="auto"/>
                <w:szCs w:val="21"/>
                <w:highlight w:val="none"/>
                <w:shd w:val="pct10" w:color="auto" w:fill="FFFFFF"/>
              </w:rPr>
            </w:pPr>
          </w:p>
        </w:tc>
        <w:tc>
          <w:tcPr>
            <w:tcW w:w="880" w:type="dxa"/>
            <w:tcBorders>
              <w:top w:val="single" w:color="auto" w:sz="4" w:space="0"/>
              <w:left w:val="single" w:color="auto" w:sz="4" w:space="0"/>
              <w:bottom w:val="single" w:color="auto" w:sz="4" w:space="0"/>
              <w:right w:val="single" w:color="auto" w:sz="4" w:space="0"/>
            </w:tcBorders>
          </w:tcPr>
          <w:p w14:paraId="68F12C62">
            <w:pPr>
              <w:adjustRightInd w:val="0"/>
              <w:rPr>
                <w:rFonts w:hint="eastAsia" w:ascii="宋体" w:hAnsi="宋体" w:cs="宋体"/>
                <w:color w:val="auto"/>
                <w:szCs w:val="21"/>
                <w:highlight w:val="none"/>
                <w:shd w:val="pct10" w:color="auto" w:fill="FFFFFF"/>
              </w:rPr>
            </w:pPr>
          </w:p>
        </w:tc>
        <w:tc>
          <w:tcPr>
            <w:tcW w:w="890" w:type="dxa"/>
            <w:tcBorders>
              <w:top w:val="single" w:color="auto" w:sz="4" w:space="0"/>
              <w:left w:val="single" w:color="auto" w:sz="4" w:space="0"/>
              <w:bottom w:val="single" w:color="auto" w:sz="4" w:space="0"/>
              <w:right w:val="single" w:color="auto" w:sz="4" w:space="0"/>
            </w:tcBorders>
          </w:tcPr>
          <w:p w14:paraId="7737CC09">
            <w:pPr>
              <w:adjustRightInd w:val="0"/>
              <w:rPr>
                <w:rFonts w:hint="eastAsia" w:ascii="宋体" w:hAnsi="宋体" w:cs="宋体"/>
                <w:color w:val="auto"/>
                <w:szCs w:val="21"/>
                <w:highlight w:val="none"/>
                <w:shd w:val="pct10" w:color="auto" w:fill="FFFFFF"/>
              </w:rPr>
            </w:pPr>
          </w:p>
        </w:tc>
      </w:tr>
      <w:tr w14:paraId="6D2C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39F70716">
            <w:pPr>
              <w:adjustRightIn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7</w:t>
            </w:r>
          </w:p>
        </w:tc>
        <w:tc>
          <w:tcPr>
            <w:tcW w:w="10546" w:type="dxa"/>
            <w:tcBorders>
              <w:top w:val="single" w:color="auto" w:sz="4" w:space="0"/>
              <w:left w:val="single" w:color="auto" w:sz="4" w:space="0"/>
              <w:bottom w:val="single" w:color="auto" w:sz="4" w:space="0"/>
              <w:right w:val="single" w:color="auto" w:sz="4" w:space="0"/>
            </w:tcBorders>
            <w:vAlign w:val="center"/>
          </w:tcPr>
          <w:p w14:paraId="43179B5C">
            <w:pPr>
              <w:adjustRightInd w:val="0"/>
              <w:rPr>
                <w:rFonts w:hint="eastAsia" w:ascii="宋体" w:hAnsi="宋体" w:cs="宋体"/>
                <w:color w:val="auto"/>
                <w:szCs w:val="21"/>
                <w:highlight w:val="none"/>
              </w:rPr>
            </w:pPr>
            <w:r>
              <w:rPr>
                <w:rFonts w:hint="eastAsia" w:ascii="宋体" w:hAnsi="宋体" w:cs="宋体"/>
                <w:color w:val="auto"/>
                <w:szCs w:val="21"/>
                <w:highlight w:val="none"/>
              </w:rPr>
              <w:t>投标人与</w:t>
            </w:r>
            <w:r>
              <w:rPr>
                <w:rFonts w:hint="eastAsia" w:ascii="宋体" w:hAnsi="宋体" w:cs="宋体"/>
                <w:color w:val="auto"/>
                <w:szCs w:val="21"/>
                <w:highlight w:val="none"/>
                <w:u w:val="single"/>
              </w:rPr>
              <w:t>本项目</w:t>
            </w:r>
            <w:r>
              <w:rPr>
                <w:rFonts w:hint="eastAsia" w:ascii="宋体" w:hAnsi="宋体" w:cs="宋体"/>
                <w:color w:val="auto"/>
                <w:szCs w:val="21"/>
                <w:highlight w:val="none"/>
              </w:rPr>
              <w:t>其他投标人加密打包投标文件电脑机器特征码一致的</w:t>
            </w:r>
            <w:r>
              <w:rPr>
                <w:rFonts w:hint="eastAsia" w:ascii="宋体" w:hAnsi="宋体" w:cs="宋体"/>
                <w:color w:val="auto"/>
                <w:szCs w:val="21"/>
                <w:highlight w:val="none"/>
                <w:u w:val="single"/>
              </w:rPr>
              <w:t>(以广州交易集团有限公司（广州公共资源交易中心）交易平台评标系统的检索信息为准)</w:t>
            </w:r>
            <w:r>
              <w:rPr>
                <w:rFonts w:hint="eastAsia" w:ascii="宋体" w:hAnsi="宋体" w:cs="宋体"/>
                <w:color w:val="auto"/>
                <w:szCs w:val="21"/>
                <w:highlight w:val="none"/>
              </w:rPr>
              <w:t>。</w:t>
            </w:r>
          </w:p>
        </w:tc>
        <w:tc>
          <w:tcPr>
            <w:tcW w:w="840" w:type="dxa"/>
            <w:tcBorders>
              <w:top w:val="single" w:color="auto" w:sz="4" w:space="0"/>
              <w:left w:val="single" w:color="auto" w:sz="4" w:space="0"/>
              <w:bottom w:val="single" w:color="auto" w:sz="4" w:space="0"/>
              <w:right w:val="single" w:color="auto" w:sz="4" w:space="0"/>
            </w:tcBorders>
          </w:tcPr>
          <w:p w14:paraId="3897EC9C">
            <w:pPr>
              <w:adjustRightInd w:val="0"/>
              <w:rPr>
                <w:rFonts w:hint="eastAsia" w:ascii="宋体" w:hAnsi="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tcPr>
          <w:p w14:paraId="47CD6950">
            <w:pPr>
              <w:adjustRightInd w:val="0"/>
              <w:rPr>
                <w:rFonts w:hint="eastAsia"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4BDDD843">
            <w:pPr>
              <w:adjustRightInd w:val="0"/>
              <w:rPr>
                <w:rFonts w:hint="eastAsia" w:ascii="宋体" w:hAnsi="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tcPr>
          <w:p w14:paraId="59B92566">
            <w:pPr>
              <w:adjustRightInd w:val="0"/>
              <w:rPr>
                <w:rFonts w:hint="eastAsia" w:ascii="宋体" w:hAnsi="宋体" w:cs="宋体"/>
                <w:color w:val="auto"/>
                <w:szCs w:val="21"/>
                <w:highlight w:val="none"/>
              </w:rPr>
            </w:pPr>
          </w:p>
        </w:tc>
      </w:tr>
    </w:tbl>
    <w:p w14:paraId="6D35FE44">
      <w:pPr>
        <w:rPr>
          <w:rFonts w:hint="eastAsia"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14:paraId="4E892D9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bCs/>
          <w:color w:val="auto"/>
          <w:szCs w:val="21"/>
          <w:highlight w:val="none"/>
          <w:u w:val="single"/>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w:t>
      </w:r>
      <w:r>
        <w:rPr>
          <w:rFonts w:hint="eastAsia" w:ascii="宋体" w:hAnsi="宋体" w:cs="宋体"/>
          <w:color w:val="auto"/>
          <w:szCs w:val="21"/>
          <w:highlight w:val="none"/>
        </w:rPr>
        <w:t>若出现评标委员会否决投标的，应在评标报告中载明否决投标的具体情形、原因；</w:t>
      </w:r>
    </w:p>
    <w:p w14:paraId="4D1EB98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3.凡出现以上任何一项情形，结论均为无效，否则就为有效。</w:t>
      </w:r>
    </w:p>
    <w:p w14:paraId="36C93D2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4.如对本表中某种情形的评审意见不一致时，以评标委员会过半数成员的意见作为评标委员会对该情形的认定结论。</w:t>
      </w:r>
    </w:p>
    <w:p w14:paraId="0FE4F7AE">
      <w:pPr>
        <w:rPr>
          <w:rFonts w:hint="eastAsia" w:ascii="宋体" w:hAnsi="宋体" w:cs="宋体"/>
          <w:color w:val="auto"/>
          <w:highlight w:val="none"/>
        </w:rPr>
      </w:pPr>
      <w:r>
        <w:rPr>
          <w:rFonts w:hint="eastAsia" w:ascii="宋体" w:hAnsi="宋体" w:cs="宋体"/>
          <w:color w:val="auto"/>
          <w:szCs w:val="21"/>
          <w:highlight w:val="none"/>
        </w:rPr>
        <w:t>评委签名：</w:t>
      </w:r>
    </w:p>
    <w:p w14:paraId="7CB77B3B">
      <w:pPr>
        <w:spacing w:line="360" w:lineRule="auto"/>
        <w:rPr>
          <w:rFonts w:hint="eastAsia" w:ascii="宋体" w:hAnsi="宋体" w:cs="宋体"/>
          <w:color w:val="auto"/>
          <w:highlight w:val="none"/>
        </w:rPr>
      </w:pPr>
    </w:p>
    <w:p w14:paraId="64F74398">
      <w:pPr>
        <w:pStyle w:val="3"/>
        <w:spacing w:line="360" w:lineRule="auto"/>
        <w:jc w:val="left"/>
        <w:rPr>
          <w:rFonts w:hint="eastAsia"/>
          <w:color w:val="auto"/>
          <w:highlight w:val="none"/>
        </w:rPr>
      </w:pPr>
      <w:bookmarkStart w:id="182" w:name="_Toc20352"/>
      <w:bookmarkStart w:id="183" w:name="_Toc5260"/>
      <w:bookmarkStart w:id="184" w:name="_Toc20279"/>
      <w:bookmarkStart w:id="185" w:name="_Toc20737"/>
      <w:bookmarkStart w:id="186" w:name="_Toc24169"/>
      <w:bookmarkStart w:id="187" w:name="_Toc21779"/>
      <w:bookmarkStart w:id="188" w:name="_Toc27099"/>
      <w:r>
        <w:rPr>
          <w:rFonts w:hint="eastAsia"/>
          <w:color w:val="auto"/>
          <w:highlight w:val="none"/>
        </w:rPr>
        <w:t>附表三</w:t>
      </w:r>
      <w:bookmarkEnd w:id="182"/>
      <w:bookmarkEnd w:id="183"/>
      <w:bookmarkEnd w:id="184"/>
      <w:bookmarkEnd w:id="185"/>
      <w:bookmarkEnd w:id="186"/>
      <w:bookmarkEnd w:id="187"/>
      <w:bookmarkEnd w:id="188"/>
    </w:p>
    <w:p w14:paraId="0A237536">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经济标有效性审查表</w:t>
      </w:r>
    </w:p>
    <w:p w14:paraId="7A0BF1A0">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25"/>
        <w:tblW w:w="14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9036"/>
        <w:gridCol w:w="843"/>
        <w:gridCol w:w="1038"/>
        <w:gridCol w:w="1038"/>
        <w:gridCol w:w="1038"/>
        <w:gridCol w:w="1038"/>
      </w:tblGrid>
      <w:tr w14:paraId="4856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32" w:type="dxa"/>
            <w:tcBorders>
              <w:top w:val="single" w:color="auto" w:sz="4" w:space="0"/>
              <w:left w:val="single" w:color="auto" w:sz="4" w:space="0"/>
              <w:bottom w:val="single" w:color="auto" w:sz="4" w:space="0"/>
              <w:right w:val="single" w:color="auto" w:sz="4" w:space="0"/>
            </w:tcBorders>
            <w:vAlign w:val="center"/>
          </w:tcPr>
          <w:p w14:paraId="2EB38943">
            <w:pP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9036" w:type="dxa"/>
            <w:tcBorders>
              <w:top w:val="single" w:color="auto" w:sz="4" w:space="0"/>
              <w:left w:val="single" w:color="auto" w:sz="4" w:space="0"/>
              <w:bottom w:val="single" w:color="auto" w:sz="4" w:space="0"/>
              <w:right w:val="single" w:color="auto" w:sz="4" w:space="0"/>
              <w:tl2br w:val="single" w:color="auto" w:sz="4" w:space="0"/>
            </w:tcBorders>
          </w:tcPr>
          <w:p w14:paraId="1F781EF3">
            <w:pPr>
              <w:ind w:firstLine="4830" w:firstLineChars="2300"/>
              <w:rPr>
                <w:rFonts w:hint="eastAsia" w:ascii="宋体" w:hAnsi="宋体" w:cs="宋体"/>
                <w:color w:val="auto"/>
                <w:szCs w:val="21"/>
                <w:highlight w:val="none"/>
              </w:rPr>
            </w:pPr>
            <w:r>
              <w:rPr>
                <w:rFonts w:hint="eastAsia" w:ascii="宋体" w:hAnsi="宋体" w:cs="宋体"/>
                <w:color w:val="auto"/>
                <w:szCs w:val="21"/>
                <w:highlight w:val="none"/>
              </w:rPr>
              <w:t>投标人</w:t>
            </w:r>
          </w:p>
          <w:p w14:paraId="268EBA96">
            <w:pPr>
              <w:rPr>
                <w:rFonts w:hint="eastAsia" w:ascii="宋体" w:hAnsi="宋体" w:cs="宋体"/>
                <w:color w:val="auto"/>
                <w:szCs w:val="21"/>
                <w:highlight w:val="none"/>
              </w:rPr>
            </w:pPr>
            <w:r>
              <w:rPr>
                <w:rFonts w:hint="eastAsia" w:ascii="宋体" w:hAnsi="宋体" w:cs="宋体"/>
                <w:color w:val="auto"/>
                <w:szCs w:val="21"/>
                <w:highlight w:val="none"/>
              </w:rPr>
              <w:t>评审内容</w:t>
            </w:r>
          </w:p>
        </w:tc>
        <w:tc>
          <w:tcPr>
            <w:tcW w:w="843" w:type="dxa"/>
            <w:tcBorders>
              <w:top w:val="single" w:color="auto" w:sz="4" w:space="0"/>
              <w:left w:val="single" w:color="auto" w:sz="4" w:space="0"/>
              <w:bottom w:val="single" w:color="auto" w:sz="4" w:space="0"/>
              <w:right w:val="single" w:color="auto" w:sz="4" w:space="0"/>
            </w:tcBorders>
          </w:tcPr>
          <w:p w14:paraId="1ED137B5">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501637D8">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37A0F20F">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3B4602DC">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2E5001B7">
            <w:pPr>
              <w:rPr>
                <w:rFonts w:hint="eastAsia" w:ascii="宋体" w:hAnsi="宋体" w:cs="宋体"/>
                <w:color w:val="auto"/>
                <w:szCs w:val="21"/>
                <w:highlight w:val="none"/>
              </w:rPr>
            </w:pPr>
          </w:p>
        </w:tc>
      </w:tr>
      <w:tr w14:paraId="366F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4C9B737">
            <w:pPr>
              <w:rPr>
                <w:rFonts w:hint="eastAsia" w:ascii="宋体" w:hAnsi="宋体" w:cs="宋体"/>
                <w:color w:val="auto"/>
                <w:szCs w:val="21"/>
                <w:highlight w:val="none"/>
              </w:rPr>
            </w:pPr>
            <w:r>
              <w:rPr>
                <w:rFonts w:hint="eastAsia" w:ascii="宋体" w:hAnsi="宋体" w:cs="宋体"/>
                <w:color w:val="auto"/>
                <w:szCs w:val="21"/>
                <w:highlight w:val="none"/>
              </w:rPr>
              <w:t>1</w:t>
            </w:r>
          </w:p>
        </w:tc>
        <w:tc>
          <w:tcPr>
            <w:tcW w:w="9036" w:type="dxa"/>
            <w:tcBorders>
              <w:top w:val="single" w:color="auto" w:sz="4" w:space="0"/>
              <w:left w:val="single" w:color="auto" w:sz="4" w:space="0"/>
              <w:bottom w:val="single" w:color="auto" w:sz="4" w:space="0"/>
              <w:right w:val="single" w:color="auto" w:sz="4" w:space="0"/>
            </w:tcBorders>
            <w:vAlign w:val="center"/>
          </w:tcPr>
          <w:p w14:paraId="7B478694">
            <w:pPr>
              <w:rPr>
                <w:rFonts w:hint="eastAsia" w:ascii="宋体" w:hAnsi="宋体" w:cs="宋体"/>
                <w:color w:val="auto"/>
                <w:szCs w:val="21"/>
                <w:highlight w:val="none"/>
              </w:rPr>
            </w:pPr>
            <w:r>
              <w:rPr>
                <w:rFonts w:hint="eastAsia" w:ascii="宋体" w:hAnsi="宋体" w:cs="宋体"/>
                <w:color w:val="auto"/>
                <w:szCs w:val="21"/>
                <w:highlight w:val="none"/>
              </w:rPr>
              <w:t>对同一招标项目出现两个或以上的投标报价，且没有申明哪个有效；</w:t>
            </w:r>
          </w:p>
        </w:tc>
        <w:tc>
          <w:tcPr>
            <w:tcW w:w="843" w:type="dxa"/>
            <w:tcBorders>
              <w:top w:val="single" w:color="auto" w:sz="4" w:space="0"/>
              <w:left w:val="single" w:color="auto" w:sz="4" w:space="0"/>
              <w:bottom w:val="single" w:color="auto" w:sz="4" w:space="0"/>
              <w:right w:val="single" w:color="auto" w:sz="4" w:space="0"/>
            </w:tcBorders>
          </w:tcPr>
          <w:p w14:paraId="10BBE441">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3F58773A">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31E697C5">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7665BF38">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23109A88">
            <w:pPr>
              <w:rPr>
                <w:rFonts w:hint="eastAsia" w:ascii="宋体" w:hAnsi="宋体" w:cs="宋体"/>
                <w:color w:val="auto"/>
                <w:szCs w:val="21"/>
                <w:highlight w:val="none"/>
              </w:rPr>
            </w:pPr>
          </w:p>
        </w:tc>
      </w:tr>
      <w:tr w14:paraId="3A9A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25E2B22">
            <w:pPr>
              <w:rPr>
                <w:rFonts w:hint="eastAsia" w:ascii="宋体" w:hAnsi="宋体" w:cs="宋体"/>
                <w:color w:val="auto"/>
                <w:szCs w:val="21"/>
                <w:highlight w:val="none"/>
              </w:rPr>
            </w:pPr>
            <w:r>
              <w:rPr>
                <w:rFonts w:hint="eastAsia" w:ascii="宋体" w:hAnsi="宋体" w:cs="宋体"/>
                <w:color w:val="auto"/>
                <w:szCs w:val="21"/>
                <w:highlight w:val="none"/>
              </w:rPr>
              <w:t>2</w:t>
            </w:r>
          </w:p>
        </w:tc>
        <w:tc>
          <w:tcPr>
            <w:tcW w:w="9036" w:type="dxa"/>
            <w:tcBorders>
              <w:top w:val="single" w:color="auto" w:sz="4" w:space="0"/>
              <w:left w:val="single" w:color="auto" w:sz="4" w:space="0"/>
              <w:bottom w:val="single" w:color="auto" w:sz="4" w:space="0"/>
              <w:right w:val="single" w:color="auto" w:sz="4" w:space="0"/>
            </w:tcBorders>
            <w:vAlign w:val="center"/>
          </w:tcPr>
          <w:p w14:paraId="00D7061C">
            <w:pPr>
              <w:rPr>
                <w:rFonts w:hint="eastAsia" w:ascii="宋体" w:hAnsi="宋体" w:cs="宋体"/>
                <w:color w:val="auto"/>
                <w:szCs w:val="21"/>
                <w:highlight w:val="none"/>
              </w:rPr>
            </w:pPr>
            <w:r>
              <w:rPr>
                <w:rFonts w:hint="eastAsia" w:ascii="宋体" w:hAnsi="宋体" w:cs="宋体"/>
                <w:color w:val="auto"/>
                <w:szCs w:val="21"/>
                <w:highlight w:val="none"/>
              </w:rPr>
              <w:t>投标报价高于对应最高投标限价的；</w:t>
            </w:r>
          </w:p>
        </w:tc>
        <w:tc>
          <w:tcPr>
            <w:tcW w:w="843" w:type="dxa"/>
            <w:tcBorders>
              <w:top w:val="single" w:color="auto" w:sz="4" w:space="0"/>
              <w:left w:val="single" w:color="auto" w:sz="4" w:space="0"/>
              <w:bottom w:val="single" w:color="auto" w:sz="4" w:space="0"/>
              <w:right w:val="single" w:color="auto" w:sz="4" w:space="0"/>
            </w:tcBorders>
          </w:tcPr>
          <w:p w14:paraId="4AEDBB83">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4446196D">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12DB3C49">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6F0F8D27">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7B8842FD">
            <w:pPr>
              <w:rPr>
                <w:rFonts w:hint="eastAsia" w:ascii="宋体" w:hAnsi="宋体" w:cs="宋体"/>
                <w:color w:val="auto"/>
                <w:szCs w:val="21"/>
                <w:highlight w:val="none"/>
              </w:rPr>
            </w:pPr>
          </w:p>
        </w:tc>
      </w:tr>
      <w:tr w14:paraId="2758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dxa"/>
            <w:tcBorders>
              <w:top w:val="single" w:color="auto" w:sz="4" w:space="0"/>
              <w:left w:val="single" w:color="auto" w:sz="4" w:space="0"/>
              <w:bottom w:val="single" w:color="auto" w:sz="4" w:space="0"/>
              <w:right w:val="single" w:color="auto" w:sz="4" w:space="0"/>
            </w:tcBorders>
            <w:vAlign w:val="center"/>
          </w:tcPr>
          <w:p w14:paraId="4DDDE7FA">
            <w:pPr>
              <w:rPr>
                <w:rFonts w:hint="eastAsia" w:ascii="宋体" w:hAnsi="宋体" w:cs="宋体"/>
                <w:color w:val="auto"/>
                <w:szCs w:val="21"/>
                <w:highlight w:val="none"/>
              </w:rPr>
            </w:pPr>
            <w:r>
              <w:rPr>
                <w:rFonts w:hint="eastAsia" w:ascii="宋体" w:hAnsi="宋体" w:cs="宋体"/>
                <w:color w:val="auto"/>
                <w:szCs w:val="21"/>
                <w:highlight w:val="none"/>
              </w:rPr>
              <w:t>3</w:t>
            </w:r>
          </w:p>
        </w:tc>
        <w:tc>
          <w:tcPr>
            <w:tcW w:w="9036" w:type="dxa"/>
            <w:tcBorders>
              <w:top w:val="single" w:color="auto" w:sz="4" w:space="0"/>
              <w:left w:val="single" w:color="auto" w:sz="4" w:space="0"/>
              <w:bottom w:val="single" w:color="auto" w:sz="4" w:space="0"/>
              <w:right w:val="single" w:color="auto" w:sz="4" w:space="0"/>
            </w:tcBorders>
            <w:vAlign w:val="center"/>
          </w:tcPr>
          <w:p w14:paraId="34AFB93D">
            <w:pPr>
              <w:autoSpaceDE w:val="0"/>
              <w:autoSpaceDN w:val="0"/>
              <w:adjustRightInd w:val="0"/>
              <w:ind w:left="-2" w:leftChars="-1"/>
              <w:jc w:val="left"/>
              <w:rPr>
                <w:rFonts w:hint="eastAsia" w:ascii="宋体" w:hAnsi="宋体" w:cs="宋体"/>
                <w:color w:val="auto"/>
                <w:szCs w:val="21"/>
                <w:highlight w:val="none"/>
              </w:rPr>
            </w:pPr>
            <w:r>
              <w:rPr>
                <w:rFonts w:hint="eastAsia" w:ascii="宋体" w:hAnsi="宋体" w:cs="宋体"/>
                <w:color w:val="auto"/>
                <w:szCs w:val="21"/>
                <w:highlight w:val="none"/>
              </w:rPr>
              <w:t>投标报价低于成本的</w:t>
            </w:r>
            <w:r>
              <w:rPr>
                <w:rFonts w:hint="eastAsia" w:ascii="宋体" w:hAnsi="宋体" w:cs="宋体"/>
                <w:color w:val="auto"/>
                <w:szCs w:val="21"/>
                <w:highlight w:val="none"/>
                <w:u w:val="single"/>
              </w:rPr>
              <w:t>（投标人的报价明显低于其他投标报价或者低于对应成本警戒价，使得其投标报价可能低于其个别成本，并且投标人不能合理说明或者不能提供相关证明材料的，由评标委员会认定该投标人以低于成本报价竞标）；</w:t>
            </w:r>
          </w:p>
        </w:tc>
        <w:tc>
          <w:tcPr>
            <w:tcW w:w="843" w:type="dxa"/>
            <w:tcBorders>
              <w:top w:val="single" w:color="auto" w:sz="4" w:space="0"/>
              <w:left w:val="single" w:color="auto" w:sz="4" w:space="0"/>
              <w:bottom w:val="single" w:color="auto" w:sz="4" w:space="0"/>
              <w:right w:val="single" w:color="auto" w:sz="4" w:space="0"/>
            </w:tcBorders>
          </w:tcPr>
          <w:p w14:paraId="14937802">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245C50CD">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6102891D">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19BDD5C1">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5A122A16">
            <w:pPr>
              <w:rPr>
                <w:rFonts w:hint="eastAsia" w:ascii="宋体" w:hAnsi="宋体" w:cs="宋体"/>
                <w:color w:val="auto"/>
                <w:szCs w:val="21"/>
                <w:highlight w:val="none"/>
              </w:rPr>
            </w:pPr>
          </w:p>
        </w:tc>
      </w:tr>
      <w:tr w14:paraId="2CEB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9D133AD">
            <w:pPr>
              <w:rPr>
                <w:rFonts w:hint="eastAsia" w:ascii="宋体" w:hAnsi="宋体" w:cs="宋体"/>
                <w:color w:val="auto"/>
                <w:szCs w:val="21"/>
                <w:highlight w:val="none"/>
              </w:rPr>
            </w:pPr>
            <w:r>
              <w:rPr>
                <w:rFonts w:hint="eastAsia" w:ascii="宋体" w:hAnsi="宋体" w:cs="宋体"/>
                <w:color w:val="auto"/>
                <w:szCs w:val="21"/>
                <w:highlight w:val="none"/>
              </w:rPr>
              <w:t>4</w:t>
            </w:r>
          </w:p>
        </w:tc>
        <w:tc>
          <w:tcPr>
            <w:tcW w:w="9036" w:type="dxa"/>
            <w:tcBorders>
              <w:top w:val="single" w:color="auto" w:sz="4" w:space="0"/>
              <w:left w:val="single" w:color="auto" w:sz="4" w:space="0"/>
              <w:bottom w:val="single" w:color="auto" w:sz="4" w:space="0"/>
              <w:right w:val="single" w:color="auto" w:sz="4" w:space="0"/>
            </w:tcBorders>
            <w:vAlign w:val="center"/>
          </w:tcPr>
          <w:p w14:paraId="1F3FE5B1">
            <w:pPr>
              <w:rPr>
                <w:rFonts w:hint="eastAsia" w:ascii="宋体" w:hAnsi="宋体" w:cs="宋体"/>
                <w:color w:val="auto"/>
                <w:szCs w:val="21"/>
                <w:highlight w:val="none"/>
              </w:rPr>
            </w:pPr>
            <w:r>
              <w:rPr>
                <w:rFonts w:hint="eastAsia" w:ascii="宋体" w:hAnsi="宋体" w:cs="宋体"/>
                <w:color w:val="auto"/>
                <w:szCs w:val="21"/>
                <w:highlight w:val="none"/>
              </w:rPr>
              <w:t>投标文件未按规定的格式填写</w:t>
            </w:r>
            <w:r>
              <w:rPr>
                <w:rFonts w:hint="eastAsia" w:ascii="宋体" w:hAnsi="宋体" w:cs="宋体"/>
                <w:color w:val="auto"/>
                <w:szCs w:val="21"/>
                <w:highlight w:val="none"/>
                <w:u w:val="single"/>
              </w:rPr>
              <w:t>（指招标文件第四章提供格式的《广州建设工程施工招标投标书（经济标）》、《对投标文件编制的承诺》等）</w:t>
            </w:r>
            <w:r>
              <w:rPr>
                <w:rFonts w:hint="eastAsia" w:ascii="宋体" w:hAnsi="宋体" w:cs="宋体"/>
                <w:color w:val="auto"/>
                <w:szCs w:val="21"/>
                <w:highlight w:val="none"/>
              </w:rPr>
              <w:t>，或主要内容不全，或关键字迹模糊、无法辨认的；</w:t>
            </w:r>
          </w:p>
        </w:tc>
        <w:tc>
          <w:tcPr>
            <w:tcW w:w="843" w:type="dxa"/>
            <w:tcBorders>
              <w:top w:val="single" w:color="auto" w:sz="4" w:space="0"/>
              <w:left w:val="single" w:color="auto" w:sz="4" w:space="0"/>
              <w:bottom w:val="single" w:color="auto" w:sz="4" w:space="0"/>
              <w:right w:val="single" w:color="auto" w:sz="4" w:space="0"/>
            </w:tcBorders>
          </w:tcPr>
          <w:p w14:paraId="03114DA0">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56E813F3">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0D731DE0">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18CEEFBF">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4A4569C8">
            <w:pPr>
              <w:rPr>
                <w:rFonts w:hint="eastAsia" w:ascii="宋体" w:hAnsi="宋体" w:cs="宋体"/>
                <w:color w:val="auto"/>
                <w:szCs w:val="21"/>
                <w:highlight w:val="none"/>
              </w:rPr>
            </w:pPr>
          </w:p>
        </w:tc>
      </w:tr>
      <w:tr w14:paraId="4B9F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6951E4D">
            <w:pPr>
              <w:rPr>
                <w:rFonts w:hint="eastAsia" w:ascii="宋体" w:hAnsi="宋体" w:cs="宋体"/>
                <w:color w:val="auto"/>
                <w:szCs w:val="21"/>
                <w:highlight w:val="none"/>
              </w:rPr>
            </w:pPr>
            <w:r>
              <w:rPr>
                <w:rFonts w:hint="eastAsia" w:ascii="宋体" w:hAnsi="宋体" w:cs="宋体"/>
                <w:color w:val="auto"/>
                <w:szCs w:val="21"/>
                <w:highlight w:val="none"/>
              </w:rPr>
              <w:t>5</w:t>
            </w:r>
          </w:p>
        </w:tc>
        <w:tc>
          <w:tcPr>
            <w:tcW w:w="9036" w:type="dxa"/>
            <w:tcBorders>
              <w:top w:val="single" w:color="auto" w:sz="4" w:space="0"/>
              <w:left w:val="single" w:color="auto" w:sz="4" w:space="0"/>
              <w:bottom w:val="single" w:color="auto" w:sz="4" w:space="0"/>
              <w:right w:val="single" w:color="auto" w:sz="4" w:space="0"/>
            </w:tcBorders>
            <w:vAlign w:val="center"/>
          </w:tcPr>
          <w:p w14:paraId="0BF0C049">
            <w:pPr>
              <w:rPr>
                <w:rFonts w:hint="eastAsia"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843" w:type="dxa"/>
            <w:tcBorders>
              <w:top w:val="single" w:color="auto" w:sz="4" w:space="0"/>
              <w:left w:val="single" w:color="auto" w:sz="4" w:space="0"/>
              <w:bottom w:val="single" w:color="auto" w:sz="4" w:space="0"/>
              <w:right w:val="single" w:color="auto" w:sz="4" w:space="0"/>
            </w:tcBorders>
          </w:tcPr>
          <w:p w14:paraId="6905EF3E">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461A37DD">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6B08C01B">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14161985">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064EED41">
            <w:pPr>
              <w:rPr>
                <w:rFonts w:hint="eastAsia" w:ascii="宋体" w:hAnsi="宋体" w:cs="宋体"/>
                <w:color w:val="auto"/>
                <w:szCs w:val="21"/>
                <w:highlight w:val="none"/>
              </w:rPr>
            </w:pPr>
          </w:p>
        </w:tc>
      </w:tr>
      <w:tr w14:paraId="538E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D1C9CAF">
            <w:pPr>
              <w:rPr>
                <w:rFonts w:hint="eastAsia" w:ascii="宋体" w:hAnsi="宋体" w:cs="宋体"/>
                <w:color w:val="auto"/>
                <w:szCs w:val="21"/>
                <w:highlight w:val="none"/>
              </w:rPr>
            </w:pPr>
            <w:r>
              <w:rPr>
                <w:rFonts w:hint="eastAsia" w:ascii="宋体" w:hAnsi="宋体" w:cs="宋体"/>
                <w:color w:val="auto"/>
                <w:szCs w:val="21"/>
                <w:highlight w:val="none"/>
              </w:rPr>
              <w:t>6</w:t>
            </w:r>
          </w:p>
        </w:tc>
        <w:tc>
          <w:tcPr>
            <w:tcW w:w="9036" w:type="dxa"/>
            <w:tcBorders>
              <w:top w:val="single" w:color="auto" w:sz="4" w:space="0"/>
              <w:left w:val="single" w:color="auto" w:sz="4" w:space="0"/>
              <w:bottom w:val="single" w:color="auto" w:sz="4" w:space="0"/>
              <w:right w:val="single" w:color="auto" w:sz="4" w:space="0"/>
            </w:tcBorders>
            <w:vAlign w:val="center"/>
          </w:tcPr>
          <w:p w14:paraId="7CE23940">
            <w:pPr>
              <w:rPr>
                <w:rFonts w:hint="eastAsia" w:ascii="宋体" w:hAnsi="宋体" w:cs="宋体"/>
                <w:color w:val="auto"/>
                <w:szCs w:val="21"/>
                <w:highlight w:val="none"/>
              </w:rPr>
            </w:pPr>
            <w:r>
              <w:rPr>
                <w:rFonts w:hint="eastAsia" w:ascii="宋体" w:hAnsi="宋体" w:cs="宋体"/>
                <w:color w:val="auto"/>
                <w:szCs w:val="21"/>
                <w:highlight w:val="none"/>
              </w:rPr>
              <w:t>无《参与编制经济标投标文件人员名单》的；</w:t>
            </w:r>
            <w:r>
              <w:rPr>
                <w:rFonts w:hint="eastAsia"/>
                <w:color w:val="auto"/>
                <w:highlight w:val="none"/>
                <w:lang w:val="en-US" w:eastAsia="zh-CN"/>
              </w:rPr>
              <w:t>或未提供编制人员有效社保证明的；</w:t>
            </w:r>
          </w:p>
        </w:tc>
        <w:tc>
          <w:tcPr>
            <w:tcW w:w="843" w:type="dxa"/>
            <w:tcBorders>
              <w:top w:val="single" w:color="auto" w:sz="4" w:space="0"/>
              <w:left w:val="single" w:color="auto" w:sz="4" w:space="0"/>
              <w:bottom w:val="single" w:color="auto" w:sz="4" w:space="0"/>
              <w:right w:val="single" w:color="auto" w:sz="4" w:space="0"/>
            </w:tcBorders>
          </w:tcPr>
          <w:p w14:paraId="3ABBBD11">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0ADB6986">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18288035">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18C1A1E1">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43BFA584">
            <w:pPr>
              <w:rPr>
                <w:rFonts w:hint="eastAsia" w:ascii="宋体" w:hAnsi="宋体" w:cs="宋体"/>
                <w:color w:val="auto"/>
                <w:szCs w:val="21"/>
                <w:highlight w:val="none"/>
              </w:rPr>
            </w:pPr>
          </w:p>
        </w:tc>
      </w:tr>
      <w:tr w14:paraId="336D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D81F9B8">
            <w:pPr>
              <w:rPr>
                <w:rFonts w:hint="eastAsia" w:ascii="宋体" w:hAnsi="宋体" w:cs="宋体"/>
                <w:color w:val="auto"/>
                <w:szCs w:val="21"/>
                <w:highlight w:val="none"/>
              </w:rPr>
            </w:pPr>
            <w:r>
              <w:rPr>
                <w:rFonts w:hint="eastAsia" w:ascii="宋体" w:hAnsi="宋体" w:cs="宋体"/>
                <w:color w:val="auto"/>
                <w:szCs w:val="21"/>
                <w:highlight w:val="none"/>
              </w:rPr>
              <w:t>7</w:t>
            </w:r>
          </w:p>
        </w:tc>
        <w:tc>
          <w:tcPr>
            <w:tcW w:w="9036" w:type="dxa"/>
            <w:tcBorders>
              <w:top w:val="single" w:color="auto" w:sz="4" w:space="0"/>
              <w:left w:val="single" w:color="auto" w:sz="4" w:space="0"/>
              <w:bottom w:val="single" w:color="auto" w:sz="4" w:space="0"/>
              <w:right w:val="single" w:color="auto" w:sz="4" w:space="0"/>
            </w:tcBorders>
            <w:vAlign w:val="center"/>
          </w:tcPr>
          <w:p w14:paraId="2596D0DA">
            <w:pPr>
              <w:rPr>
                <w:rFonts w:hint="eastAsia" w:ascii="宋体" w:hAnsi="宋体" w:cs="宋体"/>
                <w:color w:val="auto"/>
                <w:szCs w:val="21"/>
                <w:highlight w:val="none"/>
              </w:rPr>
            </w:pPr>
            <w:r>
              <w:rPr>
                <w:rFonts w:hint="eastAsia" w:ascii="宋体" w:hAnsi="宋体" w:cs="宋体"/>
                <w:color w:val="auto"/>
                <w:szCs w:val="21"/>
                <w:highlight w:val="none"/>
              </w:rPr>
              <w:t>无《对投标文件编制的承诺》；</w:t>
            </w:r>
          </w:p>
        </w:tc>
        <w:tc>
          <w:tcPr>
            <w:tcW w:w="843" w:type="dxa"/>
            <w:tcBorders>
              <w:top w:val="single" w:color="auto" w:sz="4" w:space="0"/>
              <w:left w:val="single" w:color="auto" w:sz="4" w:space="0"/>
              <w:bottom w:val="single" w:color="auto" w:sz="4" w:space="0"/>
              <w:right w:val="single" w:color="auto" w:sz="4" w:space="0"/>
            </w:tcBorders>
          </w:tcPr>
          <w:p w14:paraId="2EDC8F18">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0FD2A6AE">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39BE539D">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03BD0F81">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514E9F84">
            <w:pPr>
              <w:rPr>
                <w:rFonts w:hint="eastAsia" w:ascii="宋体" w:hAnsi="宋体" w:cs="宋体"/>
                <w:color w:val="auto"/>
                <w:szCs w:val="21"/>
                <w:highlight w:val="none"/>
              </w:rPr>
            </w:pPr>
          </w:p>
        </w:tc>
      </w:tr>
      <w:tr w14:paraId="0B58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76D1B34">
            <w:pPr>
              <w:rPr>
                <w:rFonts w:hint="eastAsia" w:ascii="宋体" w:hAnsi="宋体" w:cs="宋体"/>
                <w:color w:val="auto"/>
                <w:szCs w:val="21"/>
                <w:highlight w:val="none"/>
              </w:rPr>
            </w:pPr>
            <w:r>
              <w:rPr>
                <w:rFonts w:hint="eastAsia" w:ascii="宋体" w:hAnsi="宋体" w:cs="宋体"/>
                <w:color w:val="auto"/>
                <w:szCs w:val="21"/>
                <w:highlight w:val="none"/>
                <w:u w:val="single"/>
              </w:rPr>
              <w:t>8</w:t>
            </w:r>
          </w:p>
        </w:tc>
        <w:tc>
          <w:tcPr>
            <w:tcW w:w="9036" w:type="dxa"/>
            <w:tcBorders>
              <w:top w:val="single" w:color="auto" w:sz="4" w:space="0"/>
              <w:left w:val="single" w:color="auto" w:sz="4" w:space="0"/>
              <w:bottom w:val="single" w:color="auto" w:sz="4" w:space="0"/>
              <w:right w:val="single" w:color="auto" w:sz="4" w:space="0"/>
            </w:tcBorders>
            <w:vAlign w:val="center"/>
          </w:tcPr>
          <w:p w14:paraId="50454C5F">
            <w:pPr>
              <w:rPr>
                <w:rFonts w:hint="eastAsia" w:ascii="宋体" w:hAnsi="宋体" w:cs="宋体"/>
                <w:color w:val="auto"/>
                <w:szCs w:val="21"/>
                <w:highlight w:val="none"/>
              </w:rPr>
            </w:pPr>
            <w:r>
              <w:rPr>
                <w:rFonts w:hint="eastAsia" w:ascii="宋体" w:hAnsi="宋体" w:cs="宋体"/>
                <w:color w:val="auto"/>
                <w:szCs w:val="21"/>
                <w:highlight w:val="none"/>
                <w:u w:val="single"/>
              </w:rPr>
              <w:t>投标人与本项目其他投标人的投标文件工程量清单编制机器硬件信息一致的（以广州交易集团有限公司（广州公共资源交易中心）交易平台评标系统的检索信息为准）。</w:t>
            </w:r>
          </w:p>
        </w:tc>
        <w:tc>
          <w:tcPr>
            <w:tcW w:w="843" w:type="dxa"/>
            <w:tcBorders>
              <w:top w:val="single" w:color="auto" w:sz="4" w:space="0"/>
              <w:left w:val="single" w:color="auto" w:sz="4" w:space="0"/>
              <w:bottom w:val="single" w:color="auto" w:sz="4" w:space="0"/>
              <w:right w:val="single" w:color="auto" w:sz="4" w:space="0"/>
            </w:tcBorders>
          </w:tcPr>
          <w:p w14:paraId="45E2C222">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72A03C92">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63BDF289">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79981880">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5152DA3D">
            <w:pPr>
              <w:rPr>
                <w:rFonts w:hint="eastAsia" w:ascii="宋体" w:hAnsi="宋体" w:cs="宋体"/>
                <w:color w:val="auto"/>
                <w:szCs w:val="21"/>
                <w:highlight w:val="none"/>
              </w:rPr>
            </w:pPr>
          </w:p>
        </w:tc>
      </w:tr>
    </w:tbl>
    <w:p w14:paraId="6A6E51E4">
      <w:pPr>
        <w:rPr>
          <w:rFonts w:hint="eastAsia"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w:t>
      </w:r>
    </w:p>
    <w:p w14:paraId="57FBC65D">
      <w:pPr>
        <w:ind w:firstLine="458"/>
        <w:rPr>
          <w:rFonts w:hint="eastAsia" w:ascii="宋体" w:hAnsi="宋体" w:cs="宋体"/>
          <w:color w:val="auto"/>
          <w:szCs w:val="21"/>
          <w:highlight w:val="none"/>
        </w:rPr>
      </w:pPr>
      <w:r>
        <w:rPr>
          <w:rFonts w:hint="eastAsia" w:ascii="宋体" w:hAnsi="宋体" w:cs="宋体"/>
          <w:color w:val="auto"/>
          <w:szCs w:val="21"/>
          <w:highlight w:val="none"/>
        </w:rPr>
        <w:t>2.凡出现以上任何一项情形，结论均为无效，否则就为有效。</w:t>
      </w:r>
    </w:p>
    <w:p w14:paraId="5428901E">
      <w:pPr>
        <w:ind w:firstLine="458"/>
        <w:rPr>
          <w:rFonts w:hint="eastAsia" w:ascii="宋体" w:hAnsi="宋体" w:cs="宋体"/>
          <w:color w:val="auto"/>
          <w:szCs w:val="21"/>
          <w:highlight w:val="none"/>
        </w:rPr>
      </w:pPr>
      <w:r>
        <w:rPr>
          <w:rFonts w:hint="eastAsia" w:ascii="宋体" w:hAnsi="宋体" w:cs="宋体"/>
          <w:color w:val="auto"/>
          <w:szCs w:val="21"/>
          <w:highlight w:val="none"/>
        </w:rPr>
        <w:t>3.如对本表中某种情形的评审意见不一致时，以评标委员会过半数成员的意见作为评标委员会对该情形的认定结论。</w:t>
      </w:r>
    </w:p>
    <w:p w14:paraId="0A0F78E8">
      <w:pPr>
        <w:ind w:firstLine="458"/>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6FDBA34C">
      <w:pPr>
        <w:spacing w:line="360" w:lineRule="auto"/>
        <w:ind w:firstLine="458"/>
        <w:jc w:val="left"/>
        <w:rPr>
          <w:rFonts w:hint="eastAsia" w:ascii="宋体" w:hAnsi="宋体" w:cs="宋体"/>
          <w:color w:val="auto"/>
          <w:szCs w:val="21"/>
          <w:highlight w:val="none"/>
        </w:rPr>
        <w:sectPr>
          <w:endnotePr>
            <w:numFmt w:val="decimal"/>
          </w:endnotePr>
          <w:pgSz w:w="16838" w:h="11906" w:orient="landscape"/>
          <w:pgMar w:top="1440" w:right="1080" w:bottom="1440" w:left="1080" w:header="851" w:footer="907" w:gutter="0"/>
          <w:cols w:space="720" w:num="1"/>
          <w:titlePg/>
          <w:docGrid w:type="lines" w:linePitch="312" w:charSpace="0"/>
        </w:sectPr>
      </w:pPr>
    </w:p>
    <w:p w14:paraId="5945657D">
      <w:pPr>
        <w:pStyle w:val="3"/>
        <w:spacing w:line="360" w:lineRule="auto"/>
        <w:jc w:val="left"/>
        <w:rPr>
          <w:rFonts w:hint="eastAsia"/>
          <w:color w:val="auto"/>
          <w:highlight w:val="none"/>
        </w:rPr>
      </w:pPr>
      <w:bookmarkStart w:id="189" w:name="_Toc28089"/>
      <w:r>
        <w:rPr>
          <w:rFonts w:hint="eastAsia"/>
          <w:color w:val="auto"/>
          <w:highlight w:val="none"/>
        </w:rPr>
        <w:t>附表四</w:t>
      </w:r>
      <w:bookmarkEnd w:id="189"/>
    </w:p>
    <w:p w14:paraId="68764ABF">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技术标详细审查评分表</w:t>
      </w:r>
    </w:p>
    <w:p w14:paraId="7BA14523">
      <w:pPr>
        <w:tabs>
          <w:tab w:val="right" w:leader="dot" w:pos="9060"/>
        </w:tabs>
        <w:spacing w:line="360" w:lineRule="auto"/>
        <w:ind w:firstLine="420"/>
        <w:jc w:val="left"/>
        <w:rPr>
          <w:b/>
          <w:color w:val="auto"/>
          <w:highlight w:val="none"/>
        </w:rPr>
      </w:pPr>
      <w:bookmarkStart w:id="190" w:name="_Toc5159"/>
      <w:bookmarkStart w:id="191" w:name="_Toc32003"/>
      <w:bookmarkStart w:id="192" w:name="_Toc18838"/>
      <w:bookmarkStart w:id="193" w:name="_Toc22943"/>
      <w:bookmarkStart w:id="194" w:name="_Toc21638"/>
      <w:bookmarkStart w:id="195" w:name="_Toc30168"/>
      <w:bookmarkStart w:id="196" w:name="_Toc20135"/>
    </w:p>
    <w:tbl>
      <w:tblPr>
        <w:tblStyle w:val="25"/>
        <w:tblW w:w="14894"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757"/>
        <w:gridCol w:w="1326"/>
        <w:gridCol w:w="781"/>
        <w:gridCol w:w="10812"/>
      </w:tblGrid>
      <w:tr w14:paraId="35A742DE">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18" w:type="dxa"/>
            <w:tcBorders>
              <w:top w:val="single" w:color="auto" w:sz="8" w:space="0"/>
              <w:left w:val="single" w:color="auto" w:sz="8" w:space="0"/>
              <w:bottom w:val="single" w:color="auto" w:sz="4" w:space="0"/>
              <w:right w:val="single" w:color="auto" w:sz="4" w:space="0"/>
            </w:tcBorders>
            <w:noWrap w:val="0"/>
            <w:vAlign w:val="center"/>
          </w:tcPr>
          <w:p w14:paraId="7C9E9D6F">
            <w:pPr>
              <w:pStyle w:val="3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评分项目</w:t>
            </w:r>
          </w:p>
        </w:tc>
        <w:tc>
          <w:tcPr>
            <w:tcW w:w="2083" w:type="dxa"/>
            <w:gridSpan w:val="2"/>
            <w:tcBorders>
              <w:top w:val="single" w:color="auto" w:sz="8" w:space="0"/>
              <w:left w:val="single" w:color="auto" w:sz="4" w:space="0"/>
              <w:bottom w:val="single" w:color="auto" w:sz="4" w:space="0"/>
              <w:right w:val="single" w:color="auto" w:sz="4" w:space="0"/>
            </w:tcBorders>
            <w:noWrap w:val="0"/>
            <w:vAlign w:val="center"/>
          </w:tcPr>
          <w:p w14:paraId="22402C47">
            <w:pPr>
              <w:pStyle w:val="3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781" w:type="dxa"/>
            <w:tcBorders>
              <w:top w:val="single" w:color="auto" w:sz="8" w:space="0"/>
              <w:left w:val="single" w:color="auto" w:sz="4" w:space="0"/>
              <w:bottom w:val="single" w:color="auto" w:sz="4" w:space="0"/>
              <w:right w:val="single" w:color="auto" w:sz="4" w:space="0"/>
            </w:tcBorders>
            <w:noWrap w:val="0"/>
            <w:vAlign w:val="center"/>
          </w:tcPr>
          <w:p w14:paraId="57E2BA10">
            <w:pPr>
              <w:pStyle w:val="3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10812" w:type="dxa"/>
            <w:tcBorders>
              <w:top w:val="single" w:color="auto" w:sz="8" w:space="0"/>
              <w:left w:val="single" w:color="auto" w:sz="4" w:space="0"/>
              <w:bottom w:val="single" w:color="auto" w:sz="4" w:space="0"/>
              <w:right w:val="single" w:color="auto" w:sz="4" w:space="0"/>
            </w:tcBorders>
            <w:noWrap w:val="0"/>
            <w:vAlign w:val="center"/>
          </w:tcPr>
          <w:p w14:paraId="75C2231E">
            <w:pPr>
              <w:pStyle w:val="31"/>
              <w:spacing w:line="360" w:lineRule="auto"/>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3715ED8A">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restart"/>
            <w:tcBorders>
              <w:left w:val="single" w:color="auto" w:sz="8" w:space="0"/>
              <w:right w:val="single" w:color="auto" w:sz="4" w:space="0"/>
            </w:tcBorders>
            <w:noWrap w:val="0"/>
            <w:vAlign w:val="center"/>
          </w:tcPr>
          <w:p w14:paraId="7CBF317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一、施工组织方案（40分）</w:t>
            </w:r>
          </w:p>
          <w:p w14:paraId="6131988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2083" w:type="dxa"/>
            <w:gridSpan w:val="2"/>
            <w:tcBorders>
              <w:left w:val="single" w:color="auto" w:sz="4" w:space="0"/>
              <w:right w:val="single" w:color="auto" w:sz="4" w:space="0"/>
            </w:tcBorders>
            <w:noWrap w:val="0"/>
            <w:vAlign w:val="center"/>
          </w:tcPr>
          <w:p w14:paraId="7259CD11">
            <w:pPr>
              <w:widowControl/>
              <w:spacing w:line="360" w:lineRule="auto"/>
              <w:jc w:val="center"/>
              <w:rPr>
                <w:rFonts w:hint="eastAsia" w:ascii="宋体" w:hAnsi="宋体" w:cs="宋体"/>
                <w:color w:val="auto"/>
                <w:kern w:val="0"/>
                <w:szCs w:val="21"/>
                <w:highlight w:val="none"/>
              </w:rPr>
            </w:pPr>
            <w:r>
              <w:rPr>
                <w:rFonts w:eastAsia="宋体" w:cs="Times New Roman"/>
                <w:color w:val="auto"/>
                <w:sz w:val="21"/>
                <w:szCs w:val="21"/>
                <w:highlight w:val="none"/>
              </w:rPr>
              <w:t>对本项目的熟悉和了解程度</w:t>
            </w:r>
          </w:p>
        </w:tc>
        <w:tc>
          <w:tcPr>
            <w:tcW w:w="781" w:type="dxa"/>
            <w:tcBorders>
              <w:left w:val="single" w:color="auto" w:sz="4" w:space="0"/>
              <w:bottom w:val="single" w:color="auto" w:sz="4" w:space="0"/>
              <w:right w:val="single" w:color="auto" w:sz="4" w:space="0"/>
            </w:tcBorders>
            <w:noWrap w:val="0"/>
            <w:vAlign w:val="center"/>
          </w:tcPr>
          <w:p w14:paraId="30951532">
            <w:pPr>
              <w:widowControl/>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0812" w:type="dxa"/>
            <w:tcBorders>
              <w:top w:val="single" w:color="auto" w:sz="4" w:space="0"/>
              <w:left w:val="single" w:color="auto" w:sz="4" w:space="0"/>
              <w:bottom w:val="single" w:color="auto" w:sz="4" w:space="0"/>
              <w:right w:val="single" w:color="auto" w:sz="4" w:space="0"/>
            </w:tcBorders>
            <w:noWrap w:val="0"/>
            <w:vAlign w:val="center"/>
          </w:tcPr>
          <w:p w14:paraId="07F0E500">
            <w:pPr>
              <w:rPr>
                <w:rFonts w:hint="eastAsia" w:ascii="宋体" w:hAnsi="宋体" w:cs="宋体"/>
                <w:color w:val="auto"/>
                <w:szCs w:val="21"/>
                <w:highlight w:val="none"/>
              </w:rPr>
            </w:pPr>
            <w:r>
              <w:rPr>
                <w:rFonts w:hint="eastAsia" w:ascii="宋体" w:hAnsi="宋体" w:eastAsia="宋体" w:cs="宋体"/>
                <w:color w:val="auto"/>
                <w:szCs w:val="21"/>
                <w:highlight w:val="none"/>
              </w:rPr>
              <w:t>投标人针对本项目背景、概况的认识理解程度（</w:t>
            </w:r>
            <w:r>
              <w:rPr>
                <w:rFonts w:hint="eastAsia" w:ascii="宋体" w:hAnsi="宋体" w:cs="宋体"/>
                <w:color w:val="auto"/>
                <w:szCs w:val="21"/>
                <w:highlight w:val="none"/>
                <w:lang w:val="en-US" w:eastAsia="zh-CN"/>
              </w:rPr>
              <w:t>投标文件内容</w:t>
            </w:r>
            <w:r>
              <w:rPr>
                <w:rFonts w:hint="eastAsia" w:ascii="宋体" w:hAnsi="宋体" w:eastAsia="宋体" w:cs="宋体"/>
                <w:color w:val="auto"/>
                <w:szCs w:val="21"/>
                <w:highlight w:val="none"/>
              </w:rPr>
              <w:t>包括但不限于</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建构筑物拆除要求、拆除区域情况、拆除内容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安全、工期、质量目标响应情况</w:t>
            </w:r>
            <w:r>
              <w:rPr>
                <w:rFonts w:hint="eastAsia" w:ascii="宋体" w:hAnsi="宋体" w:eastAsia="宋体" w:cs="宋体"/>
                <w:color w:val="auto"/>
                <w:szCs w:val="21"/>
                <w:highlight w:val="none"/>
              </w:rPr>
              <w:t>等），</w:t>
            </w:r>
            <w:r>
              <w:rPr>
                <w:rFonts w:hint="eastAsia" w:ascii="宋体" w:hAnsi="宋体" w:cs="宋体"/>
                <w:color w:val="auto"/>
                <w:szCs w:val="21"/>
                <w:highlight w:val="none"/>
                <w:lang w:val="en-US" w:eastAsia="zh-CN"/>
              </w:rPr>
              <w:t>施工总平面布置合理性，</w:t>
            </w:r>
            <w:r>
              <w:rPr>
                <w:rFonts w:hint="eastAsia" w:ascii="宋体" w:hAnsi="宋体" w:eastAsia="宋体" w:cs="宋体"/>
                <w:color w:val="auto"/>
                <w:szCs w:val="21"/>
                <w:highlight w:val="none"/>
              </w:rPr>
              <w:t>对工作目标的响应程度进行综合评审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优得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Cs w:val="21"/>
                <w:highlight w:val="none"/>
                <w:lang w:val="en-US" w:eastAsia="zh-CN"/>
              </w:rPr>
              <w:t>，6</w:t>
            </w:r>
            <w:r>
              <w:rPr>
                <w:rFonts w:hint="eastAsia" w:ascii="宋体" w:hAnsi="宋体" w:cs="宋体"/>
                <w:color w:val="auto"/>
                <w:sz w:val="21"/>
                <w:szCs w:val="21"/>
                <w:highlight w:val="none"/>
                <w:lang w:val="en-US" w:eastAsia="zh-CN"/>
              </w:rPr>
              <w:t>]</w:t>
            </w:r>
            <w:r>
              <w:rPr>
                <w:rFonts w:hint="eastAsia" w:ascii="宋体" w:hAnsi="宋体" w:eastAsia="宋体" w:cs="宋体"/>
                <w:color w:val="auto"/>
                <w:szCs w:val="21"/>
                <w:highlight w:val="none"/>
                <w:lang w:val="zh-CN"/>
              </w:rPr>
              <w:t>分，良得</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lang w:val="en-US" w:eastAsia="zh-CN"/>
              </w:rPr>
              <w:t>2，4</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一般得</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lang w:val="en-US" w:eastAsia="zh-CN"/>
              </w:rPr>
              <w:t>1，2</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zh-CN"/>
              </w:rPr>
              <w:t>差</w:t>
            </w:r>
            <w:r>
              <w:rPr>
                <w:rFonts w:hint="eastAsia" w:ascii="宋体" w:hAnsi="宋体" w:eastAsia="宋体" w:cs="宋体"/>
                <w:color w:val="auto"/>
                <w:szCs w:val="21"/>
                <w:highlight w:val="none"/>
              </w:rPr>
              <w:t>不得</w:t>
            </w:r>
            <w:r>
              <w:rPr>
                <w:rFonts w:hint="eastAsia" w:ascii="宋体" w:hAnsi="宋体" w:eastAsia="宋体" w:cs="宋体"/>
                <w:color w:val="auto"/>
                <w:szCs w:val="21"/>
                <w:highlight w:val="none"/>
                <w:lang w:val="zh-CN"/>
              </w:rPr>
              <w:t>分。</w:t>
            </w:r>
          </w:p>
        </w:tc>
      </w:tr>
      <w:tr w14:paraId="3532BC36">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tcBorders>
              <w:left w:val="single" w:color="auto" w:sz="8" w:space="0"/>
              <w:right w:val="single" w:color="auto" w:sz="4" w:space="0"/>
            </w:tcBorders>
            <w:noWrap w:val="0"/>
            <w:vAlign w:val="center"/>
          </w:tcPr>
          <w:p w14:paraId="6308938F">
            <w:pPr>
              <w:spacing w:line="360" w:lineRule="auto"/>
              <w:rPr>
                <w:rFonts w:hint="eastAsia" w:ascii="宋体" w:hAnsi="宋体" w:cs="宋体"/>
                <w:color w:val="auto"/>
                <w:szCs w:val="21"/>
                <w:highlight w:val="none"/>
              </w:rPr>
            </w:pPr>
          </w:p>
        </w:tc>
        <w:tc>
          <w:tcPr>
            <w:tcW w:w="2083" w:type="dxa"/>
            <w:gridSpan w:val="2"/>
            <w:tcBorders>
              <w:left w:val="single" w:color="auto" w:sz="4" w:space="0"/>
              <w:right w:val="single" w:color="auto" w:sz="4" w:space="0"/>
            </w:tcBorders>
            <w:noWrap w:val="0"/>
            <w:vAlign w:val="center"/>
          </w:tcPr>
          <w:p w14:paraId="1FD9A0E5">
            <w:pPr>
              <w:widowControl/>
              <w:spacing w:line="360" w:lineRule="auto"/>
              <w:jc w:val="center"/>
              <w:rPr>
                <w:rFonts w:hint="eastAsia" w:ascii="宋体" w:hAnsi="宋体" w:cs="宋体"/>
                <w:color w:val="auto"/>
                <w:kern w:val="0"/>
                <w:szCs w:val="21"/>
                <w:highlight w:val="none"/>
              </w:rPr>
            </w:pPr>
            <w:r>
              <w:rPr>
                <w:rFonts w:hint="eastAsia" w:ascii="宋体" w:hAnsi="宋体" w:eastAsia="宋体" w:cs="宋体"/>
                <w:color w:val="auto"/>
                <w:szCs w:val="21"/>
                <w:highlight w:val="none"/>
              </w:rPr>
              <w:t>施工组织</w:t>
            </w:r>
            <w:r>
              <w:rPr>
                <w:rFonts w:hint="eastAsia" w:ascii="宋体" w:hAnsi="宋体" w:cs="宋体"/>
                <w:color w:val="auto"/>
                <w:szCs w:val="21"/>
                <w:highlight w:val="none"/>
                <w:lang w:val="en-US" w:eastAsia="zh-CN"/>
              </w:rPr>
              <w:t>设计</w:t>
            </w:r>
          </w:p>
        </w:tc>
        <w:tc>
          <w:tcPr>
            <w:tcW w:w="781" w:type="dxa"/>
            <w:tcBorders>
              <w:left w:val="single" w:color="auto" w:sz="4" w:space="0"/>
              <w:bottom w:val="single" w:color="auto" w:sz="4" w:space="0"/>
              <w:right w:val="single" w:color="auto" w:sz="4" w:space="0"/>
            </w:tcBorders>
            <w:noWrap w:val="0"/>
            <w:vAlign w:val="center"/>
          </w:tcPr>
          <w:p w14:paraId="1C31E2CC">
            <w:pPr>
              <w:widowControl/>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10812" w:type="dxa"/>
            <w:tcBorders>
              <w:top w:val="single" w:color="auto" w:sz="4" w:space="0"/>
              <w:left w:val="single" w:color="auto" w:sz="4" w:space="0"/>
              <w:bottom w:val="single" w:color="auto" w:sz="4" w:space="0"/>
              <w:right w:val="single" w:color="auto" w:sz="4" w:space="0"/>
            </w:tcBorders>
            <w:noWrap w:val="0"/>
            <w:vAlign w:val="center"/>
          </w:tcPr>
          <w:p w14:paraId="45E291C0">
            <w:pPr>
              <w:rPr>
                <w:rFonts w:hint="eastAsia" w:ascii="宋体" w:hAnsi="宋体" w:cs="宋体"/>
                <w:color w:val="auto"/>
                <w:szCs w:val="21"/>
                <w:highlight w:val="none"/>
              </w:rPr>
            </w:pPr>
            <w:r>
              <w:rPr>
                <w:rFonts w:hint="eastAsia" w:ascii="宋体" w:hAnsi="宋体" w:eastAsia="宋体" w:cs="宋体"/>
                <w:color w:val="auto"/>
                <w:szCs w:val="21"/>
                <w:highlight w:val="none"/>
              </w:rPr>
              <w:t>投标人针对本项目的施工方案（包括但不限于</w:t>
            </w:r>
            <w:r>
              <w:rPr>
                <w:rFonts w:hint="eastAsia" w:ascii="宋体" w:hAnsi="宋体" w:cs="宋体"/>
                <w:color w:val="auto"/>
                <w:szCs w:val="21"/>
                <w:highlight w:val="none"/>
                <w:lang w:val="en-US" w:eastAsia="zh-CN"/>
              </w:rPr>
              <w:t>各单体</w:t>
            </w:r>
            <w:r>
              <w:rPr>
                <w:rFonts w:hint="eastAsia" w:ascii="宋体" w:hAnsi="宋体" w:eastAsia="宋体" w:cs="宋体"/>
                <w:color w:val="auto"/>
                <w:szCs w:val="21"/>
                <w:highlight w:val="none"/>
              </w:rPr>
              <w:t>方案及措施、安全生产管理方案及措施、现场文明施工方案及措施、拆除作业工期保证方案及措施、施工现场的</w:t>
            </w:r>
            <w:r>
              <w:rPr>
                <w:rFonts w:hint="eastAsia" w:ascii="宋体" w:hAnsi="宋体" w:cs="宋体"/>
                <w:color w:val="auto"/>
                <w:szCs w:val="21"/>
                <w:highlight w:val="none"/>
                <w:lang w:val="en-US" w:eastAsia="zh-CN"/>
              </w:rPr>
              <w:t>建筑垃圾</w:t>
            </w:r>
            <w:r>
              <w:rPr>
                <w:rFonts w:hint="eastAsia" w:ascii="宋体" w:hAnsi="宋体" w:eastAsia="宋体" w:cs="宋体"/>
                <w:color w:val="auto"/>
                <w:szCs w:val="21"/>
                <w:highlight w:val="none"/>
              </w:rPr>
              <w:t>清运方案及措施等）</w:t>
            </w:r>
            <w:r>
              <w:rPr>
                <w:rFonts w:hint="eastAsia" w:ascii="宋体" w:hAnsi="宋体" w:cs="宋体"/>
                <w:color w:val="auto"/>
                <w:szCs w:val="21"/>
                <w:highlight w:val="none"/>
                <w:lang w:val="en-US" w:eastAsia="zh-CN"/>
              </w:rPr>
              <w:t>项目齐全、内容合理、措施可行，资源配置情况，针对本项目的合理化建议等</w:t>
            </w:r>
            <w:r>
              <w:rPr>
                <w:rFonts w:hint="eastAsia" w:ascii="宋体" w:hAnsi="宋体" w:eastAsia="宋体" w:cs="宋体"/>
                <w:color w:val="auto"/>
                <w:szCs w:val="21"/>
                <w:highlight w:val="none"/>
              </w:rPr>
              <w:t>进行综合评审</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zh-CN"/>
              </w:rPr>
              <w:t>优得</w:t>
            </w:r>
            <w:r>
              <w:rPr>
                <w:rFonts w:hint="eastAsia" w:ascii="宋体" w:hAnsi="宋体" w:cs="宋体"/>
                <w:color w:val="auto"/>
                <w:szCs w:val="21"/>
                <w:highlight w:val="none"/>
                <w:lang w:val="en-US" w:eastAsia="zh-CN"/>
              </w:rPr>
              <w:t>（14，18</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lang w:val="zh-CN"/>
              </w:rPr>
              <w:t>分，良得</w:t>
            </w:r>
            <w:r>
              <w:rPr>
                <w:rFonts w:hint="eastAsia" w:ascii="宋体" w:hAnsi="宋体" w:cs="宋体"/>
                <w:color w:val="auto"/>
                <w:szCs w:val="21"/>
                <w:highlight w:val="none"/>
                <w:lang w:val="en-US" w:eastAsia="zh-CN"/>
              </w:rPr>
              <w:t>（10，14</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一般得</w:t>
            </w:r>
            <w:r>
              <w:rPr>
                <w:rFonts w:hint="eastAsia" w:ascii="宋体" w:hAnsi="宋体" w:cs="宋体"/>
                <w:color w:val="auto"/>
                <w:szCs w:val="21"/>
                <w:highlight w:val="none"/>
                <w:lang w:val="en-US" w:eastAsia="zh-CN"/>
              </w:rPr>
              <w:t>（6,10</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zh-CN"/>
              </w:rPr>
              <w:t>差</w:t>
            </w:r>
            <w:r>
              <w:rPr>
                <w:rFonts w:hint="eastAsia" w:ascii="宋体" w:hAnsi="宋体" w:eastAsia="宋体" w:cs="宋体"/>
                <w:color w:val="auto"/>
                <w:szCs w:val="21"/>
                <w:highlight w:val="none"/>
              </w:rPr>
              <w:t>不得</w:t>
            </w:r>
            <w:r>
              <w:rPr>
                <w:rFonts w:hint="eastAsia" w:ascii="宋体" w:hAnsi="宋体" w:eastAsia="宋体" w:cs="宋体"/>
                <w:color w:val="auto"/>
                <w:szCs w:val="21"/>
                <w:highlight w:val="none"/>
                <w:lang w:val="zh-CN"/>
              </w:rPr>
              <w:t>分。</w:t>
            </w:r>
          </w:p>
        </w:tc>
      </w:tr>
      <w:tr w14:paraId="1FA754A7">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tcBorders>
              <w:left w:val="single" w:color="auto" w:sz="8" w:space="0"/>
              <w:right w:val="single" w:color="auto" w:sz="4" w:space="0"/>
            </w:tcBorders>
            <w:noWrap w:val="0"/>
            <w:vAlign w:val="center"/>
          </w:tcPr>
          <w:p w14:paraId="54BD3341">
            <w:pPr>
              <w:spacing w:line="360" w:lineRule="auto"/>
              <w:rPr>
                <w:rFonts w:hint="eastAsia" w:ascii="宋体" w:hAnsi="宋体" w:cs="宋体"/>
                <w:color w:val="auto"/>
                <w:szCs w:val="21"/>
                <w:highlight w:val="none"/>
              </w:rPr>
            </w:pPr>
          </w:p>
        </w:tc>
        <w:tc>
          <w:tcPr>
            <w:tcW w:w="2083" w:type="dxa"/>
            <w:gridSpan w:val="2"/>
            <w:tcBorders>
              <w:left w:val="single" w:color="auto" w:sz="4" w:space="0"/>
              <w:right w:val="single" w:color="auto" w:sz="4" w:space="0"/>
            </w:tcBorders>
            <w:noWrap w:val="0"/>
            <w:vAlign w:val="center"/>
          </w:tcPr>
          <w:p w14:paraId="4C40619B">
            <w:pPr>
              <w:widowControl/>
              <w:spacing w:line="360" w:lineRule="auto"/>
              <w:jc w:val="center"/>
              <w:rPr>
                <w:rFonts w:hint="eastAsia" w:ascii="宋体" w:hAnsi="宋体" w:cs="宋体"/>
                <w:color w:val="auto"/>
                <w:kern w:val="0"/>
                <w:szCs w:val="21"/>
                <w:highlight w:val="none"/>
              </w:rPr>
            </w:pPr>
            <w:r>
              <w:rPr>
                <w:rFonts w:hint="eastAsia" w:ascii="宋体" w:hAnsi="宋体" w:eastAsia="宋体" w:cs="宋体"/>
                <w:color w:val="auto"/>
                <w:szCs w:val="21"/>
                <w:highlight w:val="none"/>
              </w:rPr>
              <w:t>拆除施工过程</w:t>
            </w:r>
            <w:r>
              <w:rPr>
                <w:rFonts w:hint="eastAsia" w:ascii="宋体" w:hAnsi="宋体" w:cs="宋体"/>
                <w:color w:val="auto"/>
                <w:szCs w:val="21"/>
                <w:highlight w:val="none"/>
                <w:lang w:val="en-US" w:eastAsia="zh-CN"/>
              </w:rPr>
              <w:t>环保、安全文明施工</w:t>
            </w:r>
            <w:r>
              <w:rPr>
                <w:rFonts w:hint="eastAsia" w:ascii="宋体" w:hAnsi="宋体" w:eastAsia="宋体" w:cs="宋体"/>
                <w:color w:val="auto"/>
                <w:szCs w:val="21"/>
                <w:highlight w:val="none"/>
              </w:rPr>
              <w:t>措施</w:t>
            </w:r>
          </w:p>
        </w:tc>
        <w:tc>
          <w:tcPr>
            <w:tcW w:w="781" w:type="dxa"/>
            <w:tcBorders>
              <w:left w:val="single" w:color="auto" w:sz="4" w:space="0"/>
              <w:bottom w:val="single" w:color="auto" w:sz="4" w:space="0"/>
              <w:right w:val="single" w:color="auto" w:sz="4" w:space="0"/>
            </w:tcBorders>
            <w:noWrap w:val="0"/>
            <w:vAlign w:val="center"/>
          </w:tcPr>
          <w:p w14:paraId="7A6B628D">
            <w:pPr>
              <w:widowControl/>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0812" w:type="dxa"/>
            <w:tcBorders>
              <w:top w:val="single" w:color="auto" w:sz="4" w:space="0"/>
              <w:left w:val="single" w:color="auto" w:sz="4" w:space="0"/>
              <w:bottom w:val="single" w:color="auto" w:sz="4" w:space="0"/>
              <w:right w:val="single" w:color="auto" w:sz="4" w:space="0"/>
            </w:tcBorders>
            <w:noWrap w:val="0"/>
            <w:vAlign w:val="center"/>
          </w:tcPr>
          <w:p w14:paraId="418C4A03">
            <w:pPr>
              <w:rPr>
                <w:rFonts w:hint="eastAsia" w:ascii="宋体" w:hAnsi="宋体" w:cs="宋体"/>
                <w:color w:val="auto"/>
                <w:szCs w:val="21"/>
                <w:highlight w:val="none"/>
              </w:rPr>
            </w:pPr>
            <w:r>
              <w:rPr>
                <w:rFonts w:hint="eastAsia" w:ascii="宋体" w:hAnsi="宋体" w:eastAsia="宋体" w:cs="宋体"/>
                <w:color w:val="auto"/>
                <w:szCs w:val="21"/>
                <w:highlight w:val="none"/>
              </w:rPr>
              <w:t>投标人提供的拆除施工过程</w:t>
            </w:r>
            <w:r>
              <w:rPr>
                <w:rFonts w:hint="eastAsia" w:ascii="宋体" w:hAnsi="宋体" w:cs="宋体"/>
                <w:color w:val="auto"/>
                <w:szCs w:val="21"/>
                <w:highlight w:val="none"/>
                <w:lang w:val="en-US" w:eastAsia="zh-CN"/>
              </w:rPr>
              <w:t>安全、文明、环保</w:t>
            </w:r>
            <w:r>
              <w:rPr>
                <w:rFonts w:hint="eastAsia" w:ascii="宋体" w:hAnsi="宋体" w:eastAsia="宋体" w:cs="宋体"/>
                <w:color w:val="auto"/>
                <w:szCs w:val="21"/>
                <w:highlight w:val="none"/>
              </w:rPr>
              <w:t>保护措施（包括但不限于环境保护、消防保护、拆除现场保卫、施工扰民解决等）进行综合评审：拆除施工过程相关保护措施是否完善，环境及消防保护制度是否详尽，</w:t>
            </w:r>
            <w:r>
              <w:rPr>
                <w:rFonts w:hint="eastAsia" w:ascii="宋体" w:hAnsi="宋体" w:cs="宋体"/>
                <w:color w:val="auto"/>
                <w:szCs w:val="21"/>
                <w:highlight w:val="none"/>
                <w:lang w:val="en-US" w:eastAsia="zh-CN"/>
              </w:rPr>
              <w:t>杜绝习惯性违章措施可行</w:t>
            </w:r>
            <w:r>
              <w:rPr>
                <w:rFonts w:hint="eastAsia" w:ascii="宋体" w:hAnsi="宋体" w:eastAsia="宋体" w:cs="宋体"/>
                <w:color w:val="auto"/>
                <w:szCs w:val="21"/>
                <w:highlight w:val="none"/>
              </w:rPr>
              <w:t>，施工扰民解决应对措施是否全面，</w:t>
            </w:r>
            <w:r>
              <w:rPr>
                <w:rFonts w:hint="eastAsia" w:ascii="宋体" w:hAnsi="宋体" w:cs="宋体"/>
                <w:color w:val="auto"/>
                <w:szCs w:val="21"/>
                <w:highlight w:val="none"/>
                <w:lang w:val="en-US" w:eastAsia="zh-CN"/>
              </w:rPr>
              <w:t>安全保证体系是否健全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优得</w:t>
            </w:r>
            <w:r>
              <w:rPr>
                <w:rFonts w:hint="eastAsia" w:ascii="宋体" w:hAnsi="宋体" w:cs="宋体"/>
                <w:color w:val="auto"/>
                <w:szCs w:val="21"/>
                <w:highlight w:val="none"/>
                <w:lang w:val="en-US" w:eastAsia="zh-CN"/>
              </w:rPr>
              <w:t>（8，10</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分，良得</w:t>
            </w:r>
            <w:r>
              <w:rPr>
                <w:rFonts w:hint="eastAsia" w:ascii="宋体" w:hAnsi="宋体" w:cs="宋体"/>
                <w:color w:val="auto"/>
                <w:szCs w:val="21"/>
                <w:highlight w:val="none"/>
                <w:lang w:val="en-US" w:eastAsia="zh-CN"/>
              </w:rPr>
              <w:t>（6，8</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分，一般得</w:t>
            </w:r>
            <w:r>
              <w:rPr>
                <w:rFonts w:hint="eastAsia" w:ascii="宋体" w:hAnsi="宋体" w:cs="宋体"/>
                <w:color w:val="auto"/>
                <w:szCs w:val="21"/>
                <w:highlight w:val="none"/>
                <w:lang w:val="en-US" w:eastAsia="zh-CN"/>
              </w:rPr>
              <w:t>（3，6</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分，差不得分。</w:t>
            </w:r>
          </w:p>
        </w:tc>
      </w:tr>
      <w:tr w14:paraId="6DF7C60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218" w:type="dxa"/>
            <w:vMerge w:val="continue"/>
            <w:tcBorders>
              <w:left w:val="single" w:color="auto" w:sz="8" w:space="0"/>
              <w:right w:val="single" w:color="auto" w:sz="4" w:space="0"/>
            </w:tcBorders>
            <w:noWrap w:val="0"/>
            <w:vAlign w:val="center"/>
          </w:tcPr>
          <w:p w14:paraId="0375E06E">
            <w:pPr>
              <w:spacing w:line="360" w:lineRule="auto"/>
              <w:rPr>
                <w:rFonts w:hint="eastAsia" w:ascii="宋体" w:hAnsi="宋体" w:cs="宋体"/>
                <w:color w:val="auto"/>
                <w:szCs w:val="21"/>
                <w:highlight w:val="none"/>
              </w:rPr>
            </w:pPr>
          </w:p>
        </w:tc>
        <w:tc>
          <w:tcPr>
            <w:tcW w:w="2083" w:type="dxa"/>
            <w:gridSpan w:val="2"/>
            <w:tcBorders>
              <w:left w:val="single" w:color="auto" w:sz="4" w:space="0"/>
              <w:right w:val="single" w:color="auto" w:sz="4" w:space="0"/>
            </w:tcBorders>
            <w:noWrap w:val="0"/>
            <w:vAlign w:val="center"/>
          </w:tcPr>
          <w:p w14:paraId="532254D7">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lang w:val="en-US" w:eastAsia="zh-CN"/>
              </w:rPr>
              <w:t>劳务力、机械、设备投入</w:t>
            </w:r>
            <w:r>
              <w:rPr>
                <w:rFonts w:hint="eastAsia" w:ascii="宋体" w:hAnsi="宋体" w:eastAsia="宋体" w:cs="宋体"/>
                <w:color w:val="auto"/>
                <w:szCs w:val="21"/>
                <w:highlight w:val="none"/>
              </w:rPr>
              <w:t>情况</w:t>
            </w:r>
            <w:r>
              <w:rPr>
                <w:rFonts w:hint="eastAsia" w:ascii="宋体" w:hAnsi="宋体" w:cs="宋体"/>
                <w:color w:val="auto"/>
                <w:szCs w:val="21"/>
                <w:highlight w:val="none"/>
                <w:lang w:val="en-US" w:eastAsia="zh-CN"/>
              </w:rPr>
              <w:t>及保证措施</w:t>
            </w:r>
          </w:p>
        </w:tc>
        <w:tc>
          <w:tcPr>
            <w:tcW w:w="781" w:type="dxa"/>
            <w:tcBorders>
              <w:left w:val="single" w:color="auto" w:sz="4" w:space="0"/>
              <w:bottom w:val="single" w:color="auto" w:sz="4" w:space="0"/>
              <w:right w:val="single" w:color="auto" w:sz="4" w:space="0"/>
            </w:tcBorders>
            <w:noWrap w:val="0"/>
            <w:vAlign w:val="center"/>
          </w:tcPr>
          <w:p w14:paraId="478BB21C">
            <w:pPr>
              <w:widowControl/>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0812" w:type="dxa"/>
            <w:tcBorders>
              <w:top w:val="single" w:color="auto" w:sz="4" w:space="0"/>
              <w:left w:val="single" w:color="auto" w:sz="4" w:space="0"/>
              <w:bottom w:val="single" w:color="auto" w:sz="4" w:space="0"/>
              <w:right w:val="single" w:color="auto" w:sz="4" w:space="0"/>
            </w:tcBorders>
            <w:noWrap w:val="0"/>
            <w:vAlign w:val="center"/>
          </w:tcPr>
          <w:p w14:paraId="4AF61026">
            <w:pPr>
              <w:rPr>
                <w:rFonts w:hint="eastAsia" w:ascii="宋体" w:hAnsi="宋体" w:cs="宋体"/>
                <w:color w:val="auto"/>
                <w:szCs w:val="21"/>
                <w:highlight w:val="none"/>
              </w:rPr>
            </w:pPr>
            <w:r>
              <w:rPr>
                <w:rFonts w:hint="eastAsia" w:ascii="宋体" w:hAnsi="宋体" w:cs="宋体"/>
                <w:color w:val="auto"/>
                <w:szCs w:val="21"/>
                <w:highlight w:val="none"/>
                <w:lang w:val="en-US" w:eastAsia="zh-CN"/>
              </w:rPr>
              <w:t>拟投入本项目劳动力、</w:t>
            </w:r>
            <w:r>
              <w:rPr>
                <w:rFonts w:hint="eastAsia" w:ascii="宋体" w:hAnsi="宋体" w:eastAsia="宋体" w:cs="宋体"/>
                <w:color w:val="auto"/>
                <w:szCs w:val="21"/>
                <w:highlight w:val="none"/>
              </w:rPr>
              <w:t>拆除机械设备情况及调配使用方案（包括</w:t>
            </w:r>
            <w:r>
              <w:rPr>
                <w:rFonts w:hint="eastAsia" w:ascii="宋体" w:hAnsi="宋体" w:cs="宋体"/>
                <w:color w:val="auto"/>
                <w:szCs w:val="21"/>
                <w:highlight w:val="none"/>
                <w:lang w:val="en-US" w:eastAsia="zh-CN"/>
              </w:rPr>
              <w:t>包括劳动力工种配置是否合理、人员是否满足施工进度要求；机械、</w:t>
            </w:r>
            <w:r>
              <w:rPr>
                <w:rFonts w:hint="eastAsia" w:ascii="宋体" w:hAnsi="宋体" w:eastAsia="宋体" w:cs="宋体"/>
                <w:color w:val="auto"/>
                <w:szCs w:val="21"/>
                <w:highlight w:val="none"/>
              </w:rPr>
              <w:t>设备配置是否齐全，</w:t>
            </w:r>
            <w:r>
              <w:rPr>
                <w:rFonts w:hint="eastAsia" w:ascii="宋体" w:hAnsi="宋体" w:cs="宋体"/>
                <w:color w:val="auto"/>
                <w:szCs w:val="21"/>
                <w:highlight w:val="none"/>
                <w:lang w:val="en-US" w:eastAsia="zh-CN"/>
              </w:rPr>
              <w:t>保证措施</w:t>
            </w:r>
            <w:r>
              <w:rPr>
                <w:rFonts w:hint="eastAsia" w:ascii="宋体" w:hAnsi="宋体" w:eastAsia="宋体" w:cs="宋体"/>
                <w:color w:val="auto"/>
                <w:szCs w:val="21"/>
                <w:highlight w:val="none"/>
              </w:rPr>
              <w:t>是否详细，是否满足项目要求）进行综合评审：</w:t>
            </w:r>
            <w:r>
              <w:rPr>
                <w:rFonts w:hint="eastAsia" w:ascii="宋体" w:hAnsi="宋体" w:eastAsia="宋体" w:cs="宋体"/>
                <w:color w:val="auto"/>
                <w:szCs w:val="21"/>
                <w:highlight w:val="none"/>
                <w:lang w:val="zh-CN"/>
              </w:rPr>
              <w:t>优得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lang w:val="zh-CN"/>
              </w:rPr>
              <w:t>分，良得</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lang w:val="en-US" w:eastAsia="zh-CN"/>
              </w:rPr>
              <w:t>2，4</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一般得</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lang w:val="en-US" w:eastAsia="zh-CN"/>
              </w:rPr>
              <w:t>1，2</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zh-CN"/>
              </w:rPr>
              <w:t>差</w:t>
            </w:r>
            <w:r>
              <w:rPr>
                <w:rFonts w:hint="eastAsia" w:ascii="宋体" w:hAnsi="宋体" w:eastAsia="宋体" w:cs="宋体"/>
                <w:color w:val="auto"/>
                <w:szCs w:val="21"/>
                <w:highlight w:val="none"/>
              </w:rPr>
              <w:t>不得</w:t>
            </w:r>
            <w:r>
              <w:rPr>
                <w:rFonts w:hint="eastAsia" w:ascii="宋体" w:hAnsi="宋体" w:eastAsia="宋体" w:cs="宋体"/>
                <w:color w:val="auto"/>
                <w:szCs w:val="21"/>
                <w:highlight w:val="none"/>
                <w:lang w:val="zh-CN"/>
              </w:rPr>
              <w:t>分。</w:t>
            </w:r>
          </w:p>
        </w:tc>
      </w:tr>
      <w:tr w14:paraId="1CB75ED1">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218" w:type="dxa"/>
            <w:vMerge w:val="restart"/>
            <w:tcBorders>
              <w:left w:val="single" w:color="auto" w:sz="8" w:space="0"/>
              <w:right w:val="single" w:color="auto" w:sz="4" w:space="0"/>
            </w:tcBorders>
            <w:noWrap w:val="0"/>
            <w:vAlign w:val="center"/>
          </w:tcPr>
          <w:p w14:paraId="56FEEA0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二、项目组织管理机构能力（</w:t>
            </w:r>
            <w:r>
              <w:rPr>
                <w:rFonts w:hint="eastAsia" w:ascii="宋体" w:hAnsi="宋体" w:cs="宋体"/>
                <w:color w:val="auto"/>
                <w:szCs w:val="21"/>
                <w:highlight w:val="none"/>
                <w:lang w:val="en-US" w:eastAsia="zh-CN"/>
              </w:rPr>
              <w:t>35</w:t>
            </w:r>
            <w:r>
              <w:rPr>
                <w:rFonts w:hint="eastAsia" w:ascii="宋体" w:hAnsi="宋体" w:cs="宋体"/>
                <w:color w:val="auto"/>
                <w:szCs w:val="21"/>
                <w:highlight w:val="none"/>
              </w:rPr>
              <w:t>分）</w:t>
            </w:r>
          </w:p>
          <w:p w14:paraId="75D85014">
            <w:pPr>
              <w:spacing w:line="360" w:lineRule="auto"/>
              <w:rPr>
                <w:rFonts w:hint="eastAsia" w:ascii="宋体" w:hAnsi="宋体" w:cs="宋体"/>
                <w:color w:val="auto"/>
                <w:szCs w:val="21"/>
                <w:highlight w:val="none"/>
              </w:rPr>
            </w:pPr>
          </w:p>
        </w:tc>
        <w:tc>
          <w:tcPr>
            <w:tcW w:w="757" w:type="dxa"/>
            <w:vMerge w:val="restart"/>
            <w:tcBorders>
              <w:left w:val="single" w:color="auto" w:sz="4" w:space="0"/>
              <w:right w:val="single" w:color="auto" w:sz="4" w:space="0"/>
            </w:tcBorders>
            <w:noWrap w:val="0"/>
            <w:vAlign w:val="center"/>
          </w:tcPr>
          <w:p w14:paraId="6B3D0458">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项目管理机构</w:t>
            </w:r>
          </w:p>
        </w:tc>
        <w:tc>
          <w:tcPr>
            <w:tcW w:w="1326" w:type="dxa"/>
            <w:tcBorders>
              <w:left w:val="single" w:color="auto" w:sz="4" w:space="0"/>
              <w:right w:val="single" w:color="auto" w:sz="4" w:space="0"/>
            </w:tcBorders>
            <w:noWrap w:val="0"/>
            <w:vAlign w:val="center"/>
          </w:tcPr>
          <w:p w14:paraId="049EF794">
            <w:pPr>
              <w:widowControl/>
              <w:spacing w:line="360" w:lineRule="auto"/>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rPr>
              <w:t>项目</w:t>
            </w:r>
            <w:r>
              <w:rPr>
                <w:rFonts w:hint="eastAsia" w:ascii="宋体" w:hAnsi="宋体" w:cs="宋体"/>
                <w:color w:val="auto"/>
                <w:szCs w:val="21"/>
                <w:highlight w:val="none"/>
              </w:rPr>
              <w:t>负责人</w:t>
            </w:r>
          </w:p>
        </w:tc>
        <w:tc>
          <w:tcPr>
            <w:tcW w:w="781" w:type="dxa"/>
            <w:tcBorders>
              <w:left w:val="single" w:color="auto" w:sz="4" w:space="0"/>
              <w:bottom w:val="single" w:color="auto" w:sz="4" w:space="0"/>
              <w:right w:val="single" w:color="auto" w:sz="4" w:space="0"/>
            </w:tcBorders>
            <w:noWrap w:val="0"/>
            <w:vAlign w:val="center"/>
          </w:tcPr>
          <w:p w14:paraId="699BA163">
            <w:pPr>
              <w:widowControl/>
              <w:spacing w:line="360" w:lineRule="auto"/>
              <w:jc w:val="center"/>
              <w:rPr>
                <w:rFonts w:hint="eastAsia" w:ascii="宋体" w:hAnsi="宋体" w:eastAsia="宋体" w:cs="宋体"/>
                <w:color w:val="auto"/>
                <w:kern w:val="0"/>
                <w:szCs w:val="21"/>
                <w:highlight w:val="none"/>
                <w:lang w:eastAsia="zh-CN" w:bidi="ar"/>
              </w:rPr>
            </w:pPr>
            <w:r>
              <w:rPr>
                <w:rFonts w:hint="eastAsia" w:ascii="宋体" w:hAnsi="宋体" w:cs="宋体"/>
                <w:color w:val="auto"/>
                <w:szCs w:val="21"/>
                <w:highlight w:val="none"/>
                <w:lang w:val="en-US" w:eastAsia="zh-CN"/>
              </w:rPr>
              <w:t>5</w:t>
            </w:r>
          </w:p>
        </w:tc>
        <w:tc>
          <w:tcPr>
            <w:tcW w:w="10812" w:type="dxa"/>
            <w:tcBorders>
              <w:top w:val="single" w:color="auto" w:sz="4" w:space="0"/>
              <w:left w:val="single" w:color="auto" w:sz="4" w:space="0"/>
              <w:bottom w:val="single" w:color="auto" w:sz="4" w:space="0"/>
              <w:right w:val="single" w:color="auto" w:sz="4" w:space="0"/>
            </w:tcBorders>
            <w:noWrap w:val="0"/>
            <w:vAlign w:val="center"/>
          </w:tcPr>
          <w:p w14:paraId="38809909">
            <w:pPr>
              <w:rPr>
                <w:rStyle w:val="43"/>
                <w:rFonts w:hint="default"/>
                <w:color w:val="auto"/>
                <w:sz w:val="21"/>
                <w:szCs w:val="21"/>
                <w:highlight w:val="none"/>
                <w:lang w:bidi="ar"/>
              </w:rPr>
            </w:pPr>
            <w:r>
              <w:rPr>
                <w:rFonts w:hint="eastAsia" w:ascii="宋体" w:hAnsi="宋体" w:cs="宋体"/>
                <w:color w:val="auto"/>
                <w:kern w:val="0"/>
                <w:szCs w:val="21"/>
                <w:highlight w:val="none"/>
              </w:rPr>
              <w:t>具备建筑工程类相关专业</w:t>
            </w:r>
            <w:r>
              <w:rPr>
                <w:rFonts w:hint="eastAsia" w:ascii="宋体" w:hAnsi="宋体" w:cs="宋体"/>
                <w:color w:val="auto"/>
                <w:kern w:val="0"/>
                <w:szCs w:val="21"/>
                <w:highlight w:val="none"/>
                <w:lang w:eastAsia="zh-CN"/>
              </w:rPr>
              <w:t>中</w:t>
            </w:r>
            <w:r>
              <w:rPr>
                <w:rFonts w:hint="eastAsia" w:ascii="宋体" w:hAnsi="宋体" w:cs="宋体"/>
                <w:color w:val="auto"/>
                <w:kern w:val="0"/>
                <w:szCs w:val="21"/>
                <w:highlight w:val="none"/>
              </w:rPr>
              <w:t>级工程师或以上职称的，得</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分。具备建筑工程类相关专业</w:t>
            </w:r>
            <w:r>
              <w:rPr>
                <w:rFonts w:hint="eastAsia" w:ascii="宋体" w:hAnsi="宋体" w:cs="宋体"/>
                <w:color w:val="auto"/>
                <w:kern w:val="0"/>
                <w:szCs w:val="21"/>
                <w:highlight w:val="none"/>
                <w:lang w:eastAsia="zh-CN"/>
              </w:rPr>
              <w:t>初</w:t>
            </w:r>
            <w:r>
              <w:rPr>
                <w:rFonts w:hint="eastAsia" w:ascii="宋体" w:hAnsi="宋体" w:cs="宋体"/>
                <w:color w:val="auto"/>
                <w:kern w:val="0"/>
                <w:szCs w:val="21"/>
                <w:highlight w:val="none"/>
              </w:rPr>
              <w:t>级工程师职称的，得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tc>
      </w:tr>
      <w:tr w14:paraId="4A4EC9F6">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218" w:type="dxa"/>
            <w:vMerge w:val="continue"/>
            <w:tcBorders>
              <w:left w:val="single" w:color="auto" w:sz="8" w:space="0"/>
              <w:right w:val="single" w:color="auto" w:sz="4" w:space="0"/>
            </w:tcBorders>
            <w:noWrap w:val="0"/>
            <w:vAlign w:val="center"/>
          </w:tcPr>
          <w:p w14:paraId="5E23AC21">
            <w:pPr>
              <w:spacing w:line="360" w:lineRule="auto"/>
              <w:rPr>
                <w:rFonts w:hint="eastAsia" w:ascii="宋体" w:hAnsi="宋体" w:cs="宋体"/>
                <w:color w:val="auto"/>
                <w:szCs w:val="21"/>
                <w:highlight w:val="none"/>
              </w:rPr>
            </w:pPr>
          </w:p>
        </w:tc>
        <w:tc>
          <w:tcPr>
            <w:tcW w:w="757" w:type="dxa"/>
            <w:vMerge w:val="continue"/>
            <w:tcBorders>
              <w:left w:val="single" w:color="auto" w:sz="4" w:space="0"/>
              <w:right w:val="single" w:color="auto" w:sz="4" w:space="0"/>
            </w:tcBorders>
            <w:noWrap w:val="0"/>
            <w:vAlign w:val="center"/>
          </w:tcPr>
          <w:p w14:paraId="1E8F615A">
            <w:pPr>
              <w:widowControl/>
              <w:spacing w:line="360" w:lineRule="auto"/>
              <w:rPr>
                <w:rFonts w:hint="eastAsia" w:ascii="宋体" w:hAnsi="宋体" w:cs="宋体"/>
                <w:color w:val="auto"/>
                <w:kern w:val="0"/>
                <w:szCs w:val="21"/>
                <w:highlight w:val="none"/>
              </w:rPr>
            </w:pPr>
          </w:p>
        </w:tc>
        <w:tc>
          <w:tcPr>
            <w:tcW w:w="1326" w:type="dxa"/>
            <w:tcBorders>
              <w:left w:val="single" w:color="auto" w:sz="4" w:space="0"/>
              <w:right w:val="single" w:color="auto" w:sz="4" w:space="0"/>
            </w:tcBorders>
            <w:noWrap w:val="0"/>
            <w:vAlign w:val="center"/>
          </w:tcPr>
          <w:p w14:paraId="1C60853B">
            <w:pPr>
              <w:widowControl/>
              <w:spacing w:line="360" w:lineRule="auto"/>
              <w:jc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技术负责人</w:t>
            </w:r>
          </w:p>
        </w:tc>
        <w:tc>
          <w:tcPr>
            <w:tcW w:w="781" w:type="dxa"/>
            <w:tcBorders>
              <w:left w:val="single" w:color="auto" w:sz="4" w:space="0"/>
              <w:bottom w:val="single" w:color="auto" w:sz="4" w:space="0"/>
              <w:right w:val="single" w:color="auto" w:sz="4" w:space="0"/>
            </w:tcBorders>
            <w:noWrap w:val="0"/>
            <w:vAlign w:val="center"/>
          </w:tcPr>
          <w:p w14:paraId="6AF758C4">
            <w:pPr>
              <w:widowControl/>
              <w:spacing w:line="360" w:lineRule="auto"/>
              <w:jc w:val="center"/>
              <w:rPr>
                <w:rFonts w:hint="eastAsia" w:ascii="宋体" w:hAnsi="宋体" w:eastAsia="宋体" w:cs="宋体"/>
                <w:color w:val="auto"/>
                <w:kern w:val="0"/>
                <w:szCs w:val="21"/>
                <w:highlight w:val="none"/>
                <w:lang w:eastAsia="zh-CN" w:bidi="ar"/>
              </w:rPr>
            </w:pPr>
            <w:r>
              <w:rPr>
                <w:rFonts w:hint="eastAsia" w:ascii="宋体" w:hAnsi="宋体" w:cs="宋体"/>
                <w:color w:val="auto"/>
                <w:szCs w:val="21"/>
                <w:highlight w:val="none"/>
                <w:lang w:val="en-US" w:eastAsia="zh-CN"/>
              </w:rPr>
              <w:t>5</w:t>
            </w:r>
          </w:p>
        </w:tc>
        <w:tc>
          <w:tcPr>
            <w:tcW w:w="10812" w:type="dxa"/>
            <w:tcBorders>
              <w:top w:val="single" w:color="auto" w:sz="4" w:space="0"/>
              <w:left w:val="single" w:color="auto" w:sz="4" w:space="0"/>
              <w:bottom w:val="single" w:color="auto" w:sz="4" w:space="0"/>
              <w:right w:val="single" w:color="auto" w:sz="4" w:space="0"/>
            </w:tcBorders>
            <w:noWrap w:val="0"/>
            <w:vAlign w:val="center"/>
          </w:tcPr>
          <w:p w14:paraId="09E180DB">
            <w:pPr>
              <w:rPr>
                <w:rStyle w:val="43"/>
                <w:rFonts w:hint="default"/>
                <w:color w:val="auto"/>
                <w:sz w:val="21"/>
                <w:szCs w:val="21"/>
                <w:highlight w:val="none"/>
                <w:lang w:bidi="ar"/>
              </w:rPr>
            </w:pPr>
            <w:r>
              <w:rPr>
                <w:rFonts w:hint="eastAsia" w:ascii="宋体" w:hAnsi="宋体" w:cs="宋体"/>
                <w:color w:val="auto"/>
                <w:kern w:val="0"/>
                <w:szCs w:val="21"/>
                <w:highlight w:val="none"/>
              </w:rPr>
              <w:t>具备建筑工程类专业副高级工程师或以上职称的，得</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tc>
      </w:tr>
      <w:tr w14:paraId="06DEE42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218" w:type="dxa"/>
            <w:vMerge w:val="continue"/>
            <w:tcBorders>
              <w:left w:val="single" w:color="auto" w:sz="8" w:space="0"/>
              <w:right w:val="single" w:color="auto" w:sz="4" w:space="0"/>
            </w:tcBorders>
            <w:noWrap w:val="0"/>
            <w:vAlign w:val="center"/>
          </w:tcPr>
          <w:p w14:paraId="1B869B7A">
            <w:pPr>
              <w:spacing w:line="360" w:lineRule="auto"/>
              <w:rPr>
                <w:rFonts w:hint="eastAsia" w:ascii="宋体" w:hAnsi="宋体" w:cs="宋体"/>
                <w:color w:val="auto"/>
                <w:szCs w:val="21"/>
                <w:highlight w:val="none"/>
              </w:rPr>
            </w:pPr>
          </w:p>
        </w:tc>
        <w:tc>
          <w:tcPr>
            <w:tcW w:w="757" w:type="dxa"/>
            <w:vMerge w:val="continue"/>
            <w:tcBorders>
              <w:left w:val="single" w:color="auto" w:sz="4" w:space="0"/>
              <w:right w:val="single" w:color="auto" w:sz="4" w:space="0"/>
            </w:tcBorders>
            <w:noWrap w:val="0"/>
            <w:vAlign w:val="center"/>
          </w:tcPr>
          <w:p w14:paraId="683EAAB4">
            <w:pPr>
              <w:widowControl/>
              <w:spacing w:line="360" w:lineRule="auto"/>
              <w:rPr>
                <w:rFonts w:hint="eastAsia" w:ascii="宋体" w:hAnsi="宋体" w:cs="宋体"/>
                <w:color w:val="auto"/>
                <w:kern w:val="0"/>
                <w:szCs w:val="21"/>
                <w:highlight w:val="none"/>
              </w:rPr>
            </w:pPr>
          </w:p>
        </w:tc>
        <w:tc>
          <w:tcPr>
            <w:tcW w:w="1326" w:type="dxa"/>
            <w:tcBorders>
              <w:left w:val="single" w:color="auto" w:sz="4" w:space="0"/>
              <w:right w:val="single" w:color="auto" w:sz="4" w:space="0"/>
            </w:tcBorders>
            <w:noWrap w:val="0"/>
            <w:vAlign w:val="center"/>
          </w:tcPr>
          <w:p w14:paraId="60C1F608">
            <w:pPr>
              <w:widowControl/>
              <w:spacing w:line="360" w:lineRule="auto"/>
              <w:jc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质量负责人</w:t>
            </w:r>
          </w:p>
        </w:tc>
        <w:tc>
          <w:tcPr>
            <w:tcW w:w="781" w:type="dxa"/>
            <w:tcBorders>
              <w:left w:val="single" w:color="auto" w:sz="4" w:space="0"/>
              <w:bottom w:val="single" w:color="auto" w:sz="4" w:space="0"/>
              <w:right w:val="single" w:color="auto" w:sz="4" w:space="0"/>
            </w:tcBorders>
            <w:noWrap w:val="0"/>
            <w:vAlign w:val="center"/>
          </w:tcPr>
          <w:p w14:paraId="32DB77E0">
            <w:pPr>
              <w:widowControl/>
              <w:spacing w:line="360" w:lineRule="auto"/>
              <w:jc w:val="center"/>
              <w:rPr>
                <w:rFonts w:hint="eastAsia" w:ascii="宋体" w:hAnsi="宋体" w:eastAsia="宋体" w:cs="宋体"/>
                <w:color w:val="auto"/>
                <w:kern w:val="0"/>
                <w:szCs w:val="21"/>
                <w:highlight w:val="none"/>
                <w:lang w:eastAsia="zh-CN" w:bidi="ar"/>
              </w:rPr>
            </w:pPr>
            <w:r>
              <w:rPr>
                <w:rFonts w:hint="eastAsia" w:ascii="宋体" w:hAnsi="宋体" w:cs="宋体"/>
                <w:color w:val="auto"/>
                <w:szCs w:val="21"/>
                <w:highlight w:val="none"/>
                <w:lang w:val="en-US" w:eastAsia="zh-CN"/>
              </w:rPr>
              <w:t>5</w:t>
            </w:r>
          </w:p>
        </w:tc>
        <w:tc>
          <w:tcPr>
            <w:tcW w:w="10812" w:type="dxa"/>
            <w:tcBorders>
              <w:top w:val="single" w:color="auto" w:sz="4" w:space="0"/>
              <w:left w:val="single" w:color="auto" w:sz="4" w:space="0"/>
              <w:bottom w:val="single" w:color="auto" w:sz="4" w:space="0"/>
              <w:right w:val="single" w:color="auto" w:sz="4" w:space="0"/>
            </w:tcBorders>
            <w:noWrap w:val="0"/>
            <w:vAlign w:val="center"/>
          </w:tcPr>
          <w:p w14:paraId="4D7125AE">
            <w:pPr>
              <w:rPr>
                <w:rStyle w:val="43"/>
                <w:rFonts w:hint="default"/>
                <w:color w:val="auto"/>
                <w:sz w:val="21"/>
                <w:szCs w:val="21"/>
                <w:highlight w:val="none"/>
                <w:lang w:bidi="ar"/>
              </w:rPr>
            </w:pPr>
            <w:r>
              <w:rPr>
                <w:rFonts w:hint="eastAsia" w:ascii="宋体" w:hAnsi="宋体" w:cs="宋体"/>
                <w:color w:val="auto"/>
                <w:kern w:val="0"/>
                <w:szCs w:val="21"/>
                <w:highlight w:val="none"/>
              </w:rPr>
              <w:t>具备建筑工程类相关专业</w:t>
            </w:r>
            <w:r>
              <w:rPr>
                <w:rFonts w:hint="eastAsia" w:ascii="宋体" w:hAnsi="宋体" w:cs="宋体"/>
                <w:color w:val="auto"/>
                <w:kern w:val="0"/>
                <w:szCs w:val="21"/>
                <w:highlight w:val="none"/>
                <w:lang w:eastAsia="zh-CN"/>
              </w:rPr>
              <w:t>中</w:t>
            </w:r>
            <w:r>
              <w:rPr>
                <w:rFonts w:hint="eastAsia" w:ascii="宋体" w:hAnsi="宋体" w:cs="宋体"/>
                <w:color w:val="auto"/>
                <w:kern w:val="0"/>
                <w:szCs w:val="21"/>
                <w:highlight w:val="none"/>
              </w:rPr>
              <w:t>级工程师或以上职称上职称的，得</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分。具备建筑工程类相关专业</w:t>
            </w:r>
            <w:r>
              <w:rPr>
                <w:rFonts w:hint="eastAsia" w:ascii="宋体" w:hAnsi="宋体" w:cs="宋体"/>
                <w:color w:val="auto"/>
                <w:kern w:val="0"/>
                <w:szCs w:val="21"/>
                <w:highlight w:val="none"/>
                <w:lang w:eastAsia="zh-CN"/>
              </w:rPr>
              <w:t>初</w:t>
            </w:r>
            <w:r>
              <w:rPr>
                <w:rFonts w:hint="eastAsia" w:ascii="宋体" w:hAnsi="宋体" w:cs="宋体"/>
                <w:color w:val="auto"/>
                <w:kern w:val="0"/>
                <w:szCs w:val="21"/>
                <w:highlight w:val="none"/>
              </w:rPr>
              <w:t>级工程师职称的，得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tc>
      </w:tr>
      <w:tr w14:paraId="1730320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218" w:type="dxa"/>
            <w:vMerge w:val="continue"/>
            <w:tcBorders>
              <w:left w:val="single" w:color="auto" w:sz="8" w:space="0"/>
              <w:right w:val="single" w:color="auto" w:sz="4" w:space="0"/>
            </w:tcBorders>
            <w:noWrap w:val="0"/>
            <w:vAlign w:val="center"/>
          </w:tcPr>
          <w:p w14:paraId="4184B760">
            <w:pPr>
              <w:spacing w:line="360" w:lineRule="auto"/>
              <w:rPr>
                <w:rFonts w:hint="eastAsia" w:ascii="宋体" w:hAnsi="宋体" w:cs="宋体"/>
                <w:color w:val="auto"/>
                <w:szCs w:val="21"/>
                <w:highlight w:val="none"/>
              </w:rPr>
            </w:pPr>
          </w:p>
        </w:tc>
        <w:tc>
          <w:tcPr>
            <w:tcW w:w="757" w:type="dxa"/>
            <w:vMerge w:val="continue"/>
            <w:tcBorders>
              <w:left w:val="single" w:color="auto" w:sz="4" w:space="0"/>
              <w:right w:val="single" w:color="auto" w:sz="4" w:space="0"/>
            </w:tcBorders>
            <w:noWrap w:val="0"/>
            <w:vAlign w:val="center"/>
          </w:tcPr>
          <w:p w14:paraId="47066D48">
            <w:pPr>
              <w:widowControl/>
              <w:spacing w:line="360" w:lineRule="auto"/>
              <w:rPr>
                <w:rFonts w:hint="eastAsia" w:ascii="宋体" w:hAnsi="宋体" w:cs="宋体"/>
                <w:color w:val="auto"/>
                <w:kern w:val="0"/>
                <w:szCs w:val="21"/>
                <w:highlight w:val="none"/>
              </w:rPr>
            </w:pPr>
          </w:p>
        </w:tc>
        <w:tc>
          <w:tcPr>
            <w:tcW w:w="1326" w:type="dxa"/>
            <w:tcBorders>
              <w:left w:val="single" w:color="auto" w:sz="4" w:space="0"/>
              <w:right w:val="single" w:color="auto" w:sz="4" w:space="0"/>
            </w:tcBorders>
            <w:noWrap w:val="0"/>
            <w:vAlign w:val="center"/>
          </w:tcPr>
          <w:p w14:paraId="7B397403">
            <w:pPr>
              <w:widowControl/>
              <w:spacing w:line="360" w:lineRule="auto"/>
              <w:jc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安全负责人</w:t>
            </w:r>
          </w:p>
        </w:tc>
        <w:tc>
          <w:tcPr>
            <w:tcW w:w="781" w:type="dxa"/>
            <w:tcBorders>
              <w:left w:val="single" w:color="auto" w:sz="4" w:space="0"/>
              <w:bottom w:val="single" w:color="auto" w:sz="4" w:space="0"/>
              <w:right w:val="single" w:color="auto" w:sz="4" w:space="0"/>
            </w:tcBorders>
            <w:noWrap w:val="0"/>
            <w:vAlign w:val="center"/>
          </w:tcPr>
          <w:p w14:paraId="652F9765">
            <w:pPr>
              <w:widowControl/>
              <w:spacing w:line="360" w:lineRule="auto"/>
              <w:jc w:val="center"/>
              <w:rPr>
                <w:rFonts w:hint="eastAsia" w:ascii="宋体" w:hAnsi="宋体" w:eastAsia="宋体" w:cs="宋体"/>
                <w:color w:val="auto"/>
                <w:kern w:val="0"/>
                <w:szCs w:val="21"/>
                <w:highlight w:val="none"/>
                <w:lang w:eastAsia="zh-CN" w:bidi="ar"/>
              </w:rPr>
            </w:pPr>
            <w:r>
              <w:rPr>
                <w:rFonts w:hint="eastAsia" w:ascii="宋体" w:hAnsi="宋体" w:cs="宋体"/>
                <w:color w:val="auto"/>
                <w:szCs w:val="21"/>
                <w:highlight w:val="none"/>
                <w:lang w:val="en-US" w:eastAsia="zh-CN"/>
              </w:rPr>
              <w:t>5</w:t>
            </w:r>
          </w:p>
        </w:tc>
        <w:tc>
          <w:tcPr>
            <w:tcW w:w="10812" w:type="dxa"/>
            <w:tcBorders>
              <w:top w:val="single" w:color="auto" w:sz="4" w:space="0"/>
              <w:left w:val="single" w:color="auto" w:sz="4" w:space="0"/>
              <w:bottom w:val="single" w:color="auto" w:sz="4" w:space="0"/>
              <w:right w:val="single" w:color="auto" w:sz="4" w:space="0"/>
            </w:tcBorders>
            <w:noWrap w:val="0"/>
            <w:vAlign w:val="center"/>
          </w:tcPr>
          <w:p w14:paraId="309BEAA6">
            <w:pPr>
              <w:rPr>
                <w:rStyle w:val="43"/>
                <w:rFonts w:hint="default"/>
                <w:color w:val="auto"/>
                <w:sz w:val="21"/>
                <w:szCs w:val="21"/>
                <w:highlight w:val="none"/>
                <w:lang w:bidi="ar"/>
              </w:rPr>
            </w:pPr>
            <w:r>
              <w:rPr>
                <w:color w:val="auto"/>
                <w:highlight w:val="none"/>
              </w:rPr>
              <w:t>具有建筑施工安全专业注册安全工程师中级（或以上）证书的</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14:paraId="699FB60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218" w:type="dxa"/>
            <w:vMerge w:val="continue"/>
            <w:tcBorders>
              <w:left w:val="single" w:color="auto" w:sz="8" w:space="0"/>
              <w:right w:val="single" w:color="auto" w:sz="4" w:space="0"/>
            </w:tcBorders>
            <w:noWrap w:val="0"/>
            <w:vAlign w:val="center"/>
          </w:tcPr>
          <w:p w14:paraId="5466D1CD">
            <w:pPr>
              <w:spacing w:line="360" w:lineRule="auto"/>
              <w:rPr>
                <w:rFonts w:hint="eastAsia" w:ascii="宋体" w:hAnsi="宋体" w:cs="宋体"/>
                <w:color w:val="auto"/>
                <w:szCs w:val="21"/>
                <w:highlight w:val="none"/>
              </w:rPr>
            </w:pPr>
          </w:p>
        </w:tc>
        <w:tc>
          <w:tcPr>
            <w:tcW w:w="757" w:type="dxa"/>
            <w:vMerge w:val="continue"/>
            <w:tcBorders>
              <w:left w:val="single" w:color="auto" w:sz="4" w:space="0"/>
              <w:right w:val="single" w:color="auto" w:sz="4" w:space="0"/>
            </w:tcBorders>
            <w:noWrap w:val="0"/>
            <w:vAlign w:val="center"/>
          </w:tcPr>
          <w:p w14:paraId="13449648">
            <w:pPr>
              <w:widowControl/>
              <w:spacing w:line="360" w:lineRule="auto"/>
              <w:rPr>
                <w:rFonts w:hint="eastAsia" w:ascii="宋体" w:hAnsi="宋体" w:cs="宋体"/>
                <w:color w:val="auto"/>
                <w:kern w:val="0"/>
                <w:szCs w:val="21"/>
                <w:highlight w:val="none"/>
              </w:rPr>
            </w:pPr>
          </w:p>
        </w:tc>
        <w:tc>
          <w:tcPr>
            <w:tcW w:w="1326" w:type="dxa"/>
            <w:tcBorders>
              <w:left w:val="single" w:color="auto" w:sz="4" w:space="0"/>
              <w:right w:val="single" w:color="auto" w:sz="4" w:space="0"/>
            </w:tcBorders>
            <w:noWrap w:val="0"/>
            <w:vAlign w:val="center"/>
          </w:tcPr>
          <w:p w14:paraId="3104BC00">
            <w:pPr>
              <w:widowControl/>
              <w:spacing w:line="360" w:lineRule="auto"/>
              <w:jc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造价负责人</w:t>
            </w:r>
          </w:p>
        </w:tc>
        <w:tc>
          <w:tcPr>
            <w:tcW w:w="781" w:type="dxa"/>
            <w:tcBorders>
              <w:left w:val="single" w:color="auto" w:sz="4" w:space="0"/>
              <w:bottom w:val="single" w:color="auto" w:sz="4" w:space="0"/>
              <w:right w:val="single" w:color="auto" w:sz="4" w:space="0"/>
            </w:tcBorders>
            <w:noWrap w:val="0"/>
            <w:vAlign w:val="center"/>
          </w:tcPr>
          <w:p w14:paraId="15DE57BF">
            <w:pPr>
              <w:widowControl/>
              <w:spacing w:line="360" w:lineRule="auto"/>
              <w:jc w:val="center"/>
              <w:rPr>
                <w:rFonts w:hint="eastAsia" w:ascii="宋体" w:hAnsi="宋体" w:eastAsia="宋体" w:cs="宋体"/>
                <w:color w:val="auto"/>
                <w:kern w:val="0"/>
                <w:szCs w:val="21"/>
                <w:highlight w:val="none"/>
                <w:lang w:eastAsia="zh-CN" w:bidi="ar"/>
              </w:rPr>
            </w:pPr>
            <w:r>
              <w:rPr>
                <w:rFonts w:hint="eastAsia" w:ascii="宋体" w:hAnsi="宋体" w:cs="宋体"/>
                <w:color w:val="auto"/>
                <w:szCs w:val="21"/>
                <w:highlight w:val="none"/>
                <w:lang w:val="en-US" w:eastAsia="zh-CN"/>
              </w:rPr>
              <w:t>5</w:t>
            </w:r>
          </w:p>
        </w:tc>
        <w:tc>
          <w:tcPr>
            <w:tcW w:w="10812" w:type="dxa"/>
            <w:tcBorders>
              <w:top w:val="single" w:color="auto" w:sz="4" w:space="0"/>
              <w:left w:val="single" w:color="auto" w:sz="4" w:space="0"/>
              <w:bottom w:val="single" w:color="auto" w:sz="4" w:space="0"/>
              <w:right w:val="single" w:color="auto" w:sz="4" w:space="0"/>
            </w:tcBorders>
            <w:noWrap w:val="0"/>
            <w:vAlign w:val="center"/>
          </w:tcPr>
          <w:p w14:paraId="327BC53B">
            <w:pPr>
              <w:rPr>
                <w:rStyle w:val="43"/>
                <w:rFonts w:hint="default"/>
                <w:color w:val="auto"/>
                <w:sz w:val="21"/>
                <w:szCs w:val="21"/>
                <w:highlight w:val="none"/>
                <w:lang w:bidi="ar"/>
              </w:rPr>
            </w:pPr>
            <w:r>
              <w:rPr>
                <w:color w:val="auto"/>
                <w:highlight w:val="none"/>
              </w:rPr>
              <w:t>具有</w:t>
            </w:r>
            <w:r>
              <w:rPr>
                <w:rFonts w:hint="eastAsia"/>
                <w:color w:val="auto"/>
                <w:highlight w:val="none"/>
                <w:lang w:eastAsia="zh-CN"/>
              </w:rPr>
              <w:t>土木建筑工程</w:t>
            </w:r>
            <w:r>
              <w:rPr>
                <w:color w:val="auto"/>
                <w:highlight w:val="none"/>
              </w:rPr>
              <w:t>一级注册造价工程师证书的，得</w:t>
            </w:r>
            <w:r>
              <w:rPr>
                <w:rFonts w:hint="eastAsia"/>
                <w:color w:val="auto"/>
                <w:highlight w:val="none"/>
                <w:lang w:val="en-US" w:eastAsia="zh-CN"/>
              </w:rPr>
              <w:t>5</w:t>
            </w:r>
            <w:r>
              <w:rPr>
                <w:color w:val="auto"/>
                <w:highlight w:val="none"/>
              </w:rPr>
              <w:t>分；具有</w:t>
            </w:r>
            <w:r>
              <w:rPr>
                <w:rFonts w:hint="eastAsia"/>
                <w:color w:val="auto"/>
                <w:highlight w:val="none"/>
                <w:lang w:eastAsia="zh-CN"/>
              </w:rPr>
              <w:t>土木建筑工程</w:t>
            </w:r>
            <w:r>
              <w:rPr>
                <w:color w:val="auto"/>
                <w:highlight w:val="none"/>
              </w:rPr>
              <w:t>二级注册造价工程师证书的，得</w:t>
            </w:r>
            <w:r>
              <w:rPr>
                <w:rFonts w:hint="eastAsia"/>
                <w:color w:val="auto"/>
                <w:highlight w:val="none"/>
                <w:lang w:val="en-US" w:eastAsia="zh-CN"/>
              </w:rPr>
              <w:t>2</w:t>
            </w:r>
            <w:r>
              <w:rPr>
                <w:color w:val="auto"/>
                <w:highlight w:val="none"/>
              </w:rPr>
              <w:t>分</w:t>
            </w:r>
          </w:p>
        </w:tc>
      </w:tr>
      <w:tr w14:paraId="0495A0F0">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218" w:type="dxa"/>
            <w:vMerge w:val="continue"/>
            <w:tcBorders>
              <w:left w:val="single" w:color="auto" w:sz="8" w:space="0"/>
              <w:right w:val="single" w:color="auto" w:sz="4" w:space="0"/>
            </w:tcBorders>
            <w:noWrap w:val="0"/>
            <w:vAlign w:val="center"/>
          </w:tcPr>
          <w:p w14:paraId="390A5816">
            <w:pPr>
              <w:spacing w:line="360" w:lineRule="auto"/>
              <w:rPr>
                <w:rFonts w:hint="eastAsia" w:ascii="宋体" w:hAnsi="宋体" w:cs="宋体"/>
                <w:color w:val="auto"/>
                <w:szCs w:val="21"/>
                <w:highlight w:val="none"/>
              </w:rPr>
            </w:pPr>
          </w:p>
        </w:tc>
        <w:tc>
          <w:tcPr>
            <w:tcW w:w="757" w:type="dxa"/>
            <w:vMerge w:val="continue"/>
            <w:tcBorders>
              <w:left w:val="single" w:color="auto" w:sz="4" w:space="0"/>
              <w:right w:val="single" w:color="auto" w:sz="4" w:space="0"/>
            </w:tcBorders>
            <w:noWrap w:val="0"/>
            <w:vAlign w:val="center"/>
          </w:tcPr>
          <w:p w14:paraId="63A52A4B">
            <w:pPr>
              <w:widowControl/>
              <w:spacing w:line="360" w:lineRule="auto"/>
              <w:rPr>
                <w:rFonts w:hint="eastAsia" w:ascii="宋体" w:hAnsi="宋体" w:cs="宋体"/>
                <w:color w:val="auto"/>
                <w:kern w:val="0"/>
                <w:szCs w:val="21"/>
                <w:highlight w:val="none"/>
              </w:rPr>
            </w:pPr>
          </w:p>
        </w:tc>
        <w:tc>
          <w:tcPr>
            <w:tcW w:w="1326" w:type="dxa"/>
            <w:tcBorders>
              <w:left w:val="single" w:color="auto" w:sz="4" w:space="0"/>
              <w:right w:val="single" w:color="auto" w:sz="4" w:space="0"/>
            </w:tcBorders>
            <w:noWrap w:val="0"/>
            <w:vAlign w:val="center"/>
          </w:tcPr>
          <w:p w14:paraId="55BF8572">
            <w:pPr>
              <w:widowControl/>
              <w:spacing w:line="360" w:lineRule="auto"/>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其他人员</w:t>
            </w:r>
          </w:p>
        </w:tc>
        <w:tc>
          <w:tcPr>
            <w:tcW w:w="781" w:type="dxa"/>
            <w:tcBorders>
              <w:left w:val="single" w:color="auto" w:sz="4" w:space="0"/>
              <w:bottom w:val="single" w:color="auto" w:sz="4" w:space="0"/>
              <w:right w:val="single" w:color="auto" w:sz="4" w:space="0"/>
            </w:tcBorders>
            <w:noWrap w:val="0"/>
            <w:vAlign w:val="center"/>
          </w:tcPr>
          <w:p w14:paraId="53884AA8">
            <w:pPr>
              <w:widowControl/>
              <w:spacing w:line="360" w:lineRule="auto"/>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10</w:t>
            </w:r>
          </w:p>
        </w:tc>
        <w:tc>
          <w:tcPr>
            <w:tcW w:w="10812" w:type="dxa"/>
            <w:tcBorders>
              <w:top w:val="single" w:color="auto" w:sz="4" w:space="0"/>
              <w:left w:val="single" w:color="auto" w:sz="4" w:space="0"/>
              <w:bottom w:val="single" w:color="auto" w:sz="4" w:space="0"/>
              <w:right w:val="single" w:color="auto" w:sz="4" w:space="0"/>
            </w:tcBorders>
            <w:noWrap w:val="0"/>
            <w:vAlign w:val="center"/>
          </w:tcPr>
          <w:p w14:paraId="104460CB">
            <w:pPr>
              <w:widowControl/>
              <w:spacing w:line="360" w:lineRule="auto"/>
              <w:jc w:val="left"/>
              <w:textAlignment w:val="center"/>
              <w:rPr>
                <w:rStyle w:val="43"/>
                <w:rFonts w:hint="default"/>
                <w:color w:val="auto"/>
                <w:sz w:val="21"/>
                <w:szCs w:val="21"/>
                <w:highlight w:val="none"/>
                <w:lang w:bidi="ar"/>
              </w:rPr>
            </w:pPr>
            <w:r>
              <w:rPr>
                <w:rStyle w:val="43"/>
                <w:rFonts w:hint="default"/>
                <w:color w:val="auto"/>
                <w:sz w:val="21"/>
                <w:szCs w:val="21"/>
                <w:highlight w:val="none"/>
                <w:lang w:bidi="ar"/>
              </w:rPr>
              <w:t>除项目负责人、技术负责人、质量负责人、安全负责人、造价负责人外，拟投入本项目的人员配置完善合理，关键技术工种能保证项目顺利实施，满足深化设计工作需求，保障项目质量、安全及周边环境等要求其中：</w:t>
            </w:r>
            <w:r>
              <w:rPr>
                <w:rStyle w:val="43"/>
                <w:rFonts w:hint="default"/>
                <w:color w:val="auto"/>
                <w:sz w:val="21"/>
                <w:szCs w:val="21"/>
                <w:highlight w:val="none"/>
                <w:lang w:bidi="ar"/>
              </w:rPr>
              <w:br w:type="textWrapping"/>
            </w:r>
            <w:r>
              <w:rPr>
                <w:rStyle w:val="43"/>
                <w:rFonts w:hint="default"/>
                <w:color w:val="auto"/>
                <w:sz w:val="21"/>
                <w:szCs w:val="21"/>
                <w:highlight w:val="none"/>
                <w:lang w:bidi="ar"/>
              </w:rPr>
              <w:t>①建筑工程师：具有土木</w:t>
            </w:r>
            <w:r>
              <w:rPr>
                <w:rStyle w:val="43"/>
                <w:rFonts w:hint="eastAsia"/>
                <w:color w:val="auto"/>
                <w:sz w:val="21"/>
                <w:szCs w:val="21"/>
                <w:highlight w:val="none"/>
                <w:lang w:eastAsia="zh-CN" w:bidi="ar"/>
              </w:rPr>
              <w:t>、建筑</w:t>
            </w:r>
            <w:r>
              <w:rPr>
                <w:rStyle w:val="43"/>
                <w:rFonts w:hint="default"/>
                <w:color w:val="auto"/>
                <w:sz w:val="21"/>
                <w:szCs w:val="21"/>
                <w:highlight w:val="none"/>
                <w:lang w:bidi="ar"/>
              </w:rPr>
              <w:t>工程</w:t>
            </w:r>
            <w:r>
              <w:rPr>
                <w:rStyle w:val="43"/>
                <w:rFonts w:hint="eastAsia"/>
                <w:color w:val="auto"/>
                <w:sz w:val="21"/>
                <w:szCs w:val="21"/>
                <w:highlight w:val="none"/>
                <w:lang w:eastAsia="zh-CN" w:bidi="ar"/>
              </w:rPr>
              <w:t>类</w:t>
            </w:r>
            <w:r>
              <w:rPr>
                <w:rStyle w:val="43"/>
                <w:rFonts w:hint="default"/>
                <w:color w:val="auto"/>
                <w:sz w:val="21"/>
                <w:szCs w:val="21"/>
                <w:highlight w:val="none"/>
                <w:lang w:bidi="ar"/>
              </w:rPr>
              <w:t>相关专业中级工程师或以上职称的</w:t>
            </w:r>
            <w:r>
              <w:rPr>
                <w:rStyle w:val="43"/>
                <w:rFonts w:hint="eastAsia"/>
                <w:color w:val="auto"/>
                <w:sz w:val="21"/>
                <w:szCs w:val="21"/>
                <w:highlight w:val="none"/>
                <w:lang w:val="en-US" w:eastAsia="zh-CN" w:bidi="ar"/>
              </w:rPr>
              <w:t>3</w:t>
            </w:r>
            <w:r>
              <w:rPr>
                <w:rStyle w:val="43"/>
                <w:rFonts w:hint="default"/>
                <w:color w:val="auto"/>
                <w:sz w:val="21"/>
                <w:szCs w:val="21"/>
                <w:highlight w:val="none"/>
                <w:lang w:bidi="ar"/>
              </w:rPr>
              <w:t>人；</w:t>
            </w:r>
          </w:p>
          <w:p w14:paraId="2D0FA115">
            <w:pPr>
              <w:widowControl/>
              <w:spacing w:line="360" w:lineRule="auto"/>
              <w:jc w:val="left"/>
              <w:textAlignment w:val="center"/>
              <w:rPr>
                <w:rStyle w:val="43"/>
                <w:rFonts w:hint="default"/>
                <w:color w:val="auto"/>
                <w:sz w:val="21"/>
                <w:szCs w:val="21"/>
                <w:highlight w:val="none"/>
                <w:lang w:bidi="ar"/>
              </w:rPr>
            </w:pPr>
            <w:r>
              <w:rPr>
                <w:rStyle w:val="43"/>
                <w:rFonts w:hint="default"/>
                <w:color w:val="auto"/>
                <w:sz w:val="21"/>
                <w:szCs w:val="21"/>
                <w:highlight w:val="none"/>
                <w:lang w:bidi="ar"/>
              </w:rPr>
              <w:t>②给排水工程师：具有给水排水专业中级工程师或以上职称的1人；</w:t>
            </w:r>
          </w:p>
          <w:p w14:paraId="46AB4A99">
            <w:pPr>
              <w:widowControl/>
              <w:spacing w:line="360" w:lineRule="auto"/>
              <w:jc w:val="left"/>
              <w:textAlignment w:val="center"/>
              <w:rPr>
                <w:rStyle w:val="43"/>
                <w:rFonts w:hint="default"/>
                <w:color w:val="auto"/>
                <w:sz w:val="21"/>
                <w:szCs w:val="21"/>
                <w:highlight w:val="none"/>
                <w:lang w:bidi="ar"/>
              </w:rPr>
            </w:pPr>
            <w:r>
              <w:rPr>
                <w:rStyle w:val="43"/>
                <w:rFonts w:hint="default"/>
                <w:color w:val="auto"/>
                <w:sz w:val="21"/>
                <w:szCs w:val="21"/>
                <w:highlight w:val="none"/>
                <w:lang w:bidi="ar"/>
              </w:rPr>
              <w:t>③</w:t>
            </w:r>
            <w:r>
              <w:rPr>
                <w:rStyle w:val="43"/>
                <w:rFonts w:hint="eastAsia"/>
                <w:color w:val="auto"/>
                <w:sz w:val="21"/>
                <w:szCs w:val="21"/>
                <w:highlight w:val="none"/>
                <w:lang w:eastAsia="zh-CN" w:bidi="ar"/>
              </w:rPr>
              <w:t>建筑</w:t>
            </w:r>
            <w:r>
              <w:rPr>
                <w:rStyle w:val="43"/>
                <w:rFonts w:hint="default"/>
                <w:color w:val="auto"/>
                <w:sz w:val="21"/>
                <w:szCs w:val="21"/>
                <w:highlight w:val="none"/>
                <w:lang w:bidi="ar"/>
              </w:rPr>
              <w:t>电气工程师：具</w:t>
            </w:r>
            <w:r>
              <w:rPr>
                <w:rStyle w:val="43"/>
                <w:rFonts w:hint="eastAsia"/>
                <w:color w:val="auto"/>
                <w:sz w:val="21"/>
                <w:szCs w:val="21"/>
                <w:highlight w:val="none"/>
                <w:lang w:eastAsia="zh-CN" w:bidi="ar"/>
              </w:rPr>
              <w:t>有建筑</w:t>
            </w:r>
            <w:r>
              <w:rPr>
                <w:rStyle w:val="43"/>
                <w:rFonts w:hint="default"/>
                <w:color w:val="auto"/>
                <w:sz w:val="21"/>
                <w:szCs w:val="21"/>
                <w:highlight w:val="none"/>
                <w:lang w:bidi="ar"/>
              </w:rPr>
              <w:t>电气</w:t>
            </w:r>
            <w:r>
              <w:rPr>
                <w:rStyle w:val="43"/>
                <w:rFonts w:hint="eastAsia"/>
                <w:color w:val="auto"/>
                <w:sz w:val="21"/>
                <w:szCs w:val="21"/>
                <w:highlight w:val="none"/>
                <w:lang w:eastAsia="zh-CN" w:bidi="ar"/>
              </w:rPr>
              <w:t>工程</w:t>
            </w:r>
            <w:r>
              <w:rPr>
                <w:rStyle w:val="43"/>
                <w:rFonts w:hint="default"/>
                <w:color w:val="auto"/>
                <w:sz w:val="21"/>
                <w:szCs w:val="21"/>
                <w:highlight w:val="none"/>
                <w:lang w:bidi="ar"/>
              </w:rPr>
              <w:t>中级工程师或以上职称的1人；</w:t>
            </w:r>
          </w:p>
          <w:p w14:paraId="1CAEFB25">
            <w:pPr>
              <w:pStyle w:val="12"/>
              <w:rPr>
                <w:rStyle w:val="43"/>
                <w:rFonts w:hint="default"/>
                <w:color w:val="auto"/>
                <w:sz w:val="21"/>
                <w:szCs w:val="21"/>
                <w:highlight w:val="none"/>
                <w:lang w:bidi="ar"/>
              </w:rPr>
            </w:pPr>
            <w:r>
              <w:rPr>
                <w:rStyle w:val="43"/>
                <w:rFonts w:hint="eastAsia" w:ascii="宋体" w:hAnsi="宋体" w:eastAsia="宋体" w:cs="宋体"/>
                <w:color w:val="auto"/>
                <w:sz w:val="21"/>
                <w:szCs w:val="21"/>
                <w:highlight w:val="none"/>
                <w:lang w:bidi="ar"/>
              </w:rPr>
              <w:t>④</w:t>
            </w:r>
            <w:r>
              <w:rPr>
                <w:rStyle w:val="43"/>
                <w:rFonts w:hint="default"/>
                <w:color w:val="auto"/>
                <w:sz w:val="21"/>
                <w:szCs w:val="21"/>
                <w:highlight w:val="none"/>
                <w:lang w:bidi="ar"/>
              </w:rPr>
              <w:t xml:space="preserve">全部满足得 </w:t>
            </w:r>
            <w:r>
              <w:rPr>
                <w:rStyle w:val="43"/>
                <w:rFonts w:hint="eastAsia"/>
                <w:color w:val="auto"/>
                <w:sz w:val="21"/>
                <w:szCs w:val="21"/>
                <w:highlight w:val="none"/>
                <w:lang w:val="en-US" w:eastAsia="zh-CN" w:bidi="ar"/>
              </w:rPr>
              <w:t>10</w:t>
            </w:r>
            <w:r>
              <w:rPr>
                <w:rStyle w:val="43"/>
                <w:rFonts w:hint="default"/>
                <w:color w:val="auto"/>
                <w:sz w:val="21"/>
                <w:szCs w:val="21"/>
                <w:highlight w:val="none"/>
                <w:lang w:bidi="ar"/>
              </w:rPr>
              <w:t>分；</w:t>
            </w:r>
            <w:r>
              <w:rPr>
                <w:rStyle w:val="44"/>
                <w:rFonts w:hint="default"/>
                <w:color w:val="auto"/>
                <w:sz w:val="21"/>
                <w:szCs w:val="21"/>
                <w:highlight w:val="none"/>
                <w:lang w:bidi="ar"/>
              </w:rPr>
              <w:t>少1人扣2分</w:t>
            </w:r>
            <w:r>
              <w:rPr>
                <w:rStyle w:val="43"/>
                <w:rFonts w:hint="default"/>
                <w:color w:val="auto"/>
                <w:sz w:val="21"/>
                <w:szCs w:val="21"/>
                <w:highlight w:val="none"/>
                <w:lang w:bidi="ar"/>
              </w:rPr>
              <w:t>，扣完为止。</w:t>
            </w:r>
          </w:p>
        </w:tc>
      </w:tr>
      <w:tr w14:paraId="11E15640">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2" w:type="dxa"/>
            <w:gridSpan w:val="4"/>
            <w:tcBorders>
              <w:left w:val="single" w:color="auto" w:sz="8" w:space="0"/>
              <w:right w:val="single" w:color="auto" w:sz="4" w:space="0"/>
            </w:tcBorders>
            <w:noWrap w:val="0"/>
            <w:vAlign w:val="center"/>
          </w:tcPr>
          <w:p w14:paraId="156FFC35">
            <w:pPr>
              <w:widowControl/>
              <w:spacing w:line="360" w:lineRule="auto"/>
              <w:rPr>
                <w:rFonts w:hint="eastAsia" w:ascii="宋体" w:hAnsi="宋体" w:cs="宋体"/>
                <w:color w:val="auto"/>
                <w:szCs w:val="21"/>
                <w:highlight w:val="none"/>
              </w:rPr>
            </w:pPr>
          </w:p>
        </w:tc>
        <w:tc>
          <w:tcPr>
            <w:tcW w:w="10812" w:type="dxa"/>
            <w:tcBorders>
              <w:top w:val="single" w:color="auto" w:sz="4" w:space="0"/>
              <w:left w:val="single" w:color="auto" w:sz="4" w:space="0"/>
              <w:bottom w:val="single" w:color="auto" w:sz="4" w:space="0"/>
              <w:right w:val="single" w:color="auto" w:sz="4" w:space="0"/>
            </w:tcBorders>
            <w:noWrap w:val="0"/>
            <w:vAlign w:val="center"/>
          </w:tcPr>
          <w:p w14:paraId="1A38112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注：①上述人员须提供身份证及投标截止前一个月（2025年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月）有效社保证明，且须按相应要求提供职称证，所有资料为扫描件并加盖投标人电子公章。</w:t>
            </w:r>
          </w:p>
          <w:p w14:paraId="2684DC1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②项目负责人、技术负责人、质量负责人、安全负责人、造价负责人及其他人员在本项目均不得兼任，且安全负责人不能同时兼任专职安全员。</w:t>
            </w:r>
          </w:p>
          <w:p w14:paraId="3FDDB77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③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14:paraId="1FF46C6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④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r>
      <w:tr w14:paraId="492D7FF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restart"/>
            <w:tcBorders>
              <w:top w:val="single" w:color="auto" w:sz="4" w:space="0"/>
              <w:left w:val="single" w:color="auto" w:sz="8" w:space="0"/>
              <w:right w:val="single" w:color="auto" w:sz="4" w:space="0"/>
            </w:tcBorders>
            <w:noWrap w:val="0"/>
            <w:vAlign w:val="center"/>
          </w:tcPr>
          <w:p w14:paraId="17602DD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三、企业资信（2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2083" w:type="dxa"/>
            <w:gridSpan w:val="2"/>
            <w:tcBorders>
              <w:left w:val="single" w:color="auto" w:sz="4" w:space="0"/>
              <w:bottom w:val="single" w:color="auto" w:sz="4" w:space="0"/>
              <w:right w:val="single" w:color="auto" w:sz="4" w:space="0"/>
            </w:tcBorders>
            <w:noWrap w:val="0"/>
            <w:vAlign w:val="center"/>
          </w:tcPr>
          <w:p w14:paraId="12E6DAF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企业类似业绩</w:t>
            </w:r>
          </w:p>
        </w:tc>
        <w:tc>
          <w:tcPr>
            <w:tcW w:w="781" w:type="dxa"/>
            <w:tcBorders>
              <w:top w:val="single" w:color="auto" w:sz="4" w:space="0"/>
              <w:left w:val="single" w:color="auto" w:sz="4" w:space="0"/>
              <w:bottom w:val="single" w:color="auto" w:sz="4" w:space="0"/>
              <w:right w:val="single" w:color="auto" w:sz="4" w:space="0"/>
            </w:tcBorders>
            <w:noWrap w:val="0"/>
            <w:vAlign w:val="center"/>
          </w:tcPr>
          <w:p w14:paraId="791E2C9A">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20</w:t>
            </w:r>
          </w:p>
        </w:tc>
        <w:tc>
          <w:tcPr>
            <w:tcW w:w="10812" w:type="dxa"/>
            <w:tcBorders>
              <w:top w:val="single" w:color="auto" w:sz="4" w:space="0"/>
              <w:left w:val="single" w:color="auto" w:sz="4" w:space="0"/>
              <w:bottom w:val="single" w:color="auto" w:sz="4" w:space="0"/>
              <w:right w:val="single" w:color="auto" w:sz="4" w:space="0"/>
            </w:tcBorders>
            <w:noWrap w:val="0"/>
            <w:vAlign w:val="center"/>
          </w:tcPr>
          <w:p w14:paraId="5FC2D1F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投标人自202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年1月1日至今完成过质量合格的类似</w:t>
            </w:r>
            <w:r>
              <w:rPr>
                <w:rFonts w:hint="eastAsia" w:ascii="宋体" w:hAnsi="宋体" w:cs="宋体"/>
                <w:color w:val="auto"/>
                <w:szCs w:val="21"/>
                <w:highlight w:val="none"/>
                <w:lang w:eastAsia="zh-CN"/>
              </w:rPr>
              <w:t>建构筑物拆除工程</w:t>
            </w:r>
            <w:r>
              <w:rPr>
                <w:rFonts w:hint="eastAsia" w:ascii="宋体" w:hAnsi="宋体" w:cs="宋体"/>
                <w:color w:val="auto"/>
                <w:szCs w:val="21"/>
                <w:highlight w:val="none"/>
              </w:rPr>
              <w:t>业绩</w:t>
            </w:r>
            <w:r>
              <w:rPr>
                <w:rFonts w:hint="eastAsia" w:ascii="宋体" w:hAnsi="宋体" w:cs="宋体"/>
                <w:color w:val="auto"/>
                <w:szCs w:val="21"/>
                <w:highlight w:val="none"/>
                <w:lang w:eastAsia="zh-CN"/>
              </w:rPr>
              <w:t>（不含违建整治工程）</w:t>
            </w:r>
            <w:r>
              <w:rPr>
                <w:rFonts w:hint="eastAsia" w:ascii="宋体" w:hAnsi="宋体" w:cs="宋体"/>
                <w:color w:val="auto"/>
                <w:szCs w:val="21"/>
                <w:highlight w:val="none"/>
              </w:rPr>
              <w:t>一项得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分；最多得</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分，无类似业绩不得分。本项最高得</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r>
      <w:tr w14:paraId="35EEB04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tcBorders>
              <w:left w:val="single" w:color="auto" w:sz="8" w:space="0"/>
              <w:right w:val="single" w:color="auto" w:sz="4" w:space="0"/>
            </w:tcBorders>
            <w:noWrap w:val="0"/>
            <w:vAlign w:val="center"/>
          </w:tcPr>
          <w:p w14:paraId="755F4095">
            <w:pPr>
              <w:spacing w:line="360" w:lineRule="auto"/>
              <w:jc w:val="center"/>
              <w:rPr>
                <w:rFonts w:hint="eastAsia" w:ascii="宋体" w:hAnsi="宋体" w:cs="宋体"/>
                <w:color w:val="auto"/>
                <w:szCs w:val="21"/>
                <w:highlight w:val="none"/>
              </w:rPr>
            </w:pPr>
          </w:p>
        </w:tc>
        <w:tc>
          <w:tcPr>
            <w:tcW w:w="2083" w:type="dxa"/>
            <w:gridSpan w:val="2"/>
            <w:tcBorders>
              <w:left w:val="single" w:color="auto" w:sz="4" w:space="0"/>
              <w:bottom w:val="single" w:color="auto" w:sz="4" w:space="0"/>
              <w:right w:val="single" w:color="auto" w:sz="4" w:space="0"/>
            </w:tcBorders>
            <w:noWrap w:val="0"/>
            <w:vAlign w:val="center"/>
          </w:tcPr>
          <w:p w14:paraId="1DBB60BC">
            <w:pPr>
              <w:widowControl/>
              <w:jc w:val="center"/>
              <w:rPr>
                <w:rFonts w:hint="eastAsia" w:ascii="宋体" w:hAnsi="宋体" w:cs="宋体"/>
                <w:color w:val="auto"/>
                <w:szCs w:val="21"/>
                <w:highlight w:val="none"/>
              </w:rPr>
            </w:pPr>
            <w:r>
              <w:rPr>
                <w:rFonts w:hint="eastAsia" w:ascii="宋体" w:hAnsi="宋体" w:cs="宋体"/>
                <w:color w:val="auto"/>
                <w:szCs w:val="21"/>
                <w:highlight w:val="none"/>
              </w:rPr>
              <w:t>第三方评价</w:t>
            </w:r>
          </w:p>
        </w:tc>
        <w:tc>
          <w:tcPr>
            <w:tcW w:w="781" w:type="dxa"/>
            <w:tcBorders>
              <w:top w:val="single" w:color="auto" w:sz="4" w:space="0"/>
              <w:left w:val="single" w:color="auto" w:sz="4" w:space="0"/>
              <w:bottom w:val="single" w:color="auto" w:sz="4" w:space="0"/>
              <w:right w:val="single" w:color="auto" w:sz="4" w:space="0"/>
            </w:tcBorders>
            <w:noWrap w:val="0"/>
            <w:vAlign w:val="center"/>
          </w:tcPr>
          <w:p w14:paraId="360C0180">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0812" w:type="dxa"/>
            <w:tcBorders>
              <w:top w:val="single" w:color="auto" w:sz="4" w:space="0"/>
              <w:left w:val="single" w:color="auto" w:sz="4" w:space="0"/>
              <w:bottom w:val="single" w:color="auto" w:sz="4" w:space="0"/>
              <w:right w:val="single" w:color="auto" w:sz="4" w:space="0"/>
            </w:tcBorders>
            <w:noWrap w:val="0"/>
            <w:vAlign w:val="center"/>
          </w:tcPr>
          <w:p w14:paraId="0E920D8A">
            <w:pPr>
              <w:widowControl/>
              <w:rPr>
                <w:rFonts w:hint="eastAsia" w:ascii="宋体" w:hAnsi="宋体" w:cs="宋体"/>
                <w:color w:val="auto"/>
                <w:szCs w:val="21"/>
                <w:highlight w:val="none"/>
              </w:rPr>
            </w:pPr>
            <w:r>
              <w:rPr>
                <w:rFonts w:hint="eastAsia" w:ascii="宋体" w:hAnsi="宋体" w:cs="宋体"/>
                <w:color w:val="auto"/>
                <w:highlight w:val="none"/>
              </w:rPr>
              <w:t>投标人有效期内的质量体系认证证书、环境管理体系认证证书、职业健康安全管理体系认证证书。投标人同时具有以上三项认证证书，得</w:t>
            </w:r>
            <w:r>
              <w:rPr>
                <w:rFonts w:hint="eastAsia" w:ascii="宋体" w:hAnsi="宋体" w:cs="宋体"/>
                <w:color w:val="auto"/>
                <w:highlight w:val="none"/>
                <w:lang w:val="en-US" w:eastAsia="zh-CN"/>
              </w:rPr>
              <w:t>5</w:t>
            </w:r>
            <w:r>
              <w:rPr>
                <w:rFonts w:hint="eastAsia" w:ascii="宋体" w:hAnsi="宋体" w:cs="宋体"/>
                <w:color w:val="auto"/>
                <w:highlight w:val="none"/>
              </w:rPr>
              <w:t>分；投标人具有以上任意两项认证证书，得</w:t>
            </w:r>
            <w:r>
              <w:rPr>
                <w:rFonts w:hint="eastAsia" w:ascii="宋体" w:hAnsi="宋体" w:cs="宋体"/>
                <w:color w:val="auto"/>
                <w:highlight w:val="none"/>
                <w:lang w:val="en-US" w:eastAsia="zh-CN"/>
              </w:rPr>
              <w:t>3</w:t>
            </w:r>
            <w:r>
              <w:rPr>
                <w:rFonts w:hint="eastAsia" w:ascii="宋体" w:hAnsi="宋体" w:cs="宋体"/>
                <w:color w:val="auto"/>
                <w:highlight w:val="none"/>
              </w:rPr>
              <w:t>分；投标人具有以上任意一项认证证书，得1分，本小项最高得</w:t>
            </w:r>
            <w:r>
              <w:rPr>
                <w:rFonts w:hint="eastAsia" w:ascii="宋体" w:hAnsi="宋体" w:cs="宋体"/>
                <w:color w:val="auto"/>
                <w:highlight w:val="none"/>
                <w:lang w:val="en-US" w:eastAsia="zh-CN"/>
              </w:rPr>
              <w:t>5</w:t>
            </w:r>
            <w:r>
              <w:rPr>
                <w:rFonts w:hint="eastAsia" w:ascii="宋体" w:hAnsi="宋体" w:cs="宋体"/>
                <w:color w:val="auto"/>
                <w:highlight w:val="none"/>
              </w:rPr>
              <w:t>分。</w:t>
            </w:r>
          </w:p>
        </w:tc>
      </w:tr>
      <w:tr w14:paraId="7A1C7CE1">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1" w:type="dxa"/>
            <w:gridSpan w:val="3"/>
            <w:tcBorders>
              <w:left w:val="single" w:color="auto" w:sz="8" w:space="0"/>
              <w:right w:val="single" w:color="auto" w:sz="4" w:space="0"/>
            </w:tcBorders>
            <w:noWrap w:val="0"/>
            <w:vAlign w:val="center"/>
          </w:tcPr>
          <w:p w14:paraId="02D3C0DE">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合计（一+二）</w:t>
            </w:r>
          </w:p>
        </w:tc>
        <w:tc>
          <w:tcPr>
            <w:tcW w:w="781" w:type="dxa"/>
            <w:tcBorders>
              <w:top w:val="single" w:color="auto" w:sz="4" w:space="0"/>
              <w:left w:val="single" w:color="auto" w:sz="4" w:space="0"/>
              <w:bottom w:val="single" w:color="auto" w:sz="4" w:space="0"/>
              <w:right w:val="single" w:color="auto" w:sz="4" w:space="0"/>
            </w:tcBorders>
            <w:noWrap w:val="0"/>
            <w:vAlign w:val="center"/>
          </w:tcPr>
          <w:p w14:paraId="7D2E451A">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100</w:t>
            </w:r>
          </w:p>
        </w:tc>
        <w:tc>
          <w:tcPr>
            <w:tcW w:w="10812" w:type="dxa"/>
            <w:tcBorders>
              <w:top w:val="single" w:color="auto" w:sz="4" w:space="0"/>
              <w:left w:val="single" w:color="auto" w:sz="4" w:space="0"/>
              <w:bottom w:val="single" w:color="auto" w:sz="4" w:space="0"/>
              <w:right w:val="single" w:color="auto" w:sz="4" w:space="0"/>
            </w:tcBorders>
            <w:noWrap w:val="0"/>
            <w:vAlign w:val="center"/>
          </w:tcPr>
          <w:p w14:paraId="5B33B7A4">
            <w:pPr>
              <w:widowControl/>
              <w:spacing w:line="360" w:lineRule="auto"/>
              <w:rPr>
                <w:rFonts w:hint="eastAsia" w:ascii="宋体" w:hAnsi="宋体" w:cs="宋体"/>
                <w:color w:val="auto"/>
                <w:szCs w:val="21"/>
                <w:highlight w:val="none"/>
              </w:rPr>
            </w:pPr>
          </w:p>
        </w:tc>
      </w:tr>
    </w:tbl>
    <w:p w14:paraId="01EC51C2">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备注</w:t>
      </w:r>
      <w:r>
        <w:rPr>
          <w:rFonts w:hint="eastAsia" w:ascii="宋体" w:hAnsi="宋体" w:cs="宋体"/>
          <w:color w:val="auto"/>
          <w:szCs w:val="21"/>
          <w:highlight w:val="none"/>
        </w:rPr>
        <w:t>：</w:t>
      </w:r>
    </w:p>
    <w:p w14:paraId="676785D4">
      <w:pPr>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1.</w:t>
      </w:r>
      <w:r>
        <w:rPr>
          <w:rFonts w:hint="eastAsia" w:ascii="宋体" w:hAnsi="宋体" w:cs="宋体"/>
          <w:color w:val="auto"/>
          <w:szCs w:val="21"/>
          <w:highlight w:val="none"/>
        </w:rPr>
        <w:t xml:space="preserve">评委对业绩认定意见不一致时，则由招标人解释招标文件后，评委讨论业绩认定标准；经讨论后标准仍不一致时，则按少数服从多数处理。按少数服从多数仍不能形成一致意见时，对评标结果有不同意见的评标委员会成员应当以书面形式说明其不同意见和理由，评标报告应当注明该不同意见。评标委员会成员拒绝在评标报告上签字又不书面说明其不同意见和理由的，视为同意评标结果。 </w:t>
      </w:r>
    </w:p>
    <w:p w14:paraId="69257A55">
      <w:pPr>
        <w:pStyle w:val="31"/>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2.企业类似工程业绩：</w:t>
      </w:r>
    </w:p>
    <w:p w14:paraId="6AFCC147">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①类似</w:t>
      </w:r>
      <w:r>
        <w:rPr>
          <w:rFonts w:hint="eastAsia" w:ascii="宋体" w:hAnsi="宋体" w:cs="宋体"/>
          <w:color w:val="auto"/>
          <w:szCs w:val="21"/>
          <w:highlight w:val="none"/>
          <w:lang w:eastAsia="zh-CN"/>
        </w:rPr>
        <w:t>建构筑物拆除工程（不含违建整治工程）</w:t>
      </w:r>
      <w:r>
        <w:rPr>
          <w:color w:val="auto"/>
          <w:highlight w:val="none"/>
        </w:rPr>
        <w:t>业绩须同时提供①中标通知书（或</w:t>
      </w:r>
      <w:r>
        <w:rPr>
          <w:rFonts w:hint="eastAsia" w:ascii="宋体" w:hAnsi="宋体" w:cs="宋体"/>
          <w:color w:val="auto"/>
          <w:szCs w:val="21"/>
          <w:highlight w:val="none"/>
        </w:rPr>
        <w:t>免招标的相关证明</w:t>
      </w:r>
      <w:r>
        <w:rPr>
          <w:color w:val="auto"/>
          <w:highlight w:val="none"/>
        </w:rPr>
        <w:t>）②合</w:t>
      </w:r>
      <w:r>
        <w:rPr>
          <w:rFonts w:hint="eastAsia"/>
          <w:color w:val="auto"/>
          <w:highlight w:val="none"/>
          <w:lang w:eastAsia="zh-CN"/>
        </w:rPr>
        <w:t>同</w:t>
      </w:r>
      <w:r>
        <w:rPr>
          <w:color w:val="auto"/>
          <w:highlight w:val="none"/>
        </w:rPr>
        <w:t>③竣工验收报告扫描件。资料不齐全不得分。业绩认定时间以</w:t>
      </w:r>
      <w:r>
        <w:rPr>
          <w:rFonts w:hint="eastAsia"/>
          <w:color w:val="auto"/>
          <w:highlight w:val="none"/>
        </w:rPr>
        <w:t>竣工验收</w:t>
      </w:r>
      <w:r>
        <w:rPr>
          <w:rFonts w:hint="eastAsia"/>
          <w:color w:val="auto"/>
          <w:highlight w:val="none"/>
          <w:lang w:val="en-US" w:eastAsia="zh-CN"/>
        </w:rPr>
        <w:t>时间</w:t>
      </w:r>
      <w:r>
        <w:rPr>
          <w:color w:val="auto"/>
          <w:highlight w:val="none"/>
        </w:rPr>
        <w:t>为准。</w:t>
      </w:r>
      <w:r>
        <w:rPr>
          <w:rFonts w:hint="eastAsia" w:ascii="宋体" w:hAnsi="宋体" w:cs="宋体"/>
          <w:color w:val="auto"/>
          <w:szCs w:val="21"/>
          <w:highlight w:val="none"/>
          <w:lang w:eastAsia="zh-CN"/>
        </w:rPr>
        <w:t>建构筑物拆除工程</w:t>
      </w:r>
      <w:r>
        <w:rPr>
          <w:rFonts w:hint="eastAsia" w:ascii="宋体" w:hAnsi="宋体" w:cs="宋体"/>
          <w:color w:val="auto"/>
          <w:szCs w:val="21"/>
          <w:highlight w:val="none"/>
          <w:lang w:val="en-US" w:eastAsia="zh-CN"/>
        </w:rPr>
        <w:t>以合同描述为准，若合同未能体现的，以</w:t>
      </w:r>
      <w:r>
        <w:rPr>
          <w:color w:val="auto"/>
          <w:highlight w:val="none"/>
        </w:rPr>
        <w:t>竣工验收</w:t>
      </w:r>
      <w:r>
        <w:rPr>
          <w:rFonts w:hint="eastAsia"/>
          <w:color w:val="auto"/>
          <w:highlight w:val="none"/>
          <w:lang w:val="en-US" w:eastAsia="zh-CN"/>
        </w:rPr>
        <w:t>报告描述为准。</w:t>
      </w:r>
    </w:p>
    <w:p w14:paraId="4267E06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②不符合上述条件或提供的资料不齐全的业绩不予评审。</w:t>
      </w:r>
    </w:p>
    <w:p w14:paraId="4C2309DA">
      <w:pPr>
        <w:pStyle w:val="31"/>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.第三方评价：</w:t>
      </w:r>
    </w:p>
    <w:p w14:paraId="3D877D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投标人需同时提供体系证书原件扫描件及在国家认证认可监督管理委员会（网址：</w:t>
      </w:r>
      <w:bookmarkStart w:id="197" w:name="OLE_LINK1"/>
      <w:r>
        <w:rPr>
          <w:rFonts w:hint="eastAsia" w:ascii="宋体" w:hAnsi="宋体" w:cs="宋体"/>
          <w:color w:val="auto"/>
          <w:highlight w:val="none"/>
        </w:rPr>
        <w:t>http://www.cnca.gov.cn/</w:t>
      </w:r>
      <w:bookmarkEnd w:id="197"/>
      <w:r>
        <w:rPr>
          <w:rFonts w:hint="eastAsia" w:ascii="宋体" w:hAnsi="宋体" w:cs="宋体"/>
          <w:color w:val="auto"/>
          <w:highlight w:val="none"/>
        </w:rPr>
        <w:t>）网站查询结果截图并加盖投标单位电子印章，只计算投标人自身（不含投标人的子、分公司或区域公司），已失效或撤销或无提供的不得分。不符合上述条件或未提供上述资料的不得分。</w:t>
      </w:r>
    </w:p>
    <w:p w14:paraId="48FB1686">
      <w:pPr>
        <w:pStyle w:val="31"/>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表按百分制评分，所有评委每个分项的分数汇总后去掉一个最高分和一个最低分的算术平均值为投标人的最终得分。分数出现小数点，保留小数点后二位小数，第三位小数四舍五入,若投标人满足多个档次的，按最高档计分一次，不累计。</w:t>
      </w:r>
    </w:p>
    <w:p w14:paraId="5BF84CD4">
      <w:pPr>
        <w:pStyle w:val="31"/>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投标人提供的网页信息截图或证明材料扫描件内容必须清晰可辨，如因网页信息截图或证明材料扫描件内容模糊导致评标时无法判断的，后果由投标人自负。</w:t>
      </w:r>
    </w:p>
    <w:p w14:paraId="39974139">
      <w:pPr>
        <w:pStyle w:val="12"/>
        <w:ind w:firstLine="420" w:firstLineChars="200"/>
        <w:rPr>
          <w:color w:val="auto"/>
          <w:highlight w:val="none"/>
        </w:rPr>
        <w:sectPr>
          <w:headerReference r:id="rId8" w:type="default"/>
          <w:footerReference r:id="rId9" w:type="default"/>
          <w:pgSz w:w="16838" w:h="11906" w:orient="landscape"/>
          <w:pgMar w:top="1083" w:right="1440" w:bottom="1083" w:left="1440" w:header="850" w:footer="992" w:gutter="0"/>
          <w:cols w:space="0" w:num="1"/>
          <w:docGrid w:type="lines" w:linePitch="324" w:charSpace="0"/>
        </w:sect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.不符合评审标准或不符合上述要求或未提供上述资料的不得分。</w:t>
      </w:r>
    </w:p>
    <w:p w14:paraId="5116BE2F">
      <w:pPr>
        <w:pStyle w:val="3"/>
        <w:spacing w:line="360" w:lineRule="auto"/>
        <w:jc w:val="left"/>
        <w:rPr>
          <w:rFonts w:hint="eastAsia"/>
          <w:color w:val="auto"/>
          <w:highlight w:val="none"/>
        </w:rPr>
      </w:pPr>
      <w:r>
        <w:rPr>
          <w:rFonts w:hint="eastAsia"/>
          <w:color w:val="auto"/>
          <w:highlight w:val="none"/>
        </w:rPr>
        <w:t>附表五</w:t>
      </w:r>
      <w:bookmarkEnd w:id="190"/>
      <w:bookmarkEnd w:id="191"/>
      <w:bookmarkEnd w:id="192"/>
      <w:bookmarkEnd w:id="193"/>
      <w:bookmarkEnd w:id="194"/>
      <w:bookmarkEnd w:id="195"/>
      <w:bookmarkEnd w:id="196"/>
    </w:p>
    <w:p w14:paraId="4D7C8659">
      <w:pPr>
        <w:jc w:val="center"/>
        <w:rPr>
          <w:rFonts w:hint="eastAsia" w:ascii="宋体" w:hAnsi="宋体" w:cs="宋体"/>
          <w:b/>
          <w:color w:val="auto"/>
          <w:sz w:val="36"/>
          <w:szCs w:val="36"/>
          <w:highlight w:val="none"/>
        </w:rPr>
      </w:pPr>
      <w:bookmarkStart w:id="198" w:name="_Toc7490"/>
      <w:bookmarkStart w:id="199" w:name="_Toc8824"/>
      <w:bookmarkStart w:id="200" w:name="_Toc10172"/>
      <w:bookmarkStart w:id="201" w:name="_Toc2589"/>
      <w:bookmarkStart w:id="202" w:name="_Toc4523"/>
      <w:r>
        <w:rPr>
          <w:rFonts w:hint="eastAsia" w:ascii="宋体" w:hAnsi="宋体" w:cs="宋体"/>
          <w:b/>
          <w:color w:val="auto"/>
          <w:sz w:val="36"/>
          <w:szCs w:val="36"/>
          <w:highlight w:val="none"/>
        </w:rPr>
        <w:t>经济标评分表</w:t>
      </w:r>
    </w:p>
    <w:p w14:paraId="3325262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1037"/>
        <w:gridCol w:w="1051"/>
        <w:gridCol w:w="1050"/>
        <w:gridCol w:w="1050"/>
        <w:gridCol w:w="1050"/>
        <w:gridCol w:w="1050"/>
        <w:gridCol w:w="1050"/>
        <w:gridCol w:w="1050"/>
        <w:gridCol w:w="1050"/>
        <w:gridCol w:w="1050"/>
        <w:gridCol w:w="1050"/>
        <w:gridCol w:w="1049"/>
      </w:tblGrid>
      <w:tr w14:paraId="0C32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86" w:type="dxa"/>
            <w:tcBorders>
              <w:top w:val="single" w:color="auto" w:sz="4" w:space="0"/>
              <w:left w:val="single" w:color="auto" w:sz="4" w:space="0"/>
              <w:bottom w:val="single" w:color="auto" w:sz="4" w:space="0"/>
              <w:right w:val="single" w:color="auto" w:sz="4" w:space="0"/>
            </w:tcBorders>
            <w:vAlign w:val="center"/>
          </w:tcPr>
          <w:p w14:paraId="10DA2CC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1037" w:type="dxa"/>
            <w:tcBorders>
              <w:top w:val="single" w:color="auto" w:sz="4" w:space="0"/>
              <w:left w:val="single" w:color="auto" w:sz="4" w:space="0"/>
              <w:bottom w:val="single" w:color="auto" w:sz="4" w:space="0"/>
              <w:right w:val="single" w:color="auto" w:sz="4" w:space="0"/>
            </w:tcBorders>
            <w:vAlign w:val="center"/>
          </w:tcPr>
          <w:p w14:paraId="7674E79D">
            <w:pPr>
              <w:spacing w:line="360" w:lineRule="auto"/>
              <w:rPr>
                <w:rFonts w:hint="eastAsia" w:ascii="宋体" w:hAnsi="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7EC2255F">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6BB08F3E">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D6D78F9">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3E53333">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2153C1B">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39EEB80">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A36BD46">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08AD7A5">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66C36D3">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4364895">
            <w:pPr>
              <w:spacing w:line="360" w:lineRule="auto"/>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59E16E62">
            <w:pPr>
              <w:spacing w:line="360" w:lineRule="auto"/>
              <w:rPr>
                <w:rFonts w:hint="eastAsia" w:ascii="宋体" w:hAnsi="宋体" w:cs="宋体"/>
                <w:color w:val="auto"/>
                <w:szCs w:val="21"/>
                <w:highlight w:val="none"/>
              </w:rPr>
            </w:pPr>
          </w:p>
        </w:tc>
      </w:tr>
      <w:tr w14:paraId="2FED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86" w:type="dxa"/>
            <w:tcBorders>
              <w:top w:val="single" w:color="auto" w:sz="4" w:space="0"/>
              <w:left w:val="single" w:color="auto" w:sz="4" w:space="0"/>
              <w:bottom w:val="single" w:color="auto" w:sz="4" w:space="0"/>
              <w:right w:val="single" w:color="auto" w:sz="4" w:space="0"/>
            </w:tcBorders>
            <w:vAlign w:val="center"/>
          </w:tcPr>
          <w:p w14:paraId="7C7849E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投标报价PT（元）</w:t>
            </w:r>
          </w:p>
        </w:tc>
        <w:tc>
          <w:tcPr>
            <w:tcW w:w="1037" w:type="dxa"/>
            <w:tcBorders>
              <w:top w:val="single" w:color="auto" w:sz="4" w:space="0"/>
              <w:left w:val="single" w:color="auto" w:sz="4" w:space="0"/>
              <w:bottom w:val="single" w:color="auto" w:sz="4" w:space="0"/>
              <w:right w:val="single" w:color="auto" w:sz="4" w:space="0"/>
            </w:tcBorders>
            <w:vAlign w:val="center"/>
          </w:tcPr>
          <w:p w14:paraId="4B600B66">
            <w:pPr>
              <w:spacing w:line="360" w:lineRule="auto"/>
              <w:rPr>
                <w:rFonts w:hint="eastAsia" w:ascii="宋体" w:hAnsi="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5FF7CE1D">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E681131">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294D1AB">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123EC15">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2324A0B">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73B93B0">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C56EF09">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18B3D25B">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3CA75BB">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3FB73F9">
            <w:pPr>
              <w:spacing w:line="360" w:lineRule="auto"/>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71799A29">
            <w:pPr>
              <w:spacing w:line="360" w:lineRule="auto"/>
              <w:rPr>
                <w:rFonts w:hint="eastAsia" w:ascii="宋体" w:hAnsi="宋体" w:cs="宋体"/>
                <w:color w:val="auto"/>
                <w:szCs w:val="21"/>
                <w:highlight w:val="none"/>
              </w:rPr>
            </w:pPr>
          </w:p>
        </w:tc>
      </w:tr>
      <w:tr w14:paraId="4B32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86" w:type="dxa"/>
            <w:tcBorders>
              <w:top w:val="single" w:color="auto" w:sz="4" w:space="0"/>
              <w:left w:val="single" w:color="auto" w:sz="4" w:space="0"/>
              <w:bottom w:val="single" w:color="auto" w:sz="4" w:space="0"/>
              <w:right w:val="single" w:color="auto" w:sz="4" w:space="0"/>
            </w:tcBorders>
            <w:vAlign w:val="center"/>
          </w:tcPr>
          <w:p w14:paraId="68960D8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[成本警戒价，招标控制价×95%]区间的投标报价数量G</w:t>
            </w:r>
          </w:p>
        </w:tc>
        <w:tc>
          <w:tcPr>
            <w:tcW w:w="1037" w:type="dxa"/>
            <w:tcBorders>
              <w:top w:val="single" w:color="auto" w:sz="4" w:space="0"/>
              <w:left w:val="single" w:color="auto" w:sz="4" w:space="0"/>
              <w:bottom w:val="single" w:color="auto" w:sz="4" w:space="0"/>
              <w:right w:val="single" w:color="auto" w:sz="4" w:space="0"/>
            </w:tcBorders>
            <w:vAlign w:val="center"/>
          </w:tcPr>
          <w:p w14:paraId="428DE932">
            <w:pPr>
              <w:spacing w:line="360" w:lineRule="auto"/>
              <w:rPr>
                <w:rFonts w:hint="eastAsia" w:ascii="宋体" w:hAnsi="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1B47DCFE">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05B2D1A">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1D10068">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67A98D4E">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1EABC6B2">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14BF194">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0265E6F">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45BC7D1">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B75FACB">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A8E2E8F">
            <w:pPr>
              <w:spacing w:line="360" w:lineRule="auto"/>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4F4EA881">
            <w:pPr>
              <w:spacing w:line="360" w:lineRule="auto"/>
              <w:rPr>
                <w:rFonts w:hint="eastAsia" w:ascii="宋体" w:hAnsi="宋体" w:cs="宋体"/>
                <w:color w:val="auto"/>
                <w:szCs w:val="21"/>
                <w:highlight w:val="none"/>
              </w:rPr>
            </w:pPr>
          </w:p>
        </w:tc>
      </w:tr>
      <w:tr w14:paraId="7069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14:paraId="48ABC38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参与计算评标参考价H</w:t>
            </w:r>
          </w:p>
        </w:tc>
        <w:tc>
          <w:tcPr>
            <w:tcW w:w="12587" w:type="dxa"/>
            <w:gridSpan w:val="12"/>
            <w:tcBorders>
              <w:top w:val="single" w:color="auto" w:sz="4" w:space="0"/>
              <w:left w:val="single" w:color="auto" w:sz="4" w:space="0"/>
              <w:bottom w:val="single" w:color="auto" w:sz="4" w:space="0"/>
              <w:right w:val="single" w:color="auto" w:sz="4" w:space="0"/>
            </w:tcBorders>
            <w:vAlign w:val="center"/>
          </w:tcPr>
          <w:p w14:paraId="30A202BD">
            <w:pPr>
              <w:spacing w:line="360" w:lineRule="auto"/>
              <w:rPr>
                <w:rFonts w:hint="eastAsia" w:ascii="宋体" w:hAnsi="宋体" w:cs="宋体"/>
                <w:color w:val="auto"/>
                <w:szCs w:val="21"/>
                <w:highlight w:val="none"/>
              </w:rPr>
            </w:pPr>
          </w:p>
        </w:tc>
      </w:tr>
      <w:tr w14:paraId="58BE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14:paraId="3BFBCA9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偏差（（PT-PC）/PC）（%）</w:t>
            </w:r>
          </w:p>
        </w:tc>
        <w:tc>
          <w:tcPr>
            <w:tcW w:w="1037" w:type="dxa"/>
            <w:tcBorders>
              <w:top w:val="single" w:color="auto" w:sz="4" w:space="0"/>
              <w:left w:val="single" w:color="auto" w:sz="4" w:space="0"/>
              <w:bottom w:val="single" w:color="auto" w:sz="4" w:space="0"/>
              <w:right w:val="single" w:color="auto" w:sz="4" w:space="0"/>
            </w:tcBorders>
            <w:vAlign w:val="center"/>
          </w:tcPr>
          <w:p w14:paraId="539C20EA">
            <w:pPr>
              <w:spacing w:line="360" w:lineRule="auto"/>
              <w:rPr>
                <w:rFonts w:hint="eastAsia" w:ascii="宋体" w:hAnsi="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3548EEA5">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1F2CAFEE">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0E24DBC">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52F0683">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85F9EE6">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737D830">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1234AD7D">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A89D79A">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A96561F">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61644C0">
            <w:pPr>
              <w:spacing w:line="360" w:lineRule="auto"/>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72B1CD9D">
            <w:pPr>
              <w:spacing w:line="360" w:lineRule="auto"/>
              <w:rPr>
                <w:rFonts w:hint="eastAsia" w:ascii="宋体" w:hAnsi="宋体" w:cs="宋体"/>
                <w:color w:val="auto"/>
                <w:szCs w:val="21"/>
                <w:highlight w:val="none"/>
              </w:rPr>
            </w:pPr>
          </w:p>
        </w:tc>
      </w:tr>
      <w:tr w14:paraId="2A2E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86" w:type="dxa"/>
            <w:tcBorders>
              <w:top w:val="single" w:color="auto" w:sz="4" w:space="0"/>
              <w:left w:val="single" w:color="auto" w:sz="4" w:space="0"/>
              <w:bottom w:val="single" w:color="auto" w:sz="4" w:space="0"/>
              <w:right w:val="single" w:color="auto" w:sz="4" w:space="0"/>
            </w:tcBorders>
            <w:vAlign w:val="center"/>
          </w:tcPr>
          <w:p w14:paraId="5019453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减分（A）</w:t>
            </w:r>
          </w:p>
        </w:tc>
        <w:tc>
          <w:tcPr>
            <w:tcW w:w="1037" w:type="dxa"/>
            <w:tcBorders>
              <w:top w:val="single" w:color="auto" w:sz="4" w:space="0"/>
              <w:left w:val="single" w:color="auto" w:sz="4" w:space="0"/>
              <w:bottom w:val="single" w:color="auto" w:sz="4" w:space="0"/>
              <w:right w:val="single" w:color="auto" w:sz="4" w:space="0"/>
            </w:tcBorders>
            <w:vAlign w:val="center"/>
          </w:tcPr>
          <w:p w14:paraId="2A6FDE3F">
            <w:pPr>
              <w:spacing w:line="360" w:lineRule="auto"/>
              <w:rPr>
                <w:rFonts w:hint="eastAsia" w:ascii="宋体" w:hAnsi="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0F0BFF8D">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1CFB2B6B">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B04AD5F">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7C860B8">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A2F7C79">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7071D01">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C8C167B">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BB0BC85">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70B6C30">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69F0B82">
            <w:pPr>
              <w:spacing w:line="360" w:lineRule="auto"/>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34424E5C">
            <w:pPr>
              <w:spacing w:line="360" w:lineRule="auto"/>
              <w:rPr>
                <w:rFonts w:hint="eastAsia" w:ascii="宋体" w:hAnsi="宋体" w:cs="宋体"/>
                <w:color w:val="auto"/>
                <w:szCs w:val="21"/>
                <w:highlight w:val="none"/>
              </w:rPr>
            </w:pPr>
          </w:p>
        </w:tc>
      </w:tr>
      <w:tr w14:paraId="1281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14:paraId="50BD973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得分(I=100-A)</w:t>
            </w:r>
          </w:p>
        </w:tc>
        <w:tc>
          <w:tcPr>
            <w:tcW w:w="1037" w:type="dxa"/>
            <w:tcBorders>
              <w:top w:val="single" w:color="auto" w:sz="4" w:space="0"/>
              <w:left w:val="single" w:color="auto" w:sz="4" w:space="0"/>
              <w:bottom w:val="single" w:color="auto" w:sz="4" w:space="0"/>
              <w:right w:val="single" w:color="auto" w:sz="4" w:space="0"/>
            </w:tcBorders>
            <w:vAlign w:val="center"/>
          </w:tcPr>
          <w:p w14:paraId="0D556BC0">
            <w:pPr>
              <w:spacing w:line="360" w:lineRule="auto"/>
              <w:rPr>
                <w:rFonts w:hint="eastAsia" w:ascii="宋体" w:hAnsi="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018E811A">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1DAD1AE2">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6D2A08D1">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AE35553">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B330195">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1C7794B4">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EC769C6">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5980EC9">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2716AC6">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8F71831">
            <w:pPr>
              <w:spacing w:line="360" w:lineRule="auto"/>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2DAEF482">
            <w:pPr>
              <w:spacing w:line="360" w:lineRule="auto"/>
              <w:rPr>
                <w:rFonts w:hint="eastAsia" w:ascii="宋体" w:hAnsi="宋体" w:cs="宋体"/>
                <w:color w:val="auto"/>
                <w:szCs w:val="21"/>
                <w:highlight w:val="none"/>
              </w:rPr>
            </w:pPr>
          </w:p>
        </w:tc>
      </w:tr>
      <w:tr w14:paraId="3BA5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14:paraId="18431E1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得分排名次序</w:t>
            </w:r>
          </w:p>
        </w:tc>
        <w:tc>
          <w:tcPr>
            <w:tcW w:w="1037" w:type="dxa"/>
            <w:tcBorders>
              <w:top w:val="single" w:color="auto" w:sz="4" w:space="0"/>
              <w:left w:val="single" w:color="auto" w:sz="4" w:space="0"/>
              <w:bottom w:val="single" w:color="auto" w:sz="4" w:space="0"/>
              <w:right w:val="single" w:color="auto" w:sz="4" w:space="0"/>
            </w:tcBorders>
            <w:vAlign w:val="center"/>
          </w:tcPr>
          <w:p w14:paraId="312704AE">
            <w:pPr>
              <w:spacing w:line="360" w:lineRule="auto"/>
              <w:rPr>
                <w:rFonts w:hint="eastAsia" w:ascii="宋体" w:hAnsi="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63FB2EAF">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F0F7EF7">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E163FC8">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B66EA8D">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8C2878C">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11368C5">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5221602">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D0C6F26">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6D3A4ADF">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1EBF2102">
            <w:pPr>
              <w:spacing w:line="360" w:lineRule="auto"/>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296717E0">
            <w:pPr>
              <w:spacing w:line="360" w:lineRule="auto"/>
              <w:rPr>
                <w:rFonts w:hint="eastAsia" w:ascii="宋体" w:hAnsi="宋体" w:cs="宋体"/>
                <w:color w:val="auto"/>
                <w:szCs w:val="21"/>
                <w:highlight w:val="none"/>
              </w:rPr>
            </w:pPr>
          </w:p>
        </w:tc>
      </w:tr>
    </w:tbl>
    <w:p w14:paraId="2F0BAC0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评委签名：</w:t>
      </w:r>
    </w:p>
    <w:p w14:paraId="19A487A1">
      <w:pPr>
        <w:pStyle w:val="3"/>
        <w:spacing w:line="360" w:lineRule="auto"/>
        <w:jc w:val="left"/>
        <w:rPr>
          <w:rFonts w:hint="eastAsia"/>
          <w:color w:val="auto"/>
          <w:sz w:val="36"/>
          <w:szCs w:val="36"/>
          <w:highlight w:val="none"/>
        </w:rPr>
        <w:sectPr>
          <w:pgSz w:w="16838" w:h="11906" w:orient="landscape"/>
          <w:pgMar w:top="1080" w:right="1440" w:bottom="1080" w:left="1440" w:header="850" w:footer="992" w:gutter="0"/>
          <w:cols w:space="0" w:num="1"/>
          <w:docGrid w:type="lines" w:linePitch="317" w:charSpace="0"/>
        </w:sectPr>
      </w:pPr>
      <w:bookmarkStart w:id="203" w:name="_Toc22004"/>
    </w:p>
    <w:p w14:paraId="612DE388">
      <w:pPr>
        <w:pStyle w:val="3"/>
        <w:spacing w:line="360" w:lineRule="auto"/>
        <w:jc w:val="left"/>
        <w:rPr>
          <w:rFonts w:hint="eastAsia"/>
          <w:b w:val="0"/>
          <w:color w:val="auto"/>
          <w:szCs w:val="18"/>
          <w:highlight w:val="none"/>
        </w:rPr>
      </w:pPr>
      <w:bookmarkStart w:id="204" w:name="_Toc1155"/>
      <w:r>
        <w:rPr>
          <w:rFonts w:hint="eastAsia"/>
          <w:color w:val="auto"/>
          <w:highlight w:val="none"/>
        </w:rPr>
        <w:t>附表六</w:t>
      </w:r>
      <w:bookmarkEnd w:id="198"/>
      <w:bookmarkEnd w:id="199"/>
      <w:bookmarkEnd w:id="200"/>
      <w:bookmarkEnd w:id="201"/>
      <w:bookmarkEnd w:id="202"/>
      <w:bookmarkEnd w:id="203"/>
      <w:bookmarkEnd w:id="204"/>
    </w:p>
    <w:p w14:paraId="02D2D7C6">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算术复核表</w:t>
      </w:r>
    </w:p>
    <w:p w14:paraId="17EC60C7">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工程名称：投标人:                                                  单位：元</w:t>
      </w:r>
    </w:p>
    <w:tbl>
      <w:tblPr>
        <w:tblStyle w:val="25"/>
        <w:tblW w:w="4998" w:type="pct"/>
        <w:tblInd w:w="0" w:type="dxa"/>
        <w:tblLayout w:type="autofit"/>
        <w:tblCellMar>
          <w:top w:w="0" w:type="dxa"/>
          <w:left w:w="108" w:type="dxa"/>
          <w:bottom w:w="0" w:type="dxa"/>
          <w:right w:w="108" w:type="dxa"/>
        </w:tblCellMar>
      </w:tblPr>
      <w:tblGrid>
        <w:gridCol w:w="456"/>
        <w:gridCol w:w="2844"/>
        <w:gridCol w:w="904"/>
        <w:gridCol w:w="886"/>
        <w:gridCol w:w="1896"/>
        <w:gridCol w:w="814"/>
        <w:gridCol w:w="2158"/>
      </w:tblGrid>
      <w:tr w14:paraId="415E4086">
        <w:tblPrEx>
          <w:tblCellMar>
            <w:top w:w="0" w:type="dxa"/>
            <w:left w:w="108" w:type="dxa"/>
            <w:bottom w:w="0" w:type="dxa"/>
            <w:right w:w="108" w:type="dxa"/>
          </w:tblCellMar>
        </w:tblPrEx>
        <w:trPr>
          <w:trHeight w:val="705" w:hRule="atLeast"/>
        </w:trPr>
        <w:tc>
          <w:tcPr>
            <w:tcW w:w="217" w:type="pct"/>
            <w:tcBorders>
              <w:top w:val="single" w:color="auto" w:sz="4" w:space="0"/>
              <w:left w:val="single" w:color="auto" w:sz="4" w:space="0"/>
              <w:bottom w:val="single" w:color="auto" w:sz="4" w:space="0"/>
              <w:right w:val="single" w:color="auto" w:sz="4" w:space="0"/>
            </w:tcBorders>
            <w:vAlign w:val="center"/>
          </w:tcPr>
          <w:p w14:paraId="331F1A78">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编号</w:t>
            </w:r>
          </w:p>
        </w:tc>
        <w:tc>
          <w:tcPr>
            <w:tcW w:w="1514" w:type="pct"/>
            <w:tcBorders>
              <w:top w:val="single" w:color="auto" w:sz="4" w:space="0"/>
              <w:left w:val="nil"/>
              <w:bottom w:val="single" w:color="auto" w:sz="4" w:space="0"/>
              <w:right w:val="single" w:color="auto" w:sz="4" w:space="0"/>
            </w:tcBorders>
            <w:vAlign w:val="center"/>
          </w:tcPr>
          <w:p w14:paraId="6CA45507">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算术校核项目</w:t>
            </w:r>
          </w:p>
        </w:tc>
        <w:tc>
          <w:tcPr>
            <w:tcW w:w="540" w:type="pct"/>
            <w:tcBorders>
              <w:top w:val="single" w:color="auto" w:sz="4" w:space="0"/>
              <w:left w:val="nil"/>
              <w:bottom w:val="single" w:color="auto" w:sz="4" w:space="0"/>
              <w:right w:val="single" w:color="auto" w:sz="4" w:space="0"/>
            </w:tcBorders>
            <w:vAlign w:val="center"/>
          </w:tcPr>
          <w:p w14:paraId="3FB20B28">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修正前投标</w:t>
            </w:r>
          </w:p>
          <w:p w14:paraId="5D875096">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报价A</w:t>
            </w:r>
          </w:p>
        </w:tc>
        <w:tc>
          <w:tcPr>
            <w:tcW w:w="531" w:type="pct"/>
            <w:tcBorders>
              <w:top w:val="single" w:color="auto" w:sz="4" w:space="0"/>
              <w:left w:val="nil"/>
              <w:bottom w:val="single" w:color="auto" w:sz="4" w:space="0"/>
              <w:right w:val="single" w:color="auto" w:sz="4" w:space="0"/>
            </w:tcBorders>
            <w:vAlign w:val="center"/>
          </w:tcPr>
          <w:p w14:paraId="7E21B637">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修正后投标</w:t>
            </w:r>
          </w:p>
          <w:p w14:paraId="0254C6B4">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报价B</w:t>
            </w:r>
          </w:p>
        </w:tc>
        <w:tc>
          <w:tcPr>
            <w:tcW w:w="531" w:type="pct"/>
            <w:tcBorders>
              <w:top w:val="single" w:color="auto" w:sz="4" w:space="0"/>
              <w:left w:val="nil"/>
              <w:bottom w:val="single" w:color="auto" w:sz="4" w:space="0"/>
              <w:right w:val="single" w:color="auto" w:sz="4" w:space="0"/>
            </w:tcBorders>
            <w:vAlign w:val="center"/>
          </w:tcPr>
          <w:p w14:paraId="1F7A5146">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修正率</w:t>
            </w:r>
          </w:p>
          <w:p w14:paraId="0D19B605">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r=|A-B|/A*100%</w:t>
            </w:r>
          </w:p>
        </w:tc>
        <w:tc>
          <w:tcPr>
            <w:tcW w:w="495" w:type="pct"/>
            <w:tcBorders>
              <w:top w:val="single" w:color="auto" w:sz="4" w:space="0"/>
              <w:left w:val="nil"/>
              <w:bottom w:val="single" w:color="auto" w:sz="4" w:space="0"/>
              <w:right w:val="single" w:color="auto" w:sz="4" w:space="0"/>
            </w:tcBorders>
            <w:vAlign w:val="center"/>
          </w:tcPr>
          <w:p w14:paraId="47CA7827">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经评审的最终投标报价</w:t>
            </w:r>
          </w:p>
        </w:tc>
        <w:tc>
          <w:tcPr>
            <w:tcW w:w="1169" w:type="pct"/>
            <w:tcBorders>
              <w:top w:val="single" w:color="auto" w:sz="4" w:space="0"/>
              <w:left w:val="nil"/>
              <w:bottom w:val="single" w:color="auto" w:sz="4" w:space="0"/>
              <w:right w:val="single" w:color="auto" w:sz="4" w:space="0"/>
            </w:tcBorders>
            <w:vAlign w:val="center"/>
          </w:tcPr>
          <w:p w14:paraId="594767CA">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当B&gt;A时，修正后报价与原报价的差额；当B≤A时,R=0</w:t>
            </w:r>
          </w:p>
        </w:tc>
      </w:tr>
      <w:tr w14:paraId="0C3841D4">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1284AB6E">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514" w:type="pct"/>
            <w:tcBorders>
              <w:top w:val="nil"/>
              <w:left w:val="nil"/>
              <w:bottom w:val="single" w:color="auto" w:sz="4" w:space="0"/>
              <w:right w:val="single" w:color="auto" w:sz="4" w:space="0"/>
            </w:tcBorders>
            <w:vAlign w:val="center"/>
          </w:tcPr>
          <w:p w14:paraId="68B2C408">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[单位工程1]</w:t>
            </w:r>
          </w:p>
        </w:tc>
        <w:tc>
          <w:tcPr>
            <w:tcW w:w="540" w:type="pct"/>
            <w:tcBorders>
              <w:top w:val="nil"/>
              <w:left w:val="nil"/>
              <w:bottom w:val="single" w:color="auto" w:sz="4" w:space="0"/>
              <w:right w:val="single" w:color="auto" w:sz="4" w:space="0"/>
            </w:tcBorders>
            <w:vAlign w:val="center"/>
          </w:tcPr>
          <w:p w14:paraId="0F434020">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554F0EBC">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0E6DDB84">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vAlign w:val="center"/>
          </w:tcPr>
          <w:p w14:paraId="4FDC36EB">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vAlign w:val="center"/>
          </w:tcPr>
          <w:p w14:paraId="2814F405">
            <w:pPr>
              <w:spacing w:line="360" w:lineRule="auto"/>
              <w:rPr>
                <w:rFonts w:hint="eastAsia" w:ascii="宋体" w:hAnsi="宋体" w:cs="宋体"/>
                <w:color w:val="auto"/>
                <w:kern w:val="0"/>
                <w:szCs w:val="21"/>
                <w:highlight w:val="none"/>
              </w:rPr>
            </w:pPr>
          </w:p>
        </w:tc>
      </w:tr>
      <w:tr w14:paraId="36CE2591">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5EDC5619">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14" w:type="pct"/>
            <w:tcBorders>
              <w:top w:val="nil"/>
              <w:left w:val="nil"/>
              <w:bottom w:val="single" w:color="auto" w:sz="4" w:space="0"/>
              <w:right w:val="single" w:color="auto" w:sz="4" w:space="0"/>
            </w:tcBorders>
            <w:vAlign w:val="center"/>
          </w:tcPr>
          <w:p w14:paraId="6A2B798B">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[单位工程2]</w:t>
            </w:r>
          </w:p>
        </w:tc>
        <w:tc>
          <w:tcPr>
            <w:tcW w:w="540" w:type="pct"/>
            <w:tcBorders>
              <w:top w:val="nil"/>
              <w:left w:val="nil"/>
              <w:bottom w:val="single" w:color="auto" w:sz="4" w:space="0"/>
              <w:right w:val="single" w:color="auto" w:sz="4" w:space="0"/>
            </w:tcBorders>
            <w:vAlign w:val="center"/>
          </w:tcPr>
          <w:p w14:paraId="77D87267">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25B86DB9">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4E6692AF">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vAlign w:val="center"/>
          </w:tcPr>
          <w:p w14:paraId="7CB93E20">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vAlign w:val="center"/>
          </w:tcPr>
          <w:p w14:paraId="145A9A65">
            <w:pPr>
              <w:spacing w:line="360" w:lineRule="auto"/>
              <w:rPr>
                <w:rFonts w:hint="eastAsia" w:ascii="宋体" w:hAnsi="宋体" w:cs="宋体"/>
                <w:color w:val="auto"/>
                <w:kern w:val="0"/>
                <w:szCs w:val="21"/>
                <w:highlight w:val="none"/>
              </w:rPr>
            </w:pPr>
          </w:p>
        </w:tc>
      </w:tr>
      <w:tr w14:paraId="6FB66E5F">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2C80A224">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514" w:type="pct"/>
            <w:tcBorders>
              <w:top w:val="nil"/>
              <w:left w:val="nil"/>
              <w:bottom w:val="single" w:color="auto" w:sz="4" w:space="0"/>
              <w:right w:val="single" w:color="auto" w:sz="4" w:space="0"/>
            </w:tcBorders>
            <w:vAlign w:val="center"/>
          </w:tcPr>
          <w:p w14:paraId="5015E870">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540" w:type="pct"/>
            <w:tcBorders>
              <w:top w:val="nil"/>
              <w:left w:val="nil"/>
              <w:bottom w:val="single" w:color="auto" w:sz="4" w:space="0"/>
              <w:right w:val="single" w:color="auto" w:sz="4" w:space="0"/>
            </w:tcBorders>
            <w:vAlign w:val="center"/>
          </w:tcPr>
          <w:p w14:paraId="71585751">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12771242">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34469B29">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vAlign w:val="center"/>
          </w:tcPr>
          <w:p w14:paraId="6012CE19">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vAlign w:val="center"/>
          </w:tcPr>
          <w:p w14:paraId="5E1D63E3">
            <w:pPr>
              <w:spacing w:line="360" w:lineRule="auto"/>
              <w:rPr>
                <w:rFonts w:hint="eastAsia" w:ascii="宋体" w:hAnsi="宋体" w:cs="宋体"/>
                <w:color w:val="auto"/>
                <w:kern w:val="0"/>
                <w:szCs w:val="21"/>
                <w:highlight w:val="none"/>
              </w:rPr>
            </w:pPr>
          </w:p>
        </w:tc>
      </w:tr>
      <w:tr w14:paraId="7E1EC352">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37EDFDBA">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514" w:type="pct"/>
            <w:tcBorders>
              <w:top w:val="nil"/>
              <w:left w:val="nil"/>
              <w:bottom w:val="single" w:color="auto" w:sz="4" w:space="0"/>
              <w:right w:val="single" w:color="auto" w:sz="4" w:space="0"/>
            </w:tcBorders>
            <w:vAlign w:val="center"/>
          </w:tcPr>
          <w:p w14:paraId="75E235AE">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540" w:type="pct"/>
            <w:tcBorders>
              <w:top w:val="nil"/>
              <w:left w:val="nil"/>
              <w:bottom w:val="single" w:color="auto" w:sz="4" w:space="0"/>
              <w:right w:val="single" w:color="auto" w:sz="4" w:space="0"/>
            </w:tcBorders>
            <w:vAlign w:val="center"/>
          </w:tcPr>
          <w:p w14:paraId="70C347E3">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1D64413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552395A5">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vAlign w:val="center"/>
          </w:tcPr>
          <w:p w14:paraId="6576A12A">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vAlign w:val="center"/>
          </w:tcPr>
          <w:p w14:paraId="20323028">
            <w:pPr>
              <w:spacing w:line="360" w:lineRule="auto"/>
              <w:rPr>
                <w:rFonts w:hint="eastAsia" w:ascii="宋体" w:hAnsi="宋体" w:cs="宋体"/>
                <w:color w:val="auto"/>
                <w:kern w:val="0"/>
                <w:szCs w:val="21"/>
                <w:highlight w:val="none"/>
              </w:rPr>
            </w:pPr>
          </w:p>
        </w:tc>
      </w:tr>
      <w:tr w14:paraId="6F19F5D5">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19ED562A">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514" w:type="pct"/>
            <w:tcBorders>
              <w:top w:val="nil"/>
              <w:left w:val="nil"/>
              <w:bottom w:val="single" w:color="auto" w:sz="4" w:space="0"/>
              <w:right w:val="single" w:color="auto" w:sz="4" w:space="0"/>
            </w:tcBorders>
            <w:vAlign w:val="center"/>
          </w:tcPr>
          <w:p w14:paraId="65EBB126">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540" w:type="pct"/>
            <w:tcBorders>
              <w:top w:val="nil"/>
              <w:left w:val="nil"/>
              <w:bottom w:val="single" w:color="auto" w:sz="4" w:space="0"/>
              <w:right w:val="single" w:color="auto" w:sz="4" w:space="0"/>
            </w:tcBorders>
            <w:vAlign w:val="center"/>
          </w:tcPr>
          <w:p w14:paraId="4E59F29E">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0CA1D434">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0D2E9D62">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vAlign w:val="center"/>
          </w:tcPr>
          <w:p w14:paraId="2E8DB90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vAlign w:val="center"/>
          </w:tcPr>
          <w:p w14:paraId="5360A127">
            <w:pPr>
              <w:spacing w:line="360" w:lineRule="auto"/>
              <w:rPr>
                <w:rFonts w:hint="eastAsia" w:ascii="宋体" w:hAnsi="宋体" w:cs="宋体"/>
                <w:color w:val="auto"/>
                <w:kern w:val="0"/>
                <w:szCs w:val="21"/>
                <w:highlight w:val="none"/>
              </w:rPr>
            </w:pPr>
          </w:p>
        </w:tc>
      </w:tr>
      <w:tr w14:paraId="1BAE89E9">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199CB58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n</w:t>
            </w:r>
          </w:p>
        </w:tc>
        <w:tc>
          <w:tcPr>
            <w:tcW w:w="1514" w:type="pct"/>
            <w:tcBorders>
              <w:top w:val="nil"/>
              <w:left w:val="nil"/>
              <w:bottom w:val="single" w:color="auto" w:sz="4" w:space="0"/>
              <w:right w:val="single" w:color="auto" w:sz="4" w:space="0"/>
            </w:tcBorders>
            <w:vAlign w:val="center"/>
          </w:tcPr>
          <w:p w14:paraId="6F6D236E">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[单位工程n]</w:t>
            </w:r>
          </w:p>
        </w:tc>
        <w:tc>
          <w:tcPr>
            <w:tcW w:w="540" w:type="pct"/>
            <w:tcBorders>
              <w:top w:val="nil"/>
              <w:left w:val="nil"/>
              <w:bottom w:val="single" w:color="auto" w:sz="4" w:space="0"/>
              <w:right w:val="single" w:color="auto" w:sz="4" w:space="0"/>
            </w:tcBorders>
            <w:vAlign w:val="center"/>
          </w:tcPr>
          <w:p w14:paraId="5D790727">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320E8458">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6F61774A">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vAlign w:val="center"/>
          </w:tcPr>
          <w:p w14:paraId="43C4EF0B">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vAlign w:val="center"/>
          </w:tcPr>
          <w:p w14:paraId="631CD480">
            <w:pPr>
              <w:spacing w:line="360" w:lineRule="auto"/>
              <w:rPr>
                <w:rFonts w:hint="eastAsia" w:ascii="宋体" w:hAnsi="宋体" w:cs="宋体"/>
                <w:color w:val="auto"/>
                <w:kern w:val="0"/>
                <w:szCs w:val="21"/>
                <w:highlight w:val="none"/>
              </w:rPr>
            </w:pPr>
          </w:p>
        </w:tc>
      </w:tr>
      <w:tr w14:paraId="13ABEAAE">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56BD97CF">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514" w:type="pct"/>
            <w:tcBorders>
              <w:top w:val="nil"/>
              <w:left w:val="nil"/>
              <w:bottom w:val="single" w:color="auto" w:sz="4" w:space="0"/>
              <w:right w:val="single" w:color="auto" w:sz="4" w:space="0"/>
            </w:tcBorders>
            <w:vAlign w:val="center"/>
          </w:tcPr>
          <w:p w14:paraId="2A9772FA">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投标总报价</w:t>
            </w:r>
          </w:p>
        </w:tc>
        <w:tc>
          <w:tcPr>
            <w:tcW w:w="540" w:type="pct"/>
            <w:tcBorders>
              <w:top w:val="nil"/>
              <w:left w:val="nil"/>
              <w:bottom w:val="single" w:color="auto" w:sz="4" w:space="0"/>
              <w:right w:val="single" w:color="auto" w:sz="4" w:space="0"/>
            </w:tcBorders>
            <w:vAlign w:val="center"/>
          </w:tcPr>
          <w:p w14:paraId="6D3AFD2C">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41EEE935">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r2bl w:val="single" w:color="auto" w:sz="4" w:space="0"/>
            </w:tcBorders>
            <w:vAlign w:val="center"/>
          </w:tcPr>
          <w:p w14:paraId="0C5ABDFA">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vAlign w:val="center"/>
          </w:tcPr>
          <w:p w14:paraId="3C4F63C7">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vAlign w:val="center"/>
          </w:tcPr>
          <w:p w14:paraId="6B238C2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∑A=A</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+A</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+…An；∑B=B</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+B</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+…Bn</w:t>
            </w:r>
          </w:p>
        </w:tc>
      </w:tr>
    </w:tbl>
    <w:p w14:paraId="1E23C5B3">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修正原则：</w:t>
      </w:r>
      <w:r>
        <w:rPr>
          <w:rFonts w:hint="eastAsia" w:ascii="宋体" w:hAnsi="宋体" w:cs="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color w:val="auto"/>
          <w:kern w:val="0"/>
          <w:szCs w:val="21"/>
          <w:highlight w:val="none"/>
        </w:rPr>
        <w:tab/>
      </w:r>
    </w:p>
    <w:p w14:paraId="2104D3B9">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评委签名：</w:t>
      </w:r>
    </w:p>
    <w:p w14:paraId="3DD9D57E">
      <w:pPr>
        <w:spacing w:line="360" w:lineRule="auto"/>
        <w:rPr>
          <w:rFonts w:hint="eastAsia" w:ascii="宋体" w:hAnsi="宋体" w:cs="宋体"/>
          <w:color w:val="auto"/>
          <w:highlight w:val="none"/>
        </w:rPr>
      </w:pPr>
    </w:p>
    <w:p w14:paraId="70AF6B02">
      <w:pPr>
        <w:spacing w:line="360" w:lineRule="auto"/>
        <w:rPr>
          <w:rFonts w:hint="eastAsia" w:ascii="宋体" w:hAnsi="宋体" w:cs="宋体"/>
          <w:color w:val="auto"/>
          <w:highlight w:val="none"/>
        </w:rPr>
      </w:pPr>
      <w:r>
        <w:rPr>
          <w:rFonts w:hint="eastAsia" w:ascii="宋体" w:hAnsi="宋体" w:cs="宋体"/>
          <w:color w:val="auto"/>
          <w:highlight w:val="none"/>
        </w:rPr>
        <w:br w:type="page"/>
      </w:r>
    </w:p>
    <w:p w14:paraId="22B7B63B">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算术复核表</w:t>
      </w:r>
    </w:p>
    <w:p w14:paraId="3D77E94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3021"/>
        <w:gridCol w:w="1636"/>
        <w:gridCol w:w="2178"/>
        <w:gridCol w:w="2406"/>
      </w:tblGrid>
      <w:tr w14:paraId="10F9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60" w:type="pct"/>
            <w:tcBorders>
              <w:top w:val="single" w:color="auto" w:sz="4" w:space="0"/>
              <w:left w:val="single" w:color="auto" w:sz="4" w:space="0"/>
              <w:bottom w:val="single" w:color="auto" w:sz="4" w:space="0"/>
              <w:right w:val="single" w:color="auto" w:sz="4" w:space="0"/>
            </w:tcBorders>
            <w:vAlign w:val="center"/>
          </w:tcPr>
          <w:p w14:paraId="42B221DC">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编号</w:t>
            </w:r>
          </w:p>
        </w:tc>
        <w:tc>
          <w:tcPr>
            <w:tcW w:w="1516" w:type="pct"/>
            <w:tcBorders>
              <w:top w:val="single" w:color="auto" w:sz="4" w:space="0"/>
              <w:left w:val="single" w:color="auto" w:sz="4" w:space="0"/>
              <w:bottom w:val="single" w:color="auto" w:sz="4" w:space="0"/>
              <w:right w:val="single" w:color="auto" w:sz="4" w:space="0"/>
            </w:tcBorders>
            <w:vAlign w:val="center"/>
          </w:tcPr>
          <w:p w14:paraId="6C15B277">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投标人名称</w:t>
            </w:r>
          </w:p>
        </w:tc>
        <w:tc>
          <w:tcPr>
            <w:tcW w:w="821" w:type="pct"/>
            <w:tcBorders>
              <w:top w:val="single" w:color="auto" w:sz="4" w:space="0"/>
              <w:left w:val="single" w:color="auto" w:sz="4" w:space="0"/>
              <w:bottom w:val="single" w:color="auto" w:sz="4" w:space="0"/>
              <w:right w:val="single" w:color="auto" w:sz="4" w:space="0"/>
            </w:tcBorders>
            <w:vAlign w:val="center"/>
          </w:tcPr>
          <w:p w14:paraId="7F4172F5">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原投标报价（A）</w:t>
            </w:r>
          </w:p>
        </w:tc>
        <w:tc>
          <w:tcPr>
            <w:tcW w:w="1093" w:type="pct"/>
            <w:tcBorders>
              <w:top w:val="single" w:color="auto" w:sz="4" w:space="0"/>
              <w:left w:val="single" w:color="auto" w:sz="4" w:space="0"/>
              <w:bottom w:val="single" w:color="auto" w:sz="4" w:space="0"/>
              <w:right w:val="single" w:color="auto" w:sz="4" w:space="0"/>
            </w:tcBorders>
            <w:vAlign w:val="center"/>
          </w:tcPr>
          <w:p w14:paraId="6F87F42A">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算数复核后投标报价（B）</w:t>
            </w:r>
          </w:p>
        </w:tc>
        <w:tc>
          <w:tcPr>
            <w:tcW w:w="1207" w:type="pct"/>
            <w:tcBorders>
              <w:top w:val="single" w:color="auto" w:sz="4" w:space="0"/>
              <w:left w:val="single" w:color="auto" w:sz="4" w:space="0"/>
              <w:bottom w:val="single" w:color="auto" w:sz="4" w:space="0"/>
              <w:right w:val="single" w:color="auto" w:sz="4" w:space="0"/>
            </w:tcBorders>
            <w:vAlign w:val="center"/>
          </w:tcPr>
          <w:p w14:paraId="6F542EA7">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误差率（r=|A-B|/A*100%）</w:t>
            </w:r>
          </w:p>
        </w:tc>
      </w:tr>
      <w:tr w14:paraId="6D9C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6B3AFECD">
            <w:pPr>
              <w:spacing w:line="360" w:lineRule="auto"/>
              <w:rPr>
                <w:rFonts w:hint="eastAsia" w:ascii="宋体" w:hAnsi="宋体" w:cs="宋体"/>
                <w:color w:val="auto"/>
                <w:sz w:val="36"/>
                <w:szCs w:val="36"/>
                <w:highlight w:val="none"/>
              </w:rPr>
            </w:pPr>
          </w:p>
        </w:tc>
        <w:tc>
          <w:tcPr>
            <w:tcW w:w="1516" w:type="pct"/>
            <w:tcBorders>
              <w:top w:val="single" w:color="auto" w:sz="4" w:space="0"/>
              <w:left w:val="single" w:color="auto" w:sz="4" w:space="0"/>
              <w:bottom w:val="single" w:color="auto" w:sz="4" w:space="0"/>
              <w:right w:val="single" w:color="auto" w:sz="4" w:space="0"/>
            </w:tcBorders>
          </w:tcPr>
          <w:p w14:paraId="562572F8">
            <w:pPr>
              <w:spacing w:line="360" w:lineRule="auto"/>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tcPr>
          <w:p w14:paraId="37B2F2A0">
            <w:pPr>
              <w:spacing w:line="360" w:lineRule="auto"/>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tcPr>
          <w:p w14:paraId="2C859791">
            <w:pPr>
              <w:spacing w:line="360" w:lineRule="auto"/>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tcPr>
          <w:p w14:paraId="58D10765">
            <w:pPr>
              <w:spacing w:line="360" w:lineRule="auto"/>
              <w:rPr>
                <w:rFonts w:hint="eastAsia" w:ascii="宋体" w:hAnsi="宋体" w:cs="宋体"/>
                <w:color w:val="auto"/>
                <w:sz w:val="36"/>
                <w:szCs w:val="36"/>
                <w:highlight w:val="none"/>
              </w:rPr>
            </w:pPr>
          </w:p>
        </w:tc>
      </w:tr>
      <w:tr w14:paraId="02AF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043FC82F">
            <w:pPr>
              <w:spacing w:line="360" w:lineRule="auto"/>
              <w:rPr>
                <w:rFonts w:hint="eastAsia" w:ascii="宋体" w:hAnsi="宋体" w:cs="宋体"/>
                <w:color w:val="auto"/>
                <w:sz w:val="36"/>
                <w:szCs w:val="36"/>
                <w:highlight w:val="none"/>
              </w:rPr>
            </w:pPr>
          </w:p>
        </w:tc>
        <w:tc>
          <w:tcPr>
            <w:tcW w:w="1516" w:type="pct"/>
            <w:tcBorders>
              <w:top w:val="single" w:color="auto" w:sz="4" w:space="0"/>
              <w:left w:val="single" w:color="auto" w:sz="4" w:space="0"/>
              <w:bottom w:val="single" w:color="auto" w:sz="4" w:space="0"/>
              <w:right w:val="single" w:color="auto" w:sz="4" w:space="0"/>
            </w:tcBorders>
          </w:tcPr>
          <w:p w14:paraId="187B24C1">
            <w:pPr>
              <w:spacing w:line="360" w:lineRule="auto"/>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tcPr>
          <w:p w14:paraId="1BC58E2B">
            <w:pPr>
              <w:spacing w:line="360" w:lineRule="auto"/>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tcPr>
          <w:p w14:paraId="37627706">
            <w:pPr>
              <w:spacing w:line="360" w:lineRule="auto"/>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tcPr>
          <w:p w14:paraId="7CB8DBA6">
            <w:pPr>
              <w:spacing w:line="360" w:lineRule="auto"/>
              <w:rPr>
                <w:rFonts w:hint="eastAsia" w:ascii="宋体" w:hAnsi="宋体" w:cs="宋体"/>
                <w:color w:val="auto"/>
                <w:sz w:val="36"/>
                <w:szCs w:val="36"/>
                <w:highlight w:val="none"/>
              </w:rPr>
            </w:pPr>
          </w:p>
        </w:tc>
      </w:tr>
      <w:tr w14:paraId="68BF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3E6645B4">
            <w:pPr>
              <w:spacing w:line="360" w:lineRule="auto"/>
              <w:rPr>
                <w:rFonts w:hint="eastAsia" w:ascii="宋体" w:hAnsi="宋体" w:cs="宋体"/>
                <w:color w:val="auto"/>
                <w:sz w:val="36"/>
                <w:szCs w:val="36"/>
                <w:highlight w:val="none"/>
              </w:rPr>
            </w:pPr>
          </w:p>
        </w:tc>
        <w:tc>
          <w:tcPr>
            <w:tcW w:w="1516" w:type="pct"/>
            <w:tcBorders>
              <w:top w:val="single" w:color="auto" w:sz="4" w:space="0"/>
              <w:left w:val="single" w:color="auto" w:sz="4" w:space="0"/>
              <w:bottom w:val="single" w:color="auto" w:sz="4" w:space="0"/>
              <w:right w:val="single" w:color="auto" w:sz="4" w:space="0"/>
            </w:tcBorders>
          </w:tcPr>
          <w:p w14:paraId="5E0EC3CF">
            <w:pPr>
              <w:spacing w:line="360" w:lineRule="auto"/>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tcPr>
          <w:p w14:paraId="14B63E5B">
            <w:pPr>
              <w:spacing w:line="360" w:lineRule="auto"/>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tcPr>
          <w:p w14:paraId="1BD05FC5">
            <w:pPr>
              <w:spacing w:line="360" w:lineRule="auto"/>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tcPr>
          <w:p w14:paraId="32C0F374">
            <w:pPr>
              <w:spacing w:line="360" w:lineRule="auto"/>
              <w:rPr>
                <w:rFonts w:hint="eastAsia" w:ascii="宋体" w:hAnsi="宋体" w:cs="宋体"/>
                <w:color w:val="auto"/>
                <w:sz w:val="36"/>
                <w:szCs w:val="36"/>
                <w:highlight w:val="none"/>
              </w:rPr>
            </w:pPr>
          </w:p>
        </w:tc>
      </w:tr>
      <w:tr w14:paraId="49F9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0563791F">
            <w:pPr>
              <w:spacing w:line="360" w:lineRule="auto"/>
              <w:rPr>
                <w:rFonts w:hint="eastAsia" w:ascii="宋体" w:hAnsi="宋体" w:cs="宋体"/>
                <w:color w:val="auto"/>
                <w:sz w:val="36"/>
                <w:szCs w:val="36"/>
                <w:highlight w:val="none"/>
              </w:rPr>
            </w:pPr>
          </w:p>
        </w:tc>
        <w:tc>
          <w:tcPr>
            <w:tcW w:w="1516" w:type="pct"/>
            <w:tcBorders>
              <w:top w:val="single" w:color="auto" w:sz="4" w:space="0"/>
              <w:left w:val="single" w:color="auto" w:sz="4" w:space="0"/>
              <w:bottom w:val="single" w:color="auto" w:sz="4" w:space="0"/>
              <w:right w:val="single" w:color="auto" w:sz="4" w:space="0"/>
            </w:tcBorders>
          </w:tcPr>
          <w:p w14:paraId="5F7295D2">
            <w:pPr>
              <w:spacing w:line="360" w:lineRule="auto"/>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tcPr>
          <w:p w14:paraId="69671DE1">
            <w:pPr>
              <w:spacing w:line="360" w:lineRule="auto"/>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tcPr>
          <w:p w14:paraId="30D3591D">
            <w:pPr>
              <w:spacing w:line="360" w:lineRule="auto"/>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tcPr>
          <w:p w14:paraId="6A5A668E">
            <w:pPr>
              <w:spacing w:line="360" w:lineRule="auto"/>
              <w:rPr>
                <w:rFonts w:hint="eastAsia" w:ascii="宋体" w:hAnsi="宋体" w:cs="宋体"/>
                <w:color w:val="auto"/>
                <w:sz w:val="36"/>
                <w:szCs w:val="36"/>
                <w:highlight w:val="none"/>
              </w:rPr>
            </w:pPr>
          </w:p>
        </w:tc>
      </w:tr>
      <w:tr w14:paraId="2C83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5F2A34D0">
            <w:pPr>
              <w:spacing w:line="360" w:lineRule="auto"/>
              <w:rPr>
                <w:rFonts w:hint="eastAsia" w:ascii="宋体" w:hAnsi="宋体" w:cs="宋体"/>
                <w:color w:val="auto"/>
                <w:sz w:val="36"/>
                <w:szCs w:val="36"/>
                <w:highlight w:val="none"/>
              </w:rPr>
            </w:pPr>
          </w:p>
        </w:tc>
        <w:tc>
          <w:tcPr>
            <w:tcW w:w="1516" w:type="pct"/>
            <w:tcBorders>
              <w:top w:val="single" w:color="auto" w:sz="4" w:space="0"/>
              <w:left w:val="single" w:color="auto" w:sz="4" w:space="0"/>
              <w:bottom w:val="single" w:color="auto" w:sz="4" w:space="0"/>
              <w:right w:val="single" w:color="auto" w:sz="4" w:space="0"/>
            </w:tcBorders>
          </w:tcPr>
          <w:p w14:paraId="14143F77">
            <w:pPr>
              <w:spacing w:line="360" w:lineRule="auto"/>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tcPr>
          <w:p w14:paraId="0E879658">
            <w:pPr>
              <w:spacing w:line="360" w:lineRule="auto"/>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tcPr>
          <w:p w14:paraId="6A0B775B">
            <w:pPr>
              <w:spacing w:line="360" w:lineRule="auto"/>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tcPr>
          <w:p w14:paraId="7248BE5D">
            <w:pPr>
              <w:spacing w:line="360" w:lineRule="auto"/>
              <w:rPr>
                <w:rFonts w:hint="eastAsia" w:ascii="宋体" w:hAnsi="宋体" w:cs="宋体"/>
                <w:color w:val="auto"/>
                <w:sz w:val="36"/>
                <w:szCs w:val="36"/>
                <w:highlight w:val="none"/>
              </w:rPr>
            </w:pPr>
          </w:p>
        </w:tc>
      </w:tr>
      <w:tr w14:paraId="0F5F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6F002DD6">
            <w:pPr>
              <w:spacing w:line="360" w:lineRule="auto"/>
              <w:rPr>
                <w:rFonts w:hint="eastAsia" w:ascii="宋体" w:hAnsi="宋体" w:cs="宋体"/>
                <w:color w:val="auto"/>
                <w:sz w:val="36"/>
                <w:szCs w:val="36"/>
                <w:highlight w:val="none"/>
              </w:rPr>
            </w:pPr>
          </w:p>
        </w:tc>
        <w:tc>
          <w:tcPr>
            <w:tcW w:w="1516" w:type="pct"/>
            <w:tcBorders>
              <w:top w:val="single" w:color="auto" w:sz="4" w:space="0"/>
              <w:left w:val="single" w:color="auto" w:sz="4" w:space="0"/>
              <w:bottom w:val="single" w:color="auto" w:sz="4" w:space="0"/>
              <w:right w:val="single" w:color="auto" w:sz="4" w:space="0"/>
            </w:tcBorders>
          </w:tcPr>
          <w:p w14:paraId="23F56C59">
            <w:pPr>
              <w:spacing w:line="360" w:lineRule="auto"/>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tcPr>
          <w:p w14:paraId="4362E866">
            <w:pPr>
              <w:spacing w:line="360" w:lineRule="auto"/>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tcPr>
          <w:p w14:paraId="5CA174D3">
            <w:pPr>
              <w:spacing w:line="360" w:lineRule="auto"/>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tcPr>
          <w:p w14:paraId="3AB3D4AB">
            <w:pPr>
              <w:spacing w:line="360" w:lineRule="auto"/>
              <w:rPr>
                <w:rFonts w:hint="eastAsia" w:ascii="宋体" w:hAnsi="宋体" w:cs="宋体"/>
                <w:color w:val="auto"/>
                <w:sz w:val="36"/>
                <w:szCs w:val="36"/>
                <w:highlight w:val="none"/>
              </w:rPr>
            </w:pPr>
          </w:p>
        </w:tc>
      </w:tr>
      <w:tr w14:paraId="3939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1BF55196">
            <w:pPr>
              <w:spacing w:line="360" w:lineRule="auto"/>
              <w:rPr>
                <w:rFonts w:hint="eastAsia" w:ascii="宋体" w:hAnsi="宋体" w:cs="宋体"/>
                <w:color w:val="auto"/>
                <w:sz w:val="36"/>
                <w:szCs w:val="36"/>
                <w:highlight w:val="none"/>
              </w:rPr>
            </w:pPr>
          </w:p>
        </w:tc>
        <w:tc>
          <w:tcPr>
            <w:tcW w:w="1516" w:type="pct"/>
            <w:tcBorders>
              <w:top w:val="single" w:color="auto" w:sz="4" w:space="0"/>
              <w:left w:val="single" w:color="auto" w:sz="4" w:space="0"/>
              <w:bottom w:val="single" w:color="auto" w:sz="4" w:space="0"/>
              <w:right w:val="single" w:color="auto" w:sz="4" w:space="0"/>
            </w:tcBorders>
          </w:tcPr>
          <w:p w14:paraId="43B43D2E">
            <w:pPr>
              <w:spacing w:line="360" w:lineRule="auto"/>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tcPr>
          <w:p w14:paraId="02FC4325">
            <w:pPr>
              <w:spacing w:line="360" w:lineRule="auto"/>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tcPr>
          <w:p w14:paraId="16A84AF2">
            <w:pPr>
              <w:spacing w:line="360" w:lineRule="auto"/>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tcPr>
          <w:p w14:paraId="2EA7D2F4">
            <w:pPr>
              <w:spacing w:line="360" w:lineRule="auto"/>
              <w:rPr>
                <w:rFonts w:hint="eastAsia" w:ascii="宋体" w:hAnsi="宋体" w:cs="宋体"/>
                <w:color w:val="auto"/>
                <w:sz w:val="36"/>
                <w:szCs w:val="36"/>
                <w:highlight w:val="none"/>
              </w:rPr>
            </w:pPr>
          </w:p>
        </w:tc>
      </w:tr>
      <w:tr w14:paraId="75D3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797DEAD8">
            <w:pPr>
              <w:spacing w:line="360" w:lineRule="auto"/>
              <w:rPr>
                <w:rFonts w:hint="eastAsia" w:ascii="宋体" w:hAnsi="宋体" w:cs="宋体"/>
                <w:color w:val="auto"/>
                <w:sz w:val="36"/>
                <w:szCs w:val="36"/>
                <w:highlight w:val="none"/>
              </w:rPr>
            </w:pPr>
          </w:p>
        </w:tc>
        <w:tc>
          <w:tcPr>
            <w:tcW w:w="1516" w:type="pct"/>
            <w:tcBorders>
              <w:top w:val="single" w:color="auto" w:sz="4" w:space="0"/>
              <w:left w:val="single" w:color="auto" w:sz="4" w:space="0"/>
              <w:bottom w:val="single" w:color="auto" w:sz="4" w:space="0"/>
              <w:right w:val="single" w:color="auto" w:sz="4" w:space="0"/>
            </w:tcBorders>
          </w:tcPr>
          <w:p w14:paraId="2DE9A01A">
            <w:pPr>
              <w:spacing w:line="360" w:lineRule="auto"/>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tcPr>
          <w:p w14:paraId="704D59AD">
            <w:pPr>
              <w:spacing w:line="360" w:lineRule="auto"/>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tcPr>
          <w:p w14:paraId="5C2748A3">
            <w:pPr>
              <w:spacing w:line="360" w:lineRule="auto"/>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tcPr>
          <w:p w14:paraId="2FD8E308">
            <w:pPr>
              <w:spacing w:line="360" w:lineRule="auto"/>
              <w:rPr>
                <w:rFonts w:hint="eastAsia" w:ascii="宋体" w:hAnsi="宋体" w:cs="宋体"/>
                <w:color w:val="auto"/>
                <w:sz w:val="36"/>
                <w:szCs w:val="36"/>
                <w:highlight w:val="none"/>
              </w:rPr>
            </w:pPr>
          </w:p>
        </w:tc>
      </w:tr>
    </w:tbl>
    <w:p w14:paraId="3D73013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评委签名：</w:t>
      </w:r>
    </w:p>
    <w:p w14:paraId="7FEE6F09">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7F230AAB">
      <w:pPr>
        <w:ind w:firstLine="420"/>
        <w:rPr>
          <w:rFonts w:hint="eastAsia" w:ascii="宋体" w:hAnsi="宋体" w:cs="宋体"/>
          <w:color w:val="auto"/>
          <w:sz w:val="24"/>
          <w:szCs w:val="24"/>
          <w:highlight w:val="none"/>
        </w:rPr>
        <w:sectPr>
          <w:pgSz w:w="11906" w:h="16838"/>
          <w:pgMar w:top="1440" w:right="1080" w:bottom="1440" w:left="1080" w:header="850" w:footer="992" w:gutter="0"/>
          <w:cols w:space="0" w:num="1"/>
          <w:docGrid w:type="lines" w:linePitch="317" w:charSpace="0"/>
        </w:sectPr>
      </w:pPr>
    </w:p>
    <w:p w14:paraId="64591BCC">
      <w:pPr>
        <w:ind w:firstLine="420"/>
        <w:rPr>
          <w:rFonts w:hint="eastAsia" w:ascii="宋体" w:hAnsi="宋体" w:cs="宋体"/>
          <w:b/>
          <w:color w:val="auto"/>
          <w:szCs w:val="21"/>
          <w:highlight w:val="none"/>
        </w:rPr>
      </w:pPr>
      <w:r>
        <w:rPr>
          <w:rFonts w:hint="eastAsia" w:ascii="宋体" w:hAnsi="宋体" w:cs="宋体"/>
          <w:color w:val="auto"/>
          <w:sz w:val="24"/>
          <w:szCs w:val="24"/>
          <w:highlight w:val="none"/>
        </w:rPr>
        <w:t>附表七</w:t>
      </w:r>
    </w:p>
    <w:p w14:paraId="4593EB7A">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定标因素表（定标阶段用表）</w:t>
      </w:r>
    </w:p>
    <w:p w14:paraId="5D9DCD96">
      <w:pPr>
        <w:jc w:val="left"/>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25"/>
        <w:tblW w:w="14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271"/>
        <w:gridCol w:w="11973"/>
      </w:tblGrid>
      <w:tr w14:paraId="10B5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blHeader/>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5E98B82F">
            <w:pPr>
              <w:jc w:val="center"/>
              <w:rPr>
                <w:rFonts w:hint="eastAsia" w:ascii="宋体" w:hAnsi="宋体" w:cs="宋体"/>
                <w:b/>
                <w:bCs/>
                <w:color w:val="auto"/>
                <w:szCs w:val="21"/>
                <w:highlight w:val="none"/>
              </w:rPr>
            </w:pPr>
            <w:bookmarkStart w:id="205" w:name="_Toc18258"/>
            <w:bookmarkStart w:id="206" w:name="_Toc14241"/>
            <w:bookmarkStart w:id="207" w:name="_Toc26863"/>
            <w:bookmarkStart w:id="208" w:name="_Toc1962"/>
            <w:bookmarkStart w:id="209" w:name="_Toc14742"/>
            <w:bookmarkStart w:id="210" w:name="_Toc17243"/>
            <w:bookmarkStart w:id="211" w:name="_Toc30086"/>
            <w:bookmarkStart w:id="212" w:name="_Toc17136"/>
            <w:bookmarkStart w:id="213" w:name="_Toc18827"/>
            <w:bookmarkStart w:id="214" w:name="_Toc2272566"/>
            <w:r>
              <w:rPr>
                <w:rFonts w:hint="eastAsia" w:ascii="宋体" w:hAnsi="宋体" w:cs="宋体"/>
                <w:b/>
                <w:bCs/>
                <w:color w:val="auto"/>
                <w:szCs w:val="21"/>
                <w:highlight w:val="none"/>
              </w:rPr>
              <w:t>序号</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3C4BA5B3">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评价项目</w:t>
            </w:r>
          </w:p>
        </w:tc>
        <w:tc>
          <w:tcPr>
            <w:tcW w:w="11973" w:type="dxa"/>
            <w:tcBorders>
              <w:top w:val="single" w:color="auto" w:sz="4" w:space="0"/>
              <w:left w:val="single" w:color="auto" w:sz="4" w:space="0"/>
              <w:bottom w:val="single" w:color="auto" w:sz="4" w:space="0"/>
              <w:right w:val="single" w:color="auto" w:sz="4" w:space="0"/>
            </w:tcBorders>
            <w:noWrap w:val="0"/>
            <w:vAlign w:val="center"/>
          </w:tcPr>
          <w:p w14:paraId="42802448">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定标评价的内容</w:t>
            </w:r>
          </w:p>
        </w:tc>
      </w:tr>
      <w:tr w14:paraId="2532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92" w:type="dxa"/>
            <w:vMerge w:val="restart"/>
            <w:tcBorders>
              <w:top w:val="single" w:color="auto" w:sz="4" w:space="0"/>
              <w:left w:val="single" w:color="auto" w:sz="4" w:space="0"/>
              <w:right w:val="single" w:color="auto" w:sz="4" w:space="0"/>
            </w:tcBorders>
            <w:noWrap w:val="0"/>
            <w:vAlign w:val="center"/>
          </w:tcPr>
          <w:p w14:paraId="362E462A">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71" w:type="dxa"/>
            <w:vMerge w:val="restart"/>
            <w:tcBorders>
              <w:top w:val="single" w:color="auto" w:sz="4" w:space="0"/>
              <w:left w:val="single" w:color="auto" w:sz="4" w:space="0"/>
              <w:right w:val="single" w:color="auto" w:sz="4" w:space="0"/>
            </w:tcBorders>
            <w:noWrap w:val="0"/>
            <w:vAlign w:val="center"/>
          </w:tcPr>
          <w:p w14:paraId="2BE99261">
            <w:pPr>
              <w:jc w:val="center"/>
              <w:rPr>
                <w:rFonts w:hint="eastAsia" w:ascii="宋体" w:hAnsi="宋体" w:cs="宋体"/>
                <w:color w:val="auto"/>
                <w:szCs w:val="21"/>
                <w:highlight w:val="none"/>
              </w:rPr>
            </w:pPr>
            <w:r>
              <w:rPr>
                <w:rFonts w:hint="eastAsia" w:ascii="宋体" w:hAnsi="宋体" w:cs="宋体"/>
                <w:color w:val="auto"/>
                <w:szCs w:val="21"/>
                <w:highlight w:val="none"/>
              </w:rPr>
              <w:t>方案因素</w:t>
            </w:r>
          </w:p>
          <w:p w14:paraId="1D88EDF1">
            <w:pPr>
              <w:jc w:val="center"/>
              <w:rPr>
                <w:rFonts w:hint="eastAsia" w:ascii="宋体" w:hAnsi="宋体" w:cs="宋体"/>
                <w:color w:val="auto"/>
                <w:szCs w:val="21"/>
                <w:highlight w:val="none"/>
              </w:rPr>
            </w:pPr>
            <w:r>
              <w:rPr>
                <w:rFonts w:hint="eastAsia" w:ascii="宋体" w:hAnsi="宋体" w:cs="宋体"/>
                <w:color w:val="auto"/>
                <w:szCs w:val="21"/>
                <w:highlight w:val="none"/>
              </w:rPr>
              <w:t>（50分）</w:t>
            </w:r>
          </w:p>
        </w:tc>
        <w:tc>
          <w:tcPr>
            <w:tcW w:w="11973" w:type="dxa"/>
            <w:tcBorders>
              <w:top w:val="single" w:color="auto" w:sz="4" w:space="0"/>
              <w:left w:val="single" w:color="auto" w:sz="4" w:space="0"/>
              <w:bottom w:val="single" w:color="auto" w:sz="4" w:space="0"/>
              <w:right w:val="single" w:color="auto" w:sz="4" w:space="0"/>
            </w:tcBorders>
            <w:noWrap w:val="0"/>
            <w:vAlign w:val="center"/>
          </w:tcPr>
          <w:p w14:paraId="34951CF2">
            <w:pPr>
              <w:jc w:val="left"/>
              <w:rPr>
                <w:rFonts w:hint="eastAsia" w:ascii="宋体" w:hAnsi="宋体" w:cs="宋体"/>
                <w:b/>
                <w:bCs/>
                <w:color w:val="auto"/>
                <w:szCs w:val="21"/>
                <w:highlight w:val="none"/>
              </w:rPr>
            </w:pPr>
            <w:r>
              <w:rPr>
                <w:rFonts w:hint="eastAsia" w:ascii="宋体" w:hAnsi="宋体" w:cs="宋体"/>
                <w:b/>
                <w:bCs/>
                <w:color w:val="auto"/>
                <w:szCs w:val="21"/>
                <w:highlight w:val="none"/>
              </w:rPr>
              <w:t>1、定标委员会对合格的中标候选人的安全控制措施进行评审：</w:t>
            </w:r>
          </w:p>
          <w:p w14:paraId="1CD64AAC">
            <w:pPr>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针对本项目建立了完善的安全文明施工保证体系、施工安全管理制度，承诺不发生安全事故，有安全应急预案、目标明确、制度健全，施工安全保护措施，措施明确、具体、可行、针对性强，措施完善的，得</w:t>
            </w:r>
            <w:r>
              <w:rPr>
                <w:rFonts w:hint="eastAsia" w:ascii="宋体" w:hAnsi="宋体" w:cs="宋体"/>
                <w:color w:val="auto"/>
                <w:szCs w:val="21"/>
                <w:highlight w:val="none"/>
              </w:rPr>
              <w:t>[10,7）分；</w:t>
            </w:r>
          </w:p>
          <w:p w14:paraId="37207EB7">
            <w:pPr>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针对本项目建立了较完善的安全文明施工保证体系、施工安全管理制度，承诺不发生安全事故，有安全应急预案、目标明确、制度较健全，施工安全保护措施，措施较明确、较具体、较可行、针对性较强，措施较好的，得</w:t>
            </w:r>
            <w:r>
              <w:rPr>
                <w:rFonts w:hint="eastAsia" w:ascii="宋体" w:hAnsi="宋体" w:cs="宋体"/>
                <w:color w:val="auto"/>
                <w:szCs w:val="21"/>
                <w:highlight w:val="none"/>
              </w:rPr>
              <w:t>[7,3）分；</w:t>
            </w:r>
          </w:p>
          <w:p w14:paraId="38FCA26E">
            <w:pPr>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olor w:val="auto"/>
                <w:szCs w:val="21"/>
                <w:highlight w:val="none"/>
              </w:rPr>
              <w:t>针对本项目建立了完善的安全文明施工保证体系、施工安全管理制度，承诺不发生安全事故，有安全应急预案、目标、有制度，有施工安全保护措施，但明确性一般，具体、可行、针对性一般，措施一般的</w:t>
            </w:r>
            <w:r>
              <w:rPr>
                <w:rFonts w:hint="eastAsia" w:ascii="宋体" w:hAnsi="宋体" w:cs="宋体"/>
                <w:color w:val="auto"/>
                <w:szCs w:val="21"/>
                <w:highlight w:val="none"/>
              </w:rPr>
              <w:t>，得[3,0）分；</w:t>
            </w:r>
          </w:p>
          <w:p w14:paraId="6457FE5C">
            <w:pPr>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）不满足前述要求者或不提供内容的，得0分。</w:t>
            </w:r>
          </w:p>
        </w:tc>
      </w:tr>
      <w:tr w14:paraId="6B3F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92" w:type="dxa"/>
            <w:vMerge w:val="continue"/>
            <w:tcBorders>
              <w:left w:val="single" w:color="auto" w:sz="4" w:space="0"/>
              <w:right w:val="single" w:color="auto" w:sz="4" w:space="0"/>
            </w:tcBorders>
            <w:noWrap w:val="0"/>
            <w:vAlign w:val="center"/>
          </w:tcPr>
          <w:p w14:paraId="559B7898">
            <w:pPr>
              <w:jc w:val="left"/>
              <w:rPr>
                <w:rFonts w:ascii="Times New Roman" w:hAnsi="Times New Roman"/>
                <w:color w:val="auto"/>
                <w:szCs w:val="21"/>
                <w:highlight w:val="none"/>
              </w:rPr>
            </w:pPr>
          </w:p>
        </w:tc>
        <w:tc>
          <w:tcPr>
            <w:tcW w:w="1271" w:type="dxa"/>
            <w:vMerge w:val="continue"/>
            <w:tcBorders>
              <w:left w:val="single" w:color="auto" w:sz="4" w:space="0"/>
              <w:right w:val="single" w:color="auto" w:sz="4" w:space="0"/>
            </w:tcBorders>
            <w:noWrap w:val="0"/>
            <w:vAlign w:val="center"/>
          </w:tcPr>
          <w:p w14:paraId="29E02B02">
            <w:pPr>
              <w:jc w:val="left"/>
              <w:rPr>
                <w:rFonts w:ascii="Times New Roman" w:hAnsi="Times New Roman"/>
                <w:color w:val="auto"/>
                <w:szCs w:val="21"/>
                <w:highlight w:val="none"/>
              </w:rPr>
            </w:pPr>
          </w:p>
        </w:tc>
        <w:tc>
          <w:tcPr>
            <w:tcW w:w="11973" w:type="dxa"/>
            <w:tcBorders>
              <w:top w:val="single" w:color="auto" w:sz="4" w:space="0"/>
              <w:left w:val="single" w:color="auto" w:sz="4" w:space="0"/>
              <w:bottom w:val="single" w:color="auto" w:sz="4" w:space="0"/>
              <w:right w:val="single" w:color="auto" w:sz="4" w:space="0"/>
            </w:tcBorders>
            <w:noWrap w:val="0"/>
            <w:vAlign w:val="center"/>
          </w:tcPr>
          <w:p w14:paraId="5B620FB7">
            <w:pPr>
              <w:jc w:val="left"/>
              <w:rPr>
                <w:rFonts w:hint="eastAsia" w:ascii="宋体" w:hAnsi="宋体" w:cs="宋体"/>
                <w:b/>
                <w:bCs/>
                <w:color w:val="auto"/>
                <w:szCs w:val="21"/>
                <w:highlight w:val="none"/>
              </w:rPr>
            </w:pPr>
            <w:r>
              <w:rPr>
                <w:rFonts w:hint="eastAsia" w:ascii="宋体" w:hAnsi="宋体" w:cs="宋体"/>
                <w:b/>
                <w:bCs/>
                <w:color w:val="auto"/>
                <w:szCs w:val="21"/>
                <w:highlight w:val="none"/>
              </w:rPr>
              <w:t>2、定标委员会对合格的中标候选人的质量控制措施进行评审：</w:t>
            </w:r>
          </w:p>
          <w:p w14:paraId="080016CF">
            <w:pPr>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针对本项目编制了施工质量目标、施工质量管理体系与程序、质量管理措施，根据本工程的质量目标，针对项目的特点，从质量保证体系、质</w:t>
            </w:r>
            <w:r>
              <w:rPr>
                <w:rFonts w:hint="eastAsia" w:ascii="宋体" w:hAnsi="宋体"/>
                <w:color w:val="auto"/>
                <w:szCs w:val="21"/>
                <w:highlight w:val="none"/>
                <w:lang w:eastAsia="zh-CN"/>
              </w:rPr>
              <w:t>量保障</w:t>
            </w:r>
            <w:r>
              <w:rPr>
                <w:rFonts w:hint="eastAsia" w:ascii="宋体" w:hAnsi="宋体"/>
                <w:color w:val="auto"/>
                <w:szCs w:val="21"/>
                <w:highlight w:val="none"/>
              </w:rPr>
              <w:t>等方面提出详细的质量保证措施，措施为完善的，得</w:t>
            </w:r>
            <w:r>
              <w:rPr>
                <w:rFonts w:hint="eastAsia" w:ascii="宋体" w:hAnsi="宋体" w:cs="宋体"/>
                <w:color w:val="auto"/>
                <w:szCs w:val="21"/>
                <w:highlight w:val="none"/>
              </w:rPr>
              <w:t>[10,7）分；</w:t>
            </w:r>
          </w:p>
          <w:p w14:paraId="28116C39">
            <w:pPr>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针对本项目编制了施工质量目标、施工质量管理体系与程序、质量管理措施，根据本工程的质量目标，针对项目的特点，从质量保证体系、质</w:t>
            </w:r>
            <w:r>
              <w:rPr>
                <w:rFonts w:hint="eastAsia" w:ascii="宋体" w:hAnsi="宋体"/>
                <w:color w:val="auto"/>
                <w:szCs w:val="21"/>
                <w:highlight w:val="none"/>
                <w:lang w:eastAsia="zh-CN"/>
              </w:rPr>
              <w:t>量保障</w:t>
            </w:r>
            <w:r>
              <w:rPr>
                <w:rFonts w:hint="eastAsia" w:ascii="宋体" w:hAnsi="宋体"/>
                <w:color w:val="auto"/>
                <w:szCs w:val="21"/>
                <w:highlight w:val="none"/>
              </w:rPr>
              <w:t>等方面提出较详细的质量保证措施，措施为较好的，得</w:t>
            </w:r>
            <w:r>
              <w:rPr>
                <w:rFonts w:hint="eastAsia" w:ascii="宋体" w:hAnsi="宋体" w:cs="宋体"/>
                <w:color w:val="auto"/>
                <w:szCs w:val="21"/>
                <w:highlight w:val="none"/>
              </w:rPr>
              <w:t>[7,3）</w:t>
            </w:r>
            <w:r>
              <w:rPr>
                <w:rFonts w:hint="eastAsia" w:ascii="宋体" w:hAnsi="宋体" w:cs="宋体"/>
                <w:color w:val="auto"/>
                <w:szCs w:val="21"/>
                <w:highlight w:val="none"/>
                <w:lang w:val="en-US" w:eastAsia="zh-CN"/>
              </w:rPr>
              <w:t>分</w:t>
            </w:r>
            <w:r>
              <w:rPr>
                <w:rFonts w:hint="eastAsia" w:ascii="宋体" w:hAnsi="宋体" w:cs="宋体"/>
                <w:color w:val="auto"/>
                <w:szCs w:val="21"/>
                <w:highlight w:val="none"/>
              </w:rPr>
              <w:t>；</w:t>
            </w:r>
          </w:p>
          <w:p w14:paraId="6E793198">
            <w:pPr>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olor w:val="auto"/>
                <w:szCs w:val="21"/>
                <w:highlight w:val="none"/>
              </w:rPr>
              <w:t>针对本项目编制了施工质量目标、施工质量管理体系与程序、质量管理措施，根据本工程的质量目标，针对项目的特点，从质量保证体系、质</w:t>
            </w:r>
            <w:r>
              <w:rPr>
                <w:rFonts w:hint="eastAsia" w:ascii="宋体" w:hAnsi="宋体"/>
                <w:color w:val="auto"/>
                <w:szCs w:val="21"/>
                <w:highlight w:val="none"/>
                <w:lang w:eastAsia="zh-CN"/>
              </w:rPr>
              <w:t>量保障</w:t>
            </w:r>
            <w:r>
              <w:rPr>
                <w:rFonts w:hint="eastAsia" w:ascii="宋体" w:hAnsi="宋体"/>
                <w:color w:val="auto"/>
                <w:szCs w:val="21"/>
                <w:highlight w:val="none"/>
              </w:rPr>
              <w:t>等方面提出质量保证措施，措施一般的</w:t>
            </w:r>
            <w:r>
              <w:rPr>
                <w:rFonts w:hint="eastAsia" w:ascii="宋体" w:hAnsi="宋体" w:cs="宋体"/>
                <w:color w:val="auto"/>
                <w:szCs w:val="21"/>
                <w:highlight w:val="none"/>
              </w:rPr>
              <w:t>，得[3,0）分；</w:t>
            </w:r>
          </w:p>
          <w:p w14:paraId="2AA6654B">
            <w:pPr>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）不满足前述要求者或不提供的内容的，得0分。</w:t>
            </w:r>
          </w:p>
        </w:tc>
      </w:tr>
      <w:tr w14:paraId="3347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92" w:type="dxa"/>
            <w:vMerge w:val="continue"/>
            <w:tcBorders>
              <w:left w:val="single" w:color="auto" w:sz="4" w:space="0"/>
              <w:right w:val="single" w:color="auto" w:sz="4" w:space="0"/>
            </w:tcBorders>
            <w:noWrap w:val="0"/>
            <w:vAlign w:val="center"/>
          </w:tcPr>
          <w:p w14:paraId="0C76C82E">
            <w:pPr>
              <w:jc w:val="left"/>
              <w:rPr>
                <w:rFonts w:hint="eastAsia" w:ascii="宋体" w:hAnsi="宋体" w:cs="宋体"/>
                <w:color w:val="auto"/>
                <w:szCs w:val="21"/>
                <w:highlight w:val="none"/>
              </w:rPr>
            </w:pPr>
          </w:p>
        </w:tc>
        <w:tc>
          <w:tcPr>
            <w:tcW w:w="1271" w:type="dxa"/>
            <w:vMerge w:val="continue"/>
            <w:tcBorders>
              <w:left w:val="single" w:color="auto" w:sz="4" w:space="0"/>
              <w:right w:val="single" w:color="auto" w:sz="4" w:space="0"/>
            </w:tcBorders>
            <w:noWrap w:val="0"/>
            <w:vAlign w:val="center"/>
          </w:tcPr>
          <w:p w14:paraId="44F58C6B">
            <w:pPr>
              <w:jc w:val="left"/>
              <w:rPr>
                <w:rFonts w:hint="eastAsia" w:ascii="宋体" w:hAnsi="宋体" w:cs="宋体"/>
                <w:color w:val="auto"/>
                <w:szCs w:val="21"/>
                <w:highlight w:val="none"/>
              </w:rPr>
            </w:pPr>
          </w:p>
        </w:tc>
        <w:tc>
          <w:tcPr>
            <w:tcW w:w="11973" w:type="dxa"/>
            <w:tcBorders>
              <w:top w:val="single" w:color="auto" w:sz="4" w:space="0"/>
              <w:left w:val="single" w:color="auto" w:sz="4" w:space="0"/>
              <w:bottom w:val="single" w:color="auto" w:sz="4" w:space="0"/>
              <w:right w:val="single" w:color="auto" w:sz="4" w:space="0"/>
            </w:tcBorders>
            <w:noWrap w:val="0"/>
            <w:vAlign w:val="center"/>
          </w:tcPr>
          <w:p w14:paraId="6EC4EE81">
            <w:pPr>
              <w:jc w:val="left"/>
              <w:rPr>
                <w:rFonts w:hint="eastAsia" w:ascii="宋体" w:hAnsi="宋体" w:cs="宋体"/>
                <w:b/>
                <w:bCs/>
                <w:color w:val="auto"/>
                <w:szCs w:val="21"/>
                <w:highlight w:val="none"/>
              </w:rPr>
            </w:pPr>
            <w:r>
              <w:rPr>
                <w:rFonts w:hint="eastAsia" w:ascii="宋体" w:hAnsi="宋体" w:cs="宋体"/>
                <w:b/>
                <w:bCs/>
                <w:color w:val="auto"/>
                <w:szCs w:val="21"/>
                <w:highlight w:val="none"/>
              </w:rPr>
              <w:t>3、定标委员会对合格的中标候选人的进度控制措施进行评审：</w:t>
            </w:r>
          </w:p>
          <w:p w14:paraId="63620129">
            <w:pPr>
              <w:jc w:val="left"/>
              <w:rPr>
                <w:rFonts w:hint="eastAsia" w:ascii="宋体" w:hAnsi="宋体" w:cs="宋体"/>
                <w:color w:val="auto"/>
                <w:szCs w:val="21"/>
                <w:highlight w:val="none"/>
              </w:rPr>
            </w:pPr>
            <w:r>
              <w:rPr>
                <w:rFonts w:hint="eastAsia" w:ascii="宋体" w:hAnsi="宋体" w:cs="宋体"/>
                <w:color w:val="auto"/>
                <w:szCs w:val="21"/>
                <w:highlight w:val="none"/>
              </w:rPr>
              <w:t>（1）针对本项目的特点，从</w:t>
            </w:r>
            <w:r>
              <w:rPr>
                <w:color w:val="auto"/>
                <w:highlight w:val="none"/>
              </w:rPr>
              <w:t>工作进度安排、进度</w:t>
            </w:r>
            <w:r>
              <w:rPr>
                <w:rFonts w:hint="eastAsia"/>
                <w:color w:val="auto"/>
                <w:highlight w:val="none"/>
                <w:lang w:eastAsia="zh-CN"/>
              </w:rPr>
              <w:t>控制措施</w:t>
            </w:r>
            <w:r>
              <w:rPr>
                <w:rFonts w:hint="eastAsia" w:ascii="宋体" w:hAnsi="宋体" w:cs="宋体"/>
                <w:color w:val="auto"/>
                <w:szCs w:val="21"/>
                <w:highlight w:val="none"/>
              </w:rPr>
              <w:t>，各项措施具体、可行、针对性强，措施完善的，得[10,7）分；</w:t>
            </w:r>
          </w:p>
          <w:p w14:paraId="254B4A90">
            <w:pPr>
              <w:jc w:val="left"/>
              <w:rPr>
                <w:rFonts w:hint="eastAsia" w:ascii="宋体" w:hAnsi="宋体" w:cs="宋体"/>
                <w:color w:val="auto"/>
                <w:szCs w:val="21"/>
                <w:highlight w:val="none"/>
              </w:rPr>
            </w:pPr>
            <w:r>
              <w:rPr>
                <w:rFonts w:hint="eastAsia" w:ascii="宋体" w:hAnsi="宋体" w:cs="宋体"/>
                <w:color w:val="auto"/>
                <w:szCs w:val="21"/>
                <w:highlight w:val="none"/>
              </w:rPr>
              <w:t>（2）针对本项目的特点，制定进度控制措施，措施较具体、较可行，得[7,3）分；</w:t>
            </w:r>
          </w:p>
          <w:p w14:paraId="13060C72">
            <w:pPr>
              <w:jc w:val="left"/>
              <w:rPr>
                <w:rFonts w:hint="eastAsia" w:ascii="宋体" w:hAnsi="宋体" w:cs="宋体"/>
                <w:color w:val="auto"/>
                <w:szCs w:val="21"/>
                <w:highlight w:val="none"/>
              </w:rPr>
            </w:pPr>
            <w:r>
              <w:rPr>
                <w:rFonts w:hint="eastAsia" w:ascii="宋体" w:hAnsi="宋体" w:cs="宋体"/>
                <w:color w:val="auto"/>
                <w:szCs w:val="21"/>
                <w:highlight w:val="none"/>
              </w:rPr>
              <w:t>（3）针对本项目制定的进度控制措施，不具体、针对性不强，得[3,0）分。</w:t>
            </w:r>
          </w:p>
          <w:p w14:paraId="0FD217B2">
            <w:pPr>
              <w:jc w:val="left"/>
              <w:rPr>
                <w:rFonts w:hint="eastAsia" w:ascii="宋体" w:hAnsi="宋体" w:cs="宋体"/>
                <w:color w:val="auto"/>
                <w:szCs w:val="21"/>
                <w:highlight w:val="none"/>
              </w:rPr>
            </w:pPr>
            <w:r>
              <w:rPr>
                <w:rFonts w:hint="eastAsia" w:ascii="宋体" w:hAnsi="宋体" w:cs="宋体"/>
                <w:color w:val="auto"/>
                <w:szCs w:val="21"/>
                <w:highlight w:val="none"/>
              </w:rPr>
              <w:t>（4）不满足前述要求者或不提供内容的，得0分。</w:t>
            </w:r>
          </w:p>
        </w:tc>
      </w:tr>
      <w:tr w14:paraId="09AA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92" w:type="dxa"/>
            <w:vMerge w:val="continue"/>
            <w:tcBorders>
              <w:left w:val="single" w:color="auto" w:sz="4" w:space="0"/>
              <w:right w:val="single" w:color="auto" w:sz="4" w:space="0"/>
            </w:tcBorders>
            <w:noWrap w:val="0"/>
            <w:vAlign w:val="center"/>
          </w:tcPr>
          <w:p w14:paraId="4190E972">
            <w:pPr>
              <w:jc w:val="left"/>
              <w:rPr>
                <w:rFonts w:hint="eastAsia" w:ascii="宋体" w:hAnsi="宋体" w:cs="宋体"/>
                <w:color w:val="auto"/>
                <w:szCs w:val="21"/>
                <w:highlight w:val="none"/>
              </w:rPr>
            </w:pPr>
          </w:p>
        </w:tc>
        <w:tc>
          <w:tcPr>
            <w:tcW w:w="1271" w:type="dxa"/>
            <w:vMerge w:val="continue"/>
            <w:tcBorders>
              <w:left w:val="single" w:color="auto" w:sz="4" w:space="0"/>
              <w:right w:val="single" w:color="auto" w:sz="4" w:space="0"/>
            </w:tcBorders>
            <w:noWrap w:val="0"/>
            <w:vAlign w:val="center"/>
          </w:tcPr>
          <w:p w14:paraId="3C3BA942">
            <w:pPr>
              <w:jc w:val="left"/>
              <w:rPr>
                <w:rFonts w:hint="eastAsia" w:ascii="宋体" w:hAnsi="宋体" w:cs="宋体"/>
                <w:color w:val="auto"/>
                <w:szCs w:val="21"/>
                <w:highlight w:val="none"/>
              </w:rPr>
            </w:pPr>
          </w:p>
        </w:tc>
        <w:tc>
          <w:tcPr>
            <w:tcW w:w="11973" w:type="dxa"/>
            <w:tcBorders>
              <w:top w:val="single" w:color="auto" w:sz="4" w:space="0"/>
              <w:left w:val="single" w:color="auto" w:sz="4" w:space="0"/>
              <w:bottom w:val="single" w:color="auto" w:sz="4" w:space="0"/>
              <w:right w:val="single" w:color="auto" w:sz="4" w:space="0"/>
            </w:tcBorders>
            <w:noWrap w:val="0"/>
            <w:vAlign w:val="center"/>
          </w:tcPr>
          <w:p w14:paraId="026B7CBB">
            <w:pPr>
              <w:jc w:val="left"/>
              <w:rPr>
                <w:rFonts w:hint="eastAsia" w:ascii="宋体" w:hAnsi="宋体" w:cs="宋体"/>
                <w:b/>
                <w:bCs/>
                <w:color w:val="auto"/>
                <w:szCs w:val="21"/>
                <w:highlight w:val="none"/>
              </w:rPr>
            </w:pPr>
            <w:r>
              <w:rPr>
                <w:rFonts w:hint="eastAsia" w:ascii="宋体" w:hAnsi="宋体" w:cs="宋体"/>
                <w:b/>
                <w:bCs/>
                <w:color w:val="auto"/>
                <w:szCs w:val="21"/>
                <w:highlight w:val="none"/>
              </w:rPr>
              <w:t>4、定标委员会对合格的中标候选人的应急</w:t>
            </w:r>
            <w:r>
              <w:rPr>
                <w:rFonts w:hint="eastAsia" w:ascii="宋体" w:hAnsi="宋体" w:cs="宋体"/>
                <w:b/>
                <w:bCs/>
                <w:color w:val="auto"/>
                <w:szCs w:val="21"/>
                <w:highlight w:val="none"/>
                <w:lang w:eastAsia="zh-CN"/>
              </w:rPr>
              <w:t>响应保障</w:t>
            </w:r>
            <w:r>
              <w:rPr>
                <w:rFonts w:hint="eastAsia" w:ascii="宋体" w:hAnsi="宋体" w:cs="宋体"/>
                <w:b/>
                <w:bCs/>
                <w:color w:val="auto"/>
                <w:szCs w:val="21"/>
                <w:highlight w:val="none"/>
              </w:rPr>
              <w:t>措施进行评审：</w:t>
            </w:r>
          </w:p>
          <w:p w14:paraId="0F4F3CA9">
            <w:pPr>
              <w:rPr>
                <w:rFonts w:hint="eastAsia" w:ascii="宋体" w:hAnsi="宋体"/>
                <w:color w:val="auto"/>
                <w:kern w:val="0"/>
                <w:szCs w:val="21"/>
                <w:highlight w:val="none"/>
              </w:rPr>
            </w:pPr>
            <w:r>
              <w:rPr>
                <w:rFonts w:hint="eastAsia" w:ascii="宋体" w:hAnsi="宋体" w:cs="宋体"/>
                <w:color w:val="auto"/>
                <w:kern w:val="0"/>
                <w:szCs w:val="21"/>
                <w:highlight w:val="none"/>
              </w:rPr>
              <w:t>（1）</w:t>
            </w:r>
            <w:r>
              <w:rPr>
                <w:rFonts w:hint="eastAsia" w:ascii="宋体" w:hAnsi="宋体"/>
                <w:color w:val="auto"/>
                <w:kern w:val="0"/>
                <w:szCs w:val="21"/>
                <w:highlight w:val="none"/>
              </w:rPr>
              <w:t>有</w:t>
            </w:r>
            <w:r>
              <w:rPr>
                <w:rFonts w:eastAsia="宋体" w:cs="Times New Roman"/>
                <w:color w:val="auto"/>
                <w:sz w:val="21"/>
                <w:szCs w:val="21"/>
                <w:highlight w:val="none"/>
              </w:rPr>
              <w:t>应急</w:t>
            </w:r>
            <w:r>
              <w:rPr>
                <w:rFonts w:hint="eastAsia" w:eastAsia="宋体" w:cs="Times New Roman"/>
                <w:color w:val="auto"/>
                <w:sz w:val="21"/>
                <w:szCs w:val="21"/>
                <w:highlight w:val="none"/>
                <w:lang w:eastAsia="zh-CN"/>
              </w:rPr>
              <w:t>响应保障</w:t>
            </w:r>
            <w:r>
              <w:rPr>
                <w:rFonts w:hint="eastAsia" w:ascii="宋体" w:hAnsi="宋体"/>
                <w:color w:val="auto"/>
                <w:kern w:val="0"/>
                <w:szCs w:val="21"/>
                <w:highlight w:val="none"/>
              </w:rPr>
              <w:t>措施，措施明确、具体、可行、针对性强，措施完善的，得</w:t>
            </w:r>
            <w:r>
              <w:rPr>
                <w:rFonts w:hint="eastAsia" w:ascii="宋体" w:hAnsi="宋体" w:cs="宋体"/>
                <w:color w:val="auto"/>
                <w:kern w:val="0"/>
                <w:szCs w:val="21"/>
                <w:highlight w:val="none"/>
              </w:rPr>
              <w:t>[10,7）分</w:t>
            </w:r>
            <w:r>
              <w:rPr>
                <w:rFonts w:hint="eastAsia" w:ascii="宋体" w:hAnsi="宋体"/>
                <w:color w:val="auto"/>
                <w:kern w:val="0"/>
                <w:szCs w:val="21"/>
                <w:highlight w:val="none"/>
              </w:rPr>
              <w:t>；</w:t>
            </w:r>
          </w:p>
          <w:p w14:paraId="35747FFA">
            <w:pPr>
              <w:rPr>
                <w:rFonts w:hint="eastAsia" w:ascii="宋体" w:hAnsi="宋体"/>
                <w:color w:val="auto"/>
                <w:szCs w:val="21"/>
                <w:highlight w:val="none"/>
              </w:rPr>
            </w:pPr>
            <w:r>
              <w:rPr>
                <w:rFonts w:hint="eastAsia" w:ascii="Times New Roman" w:hAnsi="宋体"/>
                <w:color w:val="auto"/>
                <w:szCs w:val="21"/>
                <w:highlight w:val="none"/>
              </w:rPr>
              <w:t>（2）</w:t>
            </w:r>
            <w:r>
              <w:rPr>
                <w:rFonts w:hint="eastAsia" w:ascii="宋体" w:hAnsi="宋体"/>
                <w:color w:val="auto"/>
                <w:kern w:val="0"/>
                <w:szCs w:val="21"/>
                <w:highlight w:val="none"/>
              </w:rPr>
              <w:t>有</w:t>
            </w:r>
            <w:r>
              <w:rPr>
                <w:rFonts w:eastAsia="宋体" w:cs="Times New Roman"/>
                <w:color w:val="auto"/>
                <w:sz w:val="21"/>
                <w:szCs w:val="21"/>
                <w:highlight w:val="none"/>
              </w:rPr>
              <w:t>应急</w:t>
            </w:r>
            <w:r>
              <w:rPr>
                <w:rFonts w:hint="eastAsia" w:eastAsia="宋体" w:cs="Times New Roman"/>
                <w:color w:val="auto"/>
                <w:sz w:val="21"/>
                <w:szCs w:val="21"/>
                <w:highlight w:val="none"/>
                <w:lang w:eastAsia="zh-CN"/>
              </w:rPr>
              <w:t>响应保障</w:t>
            </w:r>
            <w:r>
              <w:rPr>
                <w:rFonts w:hint="eastAsia" w:ascii="宋体" w:hAnsi="宋体"/>
                <w:color w:val="auto"/>
                <w:kern w:val="0"/>
                <w:szCs w:val="21"/>
                <w:highlight w:val="none"/>
              </w:rPr>
              <w:t>措施</w:t>
            </w:r>
            <w:r>
              <w:rPr>
                <w:rFonts w:hint="eastAsia" w:ascii="宋体" w:hAnsi="宋体"/>
                <w:color w:val="auto"/>
                <w:szCs w:val="21"/>
                <w:highlight w:val="none"/>
              </w:rPr>
              <w:t>，措施较明确、较具体、较可行、针对性较强，措施较完善的，得</w:t>
            </w:r>
            <w:r>
              <w:rPr>
                <w:rFonts w:hint="eastAsia" w:ascii="宋体" w:hAnsi="宋体" w:cs="宋体"/>
                <w:color w:val="auto"/>
                <w:szCs w:val="21"/>
                <w:highlight w:val="none"/>
              </w:rPr>
              <w:t>[7,3）分</w:t>
            </w:r>
            <w:r>
              <w:rPr>
                <w:rFonts w:hint="eastAsia" w:ascii="宋体" w:hAnsi="宋体"/>
                <w:color w:val="auto"/>
                <w:szCs w:val="21"/>
                <w:highlight w:val="none"/>
              </w:rPr>
              <w:t>；</w:t>
            </w:r>
          </w:p>
          <w:p w14:paraId="5EE351E1">
            <w:pPr>
              <w:rPr>
                <w:rFonts w:hint="eastAsia" w:ascii="宋体" w:hAnsi="宋体"/>
                <w:color w:val="auto"/>
                <w:kern w:val="0"/>
                <w:szCs w:val="21"/>
                <w:highlight w:val="none"/>
              </w:rPr>
            </w:pPr>
            <w:r>
              <w:rPr>
                <w:rFonts w:hint="eastAsia" w:ascii="宋体" w:hAnsi="宋体"/>
                <w:color w:val="auto"/>
                <w:kern w:val="0"/>
                <w:szCs w:val="21"/>
                <w:highlight w:val="none"/>
              </w:rPr>
              <w:t>（3）有</w:t>
            </w:r>
            <w:r>
              <w:rPr>
                <w:rFonts w:eastAsia="宋体" w:cs="Times New Roman"/>
                <w:color w:val="auto"/>
                <w:sz w:val="21"/>
                <w:szCs w:val="21"/>
                <w:highlight w:val="none"/>
              </w:rPr>
              <w:t>应急</w:t>
            </w:r>
            <w:r>
              <w:rPr>
                <w:rFonts w:hint="eastAsia" w:eastAsia="宋体" w:cs="Times New Roman"/>
                <w:color w:val="auto"/>
                <w:sz w:val="21"/>
                <w:szCs w:val="21"/>
                <w:highlight w:val="none"/>
                <w:lang w:eastAsia="zh-CN"/>
              </w:rPr>
              <w:t>响应保障</w:t>
            </w:r>
            <w:r>
              <w:rPr>
                <w:rFonts w:hint="eastAsia" w:ascii="宋体" w:hAnsi="宋体"/>
                <w:color w:val="auto"/>
                <w:kern w:val="0"/>
                <w:szCs w:val="21"/>
                <w:highlight w:val="none"/>
              </w:rPr>
              <w:t>措施，但明确性一般，具体、可行、针对性一般，措施一般的，</w:t>
            </w:r>
            <w:r>
              <w:rPr>
                <w:rFonts w:hint="eastAsia" w:ascii="宋体" w:hAnsi="宋体" w:cs="宋体"/>
                <w:color w:val="auto"/>
                <w:kern w:val="0"/>
                <w:szCs w:val="21"/>
                <w:highlight w:val="none"/>
              </w:rPr>
              <w:t>得[3,0）分；</w:t>
            </w:r>
          </w:p>
          <w:p w14:paraId="59711BCA">
            <w:pPr>
              <w:rPr>
                <w:rFonts w:ascii="Times New Roman" w:hAnsi="Times New Roman"/>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）不满足前述要求者或不提供内容的，得0分。</w:t>
            </w:r>
          </w:p>
        </w:tc>
      </w:tr>
      <w:tr w14:paraId="4363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92" w:type="dxa"/>
            <w:vMerge w:val="continue"/>
            <w:tcBorders>
              <w:left w:val="single" w:color="auto" w:sz="4" w:space="0"/>
              <w:right w:val="single" w:color="auto" w:sz="4" w:space="0"/>
            </w:tcBorders>
            <w:noWrap w:val="0"/>
            <w:vAlign w:val="center"/>
          </w:tcPr>
          <w:p w14:paraId="2D80B168">
            <w:pPr>
              <w:jc w:val="left"/>
              <w:rPr>
                <w:rFonts w:hint="eastAsia" w:ascii="宋体" w:hAnsi="宋体" w:cs="宋体"/>
                <w:color w:val="auto"/>
                <w:szCs w:val="21"/>
                <w:highlight w:val="none"/>
              </w:rPr>
            </w:pPr>
          </w:p>
        </w:tc>
        <w:tc>
          <w:tcPr>
            <w:tcW w:w="1271" w:type="dxa"/>
            <w:vMerge w:val="continue"/>
            <w:tcBorders>
              <w:left w:val="single" w:color="auto" w:sz="4" w:space="0"/>
              <w:right w:val="single" w:color="auto" w:sz="4" w:space="0"/>
            </w:tcBorders>
            <w:noWrap w:val="0"/>
            <w:vAlign w:val="center"/>
          </w:tcPr>
          <w:p w14:paraId="2A2183DB">
            <w:pPr>
              <w:jc w:val="left"/>
              <w:rPr>
                <w:rFonts w:hint="eastAsia" w:ascii="宋体" w:hAnsi="宋体" w:cs="宋体"/>
                <w:color w:val="auto"/>
                <w:szCs w:val="21"/>
                <w:highlight w:val="none"/>
              </w:rPr>
            </w:pPr>
          </w:p>
        </w:tc>
        <w:tc>
          <w:tcPr>
            <w:tcW w:w="11973" w:type="dxa"/>
            <w:tcBorders>
              <w:top w:val="single" w:color="auto" w:sz="4" w:space="0"/>
              <w:left w:val="single" w:color="auto" w:sz="4" w:space="0"/>
              <w:bottom w:val="single" w:color="auto" w:sz="4" w:space="0"/>
              <w:right w:val="single" w:color="auto" w:sz="4" w:space="0"/>
            </w:tcBorders>
            <w:noWrap w:val="0"/>
            <w:vAlign w:val="center"/>
          </w:tcPr>
          <w:p w14:paraId="107047B1">
            <w:pPr>
              <w:jc w:val="lef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、定标委员会对合格的中标候选人的绿色节能控制措施进行评审：</w:t>
            </w:r>
          </w:p>
          <w:p w14:paraId="4C2B58EB">
            <w:pPr>
              <w:rPr>
                <w:rFonts w:hint="eastAsia" w:ascii="宋体" w:hAnsi="宋体" w:cs="宋体"/>
                <w:color w:val="auto"/>
                <w:szCs w:val="21"/>
                <w:highlight w:val="none"/>
              </w:rPr>
            </w:pPr>
            <w:r>
              <w:rPr>
                <w:rFonts w:hint="eastAsia" w:ascii="宋体" w:hAnsi="宋体" w:cs="宋体"/>
                <w:color w:val="auto"/>
                <w:szCs w:val="21"/>
                <w:highlight w:val="none"/>
              </w:rPr>
              <w:t>（1）具备完善的绿色节能控制措施，其中施工现场建筑垃圾源头减量的环保方案不仅涵盖多项具体举措，且整体措施在明确性、具体性、可行性和针对性方面表现突出；同时，明确承诺在施工过程中，借助科学管理与先进技术手段，最大限度实现资源节约（包括高效推进拆除材料再生利用），显著降低对环境的负面影响，全面达成 “四节一环保”（节能、节地、节水、节材和环境保护）目标。，得 [10,7）分；​</w:t>
            </w:r>
          </w:p>
          <w:p w14:paraId="04662209">
            <w:pPr>
              <w:rPr>
                <w:rFonts w:hint="eastAsia" w:ascii="宋体" w:hAnsi="宋体" w:cs="宋体"/>
                <w:color w:val="auto"/>
                <w:szCs w:val="21"/>
                <w:highlight w:val="none"/>
              </w:rPr>
            </w:pPr>
            <w:r>
              <w:rPr>
                <w:rFonts w:hint="eastAsia" w:ascii="宋体" w:hAnsi="宋体" w:cs="宋体"/>
                <w:color w:val="auto"/>
                <w:szCs w:val="21"/>
                <w:highlight w:val="none"/>
              </w:rPr>
              <w:t>（2）具备较完善的绿色节能控制措施，包含较全面的施工现场建筑垃圾源头减量环保方案，整体措施在明确性、具体性、可行性和针对性上处于较好水平；同时，承诺在施工过程中，通过科学管理与先进技术手段，较好地实现资源节约（包括合理开展拆除材料再生利用），有效减少对环境的负面影响，较好地达成 “四节一环保” 目标，得 [7,3）分；​</w:t>
            </w:r>
          </w:p>
          <w:p w14:paraId="6B5F7D32">
            <w:pPr>
              <w:rPr>
                <w:rFonts w:hint="eastAsia" w:ascii="宋体" w:hAnsi="宋体" w:cs="宋体"/>
                <w:color w:val="auto"/>
                <w:szCs w:val="21"/>
                <w:highlight w:val="none"/>
              </w:rPr>
            </w:pPr>
            <w:r>
              <w:rPr>
                <w:rFonts w:hint="eastAsia" w:ascii="宋体" w:hAnsi="宋体" w:cs="宋体"/>
                <w:color w:val="auto"/>
                <w:szCs w:val="21"/>
                <w:highlight w:val="none"/>
              </w:rPr>
              <w:t>（3）具备基本的绿色节能控制措施，包含基础的施工现场建筑垃圾源头减量环保方案，但整体措施在明确性、具体性、可行性和针对性上表现一般，完善度普通；同时，承诺在施工过程中，通过科学管理与先进技术手段，实现一定程度的资源节约（包括落实拆除材料再生利用要求），减少对环境的负面影响，基本达成 “四节一环保” 目标，得 [3,0）分；​</w:t>
            </w:r>
          </w:p>
          <w:p w14:paraId="3F04DA12">
            <w:pP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（4）不满足上述任意一项要求（包括未涉及施工现场建筑垃圾源头减量的环保措施相关内容），或未提供相关内容，得 0 分。</w:t>
            </w:r>
          </w:p>
        </w:tc>
      </w:tr>
      <w:tr w14:paraId="1CAE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AB10508">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731A5227">
            <w:pPr>
              <w:jc w:val="center"/>
              <w:rPr>
                <w:rFonts w:hint="eastAsia" w:ascii="宋体" w:hAnsi="宋体" w:cs="宋体"/>
                <w:color w:val="auto"/>
                <w:szCs w:val="21"/>
                <w:highlight w:val="none"/>
              </w:rPr>
            </w:pPr>
            <w:r>
              <w:rPr>
                <w:rFonts w:hint="eastAsia" w:ascii="宋体" w:hAnsi="宋体" w:cs="宋体"/>
                <w:color w:val="auto"/>
                <w:szCs w:val="21"/>
                <w:highlight w:val="none"/>
              </w:rPr>
              <w:t>价格因素</w:t>
            </w:r>
          </w:p>
          <w:p w14:paraId="36C3764E">
            <w:pPr>
              <w:jc w:val="center"/>
              <w:rPr>
                <w:rFonts w:hint="eastAsia" w:ascii="宋体" w:hAnsi="宋体" w:cs="宋体"/>
                <w:color w:val="auto"/>
                <w:szCs w:val="21"/>
                <w:highlight w:val="none"/>
              </w:rPr>
            </w:pPr>
            <w:r>
              <w:rPr>
                <w:rFonts w:hint="eastAsia" w:ascii="宋体" w:hAnsi="宋体" w:cs="宋体"/>
                <w:color w:val="auto"/>
                <w:szCs w:val="21"/>
                <w:highlight w:val="none"/>
              </w:rPr>
              <w:t>（20分）</w:t>
            </w:r>
          </w:p>
        </w:tc>
        <w:tc>
          <w:tcPr>
            <w:tcW w:w="11973" w:type="dxa"/>
            <w:tcBorders>
              <w:top w:val="single" w:color="auto" w:sz="4" w:space="0"/>
              <w:left w:val="single" w:color="auto" w:sz="4" w:space="0"/>
              <w:bottom w:val="single" w:color="auto" w:sz="4" w:space="0"/>
              <w:right w:val="single" w:color="auto" w:sz="4" w:space="0"/>
            </w:tcBorders>
            <w:noWrap w:val="0"/>
            <w:vAlign w:val="center"/>
          </w:tcPr>
          <w:p w14:paraId="13C5A1BA">
            <w:pPr>
              <w:widowControl/>
              <w:jc w:val="left"/>
              <w:rPr>
                <w:rFonts w:hint="eastAsia" w:ascii="宋体" w:hAnsi="宋体"/>
                <w:b/>
                <w:bCs/>
                <w:color w:val="auto"/>
                <w:kern w:val="0"/>
                <w:szCs w:val="21"/>
                <w:highlight w:val="none"/>
                <w:lang w:bidi="ar"/>
              </w:rPr>
            </w:pPr>
            <w:r>
              <w:rPr>
                <w:rFonts w:hint="eastAsia" w:ascii="宋体" w:hAnsi="宋体"/>
                <w:b/>
                <w:bCs/>
                <w:color w:val="auto"/>
                <w:kern w:val="0"/>
                <w:szCs w:val="21"/>
                <w:highlight w:val="none"/>
                <w:lang w:bidi="ar"/>
              </w:rPr>
              <w:t>定标委员会对合格的中标候选人投标报价进行评审：</w:t>
            </w:r>
          </w:p>
          <w:p w14:paraId="41487A36">
            <w:pPr>
              <w:widowControl/>
              <w:jc w:val="left"/>
              <w:rPr>
                <w:rFonts w:hint="eastAsia" w:ascii="宋体" w:hAnsi="宋体"/>
                <w:color w:val="auto"/>
                <w:kern w:val="0"/>
                <w:szCs w:val="21"/>
                <w:highlight w:val="none"/>
                <w:lang w:bidi="ar"/>
              </w:rPr>
            </w:pPr>
            <w:r>
              <w:rPr>
                <w:rFonts w:hint="eastAsia" w:ascii="宋体" w:hAnsi="宋体"/>
                <w:color w:val="auto"/>
                <w:kern w:val="0"/>
                <w:szCs w:val="21"/>
                <w:highlight w:val="none"/>
                <w:lang w:bidi="ar"/>
              </w:rPr>
              <w:t>投标报价得分＝（评标基准价/投标报价）×价格分值。</w:t>
            </w:r>
          </w:p>
          <w:p w14:paraId="60AC5D7A">
            <w:pPr>
              <w:widowControl/>
              <w:jc w:val="left"/>
              <w:rPr>
                <w:rFonts w:hint="eastAsia" w:ascii="宋体" w:hAnsi="宋体" w:cs="宋体"/>
                <w:color w:val="auto"/>
                <w:kern w:val="0"/>
                <w:szCs w:val="21"/>
                <w:highlight w:val="none"/>
              </w:rPr>
            </w:pPr>
            <w:r>
              <w:rPr>
                <w:rFonts w:hint="eastAsia" w:ascii="宋体" w:hAnsi="宋体"/>
                <w:color w:val="auto"/>
                <w:kern w:val="0"/>
                <w:szCs w:val="21"/>
                <w:highlight w:val="none"/>
                <w:lang w:bidi="ar"/>
              </w:rPr>
              <w:t>注：合格的中标候选人的最低投标报价为评标基准价；如合格的中标候选人的最低投标报价存在低于成本警戒价的，应以成本警戒价为评标基准价，且低于成本警戒价的合格的中标候选人不需要参与价格因素评审，按满分计；</w:t>
            </w:r>
          </w:p>
        </w:tc>
      </w:tr>
      <w:tr w14:paraId="039F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9EC58CB">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4748BCE3">
            <w:pPr>
              <w:jc w:val="center"/>
              <w:rPr>
                <w:rFonts w:hint="eastAsia" w:ascii="宋体" w:hAnsi="宋体" w:cs="宋体"/>
                <w:color w:val="auto"/>
                <w:szCs w:val="21"/>
                <w:highlight w:val="none"/>
              </w:rPr>
            </w:pPr>
            <w:r>
              <w:rPr>
                <w:rFonts w:hint="eastAsia" w:ascii="宋体" w:hAnsi="宋体" w:cs="宋体"/>
                <w:color w:val="auto"/>
                <w:szCs w:val="21"/>
                <w:highlight w:val="none"/>
              </w:rPr>
              <w:t>答辩因素</w:t>
            </w:r>
          </w:p>
          <w:p w14:paraId="720B15B7">
            <w:pPr>
              <w:jc w:val="center"/>
              <w:rPr>
                <w:rFonts w:hint="eastAsia" w:ascii="宋体" w:hAnsi="宋体" w:cs="宋体"/>
                <w:color w:val="auto"/>
                <w:szCs w:val="21"/>
                <w:highlight w:val="none"/>
              </w:rPr>
            </w:pPr>
            <w:r>
              <w:rPr>
                <w:rFonts w:hint="eastAsia" w:ascii="宋体" w:hAnsi="宋体" w:cs="宋体"/>
                <w:color w:val="auto"/>
                <w:szCs w:val="21"/>
                <w:highlight w:val="none"/>
              </w:rPr>
              <w:t>（30分）</w:t>
            </w:r>
          </w:p>
        </w:tc>
        <w:tc>
          <w:tcPr>
            <w:tcW w:w="11973" w:type="dxa"/>
            <w:tcBorders>
              <w:top w:val="single" w:color="auto" w:sz="4" w:space="0"/>
              <w:left w:val="single" w:color="auto" w:sz="4" w:space="0"/>
              <w:bottom w:val="single" w:color="auto" w:sz="4" w:space="0"/>
              <w:right w:val="single" w:color="auto" w:sz="4" w:space="0"/>
            </w:tcBorders>
            <w:noWrap w:val="0"/>
            <w:vAlign w:val="center"/>
          </w:tcPr>
          <w:p w14:paraId="7F4454C4">
            <w:pPr>
              <w:jc w:val="left"/>
              <w:rPr>
                <w:rFonts w:hint="eastAsia" w:ascii="宋体" w:hAnsi="宋体" w:cs="宋体"/>
                <w:color w:val="auto"/>
                <w:szCs w:val="21"/>
                <w:highlight w:val="none"/>
              </w:rPr>
            </w:pPr>
            <w:r>
              <w:rPr>
                <w:rFonts w:hint="eastAsia" w:ascii="宋体" w:hAnsi="宋体" w:cs="宋体"/>
                <w:color w:val="auto"/>
                <w:szCs w:val="21"/>
                <w:highlight w:val="none"/>
              </w:rPr>
              <w:t>投标人派本项目拟投入项目负责人、技术负责人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拟委派本项目的其他专业负责人</w:t>
            </w:r>
            <w:r>
              <w:rPr>
                <w:rFonts w:hint="eastAsia" w:ascii="宋体" w:hAnsi="宋体" w:cs="宋体"/>
                <w:color w:val="auto"/>
                <w:szCs w:val="21"/>
                <w:highlight w:val="none"/>
              </w:rPr>
              <w:t>组成1-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人答辩小组进行现场答辩：</w:t>
            </w:r>
          </w:p>
          <w:p w14:paraId="69F7EB12">
            <w:pPr>
              <w:jc w:val="left"/>
              <w:rPr>
                <w:rFonts w:hint="eastAsia" w:ascii="宋体" w:hAnsi="宋体" w:cs="宋体"/>
                <w:color w:val="auto"/>
                <w:szCs w:val="21"/>
                <w:highlight w:val="none"/>
              </w:rPr>
            </w:pPr>
            <w:r>
              <w:rPr>
                <w:rFonts w:hint="eastAsia" w:ascii="宋体" w:hAnsi="宋体" w:cs="宋体"/>
                <w:color w:val="auto"/>
                <w:szCs w:val="21"/>
                <w:highlight w:val="none"/>
              </w:rPr>
              <w:t>1.答辩小组对本项目履约能力和履约水平的介绍，介绍时间不超过10分钟；介绍内容包括但不限于：项目管理人员配备、施工安全、工期及质量管理，对本项目施工重点和难点的分析和应对措施，结合本项目的特点及投标人的资源情况，提出实施本项目的优势，合理、可行。</w:t>
            </w:r>
          </w:p>
          <w:p w14:paraId="2C629611">
            <w:pPr>
              <w:jc w:val="left"/>
              <w:rPr>
                <w:rFonts w:hint="eastAsia" w:ascii="宋体" w:hAnsi="宋体" w:cs="宋体"/>
                <w:color w:val="auto"/>
                <w:szCs w:val="21"/>
                <w:highlight w:val="none"/>
              </w:rPr>
            </w:pPr>
            <w:r>
              <w:rPr>
                <w:rFonts w:hint="eastAsia" w:ascii="宋体" w:hAnsi="宋体" w:cs="宋体"/>
                <w:color w:val="auto"/>
                <w:szCs w:val="21"/>
                <w:highlight w:val="none"/>
              </w:rPr>
              <w:t>表现优秀得[15,10)分，良好得[10,5)分，一般得[5,0)分，差得0分。本小项最高得15分。</w:t>
            </w:r>
          </w:p>
          <w:p w14:paraId="1CBB4B5C">
            <w:pPr>
              <w:jc w:val="left"/>
              <w:rPr>
                <w:rFonts w:hint="eastAsia" w:ascii="宋体" w:hAnsi="宋体" w:cs="宋体"/>
                <w:color w:val="auto"/>
                <w:szCs w:val="21"/>
                <w:highlight w:val="none"/>
              </w:rPr>
            </w:pPr>
            <w:r>
              <w:rPr>
                <w:rFonts w:hint="eastAsia" w:ascii="宋体" w:hAnsi="宋体" w:cs="宋体"/>
                <w:color w:val="auto"/>
                <w:szCs w:val="21"/>
                <w:highlight w:val="none"/>
              </w:rPr>
              <w:t>2.答辩小组就本项目接受评标委员会提问并进行</w:t>
            </w:r>
            <w:r>
              <w:rPr>
                <w:rFonts w:hint="eastAsia" w:ascii="宋体" w:hAnsi="宋体" w:cs="宋体"/>
                <w:color w:val="auto"/>
                <w:szCs w:val="21"/>
                <w:highlight w:val="none"/>
                <w:lang w:val="en-US" w:eastAsia="zh-CN"/>
              </w:rPr>
              <w:t>回答</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回答</w:t>
            </w:r>
            <w:r>
              <w:rPr>
                <w:rFonts w:hint="eastAsia" w:ascii="宋体" w:hAnsi="宋体" w:cs="宋体"/>
                <w:color w:val="auto"/>
                <w:szCs w:val="21"/>
                <w:highlight w:val="none"/>
              </w:rPr>
              <w:t>时间不超过10分钟：表现优秀得[15,10)分，良好得[10,5)分，一般得[5,0)分，差得0分。本小项最高得15分。</w:t>
            </w:r>
          </w:p>
          <w:p w14:paraId="766EAAFD">
            <w:pPr>
              <w:widowControl/>
              <w:jc w:val="left"/>
              <w:rPr>
                <w:rFonts w:hint="eastAsia" w:ascii="宋体" w:hAnsi="宋体"/>
                <w:color w:val="auto"/>
                <w:kern w:val="0"/>
                <w:szCs w:val="21"/>
                <w:highlight w:val="none"/>
                <w:lang w:bidi="ar"/>
              </w:rPr>
            </w:pPr>
            <w:r>
              <w:rPr>
                <w:rFonts w:hint="eastAsia" w:ascii="宋体" w:hAnsi="宋体" w:cs="宋体"/>
                <w:color w:val="auto"/>
                <w:szCs w:val="21"/>
                <w:highlight w:val="none"/>
              </w:rPr>
              <w:t>3.投标人未按要求组成答辩小组参加现场答辩或未参加现场答辩，以上两项均为0分。</w:t>
            </w:r>
          </w:p>
        </w:tc>
      </w:tr>
      <w:bookmarkEnd w:id="205"/>
      <w:bookmarkEnd w:id="206"/>
      <w:bookmarkEnd w:id="207"/>
      <w:bookmarkEnd w:id="208"/>
      <w:bookmarkEnd w:id="209"/>
      <w:bookmarkEnd w:id="210"/>
      <w:bookmarkEnd w:id="211"/>
      <w:bookmarkEnd w:id="212"/>
    </w:tbl>
    <w:p w14:paraId="290363C0">
      <w:pPr>
        <w:jc w:val="left"/>
        <w:rPr>
          <w:rFonts w:hint="eastAsia" w:ascii="宋体" w:hAnsi="宋体" w:cs="宋体"/>
          <w:b/>
          <w:bCs/>
          <w:color w:val="auto"/>
          <w:kern w:val="44"/>
          <w:sz w:val="28"/>
          <w:szCs w:val="28"/>
          <w:highlight w:val="none"/>
        </w:rPr>
      </w:pPr>
      <w:bookmarkStart w:id="215" w:name="_Toc12101"/>
      <w:bookmarkStart w:id="216" w:name="_Toc6940"/>
      <w:bookmarkStart w:id="217" w:name="_Toc30231"/>
      <w:bookmarkStart w:id="218" w:name="_Toc17155"/>
      <w:bookmarkStart w:id="219" w:name="_Toc22028"/>
      <w:bookmarkStart w:id="220" w:name="_Toc6826"/>
      <w:bookmarkStart w:id="221" w:name="_Toc1052"/>
      <w:bookmarkStart w:id="222" w:name="_Toc32093"/>
      <w:bookmarkStart w:id="223" w:name="_Toc1339"/>
      <w:bookmarkStart w:id="224" w:name="_Toc4517"/>
      <w:r>
        <w:rPr>
          <w:rFonts w:hint="eastAsia" w:ascii="宋体" w:hAnsi="宋体" w:cs="宋体"/>
          <w:b/>
          <w:bCs/>
          <w:color w:val="auto"/>
          <w:kern w:val="44"/>
          <w:sz w:val="28"/>
          <w:szCs w:val="28"/>
          <w:highlight w:val="none"/>
        </w:rPr>
        <w:br w:type="page"/>
      </w:r>
    </w:p>
    <w:p w14:paraId="2624B56C">
      <w:pPr>
        <w:spacing w:line="360" w:lineRule="auto"/>
        <w:jc w:val="center"/>
        <w:outlineLvl w:val="0"/>
        <w:rPr>
          <w:rFonts w:hint="eastAsia" w:ascii="宋体" w:hAnsi="宋体" w:cs="宋体"/>
          <w:b/>
          <w:bCs/>
          <w:color w:val="auto"/>
          <w:kern w:val="44"/>
          <w:sz w:val="28"/>
          <w:szCs w:val="28"/>
          <w:highlight w:val="none"/>
        </w:rPr>
        <w:sectPr>
          <w:type w:val="continuous"/>
          <w:pgSz w:w="16838" w:h="11906" w:orient="landscape"/>
          <w:pgMar w:top="1080" w:right="1440" w:bottom="1080" w:left="1440" w:header="850" w:footer="992" w:gutter="0"/>
          <w:cols w:space="0" w:num="1"/>
          <w:docGrid w:type="lines" w:linePitch="317" w:charSpace="0"/>
        </w:sectPr>
      </w:pPr>
      <w:bookmarkStart w:id="225" w:name="_Toc26724"/>
    </w:p>
    <w:p w14:paraId="55D3CAE8">
      <w:pPr>
        <w:spacing w:line="360" w:lineRule="auto"/>
        <w:jc w:val="center"/>
        <w:outlineLvl w:val="0"/>
        <w:rPr>
          <w:rFonts w:hint="eastAsia" w:ascii="宋体" w:hAnsi="宋体" w:cs="宋体"/>
          <w:b/>
          <w:bCs/>
          <w:color w:val="auto"/>
          <w:kern w:val="44"/>
          <w:sz w:val="28"/>
          <w:szCs w:val="28"/>
          <w:highlight w:val="none"/>
        </w:rPr>
      </w:pPr>
      <w:r>
        <w:rPr>
          <w:rFonts w:hint="eastAsia" w:ascii="宋体" w:hAnsi="宋体" w:cs="宋体"/>
          <w:b/>
          <w:bCs/>
          <w:color w:val="auto"/>
          <w:kern w:val="44"/>
          <w:sz w:val="28"/>
          <w:szCs w:val="28"/>
          <w:highlight w:val="none"/>
        </w:rPr>
        <w:t>第三章 合同条款</w:t>
      </w:r>
      <w:bookmarkEnd w:id="213"/>
      <w:bookmarkEnd w:id="214"/>
      <w:bookmarkEnd w:id="215"/>
      <w:bookmarkEnd w:id="216"/>
      <w:bookmarkEnd w:id="217"/>
      <w:bookmarkEnd w:id="218"/>
      <w:bookmarkEnd w:id="219"/>
      <w:bookmarkEnd w:id="220"/>
      <w:bookmarkEnd w:id="221"/>
      <w:bookmarkEnd w:id="222"/>
      <w:bookmarkEnd w:id="223"/>
      <w:bookmarkEnd w:id="224"/>
      <w:bookmarkEnd w:id="225"/>
    </w:p>
    <w:p w14:paraId="41F307AB">
      <w:pPr>
        <w:tabs>
          <w:tab w:val="left" w:pos="720"/>
        </w:tabs>
        <w:spacing w:line="36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广州市黄埔区南岗街南岗社区亨元、柯庄片区城中村改造项目房屋拆除工程施工合同</w:t>
      </w:r>
    </w:p>
    <w:p w14:paraId="5FC6A821">
      <w:pPr>
        <w:tabs>
          <w:tab w:val="left" w:pos="720"/>
        </w:tabs>
        <w:spacing w:line="360" w:lineRule="auto"/>
        <w:jc w:val="center"/>
        <w:rPr>
          <w:rFonts w:hint="eastAsia" w:ascii="楷体" w:hAnsi="楷体" w:eastAsia="楷体" w:cs="楷体"/>
          <w:b/>
          <w:color w:val="auto"/>
          <w:sz w:val="26"/>
          <w:szCs w:val="26"/>
          <w:highlight w:val="none"/>
        </w:rPr>
      </w:pPr>
    </w:p>
    <w:p w14:paraId="3A2ADFD4">
      <w:pPr>
        <w:tabs>
          <w:tab w:val="left" w:pos="720"/>
        </w:tabs>
        <w:spacing w:line="360" w:lineRule="auto"/>
        <w:rPr>
          <w:rFonts w:hint="eastAsia" w:ascii="楷体" w:hAnsi="楷体" w:eastAsia="楷体" w:cs="楷体"/>
          <w:b/>
          <w:color w:val="auto"/>
          <w:sz w:val="26"/>
          <w:szCs w:val="26"/>
          <w:highlight w:val="none"/>
        </w:rPr>
      </w:pPr>
    </w:p>
    <w:p w14:paraId="60794215">
      <w:pPr>
        <w:tabs>
          <w:tab w:val="left" w:pos="720"/>
        </w:tabs>
        <w:spacing w:line="360" w:lineRule="auto"/>
        <w:rPr>
          <w:rFonts w:hint="eastAsia" w:ascii="楷体" w:hAnsi="楷体" w:eastAsia="楷体" w:cs="楷体"/>
          <w:b/>
          <w:color w:val="auto"/>
          <w:sz w:val="26"/>
          <w:szCs w:val="26"/>
          <w:highlight w:val="none"/>
        </w:rPr>
      </w:pPr>
    </w:p>
    <w:p w14:paraId="6D61CE86">
      <w:pPr>
        <w:pStyle w:val="12"/>
        <w:rPr>
          <w:color w:val="auto"/>
          <w:highlight w:val="none"/>
        </w:rPr>
      </w:pPr>
    </w:p>
    <w:tbl>
      <w:tblPr>
        <w:tblStyle w:val="25"/>
        <w:tblpPr w:leftFromText="180" w:rightFromText="180" w:vertAnchor="text" w:horzAnchor="page" w:tblpX="3349" w:tblpY="583"/>
        <w:tblOverlap w:val="never"/>
        <w:tblW w:w="5400" w:type="dxa"/>
        <w:tblInd w:w="0" w:type="dxa"/>
        <w:tblLayout w:type="fixed"/>
        <w:tblCellMar>
          <w:top w:w="0" w:type="dxa"/>
          <w:left w:w="108" w:type="dxa"/>
          <w:bottom w:w="0" w:type="dxa"/>
          <w:right w:w="108" w:type="dxa"/>
        </w:tblCellMar>
      </w:tblPr>
      <w:tblGrid>
        <w:gridCol w:w="5400"/>
      </w:tblGrid>
      <w:tr w14:paraId="574F557E">
        <w:tblPrEx>
          <w:tblCellMar>
            <w:top w:w="0" w:type="dxa"/>
            <w:left w:w="108" w:type="dxa"/>
            <w:bottom w:w="0" w:type="dxa"/>
            <w:right w:w="108" w:type="dxa"/>
          </w:tblCellMar>
        </w:tblPrEx>
        <w:trPr>
          <w:trHeight w:val="446" w:hRule="atLeast"/>
        </w:trPr>
        <w:tc>
          <w:tcPr>
            <w:tcW w:w="5400" w:type="dxa"/>
          </w:tcPr>
          <w:p w14:paraId="4DEFDDD1">
            <w:pPr>
              <w:tabs>
                <w:tab w:val="left" w:pos="720"/>
              </w:tabs>
              <w:spacing w:line="360" w:lineRule="auto"/>
              <w:rPr>
                <w:rFonts w:hint="eastAsia" w:ascii="宋体" w:hAnsi="宋体" w:cs="宋体"/>
                <w:b/>
                <w:color w:val="auto"/>
                <w:sz w:val="26"/>
                <w:szCs w:val="26"/>
                <w:highlight w:val="none"/>
                <w:u w:val="single"/>
              </w:rPr>
            </w:pPr>
            <w:r>
              <w:rPr>
                <w:rFonts w:hint="eastAsia" w:ascii="宋体" w:hAnsi="宋体" w:cs="宋体"/>
                <w:b/>
                <w:color w:val="auto"/>
                <w:sz w:val="26"/>
                <w:szCs w:val="26"/>
                <w:highlight w:val="none"/>
              </w:rPr>
              <w:t>项目名称：</w:t>
            </w:r>
            <w:r>
              <w:rPr>
                <w:rFonts w:hint="eastAsia" w:ascii="宋体" w:hAnsi="宋体" w:cs="宋体"/>
                <w:color w:val="auto"/>
                <w:sz w:val="24"/>
                <w:szCs w:val="24"/>
                <w:highlight w:val="none"/>
                <w:u w:val="single"/>
              </w:rPr>
              <w:t>广州市黄埔区南岗街南岗社区亨元、柯庄片区城中村改造项目房屋拆除工程</w:t>
            </w:r>
            <w:r>
              <w:rPr>
                <w:rFonts w:hint="eastAsia" w:ascii="宋体" w:hAnsi="宋体" w:cs="宋体"/>
                <w:b/>
                <w:color w:val="auto"/>
                <w:sz w:val="26"/>
                <w:szCs w:val="26"/>
                <w:highlight w:val="none"/>
                <w:u w:val="single"/>
              </w:rPr>
              <w:t xml:space="preserve">                       </w:t>
            </w:r>
          </w:p>
        </w:tc>
      </w:tr>
      <w:tr w14:paraId="6986C895">
        <w:tblPrEx>
          <w:tblCellMar>
            <w:top w:w="0" w:type="dxa"/>
            <w:left w:w="108" w:type="dxa"/>
            <w:bottom w:w="0" w:type="dxa"/>
            <w:right w:w="108" w:type="dxa"/>
          </w:tblCellMar>
        </w:tblPrEx>
        <w:trPr>
          <w:trHeight w:val="446" w:hRule="atLeast"/>
        </w:trPr>
        <w:tc>
          <w:tcPr>
            <w:tcW w:w="5400" w:type="dxa"/>
          </w:tcPr>
          <w:p w14:paraId="338187F8">
            <w:pPr>
              <w:tabs>
                <w:tab w:val="left" w:pos="720"/>
              </w:tabs>
              <w:spacing w:line="360" w:lineRule="auto"/>
              <w:rPr>
                <w:rFonts w:hint="eastAsia" w:ascii="宋体" w:hAnsi="宋体" w:cs="宋体"/>
                <w:b/>
                <w:color w:val="auto"/>
                <w:sz w:val="26"/>
                <w:szCs w:val="26"/>
                <w:highlight w:val="none"/>
                <w:u w:val="single"/>
              </w:rPr>
            </w:pPr>
          </w:p>
        </w:tc>
      </w:tr>
      <w:tr w14:paraId="755EBC70">
        <w:tblPrEx>
          <w:tblCellMar>
            <w:top w:w="0" w:type="dxa"/>
            <w:left w:w="108" w:type="dxa"/>
            <w:bottom w:w="0" w:type="dxa"/>
            <w:right w:w="108" w:type="dxa"/>
          </w:tblCellMar>
        </w:tblPrEx>
        <w:trPr>
          <w:trHeight w:val="446" w:hRule="atLeast"/>
        </w:trPr>
        <w:tc>
          <w:tcPr>
            <w:tcW w:w="5400" w:type="dxa"/>
          </w:tcPr>
          <w:p w14:paraId="57C19F8E">
            <w:pPr>
              <w:tabs>
                <w:tab w:val="left" w:pos="720"/>
              </w:tabs>
              <w:spacing w:line="360" w:lineRule="auto"/>
              <w:rPr>
                <w:rFonts w:hint="eastAsia" w:ascii="宋体" w:hAnsi="宋体" w:cs="宋体"/>
                <w:b/>
                <w:color w:val="auto"/>
                <w:sz w:val="26"/>
                <w:szCs w:val="26"/>
                <w:highlight w:val="none"/>
              </w:rPr>
            </w:pPr>
            <w:r>
              <w:rPr>
                <w:rFonts w:hint="eastAsia" w:ascii="宋体" w:hAnsi="宋体" w:cs="宋体"/>
                <w:b/>
                <w:color w:val="auto"/>
                <w:sz w:val="26"/>
                <w:szCs w:val="26"/>
                <w:highlight w:val="none"/>
              </w:rPr>
              <w:t>合同编号：</w:t>
            </w:r>
            <w:r>
              <w:rPr>
                <w:rFonts w:hint="eastAsia" w:ascii="宋体" w:hAnsi="宋体" w:cs="宋体"/>
                <w:b/>
                <w:color w:val="auto"/>
                <w:sz w:val="26"/>
                <w:szCs w:val="26"/>
                <w:highlight w:val="none"/>
                <w:u w:val="single"/>
              </w:rPr>
              <w:t xml:space="preserve">                          </w:t>
            </w:r>
          </w:p>
        </w:tc>
      </w:tr>
      <w:tr w14:paraId="30970DCE">
        <w:tblPrEx>
          <w:tblCellMar>
            <w:top w:w="0" w:type="dxa"/>
            <w:left w:w="108" w:type="dxa"/>
            <w:bottom w:w="0" w:type="dxa"/>
            <w:right w:w="108" w:type="dxa"/>
          </w:tblCellMar>
        </w:tblPrEx>
        <w:trPr>
          <w:trHeight w:val="460" w:hRule="atLeast"/>
        </w:trPr>
        <w:tc>
          <w:tcPr>
            <w:tcW w:w="5400" w:type="dxa"/>
          </w:tcPr>
          <w:p w14:paraId="1894D1CD">
            <w:pPr>
              <w:tabs>
                <w:tab w:val="left" w:pos="720"/>
              </w:tabs>
              <w:spacing w:line="360" w:lineRule="auto"/>
              <w:rPr>
                <w:rFonts w:hint="eastAsia" w:ascii="宋体" w:hAnsi="宋体" w:cs="宋体"/>
                <w:b/>
                <w:color w:val="auto"/>
                <w:sz w:val="26"/>
                <w:szCs w:val="26"/>
                <w:highlight w:val="none"/>
              </w:rPr>
            </w:pPr>
          </w:p>
        </w:tc>
      </w:tr>
      <w:tr w14:paraId="30D489BF">
        <w:tblPrEx>
          <w:tblCellMar>
            <w:top w:w="0" w:type="dxa"/>
            <w:left w:w="108" w:type="dxa"/>
            <w:bottom w:w="0" w:type="dxa"/>
            <w:right w:w="108" w:type="dxa"/>
          </w:tblCellMar>
        </w:tblPrEx>
        <w:trPr>
          <w:trHeight w:val="460" w:hRule="atLeast"/>
        </w:trPr>
        <w:tc>
          <w:tcPr>
            <w:tcW w:w="5400" w:type="dxa"/>
          </w:tcPr>
          <w:p w14:paraId="3368C0DB">
            <w:pPr>
              <w:tabs>
                <w:tab w:val="left" w:pos="720"/>
              </w:tabs>
              <w:spacing w:line="360" w:lineRule="auto"/>
              <w:rPr>
                <w:rFonts w:hint="eastAsia" w:ascii="宋体" w:hAnsi="宋体" w:cs="宋体"/>
                <w:b/>
                <w:color w:val="auto"/>
                <w:sz w:val="26"/>
                <w:szCs w:val="26"/>
                <w:highlight w:val="none"/>
              </w:rPr>
            </w:pPr>
            <w:r>
              <w:rPr>
                <w:rFonts w:hint="eastAsia" w:ascii="宋体" w:hAnsi="宋体" w:cs="宋体"/>
                <w:b/>
                <w:color w:val="auto"/>
                <w:sz w:val="26"/>
                <w:szCs w:val="26"/>
                <w:highlight w:val="none"/>
              </w:rPr>
              <w:t>甲方：</w:t>
            </w:r>
            <w:r>
              <w:rPr>
                <w:rFonts w:hint="eastAsia" w:ascii="宋体" w:hAnsi="宋体" w:cs="宋体"/>
                <w:bCs/>
                <w:color w:val="auto"/>
                <w:sz w:val="24"/>
                <w:szCs w:val="24"/>
                <w:highlight w:val="none"/>
                <w:u w:val="single"/>
              </w:rPr>
              <w:t xml:space="preserve">                      </w:t>
            </w:r>
          </w:p>
        </w:tc>
      </w:tr>
      <w:tr w14:paraId="44B93123">
        <w:tblPrEx>
          <w:tblCellMar>
            <w:top w:w="0" w:type="dxa"/>
            <w:left w:w="108" w:type="dxa"/>
            <w:bottom w:w="0" w:type="dxa"/>
            <w:right w:w="108" w:type="dxa"/>
          </w:tblCellMar>
        </w:tblPrEx>
        <w:trPr>
          <w:trHeight w:val="460" w:hRule="atLeast"/>
        </w:trPr>
        <w:tc>
          <w:tcPr>
            <w:tcW w:w="5400" w:type="dxa"/>
          </w:tcPr>
          <w:p w14:paraId="1E251AB0">
            <w:pPr>
              <w:tabs>
                <w:tab w:val="left" w:pos="720"/>
              </w:tabs>
              <w:spacing w:line="360" w:lineRule="auto"/>
              <w:rPr>
                <w:rFonts w:hint="eastAsia" w:ascii="宋体" w:hAnsi="宋体" w:cs="宋体"/>
                <w:b/>
                <w:color w:val="auto"/>
                <w:sz w:val="26"/>
                <w:szCs w:val="26"/>
                <w:highlight w:val="none"/>
              </w:rPr>
            </w:pPr>
          </w:p>
        </w:tc>
      </w:tr>
      <w:tr w14:paraId="6CE12454">
        <w:tblPrEx>
          <w:tblCellMar>
            <w:top w:w="0" w:type="dxa"/>
            <w:left w:w="108" w:type="dxa"/>
            <w:bottom w:w="0" w:type="dxa"/>
            <w:right w:w="108" w:type="dxa"/>
          </w:tblCellMar>
        </w:tblPrEx>
        <w:trPr>
          <w:trHeight w:val="460" w:hRule="atLeast"/>
        </w:trPr>
        <w:tc>
          <w:tcPr>
            <w:tcW w:w="5400" w:type="dxa"/>
          </w:tcPr>
          <w:p w14:paraId="67ECA2BA">
            <w:pPr>
              <w:tabs>
                <w:tab w:val="left" w:pos="720"/>
              </w:tabs>
              <w:spacing w:line="360" w:lineRule="auto"/>
              <w:rPr>
                <w:rFonts w:hint="eastAsia" w:ascii="宋体" w:hAnsi="宋体" w:cs="宋体"/>
                <w:b/>
                <w:color w:val="auto"/>
                <w:sz w:val="26"/>
                <w:szCs w:val="26"/>
                <w:highlight w:val="none"/>
              </w:rPr>
            </w:pPr>
            <w:r>
              <w:rPr>
                <w:rFonts w:hint="eastAsia" w:ascii="宋体" w:hAnsi="宋体" w:cs="宋体"/>
                <w:b/>
                <w:color w:val="auto"/>
                <w:sz w:val="26"/>
                <w:szCs w:val="26"/>
                <w:highlight w:val="none"/>
              </w:rPr>
              <w:t>乙方：</w:t>
            </w:r>
          </w:p>
        </w:tc>
      </w:tr>
    </w:tbl>
    <w:p w14:paraId="0508742F">
      <w:pPr>
        <w:tabs>
          <w:tab w:val="left" w:pos="720"/>
        </w:tabs>
        <w:spacing w:line="360" w:lineRule="auto"/>
        <w:rPr>
          <w:rFonts w:hint="eastAsia" w:ascii="宋体" w:hAnsi="宋体" w:cs="宋体"/>
          <w:b/>
          <w:color w:val="auto"/>
          <w:sz w:val="26"/>
          <w:szCs w:val="26"/>
          <w:highlight w:val="none"/>
        </w:rPr>
      </w:pPr>
    </w:p>
    <w:p w14:paraId="68201541">
      <w:pPr>
        <w:tabs>
          <w:tab w:val="left" w:pos="720"/>
        </w:tabs>
        <w:spacing w:line="360" w:lineRule="auto"/>
        <w:rPr>
          <w:rFonts w:hint="eastAsia" w:ascii="宋体" w:hAnsi="宋体" w:cs="宋体"/>
          <w:b/>
          <w:color w:val="auto"/>
          <w:sz w:val="26"/>
          <w:szCs w:val="26"/>
          <w:highlight w:val="none"/>
        </w:rPr>
      </w:pPr>
    </w:p>
    <w:p w14:paraId="58C4AA13">
      <w:pPr>
        <w:spacing w:line="360" w:lineRule="auto"/>
        <w:rPr>
          <w:rFonts w:hint="eastAsia" w:ascii="宋体" w:hAnsi="宋体" w:cs="宋体"/>
          <w:color w:val="auto"/>
          <w:sz w:val="26"/>
          <w:szCs w:val="26"/>
          <w:highlight w:val="none"/>
        </w:rPr>
      </w:pPr>
    </w:p>
    <w:p w14:paraId="31DEFF56">
      <w:pPr>
        <w:spacing w:line="360" w:lineRule="auto"/>
        <w:rPr>
          <w:rFonts w:hint="eastAsia" w:ascii="宋体" w:hAnsi="宋体" w:cs="宋体"/>
          <w:b/>
          <w:color w:val="auto"/>
          <w:sz w:val="26"/>
          <w:szCs w:val="26"/>
          <w:highlight w:val="none"/>
        </w:rPr>
      </w:pPr>
    </w:p>
    <w:p w14:paraId="66B54914">
      <w:pPr>
        <w:spacing w:line="360" w:lineRule="auto"/>
        <w:rPr>
          <w:rFonts w:hint="eastAsia" w:ascii="宋体" w:hAnsi="宋体" w:cs="宋体"/>
          <w:b/>
          <w:color w:val="auto"/>
          <w:sz w:val="26"/>
          <w:szCs w:val="26"/>
          <w:highlight w:val="none"/>
        </w:rPr>
      </w:pPr>
    </w:p>
    <w:p w14:paraId="62C4C266">
      <w:pPr>
        <w:spacing w:line="360" w:lineRule="auto"/>
        <w:rPr>
          <w:rFonts w:hint="eastAsia" w:ascii="宋体" w:hAnsi="宋体" w:cs="宋体"/>
          <w:b/>
          <w:color w:val="auto"/>
          <w:sz w:val="26"/>
          <w:szCs w:val="26"/>
          <w:highlight w:val="none"/>
        </w:rPr>
      </w:pPr>
    </w:p>
    <w:p w14:paraId="1EA34B4E">
      <w:pPr>
        <w:spacing w:line="360" w:lineRule="auto"/>
        <w:rPr>
          <w:rFonts w:hint="eastAsia" w:ascii="宋体" w:hAnsi="宋体" w:cs="宋体"/>
          <w:b/>
          <w:color w:val="auto"/>
          <w:sz w:val="26"/>
          <w:szCs w:val="26"/>
          <w:highlight w:val="none"/>
        </w:rPr>
      </w:pPr>
    </w:p>
    <w:p w14:paraId="770C102B">
      <w:pPr>
        <w:spacing w:line="360" w:lineRule="auto"/>
        <w:rPr>
          <w:rFonts w:hint="eastAsia" w:ascii="宋体" w:hAnsi="宋体" w:cs="宋体"/>
          <w:b/>
          <w:color w:val="auto"/>
          <w:sz w:val="26"/>
          <w:szCs w:val="26"/>
          <w:highlight w:val="none"/>
        </w:rPr>
      </w:pPr>
    </w:p>
    <w:p w14:paraId="14ECFE87">
      <w:pPr>
        <w:spacing w:line="360" w:lineRule="auto"/>
        <w:rPr>
          <w:rFonts w:hint="eastAsia" w:ascii="宋体" w:hAnsi="宋体" w:cs="宋体"/>
          <w:b/>
          <w:color w:val="auto"/>
          <w:sz w:val="26"/>
          <w:szCs w:val="26"/>
          <w:highlight w:val="none"/>
        </w:rPr>
      </w:pPr>
    </w:p>
    <w:p w14:paraId="0D93B318">
      <w:pPr>
        <w:spacing w:line="360" w:lineRule="auto"/>
        <w:rPr>
          <w:rFonts w:hint="eastAsia" w:ascii="楷体" w:hAnsi="楷体" w:eastAsia="楷体" w:cs="楷体"/>
          <w:b/>
          <w:color w:val="auto"/>
          <w:sz w:val="26"/>
          <w:szCs w:val="26"/>
          <w:highlight w:val="none"/>
        </w:rPr>
      </w:pPr>
    </w:p>
    <w:p w14:paraId="2371E247">
      <w:pPr>
        <w:spacing w:line="360" w:lineRule="auto"/>
        <w:rPr>
          <w:rFonts w:hint="eastAsia" w:ascii="楷体" w:hAnsi="楷体" w:eastAsia="楷体" w:cs="楷体"/>
          <w:b/>
          <w:color w:val="auto"/>
          <w:sz w:val="26"/>
          <w:szCs w:val="26"/>
          <w:highlight w:val="none"/>
        </w:rPr>
      </w:pPr>
    </w:p>
    <w:p w14:paraId="114C7EFD">
      <w:pPr>
        <w:widowControl/>
        <w:spacing w:line="480" w:lineRule="auto"/>
        <w:jc w:val="center"/>
        <w:rPr>
          <w:rFonts w:hint="eastAsia" w:ascii="楷体" w:hAnsi="楷体" w:eastAsia="楷体" w:cs="楷体"/>
          <w:b/>
          <w:bCs/>
          <w:color w:val="auto"/>
          <w:kern w:val="0"/>
          <w:sz w:val="36"/>
          <w:szCs w:val="36"/>
          <w:highlight w:val="none"/>
        </w:rPr>
      </w:pPr>
    </w:p>
    <w:p w14:paraId="77B4EA13">
      <w:pPr>
        <w:pStyle w:val="12"/>
        <w:rPr>
          <w:rFonts w:hint="eastAsia" w:ascii="楷体" w:hAnsi="楷体" w:eastAsia="楷体" w:cs="楷体"/>
          <w:b/>
          <w:bCs/>
          <w:color w:val="auto"/>
          <w:kern w:val="0"/>
          <w:sz w:val="36"/>
          <w:szCs w:val="36"/>
          <w:highlight w:val="none"/>
        </w:rPr>
      </w:pPr>
    </w:p>
    <w:p w14:paraId="0B3FE3FB">
      <w:pPr>
        <w:rPr>
          <w:rFonts w:hint="eastAsia" w:ascii="楷体" w:hAnsi="楷体" w:eastAsia="楷体" w:cs="楷体"/>
          <w:b/>
          <w:bCs/>
          <w:color w:val="auto"/>
          <w:kern w:val="0"/>
          <w:sz w:val="36"/>
          <w:szCs w:val="36"/>
          <w:highlight w:val="none"/>
        </w:rPr>
      </w:pPr>
    </w:p>
    <w:p w14:paraId="44BC7ABE">
      <w:pPr>
        <w:pStyle w:val="12"/>
        <w:rPr>
          <w:rFonts w:hint="eastAsia" w:ascii="楷体" w:hAnsi="楷体" w:eastAsia="楷体" w:cs="楷体"/>
          <w:b/>
          <w:bCs/>
          <w:color w:val="auto"/>
          <w:kern w:val="0"/>
          <w:sz w:val="36"/>
          <w:szCs w:val="36"/>
          <w:highlight w:val="none"/>
        </w:rPr>
      </w:pPr>
    </w:p>
    <w:p w14:paraId="419E438D">
      <w:pPr>
        <w:rPr>
          <w:color w:val="auto"/>
          <w:highlight w:val="none"/>
        </w:rPr>
      </w:pPr>
    </w:p>
    <w:p w14:paraId="01F93D40">
      <w:pPr>
        <w:pStyle w:val="12"/>
        <w:rPr>
          <w:rFonts w:hint="eastAsia" w:ascii="楷体" w:hAnsi="楷体" w:eastAsia="楷体" w:cs="楷体"/>
          <w:b/>
          <w:bCs/>
          <w:color w:val="auto"/>
          <w:kern w:val="0"/>
          <w:sz w:val="36"/>
          <w:szCs w:val="36"/>
          <w:highlight w:val="none"/>
        </w:rPr>
      </w:pPr>
    </w:p>
    <w:p w14:paraId="5118B554">
      <w:pPr>
        <w:rPr>
          <w:color w:val="auto"/>
          <w:highlight w:val="none"/>
        </w:rPr>
        <w:sectPr>
          <w:type w:val="continuous"/>
          <w:pgSz w:w="11906" w:h="16838"/>
          <w:pgMar w:top="1440" w:right="1800" w:bottom="1440" w:left="1800" w:header="851" w:footer="992" w:gutter="0"/>
          <w:cols w:space="720" w:num="1"/>
          <w:docGrid w:type="lines" w:linePitch="312" w:charSpace="0"/>
        </w:sectPr>
      </w:pPr>
    </w:p>
    <w:p w14:paraId="0C5794D9">
      <w:pPr>
        <w:rPr>
          <w:color w:val="auto"/>
          <w:highlight w:val="none"/>
        </w:rPr>
      </w:pPr>
    </w:p>
    <w:p w14:paraId="44FD7547">
      <w:pPr>
        <w:tabs>
          <w:tab w:val="left" w:pos="720"/>
        </w:tabs>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广州市黄埔区南岗街南岗社区亨元、柯庄片区城中村改造项目房屋拆除工程施工合同</w:t>
      </w:r>
    </w:p>
    <w:p w14:paraId="4719C874">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甲　　方：                  　　　　　　　</w:t>
      </w:r>
    </w:p>
    <w:p w14:paraId="5075C600">
      <w:pPr>
        <w:spacing w:line="360" w:lineRule="auto"/>
        <w:rPr>
          <w:rFonts w:hint="eastAsia" w:ascii="宋体" w:hAnsi="宋体" w:cs="宋体"/>
          <w:color w:val="auto"/>
          <w:sz w:val="24"/>
          <w:szCs w:val="24"/>
          <w:highlight w:val="none"/>
        </w:rPr>
      </w:pPr>
    </w:p>
    <w:p w14:paraId="49AEE97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乙　　方：　　　　　　　　　　</w:t>
      </w:r>
    </w:p>
    <w:p w14:paraId="0C15C3A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w:t>
      </w:r>
    </w:p>
    <w:p w14:paraId="342F9BE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w:t>
      </w:r>
    </w:p>
    <w:p w14:paraId="6BA0840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根据《中华人民共和国民法典》及有关法规、政策规定，双方本着平等互利、友好协商原则，由乙方承包</w:t>
      </w:r>
      <w:r>
        <w:rPr>
          <w:rFonts w:hint="eastAsia" w:ascii="宋体" w:hAnsi="宋体" w:cs="宋体"/>
          <w:color w:val="auto"/>
          <w:sz w:val="24"/>
          <w:szCs w:val="24"/>
          <w:highlight w:val="none"/>
          <w:u w:val="single"/>
        </w:rPr>
        <w:t>广州市黄埔区南岗街南岗社区亨元、柯庄片区城中村改造项目房屋拆除工程施工</w:t>
      </w:r>
      <w:r>
        <w:rPr>
          <w:rFonts w:hint="eastAsia" w:ascii="宋体" w:hAnsi="宋体" w:cs="宋体"/>
          <w:color w:val="auto"/>
          <w:sz w:val="24"/>
          <w:szCs w:val="24"/>
          <w:highlight w:val="none"/>
        </w:rPr>
        <w:t>（下称“本项目”），结合本项目的具体情况，为明确责任，协作配合，确保本合同约定范围内全部集体物业建筑、小产权房、设施、附属物的拆除(包括但不限于路面、广场、停车场、绿化带、树木迁移)、清运工作质量和安全，经双方协商一致，签订本合同，以兹共同遵守。</w:t>
      </w:r>
    </w:p>
    <w:p w14:paraId="656DEDE0">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第一条 项目、范围与工程量</w:t>
      </w:r>
    </w:p>
    <w:p w14:paraId="2C50618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1.1工程项目：广州市黄埔区南岗街南岗社区亨元、柯庄片区城中村改造项目房屋拆除工程</w:t>
      </w:r>
      <w:r>
        <w:rPr>
          <w:rFonts w:hint="eastAsia" w:ascii="宋体" w:hAnsi="宋体" w:cs="宋体"/>
          <w:bCs/>
          <w:color w:val="auto"/>
          <w:sz w:val="24"/>
          <w:szCs w:val="24"/>
          <w:highlight w:val="none"/>
        </w:rPr>
        <w:t>。</w:t>
      </w:r>
    </w:p>
    <w:p w14:paraId="201D8A2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1.2工程范围：拆除房屋约1469栋，拆除面积约57.06万㎡(其中私宅约1359栋，拆除面积约35.70万㎡，集体物业约110栋，拆除面积约21.36万㎡)。（具体以招标工程量清单及图纸为准）</w:t>
      </w:r>
    </w:p>
    <w:p w14:paraId="1CFE36E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1.3总工期：      个日历天，实际开工日期以批准的开工报告为准。。</w:t>
      </w:r>
    </w:p>
    <w:p w14:paraId="2D98AD17">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1.4拆运工程量：</w:t>
      </w:r>
      <w:r>
        <w:rPr>
          <w:rFonts w:hint="eastAsia" w:ascii="宋体" w:hAnsi="宋体" w:cs="宋体"/>
          <w:bCs/>
          <w:color w:val="auto"/>
          <w:sz w:val="24"/>
          <w:szCs w:val="24"/>
          <w:highlight w:val="none"/>
        </w:rPr>
        <w:t>工程量按甲方聘请的专业测量单位按照测量规范测出的ABCDMN类（结构类）+EF类（附属）类+围墙（附属）类面积计算。</w:t>
      </w:r>
    </w:p>
    <w:p w14:paraId="7668994C">
      <w:pPr>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1.5承包方式：本工程实行以</w:t>
      </w:r>
      <w:r>
        <w:rPr>
          <w:rFonts w:hint="eastAsia" w:ascii="宋体" w:hAnsi="宋体" w:cs="宋体"/>
          <w:bCs/>
          <w:color w:val="auto"/>
          <w:sz w:val="24"/>
          <w:szCs w:val="24"/>
          <w:highlight w:val="none"/>
          <w:lang w:val="en-US" w:eastAsia="zh-CN"/>
        </w:rPr>
        <w:t>全费用综合单价</w:t>
      </w:r>
      <w:r>
        <w:rPr>
          <w:rFonts w:hint="eastAsia" w:ascii="宋体" w:hAnsi="宋体" w:cs="宋体"/>
          <w:bCs/>
          <w:color w:val="auto"/>
          <w:sz w:val="24"/>
          <w:szCs w:val="24"/>
          <w:highlight w:val="none"/>
        </w:rPr>
        <w:t>包干，包工、包料、包工期、包质量、包安全、包文明施工、包验收、包项目措施</w:t>
      </w:r>
      <w:r>
        <w:rPr>
          <w:rFonts w:hint="eastAsia" w:ascii="宋体" w:hAnsi="宋体" w:cs="宋体"/>
          <w:bCs/>
          <w:color w:val="auto"/>
          <w:sz w:val="24"/>
          <w:szCs w:val="24"/>
          <w:highlight w:val="none"/>
          <w:lang w:val="en-US" w:eastAsia="zh-CN"/>
        </w:rPr>
        <w:t>费</w:t>
      </w:r>
      <w:r>
        <w:rPr>
          <w:rFonts w:hint="eastAsia" w:ascii="宋体" w:hAnsi="宋体" w:cs="宋体"/>
          <w:bCs/>
          <w:color w:val="auto"/>
          <w:sz w:val="24"/>
          <w:szCs w:val="24"/>
          <w:highlight w:val="none"/>
        </w:rPr>
        <w:t>、包施工围蔽、包清运，工程量按实结算。</w:t>
      </w:r>
    </w:p>
    <w:p w14:paraId="6633EE42">
      <w:pPr>
        <w:spacing w:line="360" w:lineRule="auto"/>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1.6合同价款：合同暂定含税总价为</w:t>
      </w:r>
      <w:r>
        <w:rPr>
          <w:rFonts w:hint="eastAsia" w:ascii="宋体" w:hAnsi="宋体" w:cs="宋体"/>
          <w:bCs/>
          <w:color w:val="auto"/>
          <w:sz w:val="24"/>
          <w:szCs w:val="24"/>
          <w:highlight w:val="none"/>
          <w:u w:val="single"/>
        </w:rPr>
        <w:t xml:space="preserve">         元（大写：人民币       ）</w:t>
      </w:r>
      <w:r>
        <w:rPr>
          <w:rFonts w:hint="eastAsia" w:ascii="宋体" w:hAnsi="宋体" w:cs="宋体"/>
          <w:bCs/>
          <w:color w:val="auto"/>
          <w:sz w:val="24"/>
          <w:szCs w:val="24"/>
          <w:highlight w:val="none"/>
        </w:rPr>
        <w:t>，税率为  ，不含税价</w:t>
      </w:r>
      <w:r>
        <w:rPr>
          <w:rFonts w:hint="eastAsia" w:ascii="宋体" w:hAnsi="宋体" w:cs="宋体"/>
          <w:bCs/>
          <w:color w:val="auto"/>
          <w:sz w:val="24"/>
          <w:szCs w:val="24"/>
          <w:highlight w:val="none"/>
          <w:u w:val="single"/>
        </w:rPr>
        <w:t xml:space="preserve">         元</w:t>
      </w:r>
      <w:r>
        <w:rPr>
          <w:rFonts w:hint="eastAsia" w:ascii="宋体" w:hAnsi="宋体" w:cs="宋体"/>
          <w:bCs/>
          <w:color w:val="auto"/>
          <w:sz w:val="24"/>
          <w:szCs w:val="24"/>
          <w:highlight w:val="none"/>
        </w:rPr>
        <w:t>。本项目工程范围内如涉及到</w:t>
      </w:r>
      <w:r>
        <w:rPr>
          <w:rFonts w:hint="eastAsia" w:ascii="宋体" w:hAnsi="宋体" w:cs="宋体"/>
          <w:color w:val="auto"/>
          <w:sz w:val="24"/>
          <w:szCs w:val="24"/>
          <w:highlight w:val="none"/>
        </w:rPr>
        <w:t>留守户的临时给水管网、临时用电、临时道路接驳由乙方负责，该项内容涉及的费用已合同总价中包含。</w:t>
      </w:r>
    </w:p>
    <w:p w14:paraId="12AA97C1">
      <w:pPr>
        <w:snapToGrid w:val="0"/>
        <w:spacing w:line="360" w:lineRule="auto"/>
        <w:ind w:firstLine="480" w:firstLineChars="200"/>
        <w:rPr>
          <w:rFonts w:hint="eastAsia" w:ascii="宋体" w:hAnsi="宋体" w:cs="宋体"/>
          <w:bCs/>
          <w:color w:val="auto"/>
          <w:sz w:val="24"/>
          <w:szCs w:val="24"/>
          <w:highlight w:val="none"/>
        </w:rPr>
      </w:pPr>
    </w:p>
    <w:p w14:paraId="1B431A2A">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第二条 拆运程序</w:t>
      </w:r>
    </w:p>
    <w:p w14:paraId="1C99B5F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2.1甲方向乙方指明现场(若有注意事项，如市政、公用设施分布情况及相应保护措施)。</w:t>
      </w:r>
    </w:p>
    <w:p w14:paraId="267F15C6">
      <w:pPr>
        <w:spacing w:line="360" w:lineRule="auto"/>
        <w:rPr>
          <w:rFonts w:hint="eastAsia" w:ascii="宋体" w:hAnsi="宋体" w:cs="宋体"/>
          <w:b/>
          <w:bCs/>
          <w:color w:val="auto"/>
          <w:sz w:val="24"/>
          <w:szCs w:val="24"/>
          <w:highlight w:val="none"/>
        </w:rPr>
      </w:pPr>
      <w:r>
        <w:rPr>
          <w:rFonts w:hint="eastAsia" w:ascii="宋体" w:hAnsi="宋体" w:cs="宋体"/>
          <w:color w:val="auto"/>
          <w:sz w:val="24"/>
          <w:szCs w:val="24"/>
          <w:highlight w:val="none"/>
        </w:rPr>
        <w:t>　　2.2甲方向乙方明确拆运范围为本合同1.2款约定。甲方根据拆除及清运作业的进度要求向乙方发出书面拆除进度明细表（包括但不限于清运进度明细表），按亨元片区、柯庄片区分别划定拆除、清运工作量。乙方收到拆除进度明细表后根据拆除形式确定工期，如采用机械拆除应在7个日历天内完成对应建筑物（含附属物）拆除工作，如采用人力拆除应在15个日历天内完成对应建筑物（含附属物）拆除工作，乙方收到清运进度明细表后应在当月完成对应的碎砖渣土清运工作。</w:t>
      </w:r>
    </w:p>
    <w:p w14:paraId="7401A8B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2.3乙方负责制定安全施工方案(施工方案中应包括：施工方法、施工进度表、安全措施、环保措施等主要内容)，经乙方技术负责人、监理单位（如有）审核后，乙方应严格按照施工方案组织实施。乙方对安全施工方案及相关施工行为负全部责任，甲方对此不承担任何责任，且甲方对施工方案的审核及其结果均不减轻或免除乙方的任何责任。</w:t>
      </w:r>
    </w:p>
    <w:p w14:paraId="5580EBB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2.4乙方指定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为项目负责人，全权负责拆运工程事宜，并及时向甲方代表通报工程拆运有关情况。</w:t>
      </w:r>
    </w:p>
    <w:p w14:paraId="38DBC26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2.5甲方指定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为项目负责人，负责协调施工中有关事宜，并监督施工进度、安全及文明施工。甲方代表对乙方施工中违规操作有权做出处理决定或经济处罚。</w:t>
      </w:r>
    </w:p>
    <w:p w14:paraId="0DA33A8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2.6拆运期限根据本合同约定拆运进度进行，除经甲乙方一致确认的临时安置区等需暂时保留的区域外，均需按本合同约定时间完成拆运工作。</w:t>
      </w:r>
    </w:p>
    <w:p w14:paraId="25C0052E">
      <w:pPr>
        <w:spacing w:line="360" w:lineRule="auto"/>
        <w:ind w:firstLine="555"/>
        <w:rPr>
          <w:rFonts w:hint="eastAsia" w:ascii="宋体" w:hAnsi="宋体" w:cs="宋体"/>
          <w:color w:val="auto"/>
          <w:sz w:val="24"/>
          <w:szCs w:val="24"/>
          <w:highlight w:val="none"/>
        </w:rPr>
      </w:pPr>
      <w:r>
        <w:rPr>
          <w:rFonts w:hint="eastAsia" w:ascii="宋体" w:hAnsi="宋体" w:cs="宋体"/>
          <w:color w:val="auto"/>
          <w:sz w:val="24"/>
          <w:szCs w:val="24"/>
          <w:highlight w:val="none"/>
        </w:rPr>
        <w:t>2.7拆运标准：乙方拆除甲方指定的已签约建筑物（含附属物）并清理运走拆除产生的渣土、清空平整场地后交给甲方验收。乙方拆运工作须经甲方验收通过，否则视为未完成，且对于未拆运完毕的建筑物部分不计任何工程量，甲方无需支付任何进度款或结算款。</w:t>
      </w:r>
    </w:p>
    <w:p w14:paraId="1BCBCC99">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第三条 甲方责任</w:t>
      </w:r>
    </w:p>
    <w:p w14:paraId="0FD0C6A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3.1甲方负责根据拆除及清运作业的进度要求向乙方签发拆除、清运进度明细表明确拆运范围及时间，并应及时完成待拆除集体物业的收楼工作，确保乙方具备开展拆除工作条件。</w:t>
      </w:r>
    </w:p>
    <w:p w14:paraId="097C1814">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3.2甲方指派现场管理人员负责监督乙方拆运过程中的施工、安全及环保工作的执行情况，对发现的问题和存在的隐患，甲方有权做出责令停工整改处理或经济扣罚。</w:t>
      </w:r>
    </w:p>
    <w:p w14:paraId="065F957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 甲方按照合同的约定审核乙方递交的工程款支付申请资料。</w:t>
      </w:r>
    </w:p>
    <w:p w14:paraId="0BF6A4E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 甲方发现乙方在施工现场有违反房屋拆除工程相关安全文明规章制度，如房屋拆除、破碎过程中未按照要求采取防尘洒水等措施，未设置场地内居民区和施工区硬质防护隔离措施，与毗邻建筑应搭设排栅进行防护隔离而未搭设，长期裸土未进行覆盖，留守户的临时给水管网、临时用电、临时道路未按照要求接驳等情况时，甲方有权对乙方处以5000-10000元每次的罚款。</w:t>
      </w:r>
    </w:p>
    <w:p w14:paraId="6556EE53">
      <w:pPr>
        <w:pStyle w:val="8"/>
        <w:rPr>
          <w:rFonts w:hint="eastAsia" w:ascii="宋体" w:hAnsi="宋体" w:cs="宋体"/>
          <w:color w:val="auto"/>
          <w:highlight w:val="none"/>
        </w:rPr>
      </w:pPr>
    </w:p>
    <w:p w14:paraId="531A634C">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第四条 乙方责任</w:t>
      </w:r>
    </w:p>
    <w:p w14:paraId="7B6A2FC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4.1安全责任</w:t>
      </w:r>
    </w:p>
    <w:p w14:paraId="7FE0C22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4.1.1在开工前办理好拆除、运输、供电、城管、安全、消防、环保及交通等有关部门所有拆运及清运审批手续。按照甲方指定的拆运范围和时间，组织人员进场施工。</w:t>
      </w:r>
    </w:p>
    <w:p w14:paraId="03E0293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4.1.2负责制定《拆运工程现场安全操作规章制度》，对施工人员进行安全交底，按安全程序施工并指派现场安全检查员，安全员要制定每日安全施工台账，以备检查。</w:t>
      </w:r>
    </w:p>
    <w:p w14:paraId="6935882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4.1.3建立完善施工现场安全组织机构，明确岗位、职责，在施工中出现的一切安全事故及人身损害、财产损失，由乙方自行解决并承担全部责任，造成甲方或第三方损失的，并承担由此给甲方及第三方造成的经济损失和法律责任（包括不限于赔偿、补偿、律师费、诉讼费、诉讼保全费、诉讼保全保险费/担保费等）。对于现场应配备专职安全生产管理人员而未配备的，甲方有权对乙方进行经济性处罚。</w:t>
      </w:r>
    </w:p>
    <w:p w14:paraId="18C412A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4.1.4接受甲方提出的安全处理意见，并及时改正。否则自愿接受甲方的经济处罚。</w:t>
      </w:r>
    </w:p>
    <w:p w14:paraId="1F90A04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4.1.5为施工人员购买安全保险（施工人员应购买工伤保险，对于拆除作业机手还应当购买意外伤害险），如发生施工人员违反规定的安全操作规程，造成人员意外事故或安全责任事故，由乙方承担全部责任与后果，与甲方无关。</w:t>
      </w:r>
    </w:p>
    <w:p w14:paraId="79A54BD9">
      <w:pPr>
        <w:spacing w:line="360" w:lineRule="auto"/>
        <w:ind w:firstLine="465"/>
        <w:rPr>
          <w:rFonts w:hint="eastAsia" w:ascii="宋体" w:hAnsi="宋体" w:cs="宋体"/>
          <w:color w:val="auto"/>
          <w:sz w:val="24"/>
          <w:szCs w:val="24"/>
          <w:highlight w:val="none"/>
        </w:rPr>
      </w:pPr>
      <w:r>
        <w:rPr>
          <w:rFonts w:hint="eastAsia" w:ascii="宋体" w:hAnsi="宋体" w:cs="宋体"/>
          <w:color w:val="auto"/>
          <w:sz w:val="24"/>
          <w:szCs w:val="24"/>
          <w:highlight w:val="none"/>
        </w:rPr>
        <w:t>4.1.6房屋拆除过程中出现断水、断电及扰民问题，由乙方自行解决与承担相关责任与后果。</w:t>
      </w:r>
    </w:p>
    <w:p w14:paraId="2EDB6530">
      <w:pPr>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4.2环保责任</w:t>
      </w:r>
    </w:p>
    <w:p w14:paraId="7C9C549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4.2.1制定拆运施工方案，提出具体的防止扬尘，降噪音等环保措施。乙方施工中现场扬尘、噪音污染及渣土清运等环保措施，严格按施工方案规定执行。</w:t>
      </w:r>
    </w:p>
    <w:p w14:paraId="670629A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4.2.2拆运工地主要出入口应当设立标牌，标明拆迁人、拆运施工单位、环保负责人、拆运时限等内容。</w:t>
      </w:r>
    </w:p>
    <w:p w14:paraId="2A8AD8A7">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4.2.3拆运工地现场应当设置施工警示标志，设置封闭围档，防止非工作人员进入，防止物料、渣土遗撒，并及时清理工地外围道路与房屋拆除产生的遗散的物料、渣土，适当洒水，防止扬尘。</w:t>
      </w:r>
    </w:p>
    <w:p w14:paraId="55451BAF">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4.2.4拆运工地应按规定办理相关施工证件，经常保持清洁卫生，拆运过程中避免大量扬尘。对拆运的施工垃圾，必须妥善安置，严禁随意乱堆放。</w:t>
      </w:r>
    </w:p>
    <w:p w14:paraId="7757CEE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4.2.5物料、渣土清运时现场出口道路要求用草帘被或大铁板铺设，拆运工地渣土应设专门人员管理，定期洒水和清扫，并配备必要的洒水、排水设施。拆迁工地垃圾应及时清运，现场垃圾堆放总量不得超过60立方米。</w:t>
      </w:r>
    </w:p>
    <w:p w14:paraId="03FAF85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4.2.6物料、渣土清运车辆应按规定装载，遮盖严密，沿途不得遗撒。拆运工地出口应当设置专人清理车身及车轮泥土，确保车辆不带泥上路。</w:t>
      </w:r>
    </w:p>
    <w:p w14:paraId="373FFCE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4.3文明施工</w:t>
      </w:r>
    </w:p>
    <w:p w14:paraId="016CEA9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4.3.1乙方应作好文明施工、安全施工及消防准备工作。</w:t>
      </w:r>
    </w:p>
    <w:p w14:paraId="55E9AD2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4.3.2乙方施工人员应具备相关施工资质且需着装整齐，佩戴统一标识，戴安全帽。</w:t>
      </w:r>
    </w:p>
    <w:p w14:paraId="67EF3EB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4.3.3乙方应保证施工现场内、外清洁卫生，交通道路畅通。</w:t>
      </w:r>
    </w:p>
    <w:p w14:paraId="270C299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4.3.4乙方应保证在用市政、公用设施完好、畅通。</w:t>
      </w:r>
    </w:p>
    <w:p w14:paraId="1CAC011D">
      <w:pPr>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4.4应按约发放人员工资或劳务报酬及供应商材料款等，否则因此产生的一切纠纷应由乙方出面解决并承担相关责任，与甲方无关。</w:t>
      </w:r>
    </w:p>
    <w:p w14:paraId="755EDC96">
      <w:pPr>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4.5负责应由乙方承担的其他工作。</w:t>
      </w:r>
    </w:p>
    <w:p w14:paraId="4C274D18">
      <w:pPr>
        <w:spacing w:line="360" w:lineRule="auto"/>
        <w:ind w:firstLine="840"/>
        <w:rPr>
          <w:rFonts w:hint="eastAsia" w:ascii="宋体" w:hAnsi="宋体" w:cs="宋体"/>
          <w:color w:val="auto"/>
          <w:sz w:val="24"/>
          <w:szCs w:val="24"/>
          <w:highlight w:val="none"/>
        </w:rPr>
      </w:pPr>
      <w:r>
        <w:rPr>
          <w:rFonts w:hint="eastAsia" w:ascii="宋体" w:hAnsi="宋体" w:cs="宋体"/>
          <w:color w:val="auto"/>
          <w:sz w:val="24"/>
          <w:szCs w:val="24"/>
          <w:highlight w:val="none"/>
        </w:rPr>
        <w:t>4.6施工要求</w:t>
      </w:r>
    </w:p>
    <w:p w14:paraId="7C6B4EF1">
      <w:pPr>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1）负责拆除范围内的所有钢筋混凝土板、梁、柱、承台拆除及清运，室内外隔墙拆除及清运，建筑物、构筑物等拆除后的全部建筑废料及垃圾清运，场内障碍物清除(不包括路面、广场、停车场、绿化带、树木迁移)、拆除期间临时便道、市政道路清洁保养、并采取有效的安全文明措施，以上拆除及清运需满足甲方要求，其中垃圾清运标高需达到±0.00。</w:t>
      </w:r>
    </w:p>
    <w:p w14:paraId="563D801D">
      <w:pPr>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（2）负责督促拆除范围被拆除房屋权属人移交房屋及资料，并负责拆除范围入户水电表销户及拆除，拆除范围内水电管线迁改，并确保未被拆除的邻房的供水、供电正常运行。</w:t>
      </w:r>
    </w:p>
    <w:p w14:paraId="7B809F0A">
      <w:pPr>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（3）负责现场脚手架、安全网搭设，拆除方式为人工拆除或机械拆除（拆除的方式以具体楼栋已审批的拆除方案为准，方案需经乙方技术负责人、监理单位（如有）审批）；</w:t>
      </w:r>
    </w:p>
    <w:p w14:paraId="0D1D4A5B">
      <w:pPr>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（4）负责防尘降尘措施，安全围蔽措施，拆除工程施工区域与留守户或居民区应当采用硬质防护进行隔离，拆除后的场地覆盖绿网等措施（达到国家拆除规范标准要求）；</w:t>
      </w:r>
    </w:p>
    <w:p w14:paraId="41B3DD08">
      <w:pPr>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5）拆除后的包括但不限于建筑废料、余泥渣土等废弃物、危险物、有害物由乙方依照国家及地方法律法规自行处理，拆除后建筑垃圾、余泥渣土等废弃物、危险物、有害物必须依法清运至合法地点（运距消纳点具体由拆除单位自行考虑）妥善处置，须符合政府环境要求的相关规定；如按相关法律法规规定，拆除后建筑垃圾、余泥渣土等废弃物、危险物、有害物需委托具有相关资质的第三方运输及处置，乙方应予严格执行，费用由乙方承担；</w:t>
      </w:r>
    </w:p>
    <w:p w14:paraId="2902E19F">
      <w:pPr>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（6）负责地块范围内的建（构）筑物、设备等实施拆除、清运、拆除建筑施工场地、拆除过程雨水的排除、拆除过程中产生的泥浆、污水等排除；</w:t>
      </w:r>
    </w:p>
    <w:p w14:paraId="641C13EB">
      <w:pPr>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（7）负责办理拆除的相关手续，需根据项目所在区域的要求，按城市建设、交通、道路管理部门要求办理相关许可证件。施工现场不提供施工水电，由乙方自行解决。</w:t>
      </w:r>
    </w:p>
    <w:p w14:paraId="55097527">
      <w:pPr>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8）自行负责施工场地内机械调配，现场转运，已视察了周边环境，并清楚该项拆除工程的难点及应采取的措施与费用，如需采用爆破方法的，爆破方法须按有关部门的规定取得相关行政主管部门批准及报甲方确认后才能实施，相关报批手续均由乙方办理。</w:t>
      </w:r>
    </w:p>
    <w:p w14:paraId="58BEFB2F">
      <w:pPr>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9）拆除期间负责对场地内的名木古树等古建筑保护措施，拍好施工前期进场及交付后照片、现场状况资料存档备份并交给甲方。对于古树名木，乙方应当根据现场进行保护，如拆除古树旁边建筑时，应当搭设必要的防护围挡。对于毗邻重要历史文化遗址的建筑，需要拆除时，应当按照经专家论证后的专项拆除方案进行拆除。</w:t>
      </w:r>
    </w:p>
    <w:p w14:paraId="6FDFCAFE">
      <w:pPr>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（10）乙方应当具有广州市道路运输经营许可证、广州市自卸车运输业达标资质证书。</w:t>
      </w:r>
    </w:p>
    <w:p w14:paraId="4855AA82">
      <w:pPr>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11）乙方承担本合同项下所需的包括但不限于拆运费用、安全保障、办理拆除（施工）证件及手续、水电等能源费用、清障费用、辅材摊销和工程验收费、政策性文件规定的所有费用、同周边政府单位包括环卫、城建、市政、公安、交通、建交委、街道办事处、居委会和周边企（事）业单位及周边居民为保证工程质量、进度而发生的协调费用，一切不可预见费、及本合同虽未提及但乙方在完成本工程过程中必须支付的与本工程相关的其他费用。</w:t>
      </w:r>
    </w:p>
    <w:p w14:paraId="00317625">
      <w:pPr>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12）乙方应按当地建设行政主管部门的要求申领本工程的建（构）筑物拆卸施工许可证及办理施工现场余泥、渣土排放手续的证明，方可进行拆除工程，并在建（构）筑物拆卸工程施工许可证规定的期限内开工，逾期施工或者中止施工后恢复施工的，应当重新办理手续或者办理恢复施工许可手续，否则一切后果由乙方自行承担并赔偿甲方损失，期间所产生的一切施工报建手续费用和损失（包括行政罚款等）由乙方自行承担。</w:t>
      </w:r>
    </w:p>
    <w:p w14:paraId="1366F848">
      <w:pPr>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13）乙方必须在甲方项目负责人签名及加盖公章确认“拆迁工程量确认单”后方可对相应建（构）筑物进行拆卸工作，如若违反，且乙方需承担由此带来的一切法律责任和经济责任，甲方概不负责，由此给甲方造成损失的，乙方应予全额赔偿。</w:t>
      </w:r>
    </w:p>
    <w:p w14:paraId="77C6BD59">
      <w:pPr>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（14）为了现场附近和过往群众的安全与方便，根据工程的需要，在必要的时候和地方，或当甲方或有关主管部门要求时，乙方应负责提供照明、警卫、护栅、警告标志等安全防护措施。</w:t>
      </w:r>
    </w:p>
    <w:p w14:paraId="529D0D82">
      <w:pPr>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4.7施工方案、</w:t>
      </w:r>
      <w:r>
        <w:rPr>
          <w:rFonts w:hint="eastAsia" w:ascii="宋体" w:hAnsi="宋体"/>
          <w:color w:val="auto"/>
          <w:sz w:val="24"/>
          <w:szCs w:val="24"/>
          <w:highlight w:val="none"/>
          <w:u w:val="single"/>
        </w:rPr>
        <w:t>技术方案等实施情况与相关村委达成一致意见，进行项目全面交底。</w:t>
      </w:r>
    </w:p>
    <w:p w14:paraId="251C29C6">
      <w:pPr>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4.8政府部门或甲方指定的其他事项，如协助、配合甲方开展签约动迁工作。</w:t>
      </w:r>
    </w:p>
    <w:p w14:paraId="2C1E3291">
      <w:pPr>
        <w:pStyle w:val="53"/>
        <w:jc w:val="left"/>
        <w:rPr>
          <w:rFonts w:hint="eastAsia" w:ascii="宋体" w:hAnsi="宋体" w:cs="宋体"/>
          <w:color w:val="auto"/>
          <w:sz w:val="24"/>
          <w:szCs w:val="24"/>
          <w:highlight w:val="none"/>
        </w:rPr>
      </w:pPr>
    </w:p>
    <w:p w14:paraId="068D96FB">
      <w:pPr>
        <w:spacing w:line="360" w:lineRule="auto"/>
        <w:rPr>
          <w:rFonts w:hint="eastAsia" w:ascii="宋体" w:hAnsi="宋体" w:cs="宋体"/>
          <w:color w:val="auto"/>
          <w:sz w:val="24"/>
          <w:szCs w:val="24"/>
          <w:highlight w:val="none"/>
        </w:rPr>
      </w:pPr>
      <w:r>
        <w:rPr>
          <w:rFonts w:hint="eastAsia" w:ascii="宋体" w:hAnsi="宋体" w:cs="宋体"/>
          <w:b/>
          <w:color w:val="auto"/>
          <w:sz w:val="24"/>
          <w:szCs w:val="24"/>
          <w:highlight w:val="none"/>
        </w:rPr>
        <w:t>第五条 拆运工程费及支付方式</w:t>
      </w:r>
    </w:p>
    <w:p w14:paraId="0D0A180E">
      <w:pPr>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5.1拆运工程费</w:t>
      </w:r>
    </w:p>
    <w:p w14:paraId="727C2368">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sz w:val="24"/>
          <w:szCs w:val="24"/>
          <w:highlight w:val="none"/>
        </w:rPr>
        <w:t>5.1.1本项目</w:t>
      </w:r>
      <w:r>
        <w:rPr>
          <w:rFonts w:hint="eastAsia" w:ascii="宋体" w:hAnsi="宋体" w:cs="宋体"/>
          <w:bCs/>
          <w:color w:val="auto"/>
          <w:sz w:val="24"/>
          <w:szCs w:val="24"/>
          <w:highlight w:val="none"/>
        </w:rPr>
        <w:t>工程量清单</w:t>
      </w:r>
      <w:r>
        <w:rPr>
          <w:rFonts w:hint="eastAsia" w:ascii="宋体" w:hAnsi="宋体" w:cs="宋体"/>
          <w:bCs/>
          <w:color w:val="auto"/>
          <w:sz w:val="24"/>
          <w:szCs w:val="24"/>
          <w:highlight w:val="none"/>
          <w:lang w:val="en-US" w:eastAsia="zh-CN"/>
        </w:rPr>
        <w:t>全费用</w:t>
      </w:r>
      <w:r>
        <w:rPr>
          <w:rFonts w:hint="eastAsia" w:ascii="宋体" w:hAnsi="宋体" w:cs="宋体"/>
          <w:color w:val="auto"/>
          <w:sz w:val="24"/>
          <w:szCs w:val="24"/>
          <w:highlight w:val="none"/>
        </w:rPr>
        <w:t>综合单价包干，本项目合同综合单价（即中标单位投标综合单价）为：机械拆除</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元/平方、人工拆除</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元/平方、附属物拆除</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元/平方。</w:t>
      </w:r>
      <w:r>
        <w:rPr>
          <w:rFonts w:hint="eastAsia" w:ascii="宋体" w:hAnsi="宋体"/>
          <w:color w:val="auto"/>
          <w:sz w:val="24"/>
          <w:highlight w:val="none"/>
        </w:rPr>
        <w:t>上述单价已经包括拆除后建筑垃圾清运至合法地点，以及土地平整至指定标高、并确保未被拆除的邻房的供水、供电正常运行等的一切费用（详见条款第四条及第五条5.1.3）。</w:t>
      </w:r>
      <w:r>
        <w:rPr>
          <w:rFonts w:hint="eastAsia" w:ascii="宋体" w:hAnsi="宋体"/>
          <w:color w:val="auto"/>
          <w:sz w:val="24"/>
          <w:szCs w:val="24"/>
          <w:highlight w:val="none"/>
        </w:rPr>
        <w:t>如非</w:t>
      </w:r>
      <w:r>
        <w:rPr>
          <w:rFonts w:hint="eastAsia" w:ascii="宋体" w:hAnsi="宋体"/>
          <w:color w:val="auto"/>
          <w:sz w:val="24"/>
          <w:szCs w:val="24"/>
          <w:highlight w:val="none"/>
          <w:lang w:val="en-US" w:eastAsia="zh-CN"/>
        </w:rPr>
        <w:t>区政府部门</w:t>
      </w:r>
      <w:r>
        <w:rPr>
          <w:rFonts w:hint="eastAsia" w:ascii="宋体" w:hAnsi="宋体"/>
          <w:color w:val="auto"/>
          <w:sz w:val="24"/>
          <w:szCs w:val="24"/>
          <w:highlight w:val="none"/>
        </w:rPr>
        <w:t>对拆除工程单价调整，本合同工程结算时不调整。</w:t>
      </w:r>
    </w:p>
    <w:p w14:paraId="3DB4256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5.1.2工程量。暂定地块需拆除建筑物面积为</w:t>
      </w:r>
      <w:r>
        <w:rPr>
          <w:rFonts w:hint="eastAsia" w:ascii="宋体" w:hAnsi="宋体"/>
          <w:color w:val="auto"/>
          <w:sz w:val="24"/>
          <w:highlight w:val="none"/>
          <w:u w:val="single"/>
        </w:rPr>
        <w:t xml:space="preserve">    </w:t>
      </w:r>
      <w:r>
        <w:rPr>
          <w:rFonts w:hint="eastAsia" w:ascii="宋体" w:hAnsi="宋体"/>
          <w:color w:val="auto"/>
          <w:sz w:val="24"/>
          <w:highlight w:val="none"/>
        </w:rPr>
        <w:t>平方米；构筑物面积约为       平方米。最终工程量按实际</w:t>
      </w:r>
      <w:r>
        <w:rPr>
          <w:rFonts w:hint="eastAsia" w:ascii="宋体" w:hAnsi="宋体" w:cs="宋体"/>
          <w:color w:val="auto"/>
          <w:sz w:val="24"/>
          <w:szCs w:val="24"/>
          <w:highlight w:val="none"/>
        </w:rPr>
        <w:t>乙方已拆运完毕且经甲方及征收业主单位验收通过并确认</w:t>
      </w:r>
      <w:r>
        <w:rPr>
          <w:rFonts w:hint="eastAsia" w:ascii="宋体" w:hAnsi="宋体"/>
          <w:color w:val="auto"/>
          <w:sz w:val="24"/>
          <w:highlight w:val="none"/>
        </w:rPr>
        <w:t>的实际工程量为准。除此之外拆除其余设施均不再计算工程量。</w:t>
      </w:r>
    </w:p>
    <w:p w14:paraId="5037485B">
      <w:pPr>
        <w:spacing w:line="360" w:lineRule="auto"/>
        <w:ind w:firstLine="480" w:firstLineChars="200"/>
        <w:rPr>
          <w:rFonts w:hint="eastAsia" w:ascii="宋体" w:hAnsi="宋体" w:cs="宋体"/>
          <w:color w:val="auto"/>
          <w:sz w:val="24"/>
          <w:szCs w:val="24"/>
          <w:highlight w:val="none"/>
        </w:rPr>
      </w:pPr>
      <w:r>
        <w:rPr>
          <w:rFonts w:hint="eastAsia" w:ascii="宋体" w:hAnsi="宋体"/>
          <w:color w:val="auto"/>
          <w:sz w:val="24"/>
          <w:highlight w:val="none"/>
        </w:rPr>
        <w:t>5.1.3合同暂定价款。按照工程量和工程单价计算。本合同的工程价款暂定为人民币</w:t>
      </w:r>
      <w:r>
        <w:rPr>
          <w:rFonts w:hint="eastAsia" w:ascii="宋体" w:hAnsi="宋体"/>
          <w:color w:val="auto"/>
          <w:sz w:val="24"/>
          <w:highlight w:val="none"/>
          <w:u w:val="single"/>
        </w:rPr>
        <w:t xml:space="preserve">          </w:t>
      </w:r>
      <w:r>
        <w:rPr>
          <w:rFonts w:hint="eastAsia" w:ascii="宋体" w:hAnsi="宋体"/>
          <w:color w:val="auto"/>
          <w:sz w:val="24"/>
          <w:highlight w:val="none"/>
        </w:rPr>
        <w:t>元（大写：</w:t>
      </w:r>
      <w:r>
        <w:rPr>
          <w:rFonts w:hint="eastAsia" w:ascii="宋体" w:hAnsi="宋体"/>
          <w:color w:val="auto"/>
          <w:sz w:val="24"/>
          <w:highlight w:val="none"/>
          <w:u w:val="single"/>
        </w:rPr>
        <w:t xml:space="preserve">            </w:t>
      </w:r>
      <w:r>
        <w:rPr>
          <w:rFonts w:hint="eastAsia" w:ascii="宋体" w:hAnsi="宋体"/>
          <w:color w:val="auto"/>
          <w:sz w:val="24"/>
          <w:highlight w:val="none"/>
        </w:rPr>
        <w:t>）计算式如下：</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元（保留两位小数）。</w:t>
      </w:r>
      <w:r>
        <w:rPr>
          <w:rFonts w:hint="eastAsia" w:ascii="宋体" w:hAnsi="宋体" w:cs="宋体"/>
          <w:bCs/>
          <w:snapToGrid w:val="0"/>
          <w:color w:val="auto"/>
          <w:kern w:val="0"/>
          <w:sz w:val="24"/>
          <w:szCs w:val="24"/>
          <w:highlight w:val="none"/>
        </w:rPr>
        <w:t>工程结算价款以区相关部门或其授权单位审定结算为准。如遇审计部门审计发现本合同结算价款存在超付的情形，甲方有权据实要求乙方返还该部分款项。</w:t>
      </w:r>
    </w:p>
    <w:p w14:paraId="08B87405">
      <w:pPr>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合同含税</w:t>
      </w:r>
      <w:r>
        <w:rPr>
          <w:rFonts w:hint="eastAsia" w:ascii="宋体" w:hAnsi="宋体" w:cs="宋体"/>
          <w:bCs/>
          <w:color w:val="auto"/>
          <w:sz w:val="24"/>
          <w:szCs w:val="24"/>
          <w:highlight w:val="none"/>
          <w:lang w:val="en-US" w:eastAsia="zh-CN"/>
        </w:rPr>
        <w:t>全费用</w:t>
      </w:r>
      <w:r>
        <w:rPr>
          <w:rFonts w:hint="eastAsia" w:ascii="宋体" w:hAnsi="宋体" w:cs="宋体"/>
          <w:color w:val="auto"/>
          <w:sz w:val="24"/>
          <w:szCs w:val="24"/>
          <w:highlight w:val="none"/>
        </w:rPr>
        <w:t>综合单价包括但不限于完成上述工作所涉及的报批费 (如有)、房屋拆除(包含地梁等基础的拆除及清理)、设施拆除、砖渣清运、场地平整、拆除房屋的电线拆除、水管拆除（包含拆迁过程中因拆迁原因产生的自来水水损费用）、网线拆除(不含军用网线迁移，不包含表前的电)人工费、人工拆除费、专家论证费用、机械费、企业管理费、利润、规费、税金、安全文明施工费(可能产生政府要求的人脸识别、监控系统综合考虑在此费用中)、风险费用、措施费(含施工水电费及洗车水、电费用)、抑尘费(安全文明施工及控制抑尘要符合当地政府相关部门要求，覆盖绿网等费用考虑在综合单价中)、赶工费、炮损费、道路防护费、抽排水台班费、环卫费、施工噪音排污费、噪音扰民协调处理协调费及其他费用、场内外垂直及水平运输费、建筑垃圾及渣土清运费、场内机械多次转运费、密闭运输费用、障碍物拆除等)、临时设施费、运输与装卸费、两次或两次以上人员及机械进出场费、高温施工(补贴)费、雨季施工增加费、设备保险费、施工人员保险费、所有工人与工程管理人员的劳动保护及社会保险费、风险费、余泥排放许可证办理费用、余泥排放费、雨天淤泥处理措施费用、临时排水、施工雨水的排放费、临时设施搭设费、洗车槽及周边排水管沟泥土清理、搭设防护外架的费用等、一切不可预见费、及本合同虽未提及但乙方在完成拆除过程中必须支付的相关的其他费用。除综合单价及甲方确认乙方实际完成的工程量外，甲方不再对工程量清单之外的项目或工作进行计价或计量。</w:t>
      </w:r>
    </w:p>
    <w:p w14:paraId="1CB8006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5.2</w:t>
      </w:r>
      <w:r>
        <w:rPr>
          <w:rFonts w:hint="eastAsia" w:ascii="宋体" w:hAnsi="宋体" w:cs="宋体"/>
          <w:b/>
          <w:color w:val="auto"/>
          <w:sz w:val="24"/>
          <w:szCs w:val="24"/>
          <w:highlight w:val="none"/>
        </w:rPr>
        <w:t>支付方式</w:t>
      </w:r>
    </w:p>
    <w:p w14:paraId="3EE9CC48">
      <w:pPr>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甲方根据乙方的分期完成工程量明细的实施方案，乙方按合同约定完成约定工程量和履行其他义务的前提下，甲方按以下方式支付拆运工程费:</w:t>
      </w:r>
    </w:p>
    <w:p w14:paraId="26B15131">
      <w:pPr>
        <w:spacing w:line="360" w:lineRule="auto"/>
        <w:ind w:firstLine="560"/>
        <w:rPr>
          <w:rFonts w:hint="eastAsia" w:ascii="宋体" w:hAnsi="宋体" w:cs="宋体"/>
          <w:color w:val="auto"/>
          <w:sz w:val="24"/>
          <w:highlight w:val="none"/>
        </w:rPr>
      </w:pPr>
      <w:r>
        <w:rPr>
          <w:rFonts w:hint="eastAsia" w:ascii="宋体" w:hAnsi="宋体" w:cs="宋体"/>
          <w:color w:val="auto"/>
          <w:sz w:val="24"/>
          <w:szCs w:val="24"/>
          <w:highlight w:val="none"/>
        </w:rPr>
        <w:t>5.2.1工程预付款。</w:t>
      </w:r>
      <w:r>
        <w:rPr>
          <w:rFonts w:hint="eastAsia" w:ascii="宋体" w:hAnsi="宋体" w:cs="宋体"/>
          <w:color w:val="auto"/>
          <w:sz w:val="24"/>
          <w:highlight w:val="none"/>
        </w:rPr>
        <w:t>甲方向乙方预付工程款的时间和金额或占合同价款总额的比例：合同签订生效后，满足</w:t>
      </w:r>
      <w:r>
        <w:rPr>
          <w:rFonts w:hint="eastAsia" w:ascii="宋体" w:hAnsi="宋体" w:cs="宋体"/>
          <w:color w:val="auto"/>
          <w:sz w:val="24"/>
          <w:szCs w:val="24"/>
          <w:highlight w:val="none"/>
        </w:rPr>
        <w:t xml:space="preserve"> 5.2.7</w:t>
      </w:r>
      <w:r>
        <w:rPr>
          <w:rFonts w:hint="eastAsia" w:ascii="宋体" w:hAnsi="宋体" w:cs="宋体"/>
          <w:color w:val="auto"/>
          <w:sz w:val="24"/>
          <w:highlight w:val="none"/>
        </w:rPr>
        <w:t>款约定条件、乙方向甲方提供履约保函及项目资金拨款到位后，乙方向甲方提交书面请款申请，经业主单位审核同意且项目资金拨款到位后，向乙方支付预付合同暂定价的</w:t>
      </w:r>
      <w:r>
        <w:rPr>
          <w:rFonts w:hint="eastAsia" w:ascii="宋体" w:hAnsi="宋体" w:cs="宋体"/>
          <w:color w:val="auto"/>
          <w:sz w:val="24"/>
          <w:highlight w:val="none"/>
          <w:u w:val="single"/>
        </w:rPr>
        <w:t>20</w:t>
      </w:r>
      <w:r>
        <w:rPr>
          <w:rFonts w:hint="eastAsia" w:ascii="宋体" w:hAnsi="宋体" w:cs="宋体"/>
          <w:color w:val="auto"/>
          <w:sz w:val="24"/>
          <w:highlight w:val="none"/>
        </w:rPr>
        <w:t>%作为预付款。预付款中，（预付款×工人工资比例）的部分需支付至工人工资专用账户。工人工资比例暂定为15%。</w:t>
      </w:r>
    </w:p>
    <w:p w14:paraId="4CE48FE5">
      <w:pPr>
        <w:snapToGrid w:val="0"/>
        <w:spacing w:line="440" w:lineRule="exact"/>
        <w:ind w:firstLine="338" w:firstLineChars="141"/>
        <w:rPr>
          <w:color w:val="auto"/>
          <w:highlight w:val="none"/>
        </w:rPr>
      </w:pPr>
      <w:r>
        <w:rPr>
          <w:rFonts w:hint="eastAsia" w:ascii="宋体" w:hAnsi="宋体" w:cs="宋体"/>
          <w:color w:val="auto"/>
          <w:sz w:val="24"/>
          <w:highlight w:val="none"/>
        </w:rPr>
        <w:t>5.2.2乙方</w:t>
      </w:r>
      <w:r>
        <w:rPr>
          <w:rFonts w:ascii="宋体" w:hAnsi="宋体" w:cs="宋体"/>
          <w:color w:val="auto"/>
          <w:sz w:val="24"/>
          <w:highlight w:val="none"/>
        </w:rPr>
        <w:t>收取预付款后，应优先用于按有关规定缴纳工伤保险和办理建筑意外伤害险，专款专用。</w:t>
      </w:r>
    </w:p>
    <w:p w14:paraId="5F408953">
      <w:pPr>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5.2.3进度款。乙方每月28号前上报完成工程量报表【对于未拆运完毕的建筑物部分不计任何工程量，不列入工程量报表】，甲方基于拆除面积，按照投标综合单价标准核定产值，经监理单位（如有）审核及甲方审核确认后，乙方可向甲方请款资料。经业主单位同意且</w:t>
      </w:r>
      <w:r>
        <w:rPr>
          <w:rFonts w:hint="eastAsia" w:ascii="宋体" w:hAnsi="宋体" w:cs="宋体"/>
          <w:color w:val="auto"/>
          <w:sz w:val="24"/>
          <w:highlight w:val="none"/>
        </w:rPr>
        <w:t>项目资金</w:t>
      </w:r>
      <w:r>
        <w:rPr>
          <w:rFonts w:hint="eastAsia" w:ascii="宋体" w:hAnsi="宋体" w:cs="宋体"/>
          <w:color w:val="auto"/>
          <w:sz w:val="24"/>
          <w:szCs w:val="24"/>
          <w:highlight w:val="none"/>
        </w:rPr>
        <w:t>到位后30个工作日向乙方支付至对应产值的85%；</w:t>
      </w:r>
    </w:p>
    <w:p w14:paraId="03B8DE58">
      <w:pPr>
        <w:pStyle w:val="3"/>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b w:val="0"/>
          <w:bCs w:val="0"/>
          <w:color w:val="auto"/>
          <w:sz w:val="24"/>
          <w:highlight w:val="none"/>
        </w:rPr>
        <w:t>5.2.4从本工程发生的第一次进度款支付起，甲方每次按审定进度款的50%扣回预付款，直至预付款全部扣回完毕止。预付款扣回完毕后，甲方按审定月度完成产值的85%支付工程进度款；工程完工，累计支付工程款至合同价85%。</w:t>
      </w:r>
    </w:p>
    <w:p w14:paraId="3611C046">
      <w:pPr>
        <w:pStyle w:val="3"/>
        <w:snapToGrid w:val="0"/>
        <w:spacing w:line="44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szCs w:val="24"/>
          <w:highlight w:val="none"/>
        </w:rPr>
        <w:t>5.2.5本项目完成全部拆除工作后，</w:t>
      </w:r>
      <w:r>
        <w:rPr>
          <w:rFonts w:ascii="宋体" w:hAnsi="宋体" w:cs="宋体"/>
          <w:b w:val="0"/>
          <w:bCs w:val="0"/>
          <w:color w:val="auto"/>
          <w:sz w:val="24"/>
          <w:highlight w:val="none"/>
        </w:rPr>
        <w:t>工程通过验收并经</w:t>
      </w:r>
      <w:r>
        <w:rPr>
          <w:rFonts w:hint="eastAsia" w:ascii="宋体" w:hAnsi="宋体" w:cs="宋体"/>
          <w:b w:val="0"/>
          <w:bCs w:val="0"/>
          <w:snapToGrid w:val="0"/>
          <w:color w:val="auto"/>
          <w:kern w:val="0"/>
          <w:sz w:val="24"/>
          <w:szCs w:val="24"/>
          <w:highlight w:val="none"/>
        </w:rPr>
        <w:t>区相关部门或其授权单位</w:t>
      </w:r>
      <w:r>
        <w:rPr>
          <w:rFonts w:ascii="宋体" w:hAnsi="宋体" w:cs="宋体"/>
          <w:b w:val="0"/>
          <w:bCs w:val="0"/>
          <w:color w:val="auto"/>
          <w:sz w:val="24"/>
          <w:highlight w:val="none"/>
        </w:rPr>
        <w:t>审定施工结算后支付工程款</w:t>
      </w:r>
      <w:r>
        <w:rPr>
          <w:rFonts w:hint="eastAsia" w:ascii="宋体" w:hAnsi="宋体" w:cs="宋体"/>
          <w:b w:val="0"/>
          <w:bCs w:val="0"/>
          <w:color w:val="auto"/>
          <w:sz w:val="24"/>
          <w:highlight w:val="none"/>
        </w:rPr>
        <w:t>至结算价的100%</w:t>
      </w:r>
      <w:r>
        <w:rPr>
          <w:rFonts w:ascii="宋体" w:hAnsi="宋体" w:cs="宋体"/>
          <w:b w:val="0"/>
          <w:bCs w:val="0"/>
          <w:color w:val="auto"/>
          <w:sz w:val="24"/>
          <w:highlight w:val="none"/>
        </w:rPr>
        <w:t>。</w:t>
      </w:r>
    </w:p>
    <w:p w14:paraId="33D89A64">
      <w:pPr>
        <w:snapToGrid w:val="0"/>
        <w:spacing w:line="440" w:lineRule="exact"/>
        <w:ind w:firstLine="480" w:firstLineChars="200"/>
        <w:rPr>
          <w:rFonts w:hint="eastAsia" w:ascii="宋体" w:hAnsi="宋体"/>
          <w:color w:val="auto"/>
          <w:sz w:val="24"/>
          <w:highlight w:val="none"/>
        </w:rPr>
      </w:pPr>
      <w:r>
        <w:rPr>
          <w:rFonts w:hint="eastAsia" w:ascii="宋体" w:hAnsi="宋体" w:cs="宋体"/>
          <w:color w:val="auto"/>
          <w:sz w:val="24"/>
          <w:szCs w:val="24"/>
          <w:highlight w:val="none"/>
        </w:rPr>
        <w:t xml:space="preserve">5.2.6 </w:t>
      </w:r>
      <w:r>
        <w:rPr>
          <w:rFonts w:hint="eastAsia" w:ascii="宋体" w:hAnsi="宋体"/>
          <w:color w:val="auto"/>
          <w:sz w:val="24"/>
          <w:highlight w:val="none"/>
        </w:rPr>
        <w:t>根据征收业主单位（单位名称）授权，甲方为本工程代建单位。因本工程</w:t>
      </w:r>
      <w:r>
        <w:rPr>
          <w:rFonts w:hint="eastAsia" w:ascii="宋体" w:hAnsi="宋体"/>
          <w:color w:val="auto"/>
          <w:sz w:val="24"/>
          <w:highlight w:val="none"/>
          <w:u w:val="single"/>
        </w:rPr>
        <w:t xml:space="preserve">   （支付单位）    </w:t>
      </w:r>
      <w:r>
        <w:rPr>
          <w:rFonts w:hint="eastAsia" w:ascii="宋体" w:hAnsi="宋体"/>
          <w:color w:val="auto"/>
          <w:sz w:val="24"/>
          <w:highlight w:val="none"/>
        </w:rPr>
        <w:t>为本工程实际出资付款者，负有支付责任。同时根据违约责任的规定，若乙方出于自身的违约行为需要对甲方承担相应赔偿责任时，其实际赔偿金将支付至</w:t>
      </w:r>
      <w:r>
        <w:rPr>
          <w:rFonts w:hint="eastAsia" w:ascii="宋体" w:hAnsi="宋体"/>
          <w:color w:val="auto"/>
          <w:sz w:val="24"/>
          <w:highlight w:val="none"/>
          <w:u w:val="single"/>
        </w:rPr>
        <w:t xml:space="preserve">   （支付单位）    </w:t>
      </w:r>
      <w:r>
        <w:rPr>
          <w:rFonts w:hint="eastAsia" w:ascii="宋体" w:hAnsi="宋体"/>
          <w:color w:val="auto"/>
          <w:sz w:val="24"/>
          <w:highlight w:val="none"/>
        </w:rPr>
        <w:t>。</w:t>
      </w:r>
    </w:p>
    <w:p w14:paraId="0BD20841">
      <w:pPr>
        <w:snapToGrid w:val="0"/>
        <w:spacing w:line="440" w:lineRule="exact"/>
        <w:ind w:firstLine="480" w:firstLineChars="200"/>
        <w:rPr>
          <w:rFonts w:hint="eastAsia" w:ascii="宋体" w:hAnsi="宋体" w:cs="宋体"/>
          <w:bCs/>
          <w:snapToGrid w:val="0"/>
          <w:color w:val="auto"/>
          <w:kern w:val="0"/>
          <w:sz w:val="24"/>
          <w:szCs w:val="24"/>
          <w:highlight w:val="none"/>
        </w:rPr>
      </w:pPr>
      <w:r>
        <w:rPr>
          <w:rFonts w:hint="eastAsia" w:ascii="宋体" w:hAnsi="宋体"/>
          <w:color w:val="auto"/>
          <w:sz w:val="24"/>
          <w:highlight w:val="none"/>
        </w:rPr>
        <w:t>由于项目资金来源于</w:t>
      </w:r>
      <w:r>
        <w:rPr>
          <w:rFonts w:hint="eastAsia" w:ascii="宋体" w:hAnsi="宋体" w:cs="宋体"/>
          <w:color w:val="auto"/>
          <w:sz w:val="24"/>
          <w:highlight w:val="none"/>
        </w:rPr>
        <w:t>专项项目资金</w:t>
      </w:r>
      <w:r>
        <w:rPr>
          <w:rFonts w:hint="eastAsia" w:ascii="宋体" w:hAnsi="宋体"/>
          <w:color w:val="auto"/>
          <w:sz w:val="24"/>
          <w:highlight w:val="none"/>
        </w:rPr>
        <w:t>，由</w:t>
      </w:r>
      <w:r>
        <w:rPr>
          <w:rFonts w:hint="eastAsia" w:ascii="宋体" w:hAnsi="宋体"/>
          <w:color w:val="auto"/>
          <w:sz w:val="24"/>
          <w:highlight w:val="none"/>
          <w:u w:val="single"/>
        </w:rPr>
        <w:t xml:space="preserve">   （支付单位）    </w:t>
      </w:r>
      <w:r>
        <w:rPr>
          <w:rFonts w:hint="eastAsia" w:ascii="宋体" w:hAnsi="宋体"/>
          <w:color w:val="auto"/>
          <w:sz w:val="24"/>
          <w:highlight w:val="none"/>
        </w:rPr>
        <w:t>建账管理</w:t>
      </w:r>
      <w:r>
        <w:rPr>
          <w:rFonts w:hint="eastAsia" w:ascii="仿宋" w:hAnsi="仿宋" w:eastAsia="仿宋" w:cs="仿宋"/>
          <w:color w:val="auto"/>
          <w:kern w:val="0"/>
          <w:sz w:val="24"/>
          <w:szCs w:val="24"/>
          <w:highlight w:val="none"/>
        </w:rPr>
        <w:t>，</w:t>
      </w:r>
      <w:r>
        <w:rPr>
          <w:rFonts w:hint="eastAsia" w:ascii="宋体" w:hAnsi="宋体"/>
          <w:color w:val="auto"/>
          <w:sz w:val="24"/>
          <w:highlight w:val="none"/>
        </w:rPr>
        <w:t>办理付款手续前，乙方应当开具以</w:t>
      </w:r>
      <w:r>
        <w:rPr>
          <w:rFonts w:hint="eastAsia" w:ascii="宋体" w:hAnsi="宋体"/>
          <w:color w:val="auto"/>
          <w:sz w:val="24"/>
          <w:highlight w:val="none"/>
          <w:u w:val="single"/>
        </w:rPr>
        <w:t xml:space="preserve">   （支付单位）    </w:t>
      </w:r>
      <w:r>
        <w:rPr>
          <w:rFonts w:hint="eastAsia" w:ascii="宋体" w:hAnsi="宋体"/>
          <w:color w:val="auto"/>
          <w:sz w:val="24"/>
          <w:highlight w:val="none"/>
        </w:rPr>
        <w:t>为抬头的等额、合法、有效且符合</w:t>
      </w:r>
      <w:r>
        <w:rPr>
          <w:rFonts w:hint="eastAsia" w:ascii="宋体" w:hAnsi="宋体"/>
          <w:color w:val="auto"/>
          <w:sz w:val="24"/>
          <w:highlight w:val="none"/>
          <w:u w:val="single"/>
        </w:rPr>
        <w:t xml:space="preserve">   （支付单位）    </w:t>
      </w:r>
      <w:r>
        <w:rPr>
          <w:rFonts w:hint="eastAsia" w:ascii="宋体" w:hAnsi="宋体"/>
          <w:color w:val="auto"/>
          <w:sz w:val="24"/>
          <w:highlight w:val="none"/>
        </w:rPr>
        <w:t>财务制度要求的发票及相关请款资料给甲方。</w:t>
      </w:r>
      <w:r>
        <w:rPr>
          <w:rFonts w:hint="eastAsia" w:ascii="宋体" w:hAnsi="宋体" w:cs="宋体"/>
          <w:color w:val="auto"/>
          <w:sz w:val="24"/>
          <w:highlight w:val="none"/>
        </w:rPr>
        <w:t>办理工程款财政请款手续的时间不计入付款期限。</w:t>
      </w:r>
    </w:p>
    <w:p w14:paraId="40267C45">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5.2.7</w:t>
      </w:r>
      <w:r>
        <w:rPr>
          <w:rFonts w:hint="eastAsia" w:ascii="宋体" w:hAnsi="宋体" w:cs="宋体"/>
          <w:color w:val="auto"/>
          <w:sz w:val="24"/>
          <w:highlight w:val="none"/>
        </w:rPr>
        <w:t>预付款支付条件。</w:t>
      </w:r>
      <w:r>
        <w:rPr>
          <w:rFonts w:hint="eastAsia" w:ascii="宋体" w:hAnsi="宋体" w:cs="宋体"/>
          <w:color w:val="auto"/>
          <w:sz w:val="24"/>
          <w:szCs w:val="24"/>
          <w:highlight w:val="none"/>
        </w:rPr>
        <w:t>乙方已与甲方签订施工合同，乙方承诺的项目管理人员、机械设备到位。已生效的履约担保已按甲方要求准时提交甲方，工程已经监理单位（如有）批准动工，该工程专项款项已到位。</w:t>
      </w:r>
    </w:p>
    <w:p w14:paraId="627B9E99">
      <w:pPr>
        <w:pStyle w:val="8"/>
        <w:rPr>
          <w:rFonts w:hint="eastAsia" w:ascii="宋体" w:hAnsi="宋体" w:cs="宋体"/>
          <w:color w:val="auto"/>
          <w:sz w:val="24"/>
          <w:szCs w:val="24"/>
          <w:highlight w:val="none"/>
        </w:rPr>
      </w:pPr>
    </w:p>
    <w:p w14:paraId="6C29C91F">
      <w:pPr>
        <w:pStyle w:val="53"/>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5.3  乙方指定的如下收款账号：</w:t>
      </w:r>
    </w:p>
    <w:p w14:paraId="21B7A580">
      <w:pPr>
        <w:pStyle w:val="53"/>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户名： </w:t>
      </w:r>
    </w:p>
    <w:p w14:paraId="2A33D715">
      <w:pPr>
        <w:pStyle w:val="53"/>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收款账号： </w:t>
      </w:r>
    </w:p>
    <w:p w14:paraId="5CE67D55">
      <w:pPr>
        <w:pStyle w:val="18"/>
        <w:ind w:left="0" w:lef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开户行： </w:t>
      </w:r>
    </w:p>
    <w:p w14:paraId="4DA6BAA8">
      <w:pPr>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乙方如需变更收款账号的，应及时书面通知甲方，若乙方未及时书面通知，导致甲方按约定向上述账号支付款项，视为甲方已履行完毕付款义务，若存在付款障碍的，不视为甲方违约，因通知不到位所导致的相关后果由乙方自行承担。</w:t>
      </w:r>
    </w:p>
    <w:p w14:paraId="6A83EB27">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第六条 竣工验收与结算</w:t>
      </w:r>
    </w:p>
    <w:p w14:paraId="2C331EBF">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6.1竣工验收</w:t>
      </w:r>
    </w:p>
    <w:p w14:paraId="4C868FED">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6.1</w:t>
      </w:r>
      <w:r>
        <w:rPr>
          <w:rFonts w:ascii="宋体" w:hAnsi="宋体" w:cs="宋体"/>
          <w:color w:val="auto"/>
          <w:sz w:val="24"/>
          <w:highlight w:val="none"/>
        </w:rPr>
        <w:t xml:space="preserve">.1 </w:t>
      </w:r>
      <w:r>
        <w:rPr>
          <w:rFonts w:hint="eastAsia" w:ascii="宋体" w:hAnsi="宋体" w:cs="宋体"/>
          <w:color w:val="auto"/>
          <w:sz w:val="24"/>
          <w:highlight w:val="none"/>
        </w:rPr>
        <w:t>乙方提供竣工资料的约定：</w:t>
      </w:r>
      <w:r>
        <w:rPr>
          <w:rFonts w:hint="eastAsia" w:ascii="宋体" w:hAnsi="宋体" w:cs="宋体"/>
          <w:color w:val="auto"/>
          <w:sz w:val="24"/>
          <w:highlight w:val="none"/>
          <w:u w:val="single"/>
        </w:rPr>
        <w:t>乙方工程竣工资料必须按照征收业主单位的要求进行整理归档。</w:t>
      </w:r>
      <w:r>
        <w:rPr>
          <w:rFonts w:hint="eastAsia" w:ascii="宋体" w:hAnsi="宋体" w:cs="宋体"/>
          <w:color w:val="auto"/>
          <w:sz w:val="24"/>
          <w:highlight w:val="none"/>
        </w:rPr>
        <w:t>乙方</w:t>
      </w:r>
      <w:r>
        <w:rPr>
          <w:rFonts w:hint="eastAsia" w:ascii="宋体" w:hAnsi="宋体" w:cs="宋体"/>
          <w:color w:val="auto"/>
          <w:sz w:val="24"/>
          <w:highlight w:val="none"/>
          <w:u w:val="single"/>
        </w:rPr>
        <w:t>在工程竣工验收合格后四十五个日历天内，向甲方提供符合要求按规格编制成册的竣工案资料一式伍份。</w:t>
      </w:r>
    </w:p>
    <w:p w14:paraId="370D1A5E">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6.1.2</w:t>
      </w:r>
      <w:r>
        <w:rPr>
          <w:rFonts w:ascii="宋体" w:hAnsi="宋体" w:cs="宋体"/>
          <w:color w:val="auto"/>
          <w:sz w:val="24"/>
          <w:highlight w:val="none"/>
        </w:rPr>
        <w:t xml:space="preserve"> </w:t>
      </w:r>
      <w:r>
        <w:rPr>
          <w:rFonts w:hint="eastAsia" w:ascii="宋体" w:hAnsi="宋体" w:cs="宋体"/>
          <w:color w:val="auto"/>
          <w:sz w:val="24"/>
          <w:highlight w:val="none"/>
        </w:rPr>
        <w:t>中间交工工程的范围和竣工时间：</w:t>
      </w:r>
      <w:r>
        <w:rPr>
          <w:rFonts w:ascii="宋体" w:hAnsi="宋体" w:cs="宋体"/>
          <w:color w:val="auto"/>
          <w:sz w:val="24"/>
          <w:highlight w:val="none"/>
          <w:u w:val="single"/>
        </w:rPr>
        <w:t xml:space="preserve">      /     </w:t>
      </w:r>
    </w:p>
    <w:p w14:paraId="70AD7706">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6.2</w:t>
      </w:r>
      <w:r>
        <w:rPr>
          <w:rFonts w:ascii="宋体" w:hAnsi="宋体" w:cs="宋体"/>
          <w:b/>
          <w:color w:val="auto"/>
          <w:sz w:val="24"/>
          <w:highlight w:val="none"/>
        </w:rPr>
        <w:t>竣工结算</w:t>
      </w:r>
    </w:p>
    <w:p w14:paraId="17FFA4FF">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6.2.1竣工结算办法：</w:t>
      </w:r>
      <w:r>
        <w:rPr>
          <w:rFonts w:hint="eastAsia" w:ascii="宋体" w:hAnsi="宋体" w:cs="宋体"/>
          <w:color w:val="auto"/>
          <w:sz w:val="24"/>
          <w:szCs w:val="24"/>
          <w:highlight w:val="none"/>
          <w:u w:val="single"/>
        </w:rPr>
        <w:t>所有工程量的结算均以</w:t>
      </w:r>
      <w:r>
        <w:rPr>
          <w:rFonts w:hint="eastAsia" w:ascii="宋体" w:hAnsi="宋体" w:cs="宋体"/>
          <w:bCs/>
          <w:snapToGrid w:val="0"/>
          <w:color w:val="auto"/>
          <w:kern w:val="0"/>
          <w:sz w:val="24"/>
          <w:szCs w:val="24"/>
          <w:highlight w:val="none"/>
        </w:rPr>
        <w:t>区相关部门或其授权单位</w:t>
      </w:r>
      <w:r>
        <w:rPr>
          <w:rFonts w:hint="eastAsia" w:ascii="宋体" w:hAnsi="宋体" w:cs="宋体"/>
          <w:color w:val="auto"/>
          <w:sz w:val="24"/>
          <w:szCs w:val="24"/>
          <w:highlight w:val="none"/>
          <w:u w:val="single"/>
        </w:rPr>
        <w:t>审定的金额为准。工程竣工后，乙方编制本工程的结算书送监理单位</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szCs w:val="24"/>
          <w:highlight w:val="none"/>
          <w:u w:val="single"/>
        </w:rPr>
        <w:t>审核，经监理单位</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szCs w:val="24"/>
          <w:highlight w:val="none"/>
          <w:u w:val="single"/>
        </w:rPr>
        <w:t>审核后送甲方、征收业主单位复审，按规定送</w:t>
      </w:r>
      <w:r>
        <w:rPr>
          <w:rFonts w:hint="eastAsia" w:ascii="宋体" w:hAnsi="宋体" w:cs="宋体"/>
          <w:bCs/>
          <w:snapToGrid w:val="0"/>
          <w:color w:val="auto"/>
          <w:kern w:val="0"/>
          <w:sz w:val="24"/>
          <w:szCs w:val="24"/>
          <w:highlight w:val="none"/>
        </w:rPr>
        <w:t>区相关部门或其授权单位</w:t>
      </w:r>
      <w:r>
        <w:rPr>
          <w:rFonts w:hint="eastAsia" w:ascii="宋体" w:hAnsi="宋体" w:cs="宋体"/>
          <w:color w:val="auto"/>
          <w:sz w:val="24"/>
          <w:szCs w:val="24"/>
          <w:highlight w:val="none"/>
          <w:u w:val="single"/>
        </w:rPr>
        <w:t>审核，并以</w:t>
      </w:r>
      <w:r>
        <w:rPr>
          <w:rFonts w:hint="eastAsia" w:ascii="宋体" w:hAnsi="宋体" w:cs="宋体"/>
          <w:bCs/>
          <w:snapToGrid w:val="0"/>
          <w:color w:val="auto"/>
          <w:kern w:val="0"/>
          <w:sz w:val="24"/>
          <w:szCs w:val="24"/>
          <w:highlight w:val="none"/>
        </w:rPr>
        <w:t>区相关部门或其授权单位</w:t>
      </w:r>
      <w:r>
        <w:rPr>
          <w:rFonts w:hint="eastAsia" w:ascii="宋体" w:hAnsi="宋体" w:cs="宋体"/>
          <w:color w:val="auto"/>
          <w:sz w:val="24"/>
          <w:szCs w:val="24"/>
          <w:highlight w:val="none"/>
          <w:u w:val="single"/>
        </w:rPr>
        <w:t>审定本工程的结算为准</w:t>
      </w:r>
      <w:r>
        <w:rPr>
          <w:rFonts w:hint="eastAsia" w:ascii="宋体" w:hAnsi="宋体" w:cs="宋体"/>
          <w:color w:val="auto"/>
          <w:sz w:val="24"/>
          <w:szCs w:val="24"/>
          <w:highlight w:val="none"/>
        </w:rPr>
        <w:t>。</w:t>
      </w:r>
    </w:p>
    <w:p w14:paraId="304B946F">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竣工结算提交时间：</w:t>
      </w:r>
      <w:r>
        <w:rPr>
          <w:rFonts w:hint="eastAsia" w:ascii="宋体" w:hAnsi="宋体" w:cs="宋体"/>
          <w:color w:val="auto"/>
          <w:sz w:val="24"/>
          <w:szCs w:val="24"/>
          <w:highlight w:val="none"/>
          <w:u w:val="single"/>
        </w:rPr>
        <w:t>乙方须按征收业主单位及区有关规定编制及办理结算</w:t>
      </w:r>
      <w:r>
        <w:rPr>
          <w:rFonts w:hint="eastAsia" w:ascii="宋体" w:hAnsi="宋体" w:cs="宋体"/>
          <w:color w:val="auto"/>
          <w:sz w:val="24"/>
          <w:szCs w:val="24"/>
          <w:highlight w:val="none"/>
        </w:rPr>
        <w:t>。</w:t>
      </w:r>
    </w:p>
    <w:p w14:paraId="27178EF7">
      <w:pPr>
        <w:pStyle w:val="54"/>
        <w:spacing w:line="440" w:lineRule="exact"/>
        <w:ind w:firstLine="48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乙方未按前款规定的期限和内容编制及办理结算（非乙方原因无法办理结算的情况除外），经征收业主单位或甲方或监理人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szCs w:val="24"/>
          <w:highlight w:val="none"/>
          <w:u w:val="single"/>
        </w:rPr>
        <w:t>书面通知之日起</w:t>
      </w:r>
      <w:r>
        <w:rPr>
          <w:rFonts w:ascii="宋体" w:hAnsi="宋体" w:cs="宋体"/>
          <w:color w:val="auto"/>
          <w:sz w:val="24"/>
          <w:szCs w:val="24"/>
          <w:highlight w:val="none"/>
          <w:u w:val="single"/>
        </w:rPr>
        <w:t>2个月内（最长期限不得超过6个月）仍未提交编制及办理结算的相关文件的，监理人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ascii="宋体" w:hAnsi="宋体" w:cs="宋体"/>
          <w:color w:val="auto"/>
          <w:sz w:val="24"/>
          <w:szCs w:val="24"/>
          <w:highlight w:val="none"/>
          <w:u w:val="single"/>
        </w:rPr>
        <w:t>和</w:t>
      </w:r>
      <w:r>
        <w:rPr>
          <w:rFonts w:hint="eastAsia" w:ascii="宋体" w:hAnsi="宋体" w:cs="宋体"/>
          <w:color w:val="auto"/>
          <w:sz w:val="24"/>
          <w:szCs w:val="24"/>
          <w:highlight w:val="none"/>
          <w:u w:val="single"/>
        </w:rPr>
        <w:t>甲方</w:t>
      </w:r>
      <w:r>
        <w:rPr>
          <w:rFonts w:ascii="宋体" w:hAnsi="宋体" w:cs="宋体"/>
          <w:color w:val="auto"/>
          <w:sz w:val="24"/>
          <w:szCs w:val="24"/>
          <w:highlight w:val="none"/>
          <w:u w:val="single"/>
        </w:rPr>
        <w:t>有权根据</w:t>
      </w:r>
      <w:r>
        <w:rPr>
          <w:rFonts w:hint="eastAsia" w:ascii="宋体" w:hAnsi="宋体" w:cs="宋体"/>
          <w:color w:val="auto"/>
          <w:sz w:val="24"/>
          <w:szCs w:val="24"/>
          <w:highlight w:val="none"/>
          <w:u w:val="single"/>
        </w:rPr>
        <w:t>甲方</w:t>
      </w:r>
      <w:r>
        <w:rPr>
          <w:rFonts w:ascii="宋体" w:hAnsi="宋体" w:cs="宋体"/>
          <w:color w:val="auto"/>
          <w:sz w:val="24"/>
          <w:szCs w:val="24"/>
          <w:highlight w:val="none"/>
          <w:u w:val="single"/>
        </w:rPr>
        <w:t>已有资料进行审核，并报</w:t>
      </w:r>
      <w:r>
        <w:rPr>
          <w:rFonts w:hint="eastAsia" w:ascii="宋体" w:hAnsi="宋体" w:cs="宋体"/>
          <w:color w:val="auto"/>
          <w:sz w:val="24"/>
          <w:szCs w:val="24"/>
          <w:highlight w:val="none"/>
          <w:u w:val="single"/>
          <w:lang w:val="en-US" w:eastAsia="zh-CN"/>
        </w:rPr>
        <w:t>区政府部门或其授权单位</w:t>
      </w:r>
      <w:r>
        <w:rPr>
          <w:rFonts w:ascii="宋体" w:hAnsi="宋体" w:cs="宋体"/>
          <w:color w:val="auto"/>
          <w:sz w:val="24"/>
          <w:szCs w:val="24"/>
          <w:highlight w:val="none"/>
          <w:u w:val="single"/>
        </w:rPr>
        <w:t>审定，</w:t>
      </w:r>
      <w:r>
        <w:rPr>
          <w:rFonts w:hint="eastAsia" w:ascii="宋体" w:hAnsi="宋体" w:cs="宋体"/>
          <w:color w:val="auto"/>
          <w:sz w:val="24"/>
          <w:szCs w:val="24"/>
          <w:highlight w:val="none"/>
          <w:u w:val="single"/>
          <w:lang w:val="en-US" w:eastAsia="zh-CN"/>
        </w:rPr>
        <w:t>区政府部门或其授权单位</w:t>
      </w:r>
      <w:r>
        <w:rPr>
          <w:rFonts w:ascii="宋体" w:hAnsi="宋体" w:cs="宋体"/>
          <w:color w:val="auto"/>
          <w:sz w:val="24"/>
          <w:szCs w:val="24"/>
          <w:highlight w:val="none"/>
          <w:u w:val="single"/>
        </w:rPr>
        <w:t>审定的竣工结算合同总价视同是经</w:t>
      </w:r>
      <w:r>
        <w:rPr>
          <w:rFonts w:hint="eastAsia" w:ascii="宋体" w:hAnsi="宋体" w:cs="宋体"/>
          <w:color w:val="auto"/>
          <w:sz w:val="24"/>
          <w:szCs w:val="24"/>
          <w:highlight w:val="none"/>
          <w:u w:val="single"/>
        </w:rPr>
        <w:t>乙方</w:t>
      </w:r>
      <w:r>
        <w:rPr>
          <w:rFonts w:ascii="宋体" w:hAnsi="宋体" w:cs="宋体"/>
          <w:color w:val="auto"/>
          <w:sz w:val="24"/>
          <w:szCs w:val="24"/>
          <w:highlight w:val="none"/>
          <w:u w:val="single"/>
        </w:rPr>
        <w:t>认可的工程竣工结算合同总价。</w:t>
      </w:r>
    </w:p>
    <w:p w14:paraId="514E5B7A">
      <w:pPr>
        <w:spacing w:line="360" w:lineRule="auto"/>
        <w:rPr>
          <w:rFonts w:hint="eastAsia" w:ascii="宋体" w:hAnsi="宋体" w:cs="宋体"/>
          <w:b/>
          <w:color w:val="auto"/>
          <w:sz w:val="24"/>
          <w:szCs w:val="24"/>
          <w:highlight w:val="none"/>
        </w:rPr>
      </w:pPr>
    </w:p>
    <w:p w14:paraId="08AF1C7E">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第七条 违约责任</w:t>
      </w:r>
    </w:p>
    <w:p w14:paraId="09315C3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7.1任何一方违约，违约一方应承担相应的违约责任，并赔偿由此给对方造成的全部损失（包括不限于赔偿、补偿、律师费、诉讼费、诉讼保全费、诉讼保全保险费/担保费等）。如属双方违约，根据实际情况，由双方承担各自的违约责任。如属不可抗力因素，双方协商解决。</w:t>
      </w:r>
    </w:p>
    <w:p w14:paraId="4D92DB7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7.2由于乙方原因未能按时完成拆运，每逾期一日，乙方应按甲方已付工程费的万分之五向甲方支付逾期违约金（直至乙方拆运工程全部完工并交付甲方验收合格之日止），乙方同意甲方有权从应付工程费中直接抵扣违约金；逾期超过10天及以上的，甲方并有权解除合同，乙方应当赔偿甲方的损失并按照已付工程费的20%支向甲方支付违约金。</w:t>
      </w:r>
    </w:p>
    <w:p w14:paraId="5FA6732B">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7.3若乙方违反本合同约定的其他行为，甲方有权要求乙方限期整改(工期不顺延)，乙方同意甲方有权对其行为做出自行决定的处理或处罚，乙方对处理或处罚无异议，不再向甲方主张权利。</w:t>
      </w:r>
    </w:p>
    <w:p w14:paraId="64D8CB8F">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7.4因乙方原因造成甲方损失时，应及时积极采取补救措施，如乙方经甲方书面催告后十五日内仍不履行或未完全履行时，甲方有权采取合理补措施并有权解除本合同和拒绝支付剩余合同款项，为此造成的额外支出和损失均由乙方赔偿，并承担违约责任。</w:t>
      </w:r>
    </w:p>
    <w:p w14:paraId="6C7E299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7.5 在施工过程中后，如因乙方原因发生安全事故或其它意外事故造成乙方及/或乙方人员、甲方及/或甲方人员、第三方人身损害及/或财产损失的（包括但不限于赔偿、补偿、诉讼费、保全费、律师费、诉讼保全保险费/担保费等），均由乙方承担全部责任并偿付由此给各方造成的所有损失及费用；甲方亦有权在应付乙方款项中直接扣除，若应付款不足以扣除的，乙方须在甲方通知其承担相关费用之日起10个工作日内向甲方付清，乙方逾期未付清超过30天，甲方有权解除合同，乙方应当赔偿甲方的损失并按照已付工程费的20%支向甲方支付违约金。</w:t>
      </w:r>
    </w:p>
    <w:p w14:paraId="34C362F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7.6 若乙方施工或者处理拆除后包括但不限于建筑废料、余泥渣土等废弃物、危险物、有害物违反合同约定或者相关法律法规的规定，导致甲方被行政处罚或遭受其他损失的，均由乙方承担该行政处罚的全部责任、罚款金额及损失，同时乙方应当按甲方已支付工程款的20%向甲方支付违约金，甲方有权在应付乙方款项中直接扣除，若应付款不足以扣除的，乙方须在甲方通知其承担相关费用之日起10个工作日内向甲方支付清，甲方并有权解除本合同。</w:t>
      </w:r>
    </w:p>
    <w:p w14:paraId="31967AB8">
      <w:pPr>
        <w:pStyle w:val="1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7.7乙方在无法定或合同约定的解除权的情形下单方解除本合同或本合同因乙方原因被解除的，乙方应向甲方支付相当于甲方已付工程费20%的违约金，甲方并有权不予支付乙方任何合同款项，甲方已支付的款项，有权要求乙方立即返还。</w:t>
      </w:r>
    </w:p>
    <w:p w14:paraId="47BCE250">
      <w:pPr>
        <w:pStyle w:val="12"/>
        <w:spacing w:line="360" w:lineRule="auto"/>
        <w:ind w:firstLine="480" w:firstLineChars="200"/>
        <w:rPr>
          <w:rFonts w:hint="eastAsia" w:hAnsi="宋体" w:cs="宋体"/>
          <w:color w:val="auto"/>
          <w:sz w:val="24"/>
          <w:szCs w:val="24"/>
          <w:highlight w:val="none"/>
        </w:rPr>
      </w:pPr>
    </w:p>
    <w:p w14:paraId="3135FCD1">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第八条 争议的解决</w:t>
      </w:r>
    </w:p>
    <w:p w14:paraId="1500160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凡有关本合同或执行本合同发生的争议，应双方经过友好协商解决;若不能协商解决，则任一方应提交本合同项下工程所在地有管辖权的人民法院诉讼。</w:t>
      </w:r>
    </w:p>
    <w:p w14:paraId="5D76C3AF">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第九条 不可抗力</w:t>
      </w:r>
    </w:p>
    <w:p w14:paraId="2B9BB7D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9.1不可抗力是指战争、严重火灾、水灾、台风，地震等人力不可预见且不可抗拒的因素引起的延误和影响。</w:t>
      </w:r>
    </w:p>
    <w:p w14:paraId="63121E8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9.2当甲方或乙方因不可抗力的影响不能履行合同义务时，履行合同的时间将予以顺延，延长期与不可抗力影响期相同，但拆运费不因此而改变。</w:t>
      </w:r>
    </w:p>
    <w:p w14:paraId="212F3C7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9.3不可抗力发生后，双方应努力采取必要措施，密切配合减少不可抗力的影响。不可抗力的影响消除后应立即通知另一方。</w:t>
      </w:r>
    </w:p>
    <w:p w14:paraId="5CD2B4B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9.4甲、乙任何一方如确因不可抗力的原因，不能履行本合同时，应及时向对方通知不能履行或须延期履行、部分履行合同的理由并提供相关证明。在取得对方书面认可后，本合同可以不履行或延期履行或部分履行，并免予承担违约责任。</w:t>
      </w:r>
    </w:p>
    <w:p w14:paraId="0688CE3C">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第十条 担保</w:t>
      </w:r>
    </w:p>
    <w:p w14:paraId="48AD812F">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本工程双方约定担保事项如下：</w:t>
      </w:r>
    </w:p>
    <w:p w14:paraId="0D572223">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甲方</w:t>
      </w:r>
      <w:r>
        <w:rPr>
          <w:rFonts w:ascii="宋体" w:hAnsi="宋体" w:cs="宋体"/>
          <w:color w:val="auto"/>
          <w:sz w:val="24"/>
          <w:highlight w:val="none"/>
        </w:rPr>
        <w:t>向</w:t>
      </w:r>
      <w:r>
        <w:rPr>
          <w:rFonts w:hint="eastAsia" w:ascii="宋体" w:hAnsi="宋体" w:cs="宋体"/>
          <w:color w:val="auto"/>
          <w:sz w:val="24"/>
          <w:highlight w:val="none"/>
        </w:rPr>
        <w:t>乙方</w:t>
      </w:r>
      <w:r>
        <w:rPr>
          <w:rFonts w:ascii="宋体" w:hAnsi="宋体" w:cs="宋体"/>
          <w:color w:val="auto"/>
          <w:sz w:val="24"/>
          <w:highlight w:val="none"/>
        </w:rPr>
        <w:t>提供支付担保，担保方式为：支付担保保函。</w:t>
      </w:r>
    </w:p>
    <w:p w14:paraId="4FE18D86">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乙方</w:t>
      </w:r>
      <w:r>
        <w:rPr>
          <w:rFonts w:ascii="宋体" w:hAnsi="宋体" w:cs="宋体"/>
          <w:color w:val="auto"/>
          <w:sz w:val="24"/>
          <w:highlight w:val="none"/>
        </w:rPr>
        <w:t>按如下方式向</w:t>
      </w:r>
      <w:r>
        <w:rPr>
          <w:rFonts w:hint="eastAsia" w:ascii="宋体" w:hAnsi="宋体" w:cs="宋体"/>
          <w:color w:val="auto"/>
          <w:sz w:val="24"/>
          <w:highlight w:val="none"/>
        </w:rPr>
        <w:t>甲方</w:t>
      </w:r>
      <w:r>
        <w:rPr>
          <w:rFonts w:ascii="宋体" w:hAnsi="宋体" w:cs="宋体"/>
          <w:color w:val="auto"/>
          <w:sz w:val="24"/>
          <w:highlight w:val="none"/>
        </w:rPr>
        <w:t>提供履约担保：</w:t>
      </w:r>
    </w:p>
    <w:p w14:paraId="0FF01267">
      <w:pPr>
        <w:snapToGrid w:val="0"/>
        <w:spacing w:line="440" w:lineRule="exact"/>
        <w:ind w:firstLine="516" w:firstLineChars="215"/>
        <w:rPr>
          <w:rFonts w:hint="eastAsia" w:ascii="宋体" w:hAnsi="宋体" w:cs="宋体"/>
          <w:color w:val="auto"/>
          <w:sz w:val="24"/>
          <w:highlight w:val="none"/>
        </w:rPr>
      </w:pPr>
      <w:r>
        <w:rPr>
          <w:rFonts w:hint="eastAsia" w:ascii="宋体" w:hAnsi="宋体" w:cs="宋体"/>
          <w:color w:val="auto"/>
          <w:sz w:val="24"/>
          <w:highlight w:val="none"/>
        </w:rPr>
        <w:t>①履约担保：乙方向甲方提交担保金额为中标价</w:t>
      </w:r>
      <w:r>
        <w:rPr>
          <w:rFonts w:ascii="宋体" w:hAnsi="宋体" w:cs="宋体"/>
          <w:color w:val="auto"/>
          <w:sz w:val="24"/>
          <w:highlight w:val="none"/>
        </w:rPr>
        <w:t xml:space="preserve">10%的履约担保，担保形式执行《关于规范招投标领域工程建设保证金收取有关工作的通知》（粤发改法规函〔2022〕1178 </w:t>
      </w:r>
      <w:r>
        <w:rPr>
          <w:rFonts w:hint="eastAsia" w:ascii="宋体" w:hAnsi="宋体" w:cs="宋体"/>
          <w:color w:val="auto"/>
          <w:sz w:val="24"/>
          <w:highlight w:val="none"/>
        </w:rPr>
        <w:t>号）规定。担保到期但工程尚未验收的，乙方应自觉办理担保延期手续，确保担保期限不出现空缺，否则，不予支付工程款。</w:t>
      </w:r>
    </w:p>
    <w:p w14:paraId="2BDE5CAB">
      <w:pPr>
        <w:snapToGrid w:val="0"/>
        <w:spacing w:line="440" w:lineRule="exact"/>
        <w:ind w:firstLine="516" w:firstLineChars="215"/>
        <w:rPr>
          <w:rFonts w:hint="eastAsia" w:ascii="宋体" w:hAnsi="宋体" w:cs="宋体"/>
          <w:color w:val="auto"/>
          <w:sz w:val="24"/>
          <w:highlight w:val="none"/>
        </w:rPr>
      </w:pPr>
      <w:r>
        <w:rPr>
          <w:rFonts w:hint="eastAsia" w:ascii="宋体" w:hAnsi="宋体" w:cs="宋体"/>
          <w:color w:val="auto"/>
          <w:sz w:val="24"/>
          <w:highlight w:val="none"/>
        </w:rPr>
        <w:t>首次办理履约担保，如合同工期低于</w:t>
      </w:r>
      <w:r>
        <w:rPr>
          <w:rFonts w:ascii="宋体" w:hAnsi="宋体" w:cs="宋体"/>
          <w:color w:val="auto"/>
          <w:sz w:val="24"/>
          <w:highlight w:val="none"/>
        </w:rPr>
        <w:t xml:space="preserve">1 </w:t>
      </w:r>
      <w:r>
        <w:rPr>
          <w:rFonts w:hint="eastAsia" w:ascii="宋体" w:hAnsi="宋体" w:cs="宋体"/>
          <w:color w:val="auto"/>
          <w:sz w:val="24"/>
          <w:highlight w:val="none"/>
        </w:rPr>
        <w:t>年的，担保期限可按合同工期，如合同工期高于</w:t>
      </w:r>
      <w:r>
        <w:rPr>
          <w:rFonts w:ascii="宋体" w:hAnsi="宋体" w:cs="宋体"/>
          <w:color w:val="auto"/>
          <w:sz w:val="24"/>
          <w:highlight w:val="none"/>
        </w:rPr>
        <w:t xml:space="preserve">1年的，担保期限不低于1 </w:t>
      </w:r>
      <w:r>
        <w:rPr>
          <w:rFonts w:hint="eastAsia" w:ascii="宋体" w:hAnsi="宋体" w:cs="宋体"/>
          <w:color w:val="auto"/>
          <w:sz w:val="24"/>
          <w:highlight w:val="none"/>
        </w:rPr>
        <w:t>年。</w:t>
      </w:r>
    </w:p>
    <w:p w14:paraId="5CDA464F">
      <w:pPr>
        <w:snapToGrid w:val="0"/>
        <w:spacing w:line="440" w:lineRule="exact"/>
        <w:ind w:firstLine="516" w:firstLineChars="215"/>
        <w:rPr>
          <w:rFonts w:hint="eastAsia" w:ascii="宋体" w:hAnsi="宋体" w:cs="宋体"/>
          <w:color w:val="auto"/>
          <w:sz w:val="24"/>
          <w:highlight w:val="none"/>
        </w:rPr>
      </w:pPr>
      <w:r>
        <w:rPr>
          <w:rFonts w:hint="eastAsia" w:ascii="宋体" w:hAnsi="宋体" w:cs="宋体"/>
          <w:color w:val="auto"/>
          <w:sz w:val="24"/>
          <w:highlight w:val="none"/>
        </w:rPr>
        <w:t>履约担保办理延期手续时，若项目的完成工程量不足一半，担保金额按中标价的</w:t>
      </w:r>
      <w:r>
        <w:rPr>
          <w:rFonts w:ascii="宋体" w:hAnsi="宋体" w:cs="宋体"/>
          <w:color w:val="auto"/>
          <w:sz w:val="24"/>
          <w:highlight w:val="none"/>
        </w:rPr>
        <w:t>10%；若项目的完成工程量超过一半，担保金额可按中标价的5%；其他特殊情况需调整的，需报</w:t>
      </w:r>
      <w:r>
        <w:rPr>
          <w:rFonts w:hint="eastAsia" w:ascii="宋体" w:hAnsi="宋体" w:cs="宋体"/>
          <w:color w:val="auto"/>
          <w:sz w:val="24"/>
          <w:highlight w:val="none"/>
        </w:rPr>
        <w:t>甲方</w:t>
      </w:r>
      <w:r>
        <w:rPr>
          <w:rFonts w:ascii="宋体" w:hAnsi="宋体" w:cs="宋体"/>
          <w:color w:val="auto"/>
          <w:sz w:val="24"/>
          <w:highlight w:val="none"/>
        </w:rPr>
        <w:t>审议同意。</w:t>
      </w:r>
    </w:p>
    <w:p w14:paraId="5A3765BB">
      <w:pPr>
        <w:snapToGrid w:val="0"/>
        <w:spacing w:line="440" w:lineRule="exact"/>
        <w:ind w:firstLine="516" w:firstLineChars="215"/>
        <w:rPr>
          <w:rFonts w:hint="eastAsia" w:ascii="宋体" w:hAnsi="宋体" w:cs="宋体"/>
          <w:color w:val="auto"/>
          <w:sz w:val="24"/>
          <w:highlight w:val="none"/>
        </w:rPr>
      </w:pPr>
      <w:r>
        <w:rPr>
          <w:rFonts w:hint="eastAsia" w:ascii="宋体" w:hAnsi="宋体" w:cs="宋体"/>
          <w:color w:val="auto"/>
          <w:sz w:val="24"/>
          <w:highlight w:val="none"/>
        </w:rPr>
        <w:t>②</w:t>
      </w:r>
      <w:r>
        <w:rPr>
          <w:rFonts w:ascii="宋体" w:hAnsi="宋体" w:cs="宋体"/>
          <w:color w:val="auto"/>
          <w:sz w:val="24"/>
          <w:highlight w:val="none"/>
        </w:rPr>
        <w:t xml:space="preserve"> </w:t>
      </w:r>
      <w:r>
        <w:rPr>
          <w:rFonts w:hint="eastAsia" w:ascii="宋体" w:hAnsi="宋体" w:cs="宋体"/>
          <w:color w:val="auto"/>
          <w:sz w:val="24"/>
          <w:highlight w:val="none"/>
        </w:rPr>
        <w:t>履约担保的返还方式：</w:t>
      </w:r>
      <w:r>
        <w:rPr>
          <w:rFonts w:hint="eastAsia" w:ascii="宋体" w:hAnsi="宋体" w:cs="宋体"/>
          <w:color w:val="auto"/>
          <w:sz w:val="24"/>
          <w:szCs w:val="24"/>
          <w:highlight w:val="none"/>
        </w:rPr>
        <w:t>乙方应保证其履约担保在甲方颁发工程接收证书前一直有效。甲方应在工程接收证书颁发、乙方完成移交交付和清理退场满【3】个月后的28 天内将履约担保无息退还给乙方。</w:t>
      </w:r>
    </w:p>
    <w:p w14:paraId="0081E7B3">
      <w:pPr>
        <w:snapToGrid w:val="0"/>
        <w:spacing w:line="440" w:lineRule="exact"/>
        <w:ind w:firstLine="516" w:firstLineChars="215"/>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乙方</w:t>
      </w:r>
      <w:r>
        <w:rPr>
          <w:rFonts w:ascii="宋体" w:hAnsi="宋体" w:cs="宋体"/>
          <w:color w:val="auto"/>
          <w:sz w:val="24"/>
          <w:highlight w:val="none"/>
        </w:rPr>
        <w:t>提交的履约担保是对本合同约定的</w:t>
      </w:r>
      <w:r>
        <w:rPr>
          <w:rFonts w:hint="eastAsia" w:ascii="宋体" w:hAnsi="宋体" w:cs="宋体"/>
          <w:color w:val="auto"/>
          <w:sz w:val="24"/>
          <w:highlight w:val="none"/>
        </w:rPr>
        <w:t>乙方</w:t>
      </w:r>
      <w:r>
        <w:rPr>
          <w:rFonts w:ascii="宋体" w:hAnsi="宋体" w:cs="宋体"/>
          <w:color w:val="auto"/>
          <w:sz w:val="24"/>
          <w:highlight w:val="none"/>
        </w:rPr>
        <w:t>的全部义务（包括但不限于</w:t>
      </w:r>
      <w:r>
        <w:rPr>
          <w:rFonts w:hint="eastAsia" w:ascii="宋体" w:hAnsi="宋体" w:cs="宋体"/>
          <w:color w:val="auto"/>
          <w:sz w:val="24"/>
          <w:highlight w:val="none"/>
        </w:rPr>
        <w:t>乙方</w:t>
      </w:r>
      <w:r>
        <w:rPr>
          <w:rFonts w:ascii="宋体" w:hAnsi="宋体" w:cs="宋体"/>
          <w:color w:val="auto"/>
          <w:sz w:val="24"/>
          <w:highlight w:val="none"/>
        </w:rPr>
        <w:t>违约后应支付的违约金和赔偿金）的担保，</w:t>
      </w:r>
      <w:r>
        <w:rPr>
          <w:rFonts w:hint="eastAsia" w:ascii="宋体" w:hAnsi="宋体" w:cs="宋体"/>
          <w:color w:val="auto"/>
          <w:sz w:val="24"/>
          <w:highlight w:val="none"/>
        </w:rPr>
        <w:t>乙方</w:t>
      </w:r>
      <w:r>
        <w:rPr>
          <w:rFonts w:ascii="宋体" w:hAnsi="宋体" w:cs="宋体"/>
          <w:color w:val="auto"/>
          <w:sz w:val="24"/>
          <w:highlight w:val="none"/>
        </w:rPr>
        <w:t>的任何一次不履行或不完全履行合同义务的行为，</w:t>
      </w:r>
      <w:r>
        <w:rPr>
          <w:rFonts w:hint="eastAsia" w:ascii="宋体" w:hAnsi="宋体" w:cs="宋体"/>
          <w:color w:val="auto"/>
          <w:sz w:val="24"/>
          <w:highlight w:val="none"/>
        </w:rPr>
        <w:t>甲方</w:t>
      </w:r>
      <w:r>
        <w:rPr>
          <w:rFonts w:ascii="宋体" w:hAnsi="宋体" w:cs="宋体"/>
          <w:color w:val="auto"/>
          <w:sz w:val="24"/>
          <w:highlight w:val="none"/>
        </w:rPr>
        <w:t>均有权提出索赔。</w:t>
      </w:r>
    </w:p>
    <w:p w14:paraId="5471471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如工程延期，乙方有义务继续提供履约担保。由于乙方原因导致延期的，继续提供履约担保所需费用由乙方承担，乙方不得以此为由向甲方提出索赔或补偿要求。</w:t>
      </w:r>
    </w:p>
    <w:p w14:paraId="568AD950">
      <w:pPr>
        <w:spacing w:line="360" w:lineRule="auto"/>
        <w:rPr>
          <w:rFonts w:hint="eastAsia" w:ascii="宋体" w:hAnsi="宋体" w:cs="宋体"/>
          <w:b/>
          <w:color w:val="auto"/>
          <w:sz w:val="24"/>
          <w:szCs w:val="24"/>
          <w:highlight w:val="none"/>
        </w:rPr>
      </w:pPr>
    </w:p>
    <w:p w14:paraId="0C57751B">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第十一条 合同生效</w:t>
      </w:r>
    </w:p>
    <w:p w14:paraId="2412AEC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11.1本合同自双方签字盖章之日起生效。</w:t>
      </w:r>
    </w:p>
    <w:p w14:paraId="1A4A40B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11.2本合同所订一切条款，甲、乙任何一方不得擅自变更或修改。</w:t>
      </w:r>
    </w:p>
    <w:p w14:paraId="2925E6A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11.3本合同在执行期间，甲乙双方应本着相互信任、相互配合的原则，对拆迁中出现的问题积极协商解决。如有未尽事宜，需由甲乙双方协商，另订补充协议附于本合同之内，所有补充协议在法律上均与本合同有同等效力。</w:t>
      </w:r>
    </w:p>
    <w:p w14:paraId="53AE5A88">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szCs w:val="24"/>
          <w:highlight w:val="none"/>
        </w:rPr>
        <w:t>　　11.4合同份数：</w:t>
      </w:r>
      <w:r>
        <w:rPr>
          <w:rFonts w:hint="eastAsia" w:ascii="宋体" w:hAnsi="宋体" w:cs="宋体"/>
          <w:color w:val="auto"/>
          <w:sz w:val="24"/>
          <w:highlight w:val="none"/>
        </w:rPr>
        <w:t>双方约定合同正副本份数：</w:t>
      </w:r>
      <w:r>
        <w:rPr>
          <w:rFonts w:hint="eastAsia" w:ascii="宋体" w:hAnsi="宋体" w:cs="宋体"/>
          <w:color w:val="auto"/>
          <w:sz w:val="24"/>
          <w:highlight w:val="none"/>
          <w:u w:val="single"/>
        </w:rPr>
        <w:t>共十份，正本一式三份，甲方执二份，乙方执一份；副本共八份，甲方四份，乙方四份（含监理人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u w:val="single"/>
        </w:rPr>
        <w:t>一份）</w:t>
      </w:r>
      <w:r>
        <w:rPr>
          <w:rFonts w:hint="eastAsia" w:ascii="宋体" w:hAnsi="宋体" w:cs="宋体"/>
          <w:color w:val="auto"/>
          <w:sz w:val="24"/>
          <w:highlight w:val="none"/>
        </w:rPr>
        <w:t>。</w:t>
      </w:r>
    </w:p>
    <w:p w14:paraId="2B0E27D5">
      <w:pPr>
        <w:spacing w:line="360" w:lineRule="auto"/>
        <w:rPr>
          <w:rFonts w:hint="eastAsia" w:ascii="宋体" w:hAnsi="宋体" w:cs="宋体"/>
          <w:color w:val="auto"/>
          <w:sz w:val="24"/>
          <w:szCs w:val="24"/>
          <w:highlight w:val="none"/>
        </w:rPr>
      </w:pPr>
    </w:p>
    <w:p w14:paraId="74F981C2">
      <w:pPr>
        <w:spacing w:line="360" w:lineRule="auto"/>
        <w:rPr>
          <w:rFonts w:hint="eastAsia" w:ascii="宋体" w:hAnsi="宋体" w:cs="宋体"/>
          <w:b/>
          <w:color w:val="auto"/>
          <w:sz w:val="24"/>
          <w:szCs w:val="24"/>
          <w:highlight w:val="none"/>
        </w:rPr>
      </w:pPr>
    </w:p>
    <w:p w14:paraId="106807BC">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第十二条 其他约定条款</w:t>
      </w:r>
    </w:p>
    <w:p w14:paraId="087AD97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如本合同需缴纳合同印花税，乙方需在有关税务部门规定期限及结清本合同费用前，代缴按规定属甲方缴纳的部分，代缴后甲方按代缴金额实报实销。乙方未按规定期限代缴印花税的，因此产生的滞纳金由乙方承担。</w:t>
      </w:r>
    </w:p>
    <w:p w14:paraId="4E43B6C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12.2本合同终止或解除时工程尚未完工的，乙方须在本合同终止或解除后十日内向甲方完整移交截止至本合同终止或解除之日所形成的所有工程资料，并按甲方指示在甲方限定时间内无条件组织所属工人、设备等撤离本工程，不得阻扰甲方或第三方接收本工程，否则乙方每逾期一日应按5000元/日的标准向甲方支付逾期退场费并赔偿给甲方造成的全部损失。</w:t>
      </w:r>
    </w:p>
    <w:p w14:paraId="511C2A7D">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12.3乙方承诺，甲方向乙方支付的工程进度款，乙方应优先用于支付或兑现农民工工资，否则甲方有权延期发放下一阶段工程进度款。如有劳务分包单位，乙方在收到甲方支付的工程款后应及时向劳务分包单位支付相应的工程款，因乙方拖欠劳务单位工程款而引起的劳务单位滋事或以甲方为被告、第三人的诉讼，乙方应承担因此给甲方造成的全部损失（包括但不限于垫付款项、赔偿、补偿、诉讼费、保全费、律师费、诉讼保全保险费/担保费和其它赔偿金）。乙方发生劳资纠纷，造成恶劣影响的，甲方有权将乙方直接列入黑名单。如甲方代乙方支付农民工工资的，甲方有权在需支付的工程进度款或结算款中抵扣，乙方应按照甲方已支付的农民工工资的20%作为违约金支付给甲方。乙方承诺本项目设立农民工工资专用账户，将涉及农民工工资的进度款及结算款直接汇入该账户中，乙方不得将该账户工资挪作他用，否则甲方有权暂停进度款支付，也有权直接解除本合同，由此造成的损失概由乙方承担。</w:t>
      </w:r>
    </w:p>
    <w:p w14:paraId="060DE62C">
      <w:pPr>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第十三条、补充条款</w:t>
      </w:r>
    </w:p>
    <w:p w14:paraId="56F7F50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安全、文明、科学、规范的施工要求</w:t>
      </w:r>
      <w:r>
        <w:rPr>
          <w:rFonts w:hint="eastAsia" w:ascii="宋体" w:hAnsi="宋体" w:cs="宋体"/>
          <w:color w:val="auto"/>
          <w:sz w:val="24"/>
          <w:highlight w:val="none"/>
        </w:rPr>
        <w:t>）</w:t>
      </w:r>
    </w:p>
    <w:p w14:paraId="04A6052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ascii="宋体" w:hAnsi="宋体" w:cs="宋体"/>
          <w:color w:val="auto"/>
          <w:sz w:val="24"/>
          <w:highlight w:val="none"/>
        </w:rPr>
        <w:t>.1</w:t>
      </w:r>
      <w:r>
        <w:rPr>
          <w:rFonts w:hint="eastAsia" w:ascii="宋体" w:hAnsi="宋体" w:cs="宋体"/>
          <w:color w:val="auto"/>
          <w:sz w:val="24"/>
          <w:highlight w:val="none"/>
        </w:rPr>
        <w:t>乙方在开工前，必须按照广州市、开发区有关要求办理好相应的施工手续方可开工。</w:t>
      </w:r>
    </w:p>
    <w:p w14:paraId="7D634C2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ascii="宋体" w:hAnsi="宋体" w:cs="宋体"/>
          <w:color w:val="auto"/>
          <w:sz w:val="24"/>
          <w:highlight w:val="none"/>
        </w:rPr>
        <w:t>.2</w:t>
      </w:r>
      <w:r>
        <w:rPr>
          <w:rFonts w:hint="eastAsia" w:ascii="宋体" w:hAnsi="宋体" w:cs="宋体"/>
          <w:color w:val="auto"/>
          <w:sz w:val="24"/>
          <w:highlight w:val="none"/>
        </w:rPr>
        <w:t>施工范围的具体位置及可交付乙方施工安排的用地范围，由乙方根据现场勘察情况报征收业主单位、甲方同意确定，建筑轴线控制基点由乙方联系规划局提供。</w:t>
      </w:r>
    </w:p>
    <w:p w14:paraId="63F74B2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ascii="宋体" w:hAnsi="宋体" w:cs="宋体"/>
          <w:color w:val="auto"/>
          <w:sz w:val="24"/>
          <w:highlight w:val="none"/>
        </w:rPr>
        <w:t>.3</w:t>
      </w:r>
      <w:r>
        <w:rPr>
          <w:rFonts w:hint="eastAsia" w:ascii="宋体" w:hAnsi="宋体" w:cs="宋体"/>
          <w:color w:val="auto"/>
          <w:sz w:val="24"/>
          <w:highlight w:val="none"/>
        </w:rPr>
        <w:t>乙方必须保证在收到中标通知书后五天内进场作好施工准备，十五天内提交有关开工报告、施工组织设计，完成本工程所需的相关工作，经监理工程师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rPr>
        <w:t>批准开工或下达开工令后正式施工。</w:t>
      </w:r>
    </w:p>
    <w:p w14:paraId="31785CB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ascii="宋体" w:hAnsi="宋体" w:cs="宋体"/>
          <w:color w:val="auto"/>
          <w:sz w:val="24"/>
          <w:highlight w:val="none"/>
        </w:rPr>
        <w:t>.4</w:t>
      </w:r>
      <w:r>
        <w:rPr>
          <w:rFonts w:hint="eastAsia" w:ascii="宋体" w:hAnsi="宋体" w:cs="宋体"/>
          <w:color w:val="auto"/>
          <w:sz w:val="24"/>
          <w:highlight w:val="none"/>
        </w:rPr>
        <w:t>乙方在施工期间要确保工程外场地清洁及道路畅通，如须使用他方道路，则还必须负责养护、保洁责任，否则责任自负。施工和警示标志明显，因施工造成人身损害和财产损失的，由乙方承担责任。</w:t>
      </w:r>
    </w:p>
    <w:p w14:paraId="65019F9B">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ascii="宋体" w:hAnsi="宋体" w:cs="宋体"/>
          <w:color w:val="auto"/>
          <w:sz w:val="24"/>
          <w:highlight w:val="none"/>
        </w:rPr>
        <w:t>.5</w:t>
      </w:r>
      <w:r>
        <w:rPr>
          <w:rFonts w:hint="eastAsia" w:ascii="宋体" w:hAnsi="宋体" w:cs="宋体"/>
          <w:color w:val="auto"/>
          <w:sz w:val="24"/>
          <w:highlight w:val="none"/>
        </w:rPr>
        <w:t>乙方必须考虑安全、环保等因素在局部施工范围进行围蔽施工，现场围蔽不符合国家有关安全措施及技术要求的，不得开展施工作业，由此造成的工期延长，由乙方自己负责，当作延误工期处理。</w:t>
      </w:r>
    </w:p>
    <w:p w14:paraId="4A76CEDB">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ascii="宋体" w:hAnsi="宋体" w:cs="宋体"/>
          <w:color w:val="auto"/>
          <w:sz w:val="24"/>
          <w:highlight w:val="none"/>
        </w:rPr>
        <w:t>.6</w:t>
      </w:r>
      <w:r>
        <w:rPr>
          <w:rFonts w:hint="eastAsia" w:ascii="宋体" w:hAnsi="宋体" w:cs="宋体"/>
          <w:color w:val="auto"/>
          <w:sz w:val="24"/>
          <w:highlight w:val="none"/>
        </w:rPr>
        <w:t>乙方应注意对现有的道路、供水管、排水管、绿化、路灯、电力与通讯设施等进行保护，如因乙方原因损坏，乙方应无条件修复，由此引起的任何安全事故由乙方负责，并承担由此产生的一切费用。若乙方不能按要求修复的，则由甲方委托其它单位修复，费用从乙方工程款中扣付。</w:t>
      </w:r>
    </w:p>
    <w:p w14:paraId="6C0A6F09">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7</w:t>
      </w:r>
      <w:r>
        <w:rPr>
          <w:rFonts w:ascii="宋体" w:hAnsi="宋体" w:cs="宋体"/>
          <w:color w:val="auto"/>
          <w:sz w:val="24"/>
          <w:highlight w:val="none"/>
        </w:rPr>
        <w:t>施工现场生活区应设置信息公示栏，每月10日前将上月作业工人考勤和工资结算和支付信息在信息公示栏进行公示，公示期不少于5天。</w:t>
      </w:r>
    </w:p>
    <w:p w14:paraId="3DEA7CEE">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w:t>
      </w:r>
      <w:r>
        <w:rPr>
          <w:rFonts w:hint="eastAsia" w:ascii="宋体" w:hAnsi="宋体" w:cs="宋体"/>
          <w:b/>
          <w:color w:val="auto"/>
          <w:sz w:val="24"/>
          <w:highlight w:val="none"/>
        </w:rPr>
        <w:t>农民工佣工要求</w:t>
      </w:r>
      <w:r>
        <w:rPr>
          <w:rFonts w:hint="eastAsia" w:ascii="宋体" w:hAnsi="宋体" w:cs="宋体"/>
          <w:color w:val="auto"/>
          <w:sz w:val="24"/>
          <w:highlight w:val="none"/>
        </w:rPr>
        <w:t>）</w:t>
      </w:r>
    </w:p>
    <w:p w14:paraId="0C572F4E">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乙方必须按照穗开规『</w:t>
      </w:r>
      <w:r>
        <w:rPr>
          <w:rFonts w:ascii="宋体" w:hAnsi="宋体" w:cs="宋体"/>
          <w:color w:val="auto"/>
          <w:sz w:val="24"/>
          <w:highlight w:val="none"/>
        </w:rPr>
        <w:t>2004』58号文的有关要求及规定优先使用广州开发区的农民工。</w:t>
      </w:r>
    </w:p>
    <w:p w14:paraId="06BE866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乙方必须严格执行穗开纪</w:t>
      </w:r>
      <w:r>
        <w:rPr>
          <w:rFonts w:ascii="宋体" w:hAnsi="宋体" w:cs="宋体"/>
          <w:color w:val="auto"/>
          <w:sz w:val="24"/>
          <w:highlight w:val="none"/>
        </w:rPr>
        <w:t>[2005]10号文的规定和要求，在本工程施工中使用劳工时，一律由</w:t>
      </w:r>
      <w:r>
        <w:rPr>
          <w:rFonts w:hint="eastAsia" w:ascii="宋体" w:hAnsi="宋体" w:cs="宋体"/>
          <w:color w:val="auto"/>
          <w:sz w:val="24"/>
          <w:highlight w:val="none"/>
        </w:rPr>
        <w:t>乙方</w:t>
      </w:r>
      <w:r>
        <w:rPr>
          <w:rFonts w:ascii="宋体" w:hAnsi="宋体" w:cs="宋体"/>
          <w:color w:val="auto"/>
          <w:sz w:val="24"/>
          <w:highlight w:val="none"/>
        </w:rPr>
        <w:t>签订用工合同，建立工资直接支付制度，</w:t>
      </w:r>
      <w:r>
        <w:rPr>
          <w:rFonts w:hint="eastAsia" w:ascii="宋体" w:hAnsi="宋体" w:cs="宋体"/>
          <w:color w:val="auto"/>
          <w:sz w:val="24"/>
          <w:highlight w:val="none"/>
        </w:rPr>
        <w:t>乙方</w:t>
      </w:r>
      <w:r>
        <w:rPr>
          <w:rFonts w:ascii="宋体" w:hAnsi="宋体" w:cs="宋体"/>
          <w:color w:val="auto"/>
          <w:sz w:val="24"/>
          <w:highlight w:val="none"/>
        </w:rPr>
        <w:t>每月按时发放劳工工资，自觉接受</w:t>
      </w:r>
      <w:r>
        <w:rPr>
          <w:rFonts w:hint="eastAsia" w:ascii="宋体" w:hAnsi="宋体" w:cs="宋体"/>
          <w:color w:val="auto"/>
          <w:sz w:val="24"/>
          <w:highlight w:val="none"/>
        </w:rPr>
        <w:t>甲方</w:t>
      </w:r>
      <w:r>
        <w:rPr>
          <w:rFonts w:ascii="宋体" w:hAnsi="宋体" w:cs="宋体"/>
          <w:color w:val="auto"/>
          <w:sz w:val="24"/>
          <w:highlight w:val="none"/>
        </w:rPr>
        <w:t>和主管部门的监督，不论何种原因决不拖欠或克扣劳工工资。否则，可由员工代表知会有关部门，或拨打投诉电话。</w:t>
      </w:r>
      <w:r>
        <w:rPr>
          <w:rFonts w:hint="eastAsia" w:ascii="宋体" w:hAnsi="宋体" w:cs="宋体"/>
          <w:color w:val="auto"/>
          <w:sz w:val="24"/>
          <w:highlight w:val="none"/>
        </w:rPr>
        <w:t>乙方</w:t>
      </w:r>
      <w:r>
        <w:rPr>
          <w:rFonts w:ascii="宋体" w:hAnsi="宋体" w:cs="宋体"/>
          <w:color w:val="auto"/>
          <w:sz w:val="24"/>
          <w:highlight w:val="none"/>
        </w:rPr>
        <w:t>必须将上述内容在本工程开工的十日内向全体员工张榜公开。如</w:t>
      </w:r>
      <w:r>
        <w:rPr>
          <w:rFonts w:hint="eastAsia" w:ascii="宋体" w:hAnsi="宋体" w:cs="宋体"/>
          <w:color w:val="auto"/>
          <w:sz w:val="24"/>
          <w:highlight w:val="none"/>
        </w:rPr>
        <w:t>乙方</w:t>
      </w:r>
      <w:r>
        <w:rPr>
          <w:rFonts w:ascii="宋体" w:hAnsi="宋体" w:cs="宋体"/>
          <w:color w:val="auto"/>
          <w:sz w:val="24"/>
          <w:highlight w:val="none"/>
        </w:rPr>
        <w:t>违约，</w:t>
      </w:r>
      <w:r>
        <w:rPr>
          <w:rFonts w:hint="eastAsia" w:ascii="宋体" w:hAnsi="宋体" w:cs="宋体"/>
          <w:color w:val="auto"/>
          <w:sz w:val="24"/>
          <w:highlight w:val="none"/>
        </w:rPr>
        <w:t>甲方</w:t>
      </w:r>
      <w:r>
        <w:rPr>
          <w:rFonts w:ascii="宋体" w:hAnsi="宋体" w:cs="宋体"/>
          <w:color w:val="auto"/>
          <w:sz w:val="24"/>
          <w:highlight w:val="none"/>
        </w:rPr>
        <w:t>有权解除合同，并追究</w:t>
      </w:r>
      <w:r>
        <w:rPr>
          <w:rFonts w:hint="eastAsia" w:ascii="宋体" w:hAnsi="宋体" w:cs="宋体"/>
          <w:color w:val="auto"/>
          <w:sz w:val="24"/>
          <w:highlight w:val="none"/>
        </w:rPr>
        <w:t>乙方</w:t>
      </w:r>
      <w:r>
        <w:rPr>
          <w:rFonts w:ascii="宋体" w:hAnsi="宋体" w:cs="宋体"/>
          <w:color w:val="auto"/>
          <w:sz w:val="24"/>
          <w:highlight w:val="none"/>
        </w:rPr>
        <w:t>由此给</w:t>
      </w:r>
      <w:r>
        <w:rPr>
          <w:rFonts w:hint="eastAsia" w:ascii="宋体" w:hAnsi="宋体" w:cs="宋体"/>
          <w:color w:val="auto"/>
          <w:sz w:val="24"/>
          <w:highlight w:val="none"/>
        </w:rPr>
        <w:t>甲方</w:t>
      </w:r>
      <w:r>
        <w:rPr>
          <w:rFonts w:ascii="宋体" w:hAnsi="宋体" w:cs="宋体"/>
          <w:color w:val="auto"/>
          <w:sz w:val="24"/>
          <w:highlight w:val="none"/>
        </w:rPr>
        <w:t>造成的一切损失。</w:t>
      </w:r>
    </w:p>
    <w:p w14:paraId="548E7AF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乙方必须严格执行广州市黄埔区人民政府办公室《关于贯彻实施国家劳动部、建设部</w:t>
      </w:r>
      <w:r>
        <w:rPr>
          <w:rFonts w:ascii="宋体" w:hAnsi="宋体" w:cs="宋体"/>
          <w:color w:val="auto"/>
          <w:sz w:val="24"/>
          <w:highlight w:val="none"/>
        </w:rPr>
        <w:t>&lt;</w:t>
      </w:r>
      <w:r>
        <w:rPr>
          <w:rFonts w:hint="eastAsia" w:ascii="宋体" w:hAnsi="宋体" w:cs="宋体"/>
          <w:color w:val="auto"/>
          <w:sz w:val="24"/>
          <w:highlight w:val="none"/>
        </w:rPr>
        <w:t>建设领域农民工工资支付管理暂行办法</w:t>
      </w:r>
      <w:r>
        <w:rPr>
          <w:rFonts w:ascii="宋体" w:hAnsi="宋体" w:cs="宋体"/>
          <w:color w:val="auto"/>
          <w:sz w:val="24"/>
          <w:highlight w:val="none"/>
        </w:rPr>
        <w:t>&gt;</w:t>
      </w:r>
      <w:r>
        <w:rPr>
          <w:rFonts w:hint="eastAsia" w:ascii="宋体" w:hAnsi="宋体" w:cs="宋体"/>
          <w:color w:val="auto"/>
          <w:sz w:val="24"/>
          <w:highlight w:val="none"/>
        </w:rPr>
        <w:t>的若干意见》（穗萝府办</w:t>
      </w:r>
      <w:r>
        <w:rPr>
          <w:rFonts w:ascii="宋体" w:hAnsi="宋体" w:cs="宋体"/>
          <w:color w:val="auto"/>
          <w:sz w:val="24"/>
          <w:highlight w:val="none"/>
        </w:rPr>
        <w:t>[2005]21号）的有关规定（包括但不限于）：必须向区劳动保障部门申报用工人数、工资支付制度、工程规模等情况；必须定期参加区劳动保障部门在区建设领域建立和推行的劳动管理培训；本工程开工前，按有关规定向区劳动保障部门缴付农民工工资支付保障金，并在本工程施工合同履行过程中确保此保障金额度符合区劳动保障部门的规定。</w:t>
      </w:r>
    </w:p>
    <w:p w14:paraId="1B8DF657">
      <w:pPr>
        <w:spacing w:line="44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若乙方在本工程内发生无故拖欠农民工工资现象，将被作不良记录，上报区建设主管部门。若乙方转包或者违法分包造成拖欠工人工资的，除上报区建设行政主管部门外，还将提请省建设行业主管部门禁止在广东省行政区域范围内承包工程。</w:t>
      </w:r>
    </w:p>
    <w:p w14:paraId="72339444">
      <w:pPr>
        <w:spacing w:line="44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项目管理机构人员、机械设备、劳动力到位方面的要求</w:t>
      </w:r>
      <w:r>
        <w:rPr>
          <w:rFonts w:hint="eastAsia" w:ascii="宋体" w:hAnsi="宋体" w:cs="宋体"/>
          <w:color w:val="auto"/>
          <w:sz w:val="24"/>
          <w:highlight w:val="none"/>
        </w:rPr>
        <w:t>）</w:t>
      </w:r>
    </w:p>
    <w:p w14:paraId="287C8DD8">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乙方自负，造成甲方和征收业主单位损失的，甲方和征收业主单位保留索赔的权利。</w:t>
      </w:r>
    </w:p>
    <w:p w14:paraId="5C2D3D47">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尽管乙方已按投标文件附表中所列的数量派遣了各类管理人员，但若监理工程师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rPr>
        <w:t>经论证认为这些人员仍不足以适应现场施工的需要且不能保证工程质量时，监理工程师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rPr>
        <w:t>有权要求乙方继续增派或雇佣这类人员，并书面通知乙方和抄送甲方。乙方在接到上述通知后应立即执行监理工程师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rPr>
        <w:t>的上述指示，不得无故拖延。</w:t>
      </w:r>
    </w:p>
    <w:p w14:paraId="1A6D3189">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现场施工时，施工员（技术员）不在施工现场不得施工，否则甲方可随时要求停工，工期延误由乙方负责。</w:t>
      </w:r>
    </w:p>
    <w:p w14:paraId="4F574E66">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乙方派往现场的管理人员若因不负责任、或玩忽职守、或严重失职等给甲方造成经济损失，乙方承担相应的经济责任和连带法律责任。</w:t>
      </w:r>
    </w:p>
    <w:p w14:paraId="5FA112E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在乙方严重违约、不可抗力或政府政策性调整情况下或根据工程实施实际情况，甲方可对本合同承包范围和承包内容进行调整，甲方对乙方的损失不予补偿（本合同其他条款约定可进行造价调整的除外）。</w:t>
      </w:r>
    </w:p>
    <w:p w14:paraId="2508CE1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乙方须按照甲方与监理人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rPr>
        <w:t>签订的委托监理合同接受监理人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rPr>
        <w:t>的全过程监理。</w:t>
      </w:r>
    </w:p>
    <w:p w14:paraId="512C83E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如广州开发区、黄埔区对工程竣工验收及备案有相关规定，则本合同执行该规定。</w:t>
      </w:r>
    </w:p>
    <w:p w14:paraId="1F9BC7B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如果审计机关依法对本工程实施审计，甲方、乙方及监理单位</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rPr>
        <w:t>应积极配合。</w:t>
      </w:r>
    </w:p>
    <w:p w14:paraId="04F1BBC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本合同在实施过程中所发生的文件来往，双方不得拒绝签收。如果发生类似事件，发文一方可以监理工程师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rPr>
        <w:t>签收为准，视为送达。</w:t>
      </w:r>
    </w:p>
    <w:p w14:paraId="37C2256B">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部如果在约定的时效内未作答复，发文一方再追加一份给对方公司并重新约定答复时效，如果对方公司仍然没有答复，则按重新约定的时效执行。</w:t>
      </w:r>
    </w:p>
    <w:p w14:paraId="2DCEA68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在本合同实施过程中所发生的违约金、罚款、扣款等费用，经监理工程师核</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rPr>
        <w:t>实并通知乙方后直接作为财务扣款依据（无需乙方签认或同意），可由甲方在履约担保中主张或在工程款中扣除，乙方对此无异议。</w:t>
      </w:r>
    </w:p>
    <w:p w14:paraId="2212C56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乙方施工过程中不得侵犯他人的专利权或者其他合法权益，否则由乙方承担相关责任，并保证不因该侵权行为影响工程建设。</w:t>
      </w:r>
    </w:p>
    <w:p w14:paraId="0AAD700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乙方与甲方签订合同时所提供的开户银行名称及帐号不得擅自变更，如需变更必须征得甲方的书面同意，否则甲方有权停止工程款的拨付，所造成的一切后果由乙方承担。</w:t>
      </w:r>
    </w:p>
    <w:p w14:paraId="2732093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如甲方为本工程的代建单位，则本工程征收业主单位同时享有本合同项下属甲方的权利，并且合同中约定需甲方审批的事项，必须经征收业主单位审批同意后方可实施。</w:t>
      </w:r>
    </w:p>
    <w:p w14:paraId="61492215">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26</w:t>
      </w:r>
      <w:r>
        <w:rPr>
          <w:rFonts w:hint="eastAsia" w:ascii="宋体" w:hAnsi="宋体" w:cs="宋体"/>
          <w:color w:val="auto"/>
          <w:sz w:val="24"/>
          <w:highlight w:val="none"/>
        </w:rPr>
        <w:t>工程获得国家、省级、市级所发奖项的，可给予通报表彰，但不给予任何物质奖励。</w:t>
      </w:r>
    </w:p>
    <w:p w14:paraId="383D3819">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如乙方及乙方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甲方核实，甲方有权终止合同。</w:t>
      </w:r>
    </w:p>
    <w:p w14:paraId="39CB277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如乙方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甲方核实，甲方有权终止合同。</w:t>
      </w:r>
    </w:p>
    <w:p w14:paraId="4D67D28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29</w:t>
      </w:r>
      <w:r>
        <w:rPr>
          <w:rFonts w:ascii="宋体" w:hAnsi="宋体" w:cs="宋体"/>
          <w:color w:val="auto"/>
          <w:sz w:val="24"/>
          <w:highlight w:val="none"/>
        </w:rPr>
        <w:t>开工前</w:t>
      </w:r>
      <w:r>
        <w:rPr>
          <w:rFonts w:hint="eastAsia" w:ascii="宋体" w:hAnsi="宋体" w:cs="宋体"/>
          <w:color w:val="auto"/>
          <w:sz w:val="24"/>
          <w:highlight w:val="none"/>
        </w:rPr>
        <w:t>乙方</w:t>
      </w:r>
      <w:r>
        <w:rPr>
          <w:rFonts w:ascii="宋体" w:hAnsi="宋体" w:cs="宋体"/>
          <w:color w:val="auto"/>
          <w:sz w:val="24"/>
          <w:highlight w:val="none"/>
        </w:rPr>
        <w:t>应当投保安全生产责任保险，且该保险保障场所应包含</w:t>
      </w:r>
      <w:r>
        <w:rPr>
          <w:rFonts w:hint="eastAsia" w:ascii="宋体" w:hAnsi="宋体" w:cs="宋体"/>
          <w:color w:val="auto"/>
          <w:sz w:val="24"/>
          <w:highlight w:val="none"/>
        </w:rPr>
        <w:t>本合同</w:t>
      </w:r>
      <w:r>
        <w:rPr>
          <w:rFonts w:ascii="宋体" w:hAnsi="宋体" w:cs="宋体"/>
          <w:color w:val="auto"/>
          <w:sz w:val="24"/>
          <w:highlight w:val="none"/>
        </w:rPr>
        <w:t>项目。</w:t>
      </w:r>
      <w:r>
        <w:rPr>
          <w:rFonts w:hint="eastAsia" w:ascii="宋体" w:hAnsi="宋体" w:cs="宋体"/>
          <w:color w:val="auto"/>
          <w:sz w:val="24"/>
          <w:highlight w:val="none"/>
        </w:rPr>
        <w:t>乙方</w:t>
      </w:r>
      <w:r>
        <w:rPr>
          <w:rFonts w:ascii="宋体" w:hAnsi="宋体" w:cs="宋体"/>
          <w:color w:val="auto"/>
          <w:sz w:val="24"/>
          <w:highlight w:val="none"/>
        </w:rPr>
        <w:t>的</w:t>
      </w:r>
      <w:r>
        <w:rPr>
          <w:rFonts w:hint="eastAsia" w:ascii="宋体" w:hAnsi="宋体" w:cs="宋体"/>
          <w:color w:val="auto"/>
          <w:sz w:val="24"/>
          <w:highlight w:val="none"/>
        </w:rPr>
        <w:t>中标</w:t>
      </w:r>
      <w:r>
        <w:rPr>
          <w:rFonts w:ascii="宋体" w:hAnsi="宋体" w:cs="宋体"/>
          <w:color w:val="auto"/>
          <w:sz w:val="24"/>
          <w:highlight w:val="none"/>
        </w:rPr>
        <w:t>投标报价视为包含该项目费用。</w:t>
      </w:r>
      <w:r>
        <w:rPr>
          <w:rFonts w:hint="eastAsia" w:ascii="宋体" w:hAnsi="宋体" w:cs="宋体"/>
          <w:color w:val="auto"/>
          <w:sz w:val="24"/>
          <w:highlight w:val="none"/>
        </w:rPr>
        <w:t>乙方</w:t>
      </w:r>
      <w:r>
        <w:rPr>
          <w:rFonts w:ascii="宋体" w:hAnsi="宋体" w:cs="宋体"/>
          <w:color w:val="auto"/>
          <w:sz w:val="24"/>
          <w:highlight w:val="none"/>
        </w:rPr>
        <w:t>未按规定购买安全生产责任保险，</w:t>
      </w:r>
      <w:r>
        <w:rPr>
          <w:rFonts w:hint="eastAsia" w:ascii="宋体" w:hAnsi="宋体" w:cs="宋体"/>
          <w:color w:val="auto"/>
          <w:sz w:val="24"/>
          <w:highlight w:val="none"/>
        </w:rPr>
        <w:t>甲方和征收业主单位</w:t>
      </w:r>
      <w:r>
        <w:rPr>
          <w:rFonts w:ascii="宋体" w:hAnsi="宋体" w:cs="宋体"/>
          <w:color w:val="auto"/>
          <w:sz w:val="24"/>
          <w:highlight w:val="none"/>
        </w:rPr>
        <w:t>可视严重程度拒绝</w:t>
      </w:r>
      <w:r>
        <w:rPr>
          <w:rFonts w:hint="eastAsia" w:ascii="宋体" w:hAnsi="宋体" w:cs="宋体"/>
          <w:color w:val="auto"/>
          <w:sz w:val="24"/>
          <w:highlight w:val="none"/>
        </w:rPr>
        <w:t>乙方</w:t>
      </w:r>
      <w:r>
        <w:rPr>
          <w:rFonts w:ascii="宋体" w:hAnsi="宋体" w:cs="宋体"/>
          <w:color w:val="auto"/>
          <w:sz w:val="24"/>
          <w:highlight w:val="none"/>
        </w:rPr>
        <w:t>一定时期内参与后续工程投标。</w:t>
      </w:r>
    </w:p>
    <w:p w14:paraId="12E3A5D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如乙方存在出让投标资格、与其他单位围标串标、行贿、在投标文件中提供虚假材料、少放或不放业绩、奖项等客观评审资料减少自身竞争力、拖欠农民工工资、将中标工程转包或者违法分包等行为的，甲方和征收业主单位将拒绝乙方在一年内参与后续招标项目的投标。</w:t>
      </w:r>
    </w:p>
    <w:p w14:paraId="1E153C0D">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w:t>
      </w:r>
      <w:r>
        <w:rPr>
          <w:rFonts w:hint="eastAsia" w:ascii="宋体" w:hAnsi="宋体" w:cs="宋体"/>
          <w:color w:val="auto"/>
          <w:sz w:val="24"/>
          <w:szCs w:val="24"/>
          <w:highlight w:val="none"/>
          <w:lang w:val="en-US" w:eastAsia="zh-CN"/>
        </w:rPr>
        <w:t>31</w:t>
      </w:r>
      <w:r>
        <w:rPr>
          <w:rFonts w:hint="eastAsia" w:ascii="宋体" w:hAnsi="宋体" w:cs="宋体"/>
          <w:color w:val="auto"/>
          <w:sz w:val="24"/>
          <w:szCs w:val="24"/>
          <w:highlight w:val="none"/>
        </w:rPr>
        <w:t>乙方在施工过程中应严格执行《城市绿化条例》、《广东省城市绿化条例》、《广州市绿化条例》、《广州市城市树木保护管理规定（试行）》（穗林业园林规字〔</w:t>
      </w:r>
      <w:r>
        <w:rPr>
          <w:rFonts w:ascii="宋体" w:hAnsi="宋体" w:cs="宋体"/>
          <w:color w:val="auto"/>
          <w:sz w:val="24"/>
          <w:szCs w:val="24"/>
          <w:highlight w:val="none"/>
        </w:rPr>
        <w:t>2022〕1号）等法规规定。不得破坏树木和树木立地生境，不得随意更改树木根颈处的地形标高。对可能影响绿地使用功能或树木正常生长的，应采取避让和保护措施。涉及树木周边环境施工时，</w:t>
      </w:r>
      <w:r>
        <w:rPr>
          <w:rFonts w:hint="eastAsia" w:ascii="宋体" w:hAnsi="宋体" w:cs="宋体"/>
          <w:color w:val="auto"/>
          <w:sz w:val="24"/>
          <w:szCs w:val="24"/>
          <w:highlight w:val="none"/>
        </w:rPr>
        <w:t>乙方</w:t>
      </w:r>
      <w:r>
        <w:rPr>
          <w:rFonts w:ascii="宋体" w:hAnsi="宋体" w:cs="宋体"/>
          <w:color w:val="auto"/>
          <w:sz w:val="24"/>
          <w:szCs w:val="24"/>
          <w:highlight w:val="none"/>
        </w:rPr>
        <w:t>应对可能受损的树木采取保护措施，包括设立保护区域、使用保护物料包裹树干、设置临时支撑、定期检查树木健康状况等。工程建设应符合相关规划和标准，保证树木的生长空间。相关费用包含在合同价中，不另行计费。如果</w:t>
      </w:r>
      <w:r>
        <w:rPr>
          <w:rFonts w:hint="eastAsia" w:ascii="宋体" w:hAnsi="宋体" w:cs="宋体"/>
          <w:color w:val="auto"/>
          <w:sz w:val="24"/>
          <w:szCs w:val="24"/>
          <w:highlight w:val="none"/>
        </w:rPr>
        <w:t>乙方</w:t>
      </w:r>
      <w:r>
        <w:rPr>
          <w:rFonts w:ascii="宋体" w:hAnsi="宋体" w:cs="宋体"/>
          <w:color w:val="auto"/>
          <w:sz w:val="24"/>
          <w:szCs w:val="24"/>
          <w:highlight w:val="none"/>
        </w:rPr>
        <w:t>不及时按要求完成，</w:t>
      </w:r>
      <w:r>
        <w:rPr>
          <w:rFonts w:hint="eastAsia" w:ascii="宋体" w:hAnsi="宋体" w:cs="宋体"/>
          <w:color w:val="auto"/>
          <w:sz w:val="24"/>
          <w:szCs w:val="24"/>
          <w:highlight w:val="none"/>
        </w:rPr>
        <w:t>甲方</w:t>
      </w:r>
      <w:r>
        <w:rPr>
          <w:rFonts w:ascii="宋体" w:hAnsi="宋体" w:cs="宋体"/>
          <w:color w:val="auto"/>
          <w:sz w:val="24"/>
          <w:szCs w:val="24"/>
          <w:highlight w:val="none"/>
        </w:rPr>
        <w:t>可以另行委托实施，</w:t>
      </w:r>
      <w:r>
        <w:rPr>
          <w:rFonts w:hint="eastAsia" w:ascii="宋体" w:hAnsi="宋体" w:cs="宋体"/>
          <w:color w:val="auto"/>
          <w:sz w:val="24"/>
          <w:szCs w:val="24"/>
          <w:highlight w:val="none"/>
        </w:rPr>
        <w:t>甲方</w:t>
      </w:r>
      <w:r>
        <w:rPr>
          <w:rFonts w:ascii="宋体" w:hAnsi="宋体" w:cs="宋体"/>
          <w:color w:val="auto"/>
          <w:sz w:val="24"/>
          <w:szCs w:val="24"/>
          <w:highlight w:val="none"/>
        </w:rPr>
        <w:t>按实际发生的费用在工程款中扣除，</w:t>
      </w:r>
      <w:r>
        <w:rPr>
          <w:rFonts w:hint="eastAsia" w:ascii="宋体" w:hAnsi="宋体" w:cs="宋体"/>
          <w:color w:val="auto"/>
          <w:sz w:val="24"/>
          <w:szCs w:val="24"/>
          <w:highlight w:val="none"/>
        </w:rPr>
        <w:t>乙方</w:t>
      </w:r>
      <w:r>
        <w:rPr>
          <w:rFonts w:ascii="宋体" w:hAnsi="宋体" w:cs="宋体"/>
          <w:color w:val="auto"/>
          <w:sz w:val="24"/>
          <w:szCs w:val="24"/>
          <w:highlight w:val="none"/>
        </w:rPr>
        <w:t>不得有任何异议。</w:t>
      </w:r>
    </w:p>
    <w:p w14:paraId="36F3232F">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w:t>
      </w:r>
      <w:r>
        <w:rPr>
          <w:rFonts w:hint="eastAsia" w:ascii="宋体" w:hAnsi="宋体" w:cs="宋体"/>
          <w:color w:val="auto"/>
          <w:sz w:val="24"/>
          <w:szCs w:val="24"/>
          <w:highlight w:val="none"/>
          <w:lang w:val="en-US" w:eastAsia="zh-CN"/>
        </w:rPr>
        <w:t>32</w:t>
      </w:r>
      <w:r>
        <w:rPr>
          <w:rFonts w:hint="eastAsia" w:ascii="宋体" w:hAnsi="宋体" w:cs="宋体"/>
          <w:color w:val="auto"/>
          <w:sz w:val="24"/>
          <w:szCs w:val="24"/>
          <w:highlight w:val="none"/>
        </w:rPr>
        <w:t>乙方应严格保护古树名木、古树后续资源、行道树、大树等树木，禁止擅自砍伐树木，禁止擅自迁移树木。如乙方未经批准擅自砍伐树木、损害绿化、损害树木及绿化保护设施的，甲方将上报绿化行政主管部门，视情节轻重给予相应处罚，构成犯罪的将依法移交相关机关追究刑事责任。</w:t>
      </w:r>
    </w:p>
    <w:p w14:paraId="7BAF31B3">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w:t>
      </w:r>
      <w:r>
        <w:rPr>
          <w:rFonts w:hint="eastAsia" w:ascii="宋体" w:hAnsi="宋体" w:cs="宋体"/>
          <w:color w:val="auto"/>
          <w:sz w:val="24"/>
          <w:szCs w:val="24"/>
          <w:highlight w:val="none"/>
          <w:lang w:val="en-US" w:eastAsia="zh-CN"/>
        </w:rPr>
        <w:t>33</w:t>
      </w:r>
      <w:r>
        <w:rPr>
          <w:rFonts w:hint="eastAsia" w:ascii="宋体" w:hAnsi="宋体" w:cs="宋体"/>
          <w:color w:val="auto"/>
          <w:sz w:val="24"/>
          <w:szCs w:val="24"/>
          <w:highlight w:val="none"/>
        </w:rPr>
        <w:t>乙方</w:t>
      </w:r>
      <w:r>
        <w:rPr>
          <w:rFonts w:ascii="宋体" w:hAnsi="宋体" w:cs="宋体"/>
          <w:color w:val="auto"/>
          <w:sz w:val="24"/>
          <w:szCs w:val="24"/>
          <w:highlight w:val="none"/>
        </w:rPr>
        <w:t>应切实遵守《中华人民共和国文物保护法》、《中华人民共和国文物保护法实施条例》、《广州市文物保护规定》等文物保护相关法律、法规规定，在工程施工前，协助</w:t>
      </w:r>
      <w:r>
        <w:rPr>
          <w:rFonts w:hint="eastAsia" w:ascii="宋体" w:hAnsi="宋体" w:cs="宋体"/>
          <w:color w:val="auto"/>
          <w:sz w:val="24"/>
          <w:szCs w:val="24"/>
          <w:highlight w:val="none"/>
        </w:rPr>
        <w:t>甲方</w:t>
      </w:r>
      <w:r>
        <w:rPr>
          <w:rFonts w:ascii="宋体" w:hAnsi="宋体" w:cs="宋体"/>
          <w:color w:val="auto"/>
          <w:sz w:val="24"/>
          <w:szCs w:val="24"/>
          <w:highlight w:val="none"/>
        </w:rPr>
        <w:t>按规定履行文物保护相关审批手续，及配合相关单位完成考古调查、勘探相关工作。不得因施工发生损毁文物的情况。</w:t>
      </w:r>
      <w:r>
        <w:rPr>
          <w:rFonts w:hint="eastAsia" w:ascii="宋体" w:hAnsi="宋体" w:cs="宋体"/>
          <w:color w:val="auto"/>
          <w:sz w:val="24"/>
          <w:szCs w:val="24"/>
          <w:highlight w:val="none"/>
        </w:rPr>
        <w:t>乙方</w:t>
      </w:r>
      <w:r>
        <w:rPr>
          <w:rFonts w:ascii="宋体" w:hAnsi="宋体" w:cs="宋体"/>
          <w:color w:val="auto"/>
          <w:sz w:val="24"/>
          <w:szCs w:val="24"/>
          <w:highlight w:val="none"/>
        </w:rPr>
        <w:t>应加强对其施工队伍及分包单位（如有）关于文物保护相关法律、法规的宣传教育，保证施工全过程不违反文物保护相关规定。如因</w:t>
      </w:r>
      <w:r>
        <w:rPr>
          <w:rFonts w:hint="eastAsia" w:ascii="宋体" w:hAnsi="宋体" w:cs="宋体"/>
          <w:color w:val="auto"/>
          <w:sz w:val="24"/>
          <w:szCs w:val="24"/>
          <w:highlight w:val="none"/>
        </w:rPr>
        <w:t>乙方</w:t>
      </w:r>
      <w:r>
        <w:rPr>
          <w:rFonts w:ascii="宋体" w:hAnsi="宋体" w:cs="宋体"/>
          <w:color w:val="auto"/>
          <w:sz w:val="24"/>
          <w:szCs w:val="24"/>
          <w:highlight w:val="none"/>
        </w:rPr>
        <w:t>原因发生未履行文物考古调查、勘探等前置工作擅自开工建设的，由</w:t>
      </w:r>
      <w:r>
        <w:rPr>
          <w:rFonts w:hint="eastAsia" w:ascii="宋体" w:hAnsi="宋体" w:cs="宋体"/>
          <w:color w:val="auto"/>
          <w:sz w:val="24"/>
          <w:szCs w:val="24"/>
          <w:highlight w:val="none"/>
        </w:rPr>
        <w:t>乙方</w:t>
      </w:r>
      <w:r>
        <w:rPr>
          <w:rFonts w:ascii="宋体" w:hAnsi="宋体" w:cs="宋体"/>
          <w:color w:val="auto"/>
          <w:sz w:val="24"/>
          <w:szCs w:val="24"/>
          <w:highlight w:val="none"/>
        </w:rPr>
        <w:t>承担全部法律责任，</w:t>
      </w:r>
      <w:r>
        <w:rPr>
          <w:rFonts w:hint="eastAsia" w:ascii="宋体" w:hAnsi="宋体" w:cs="宋体"/>
          <w:color w:val="auto"/>
          <w:sz w:val="24"/>
          <w:szCs w:val="24"/>
          <w:highlight w:val="none"/>
        </w:rPr>
        <w:t>甲方</w:t>
      </w:r>
      <w:r>
        <w:rPr>
          <w:rFonts w:ascii="宋体" w:hAnsi="宋体" w:cs="宋体"/>
          <w:color w:val="auto"/>
          <w:sz w:val="24"/>
          <w:szCs w:val="24"/>
          <w:highlight w:val="none"/>
        </w:rPr>
        <w:t>将上报文物行政主管部门，视情节轻重给予相应处罚，构成犯罪的将依法移交相关机关追究刑事责任。</w:t>
      </w:r>
    </w:p>
    <w:p w14:paraId="39C3A0B3">
      <w:pPr>
        <w:spacing w:line="520" w:lineRule="exact"/>
        <w:ind w:firstLine="544" w:firstLineChars="227"/>
        <w:rPr>
          <w:rFonts w:hint="eastAsia" w:ascii="宋体" w:hAnsi="宋体"/>
          <w:b/>
          <w:color w:val="auto"/>
          <w:sz w:val="24"/>
          <w:highlight w:val="none"/>
        </w:rPr>
      </w:pPr>
      <w:r>
        <w:rPr>
          <w:rFonts w:hint="eastAsia" w:ascii="宋体" w:hAnsi="宋体" w:cs="宋体"/>
          <w:color w:val="auto"/>
          <w:sz w:val="24"/>
          <w:szCs w:val="24"/>
          <w:highlight w:val="none"/>
        </w:rPr>
        <w:t>14.</w:t>
      </w:r>
      <w:r>
        <w:rPr>
          <w:rFonts w:hint="eastAsia" w:ascii="宋体" w:hAnsi="宋体" w:cs="宋体"/>
          <w:color w:val="auto"/>
          <w:sz w:val="24"/>
          <w:szCs w:val="24"/>
          <w:highlight w:val="none"/>
          <w:lang w:val="en-US" w:eastAsia="zh-CN"/>
        </w:rPr>
        <w:t>34</w:t>
      </w:r>
      <w:r>
        <w:rPr>
          <w:rFonts w:ascii="宋体" w:hAnsi="宋体" w:cs="宋体"/>
          <w:color w:val="auto"/>
          <w:sz w:val="24"/>
          <w:szCs w:val="24"/>
          <w:highlight w:val="none"/>
        </w:rPr>
        <w:t>未尽事宜，经双方友好协商解决</w:t>
      </w:r>
    </w:p>
    <w:p w14:paraId="7E9A9FD9">
      <w:pPr>
        <w:pStyle w:val="53"/>
        <w:ind w:firstLine="420" w:firstLineChars="200"/>
        <w:jc w:val="left"/>
        <w:rPr>
          <w:rFonts w:hint="eastAsia" w:ascii="宋体" w:hAnsi="宋体" w:cs="宋体"/>
          <w:color w:val="auto"/>
          <w:sz w:val="24"/>
          <w:szCs w:val="24"/>
          <w:highlight w:val="none"/>
        </w:rPr>
      </w:pPr>
      <w:r>
        <w:rPr>
          <w:color w:val="auto"/>
          <w:highlight w:val="none"/>
        </w:rPr>
        <w:br w:type="page"/>
      </w:r>
    </w:p>
    <w:p w14:paraId="40CFE9E1">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（以下无正文）</w:t>
      </w:r>
    </w:p>
    <w:p w14:paraId="44756C2A">
      <w:pPr>
        <w:spacing w:line="360" w:lineRule="auto"/>
        <w:rPr>
          <w:rFonts w:hint="eastAsia" w:ascii="宋体" w:hAnsi="宋体" w:cs="宋体"/>
          <w:bCs/>
          <w:color w:val="auto"/>
          <w:sz w:val="24"/>
          <w:szCs w:val="24"/>
          <w:highlight w:val="none"/>
        </w:rPr>
      </w:pPr>
    </w:p>
    <w:p w14:paraId="1317F7E2">
      <w:pPr>
        <w:spacing w:line="360" w:lineRule="auto"/>
        <w:rPr>
          <w:rFonts w:hint="eastAsia" w:ascii="宋体" w:hAnsi="宋体" w:cs="宋体"/>
          <w:bCs/>
          <w:color w:val="auto"/>
          <w:sz w:val="24"/>
          <w:szCs w:val="24"/>
          <w:highlight w:val="none"/>
        </w:rPr>
      </w:pPr>
    </w:p>
    <w:p w14:paraId="2175787B">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甲方（盖章）：                        乙方（盖章）： </w:t>
      </w:r>
    </w:p>
    <w:p w14:paraId="37B33BBD">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代表：                                  代表： </w:t>
      </w:r>
    </w:p>
    <w:p w14:paraId="4695A352">
      <w:pPr>
        <w:spacing w:line="360" w:lineRule="auto"/>
        <w:rPr>
          <w:rFonts w:hint="eastAsia" w:ascii="宋体" w:hAnsi="宋体" w:cs="宋体"/>
          <w:bCs/>
          <w:color w:val="auto"/>
          <w:sz w:val="24"/>
          <w:szCs w:val="24"/>
          <w:highlight w:val="none"/>
        </w:rPr>
      </w:pPr>
    </w:p>
    <w:p w14:paraId="43DCA01A">
      <w:pPr>
        <w:spacing w:line="360" w:lineRule="auto"/>
        <w:rPr>
          <w:rFonts w:hint="eastAsia" w:ascii="宋体" w:hAnsi="宋体" w:cs="宋体"/>
          <w:bCs/>
          <w:color w:val="auto"/>
          <w:sz w:val="24"/>
          <w:szCs w:val="24"/>
          <w:highlight w:val="none"/>
        </w:rPr>
      </w:pPr>
      <w:r>
        <w:rPr>
          <w:rFonts w:hint="eastAsia" w:ascii="宋体" w:hAnsi="宋体" w:cs="宋体"/>
          <w:color w:val="auto"/>
          <w:sz w:val="24"/>
          <w:szCs w:val="24"/>
          <w:highlight w:val="none"/>
        </w:rPr>
        <w:t xml:space="preserve">开户名称：                             开户名称： </w:t>
      </w:r>
    </w:p>
    <w:p w14:paraId="5B8744A4">
      <w:pPr>
        <w:spacing w:line="360" w:lineRule="auto"/>
        <w:rPr>
          <w:rFonts w:hint="eastAsia" w:ascii="宋体" w:hAnsi="宋体" w:cs="宋体"/>
          <w:color w:val="auto"/>
          <w:sz w:val="24"/>
          <w:szCs w:val="24"/>
          <w:highlight w:val="none"/>
        </w:rPr>
      </w:pPr>
    </w:p>
    <w:p w14:paraId="7BD2AE1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银行帐号：                             银行帐号： </w:t>
      </w:r>
    </w:p>
    <w:p w14:paraId="41B3EC8D">
      <w:pPr>
        <w:spacing w:line="360" w:lineRule="auto"/>
        <w:rPr>
          <w:rFonts w:hint="eastAsia" w:ascii="宋体" w:hAnsi="宋体" w:cs="宋体"/>
          <w:color w:val="auto"/>
          <w:sz w:val="24"/>
          <w:szCs w:val="24"/>
          <w:highlight w:val="none"/>
        </w:rPr>
      </w:pPr>
    </w:p>
    <w:p w14:paraId="08A40DD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开 户 行：                             开 户 行： </w:t>
      </w:r>
    </w:p>
    <w:p w14:paraId="55C693F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签订地点：广州市黄埔区</w:t>
      </w:r>
    </w:p>
    <w:p w14:paraId="1ABA7CD7">
      <w:pPr>
        <w:spacing w:line="360" w:lineRule="auto"/>
        <w:rPr>
          <w:rFonts w:hint="eastAsia" w:ascii="宋体" w:hAnsi="宋体" w:cs="宋体"/>
          <w:color w:val="auto"/>
          <w:sz w:val="24"/>
          <w:highlight w:val="none"/>
        </w:rPr>
      </w:pPr>
      <w:r>
        <w:rPr>
          <w:rFonts w:hint="eastAsia" w:ascii="宋体" w:hAnsi="宋体" w:cs="宋体"/>
          <w:color w:val="auto"/>
          <w:sz w:val="24"/>
          <w:szCs w:val="24"/>
          <w:highlight w:val="none"/>
        </w:rPr>
        <w:t xml:space="preserve">签订日期：     年     月    日              </w:t>
      </w:r>
    </w:p>
    <w:p w14:paraId="34FF6D41">
      <w:pPr>
        <w:adjustRightInd w:val="0"/>
        <w:snapToGrid w:val="0"/>
        <w:spacing w:line="400" w:lineRule="exact"/>
        <w:rPr>
          <w:rFonts w:hint="eastAsia" w:ascii="宋体" w:hAnsi="宋体"/>
          <w:b/>
          <w:bCs/>
          <w:color w:val="auto"/>
          <w:sz w:val="24"/>
          <w:szCs w:val="24"/>
          <w:highlight w:val="none"/>
        </w:rPr>
      </w:pPr>
      <w:r>
        <w:rPr>
          <w:rFonts w:hint="eastAsia" w:ascii="宋体" w:hAnsi="宋体" w:cs="宋体"/>
          <w:color w:val="auto"/>
          <w:highlight w:val="none"/>
        </w:rPr>
        <w:br w:type="page"/>
      </w:r>
    </w:p>
    <w:p w14:paraId="43D88448">
      <w:pPr>
        <w:pStyle w:val="35"/>
        <w:adjustRightInd w:val="0"/>
        <w:snapToGrid w:val="0"/>
        <w:spacing w:line="400" w:lineRule="exact"/>
        <w:rPr>
          <w:rFonts w:hint="eastAsia" w:ascii="宋体" w:hAnsi="宋体"/>
          <w:b/>
          <w:bCs/>
          <w:color w:val="auto"/>
          <w:sz w:val="24"/>
          <w:szCs w:val="24"/>
          <w:highlight w:val="none"/>
        </w:rPr>
      </w:pPr>
    </w:p>
    <w:p w14:paraId="7B692B60">
      <w:pPr>
        <w:pStyle w:val="35"/>
        <w:adjustRightInd w:val="0"/>
        <w:snapToGrid w:val="0"/>
        <w:spacing w:line="400" w:lineRule="exact"/>
        <w:rPr>
          <w:rFonts w:hint="eastAsia" w:ascii="宋体" w:hAnsi="宋体"/>
          <w:color w:val="auto"/>
          <w:sz w:val="24"/>
          <w:szCs w:val="24"/>
          <w:highlight w:val="none"/>
        </w:rPr>
      </w:pPr>
      <w:r>
        <w:rPr>
          <w:rFonts w:hint="eastAsia" w:ascii="宋体" w:hAnsi="宋体"/>
          <w:b/>
          <w:bCs/>
          <w:color w:val="auto"/>
          <w:sz w:val="24"/>
          <w:szCs w:val="24"/>
          <w:highlight w:val="none"/>
        </w:rPr>
        <w:t>附件1：</w:t>
      </w:r>
    </w:p>
    <w:p w14:paraId="183819D3">
      <w:pPr>
        <w:pStyle w:val="35"/>
        <w:adjustRightInd w:val="0"/>
        <w:snapToGrid w:val="0"/>
        <w:spacing w:line="440" w:lineRule="exact"/>
        <w:jc w:val="center"/>
        <w:rPr>
          <w:rFonts w:hint="eastAsia" w:ascii="宋体" w:hAnsi="宋体"/>
          <w:b/>
          <w:bCs/>
          <w:color w:val="auto"/>
          <w:sz w:val="24"/>
          <w:szCs w:val="24"/>
          <w:highlight w:val="none"/>
        </w:rPr>
      </w:pPr>
      <w:r>
        <w:rPr>
          <w:rFonts w:hint="eastAsia" w:ascii="宋体" w:hAnsi="宋体"/>
          <w:b/>
          <w:bCs/>
          <w:color w:val="auto"/>
          <w:sz w:val="24"/>
          <w:szCs w:val="24"/>
          <w:highlight w:val="none"/>
        </w:rPr>
        <w:t>工程建设项目廉政责任书</w:t>
      </w:r>
    </w:p>
    <w:p w14:paraId="5140B35B">
      <w:pPr>
        <w:pStyle w:val="55"/>
        <w:adjustRightInd w:val="0"/>
        <w:snapToGrid w:val="0"/>
        <w:spacing w:line="440" w:lineRule="exact"/>
        <w:ind w:firstLine="0"/>
        <w:rPr>
          <w:rFonts w:hint="eastAsia" w:ascii="宋体" w:hAnsi="宋体"/>
          <w:snapToGrid w:val="0"/>
          <w:color w:val="auto"/>
          <w:kern w:val="0"/>
          <w:sz w:val="24"/>
          <w:highlight w:val="none"/>
        </w:rPr>
      </w:pPr>
    </w:p>
    <w:p w14:paraId="1A3A9C90">
      <w:pPr>
        <w:spacing w:line="480" w:lineRule="exact"/>
        <w:rPr>
          <w:rFonts w:hint="eastAsia" w:ascii="宋体" w:hAnsi="宋体"/>
          <w:color w:val="auto"/>
          <w:sz w:val="24"/>
          <w:szCs w:val="24"/>
          <w:highlight w:val="none"/>
          <w:u w:val="single"/>
        </w:rPr>
      </w:pPr>
      <w:r>
        <w:rPr>
          <w:rFonts w:hint="eastAsia" w:ascii="宋体" w:hAnsi="宋体"/>
          <w:color w:val="auto"/>
          <w:sz w:val="24"/>
          <w:szCs w:val="24"/>
          <w:highlight w:val="none"/>
        </w:rPr>
        <w:t>工程项目名称：</w:t>
      </w:r>
      <w:r>
        <w:rPr>
          <w:rFonts w:hint="eastAsia" w:ascii="宋体" w:hAnsi="宋体"/>
          <w:color w:val="auto"/>
          <w:sz w:val="24"/>
          <w:szCs w:val="24"/>
          <w:highlight w:val="none"/>
          <w:u w:val="single"/>
        </w:rPr>
        <w:t>广州市黄埔区南岗街南岗社区亨元、柯庄片区城中村改造项目房屋拆除工程</w:t>
      </w:r>
    </w:p>
    <w:p w14:paraId="1B6E0665">
      <w:pPr>
        <w:pStyle w:val="35"/>
        <w:adjustRightInd w:val="0"/>
        <w:snapToGrid w:val="0"/>
        <w:spacing w:line="440" w:lineRule="exact"/>
        <w:rPr>
          <w:rFonts w:hint="eastAsia" w:ascii="宋体" w:hAnsi="宋体"/>
          <w:color w:val="auto"/>
          <w:sz w:val="24"/>
          <w:szCs w:val="24"/>
          <w:highlight w:val="none"/>
          <w:u w:val="single"/>
        </w:rPr>
      </w:pPr>
      <w:r>
        <w:rPr>
          <w:rFonts w:hint="eastAsia" w:ascii="宋体" w:hAnsi="宋体"/>
          <w:color w:val="auto"/>
          <w:sz w:val="24"/>
          <w:szCs w:val="24"/>
          <w:highlight w:val="none"/>
        </w:rPr>
        <w:t>甲        方：</w:t>
      </w:r>
      <w:r>
        <w:rPr>
          <w:rFonts w:hint="eastAsia" w:ascii="宋体" w:hAnsi="宋体"/>
          <w:color w:val="auto"/>
          <w:sz w:val="24"/>
          <w:szCs w:val="24"/>
          <w:highlight w:val="none"/>
          <w:u w:val="single"/>
        </w:rPr>
        <w:t xml:space="preserve">        </w:t>
      </w:r>
    </w:p>
    <w:p w14:paraId="53D3FEFB">
      <w:pPr>
        <w:pStyle w:val="35"/>
        <w:adjustRightInd w:val="0"/>
        <w:snapToGrid w:val="0"/>
        <w:spacing w:line="440" w:lineRule="exact"/>
        <w:rPr>
          <w:rFonts w:hint="eastAsia" w:ascii="宋体" w:hAnsi="宋体"/>
          <w:color w:val="auto"/>
          <w:sz w:val="24"/>
          <w:highlight w:val="none"/>
        </w:rPr>
      </w:pPr>
      <w:r>
        <w:rPr>
          <w:rFonts w:hint="eastAsia" w:ascii="宋体" w:hAnsi="宋体"/>
          <w:color w:val="auto"/>
          <w:sz w:val="24"/>
          <w:szCs w:val="24"/>
          <w:highlight w:val="none"/>
        </w:rPr>
        <w:t>乙        方：</w:t>
      </w:r>
    </w:p>
    <w:p w14:paraId="65A67D7A">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2F5A3298">
      <w:pPr>
        <w:adjustRightInd w:val="0"/>
        <w:snapToGrid w:val="0"/>
        <w:spacing w:line="440" w:lineRule="exact"/>
        <w:ind w:firstLine="482"/>
        <w:rPr>
          <w:rFonts w:hint="eastAsia" w:ascii="宋体" w:hAnsi="宋体" w:cs="宋体"/>
          <w:b/>
          <w:color w:val="auto"/>
          <w:kern w:val="0"/>
          <w:sz w:val="24"/>
          <w:highlight w:val="none"/>
        </w:rPr>
      </w:pPr>
      <w:r>
        <w:rPr>
          <w:rFonts w:hint="eastAsia" w:ascii="宋体" w:hAnsi="宋体" w:cs="宋体"/>
          <w:b/>
          <w:snapToGrid w:val="0"/>
          <w:color w:val="auto"/>
          <w:kern w:val="0"/>
          <w:sz w:val="24"/>
          <w:highlight w:val="none"/>
          <w:lang w:bidi="ar"/>
        </w:rPr>
        <w:t>第一条</w:t>
      </w:r>
      <w:r>
        <w:rPr>
          <w:rFonts w:hint="eastAsia" w:ascii="宋体" w:hAnsi="宋体" w:cs="宋体"/>
          <w:snapToGrid w:val="0"/>
          <w:color w:val="auto"/>
          <w:kern w:val="0"/>
          <w:sz w:val="24"/>
          <w:highlight w:val="none"/>
          <w:lang w:bidi="ar"/>
        </w:rPr>
        <w:t>甲、乙双方的责任</w:t>
      </w:r>
    </w:p>
    <w:p w14:paraId="3F5689D3">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（一）应严格遵守国家关于市场准入、项目招标投标、</w:t>
      </w:r>
      <w:r>
        <w:rPr>
          <w:rFonts w:hint="eastAsia" w:ascii="宋体" w:hAnsi="宋体" w:cs="宋体"/>
          <w:color w:val="auto"/>
          <w:kern w:val="0"/>
          <w:sz w:val="24"/>
          <w:highlight w:val="none"/>
          <w:lang w:bidi="ar"/>
        </w:rPr>
        <w:t>工程建设和市场活动</w:t>
      </w:r>
      <w:r>
        <w:rPr>
          <w:rFonts w:hint="eastAsia" w:ascii="宋体" w:hAnsi="宋体" w:cs="宋体"/>
          <w:snapToGrid w:val="0"/>
          <w:color w:val="auto"/>
          <w:kern w:val="0"/>
          <w:sz w:val="24"/>
          <w:highlight w:val="none"/>
          <w:lang w:bidi="ar"/>
        </w:rPr>
        <w:t>等有关法律、法规、相关政策，以及廉政建设的各项规定。</w:t>
      </w:r>
    </w:p>
    <w:p w14:paraId="445D093D">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（二）严格执行建设工程项目承发包合同文件，自觉按合同办事。</w:t>
      </w:r>
    </w:p>
    <w:p w14:paraId="1F022A40">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（三）业务活动必须坚持公开、公平、公正、诚信、透明的原则（除法律法规另有规定者外），不得为获取不正当的利益，损害国家、集体和对方利益，不得</w:t>
      </w:r>
      <w:r>
        <w:rPr>
          <w:rFonts w:hint="eastAsia" w:ascii="宋体" w:hAnsi="宋体" w:cs="宋体"/>
          <w:color w:val="auto"/>
          <w:kern w:val="0"/>
          <w:sz w:val="24"/>
          <w:highlight w:val="none"/>
          <w:lang w:bidi="ar"/>
        </w:rPr>
        <w:t>违反工程建设过程管理的规章制度。</w:t>
      </w:r>
    </w:p>
    <w:p w14:paraId="20F04414">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（四）发现对方在业务活动中有违规、违纪、违法行为的，应及时提醒对方，情节严重的，应向其上级主管部门或纪检监察、司法等有关机关举报。</w:t>
      </w:r>
    </w:p>
    <w:p w14:paraId="1ACFC1C3">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b/>
          <w:snapToGrid w:val="0"/>
          <w:color w:val="auto"/>
          <w:kern w:val="0"/>
          <w:sz w:val="24"/>
          <w:highlight w:val="none"/>
          <w:lang w:bidi="ar"/>
        </w:rPr>
        <w:t>第二条</w:t>
      </w:r>
      <w:r>
        <w:rPr>
          <w:rFonts w:hint="eastAsia" w:ascii="宋体" w:hAnsi="宋体" w:cs="宋体"/>
          <w:snapToGrid w:val="0"/>
          <w:color w:val="auto"/>
          <w:kern w:val="0"/>
          <w:sz w:val="24"/>
          <w:highlight w:val="none"/>
          <w:lang w:bidi="ar"/>
        </w:rPr>
        <w:t>甲方的责任</w:t>
      </w:r>
    </w:p>
    <w:p w14:paraId="212001FE">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甲方的领导和从事本建设工程项目的工作人员，在工程建设的事前、事中、事后应遵守以下规定：</w:t>
      </w:r>
    </w:p>
    <w:p w14:paraId="5DCE2D1C">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（一）不准向乙方和相关单位索要或接受回扣、礼金、有价证券、贵重物品和好处费、感谢费等。</w:t>
      </w:r>
    </w:p>
    <w:p w14:paraId="2B9DA49F">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（二）不准在乙方和相关单位报销任何应由甲方或个人支付的费用。</w:t>
      </w:r>
    </w:p>
    <w:p w14:paraId="5854DABC">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（三）不准要求、暗示或接受乙方和相关单位为个人装修住房、婚丧嫁娶、配偶子女的工作安排以及出国（境）、旅游等提供方便。</w:t>
      </w:r>
    </w:p>
    <w:p w14:paraId="1225831B">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（四）不准参加有可能影响公正执行公务的乙方及相关单位的宴请、健身、娱乐等活动。</w:t>
      </w:r>
    </w:p>
    <w:p w14:paraId="00A5E7F5">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（五）不准向乙方介绍或为配偶、子女、亲属参与同甲方项目工程合同有关的设备、材料、工程分包、劳务等经济活动。不得以任何理由向乙方和相关单位推荐分包单位。</w:t>
      </w:r>
    </w:p>
    <w:p w14:paraId="34F86D00">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b/>
          <w:snapToGrid w:val="0"/>
          <w:color w:val="auto"/>
          <w:kern w:val="0"/>
          <w:sz w:val="24"/>
          <w:highlight w:val="none"/>
          <w:lang w:bidi="ar"/>
        </w:rPr>
        <w:t>第三条</w:t>
      </w:r>
      <w:r>
        <w:rPr>
          <w:rFonts w:hint="eastAsia" w:ascii="宋体" w:hAnsi="宋体" w:cs="宋体"/>
          <w:snapToGrid w:val="0"/>
          <w:color w:val="auto"/>
          <w:kern w:val="0"/>
          <w:sz w:val="24"/>
          <w:highlight w:val="none"/>
          <w:lang w:bidi="ar"/>
        </w:rPr>
        <w:t>乙方的责任</w:t>
      </w:r>
    </w:p>
    <w:p w14:paraId="7D290D4A">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应与甲方保持正常的业务交往，按照有关法律法规和程序开展业务工作，严格执行</w:t>
      </w:r>
      <w:r>
        <w:rPr>
          <w:rFonts w:hint="eastAsia" w:ascii="宋体" w:hAnsi="宋体" w:cs="宋体"/>
          <w:color w:val="auto"/>
          <w:kern w:val="0"/>
          <w:sz w:val="24"/>
          <w:highlight w:val="none"/>
          <w:lang w:bidi="ar"/>
        </w:rPr>
        <w:t>工程建设过程管理的有关方针、政策，尤其是强制性标准和规范</w:t>
      </w:r>
      <w:r>
        <w:rPr>
          <w:rFonts w:hint="eastAsia" w:ascii="宋体" w:hAnsi="宋体" w:cs="宋体"/>
          <w:snapToGrid w:val="0"/>
          <w:color w:val="auto"/>
          <w:kern w:val="0"/>
          <w:sz w:val="24"/>
          <w:highlight w:val="none"/>
          <w:lang w:bidi="ar"/>
        </w:rPr>
        <w:t>，并遵守以下规定：</w:t>
      </w:r>
    </w:p>
    <w:p w14:paraId="04EA87D5">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（一）不准以任何理由向甲方、相关单位及其工作人员索要、接受或赠送礼金、有价证券、贵重物品及回扣、好处费、感谢费等。</w:t>
      </w:r>
    </w:p>
    <w:p w14:paraId="493220F7">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（二）不准以任何理由为甲方和相关单位报销应由对方或个人支付的费用。</w:t>
      </w:r>
    </w:p>
    <w:p w14:paraId="2BAC88FE">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（三）不准接受或暗示为甲方、相关单位或个人装修住房、婚丧嫁娶、配偶子女的工作安排以及出国（境）、旅游等提供方便。</w:t>
      </w:r>
    </w:p>
    <w:p w14:paraId="019F4A60">
      <w:pPr>
        <w:adjustRightInd w:val="0"/>
        <w:snapToGrid w:val="0"/>
        <w:spacing w:line="440" w:lineRule="exact"/>
        <w:ind w:firstLine="482"/>
        <w:rPr>
          <w:rFonts w:hint="eastAsia" w:ascii="宋体" w:hAnsi="宋体" w:cs="宋体"/>
          <w:snapToGrid w:val="0"/>
          <w:color w:val="auto"/>
          <w:kern w:val="0"/>
          <w:sz w:val="24"/>
          <w:highlight w:val="none"/>
          <w:lang w:bidi="ar"/>
        </w:rPr>
      </w:pPr>
      <w:r>
        <w:rPr>
          <w:rFonts w:hint="eastAsia" w:ascii="宋体" w:hAnsi="宋体" w:cs="宋体"/>
          <w:snapToGrid w:val="0"/>
          <w:color w:val="auto"/>
          <w:kern w:val="0"/>
          <w:sz w:val="24"/>
          <w:highlight w:val="none"/>
          <w:lang w:bidi="ar"/>
        </w:rPr>
        <w:t>（四）不准以任何理由为甲方、相关单位或个人组织有可能影响公正执行公务的宴请、健身、娱乐等活动。</w:t>
      </w:r>
    </w:p>
    <w:p w14:paraId="1C0625B6">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b/>
          <w:snapToGrid w:val="0"/>
          <w:color w:val="auto"/>
          <w:kern w:val="0"/>
          <w:sz w:val="24"/>
          <w:highlight w:val="none"/>
          <w:lang w:bidi="ar"/>
        </w:rPr>
        <w:t>第四条</w:t>
      </w:r>
      <w:r>
        <w:rPr>
          <w:rFonts w:hint="eastAsia" w:ascii="宋体" w:hAnsi="宋体" w:cs="宋体"/>
          <w:snapToGrid w:val="0"/>
          <w:color w:val="auto"/>
          <w:kern w:val="0"/>
          <w:sz w:val="24"/>
          <w:highlight w:val="none"/>
          <w:lang w:bidi="ar"/>
        </w:rPr>
        <w:t>违约责任</w:t>
      </w:r>
    </w:p>
    <w:p w14:paraId="235A1922">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14:paraId="2A185FC0">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14:paraId="3BD6E183">
      <w:pPr>
        <w:adjustRightInd w:val="0"/>
        <w:snapToGrid w:val="0"/>
        <w:spacing w:line="440" w:lineRule="exact"/>
        <w:ind w:firstLine="482"/>
        <w:rPr>
          <w:rFonts w:hint="eastAsia" w:ascii="宋体" w:hAnsi="宋体" w:cs="宋体"/>
          <w:b/>
          <w:color w:val="auto"/>
          <w:kern w:val="0"/>
          <w:sz w:val="24"/>
          <w:highlight w:val="none"/>
        </w:rPr>
      </w:pPr>
      <w:r>
        <w:rPr>
          <w:rFonts w:hint="eastAsia" w:ascii="宋体" w:hAnsi="宋体" w:cs="宋体"/>
          <w:b/>
          <w:snapToGrid w:val="0"/>
          <w:color w:val="auto"/>
          <w:kern w:val="0"/>
          <w:sz w:val="24"/>
          <w:highlight w:val="none"/>
          <w:lang w:bidi="ar"/>
        </w:rPr>
        <w:t>第五条</w:t>
      </w:r>
      <w:r>
        <w:rPr>
          <w:rFonts w:hint="eastAsia" w:ascii="宋体" w:hAnsi="宋体" w:cs="宋体"/>
          <w:snapToGrid w:val="0"/>
          <w:color w:val="auto"/>
          <w:kern w:val="0"/>
          <w:sz w:val="24"/>
          <w:highlight w:val="none"/>
          <w:lang w:bidi="ar"/>
        </w:rPr>
        <w:t>本廉政责任书作为合同的附件，与合同具有同等法律效力。经双方签署后立即生效。</w:t>
      </w:r>
    </w:p>
    <w:p w14:paraId="6A2CBD50">
      <w:pPr>
        <w:adjustRightInd w:val="0"/>
        <w:snapToGrid w:val="0"/>
        <w:spacing w:line="440" w:lineRule="exact"/>
        <w:ind w:firstLine="482"/>
        <w:rPr>
          <w:rFonts w:hint="eastAsia" w:ascii="宋体" w:hAnsi="宋体" w:cs="宋体"/>
          <w:b/>
          <w:color w:val="auto"/>
          <w:kern w:val="0"/>
          <w:sz w:val="24"/>
          <w:highlight w:val="none"/>
        </w:rPr>
      </w:pPr>
      <w:r>
        <w:rPr>
          <w:rFonts w:hint="eastAsia" w:ascii="宋体" w:hAnsi="宋体" w:cs="宋体"/>
          <w:b/>
          <w:snapToGrid w:val="0"/>
          <w:color w:val="auto"/>
          <w:kern w:val="0"/>
          <w:sz w:val="24"/>
          <w:highlight w:val="none"/>
          <w:lang w:bidi="ar"/>
        </w:rPr>
        <w:t>第六条</w:t>
      </w:r>
      <w:r>
        <w:rPr>
          <w:rFonts w:hint="eastAsia" w:ascii="宋体" w:hAnsi="宋体" w:cs="宋体"/>
          <w:snapToGrid w:val="0"/>
          <w:color w:val="auto"/>
          <w:kern w:val="0"/>
          <w:sz w:val="24"/>
          <w:highlight w:val="none"/>
          <w:lang w:bidi="ar"/>
        </w:rPr>
        <w:t>本廉政责任书的有效期与合同的有效期相同。</w:t>
      </w:r>
    </w:p>
    <w:p w14:paraId="04220232">
      <w:pPr>
        <w:adjustRightInd w:val="0"/>
        <w:snapToGrid w:val="0"/>
        <w:spacing w:line="440" w:lineRule="exact"/>
        <w:rPr>
          <w:rFonts w:hint="eastAsia" w:ascii="宋体" w:hAnsi="宋体" w:cs="宋体"/>
          <w:snapToGrid w:val="0"/>
          <w:color w:val="auto"/>
          <w:kern w:val="0"/>
          <w:sz w:val="24"/>
          <w:highlight w:val="none"/>
        </w:rPr>
      </w:pPr>
      <w:r>
        <w:rPr>
          <w:rFonts w:hint="eastAsia" w:ascii="宋体" w:hAnsi="宋体" w:cs="宋体"/>
          <w:b/>
          <w:color w:val="auto"/>
          <w:kern w:val="0"/>
          <w:sz w:val="24"/>
          <w:highlight w:val="none"/>
          <w:lang w:bidi="ar"/>
        </w:rPr>
        <w:t xml:space="preserve">    </w:t>
      </w:r>
      <w:r>
        <w:rPr>
          <w:rFonts w:hint="eastAsia" w:ascii="宋体" w:hAnsi="宋体" w:cs="宋体"/>
          <w:b/>
          <w:snapToGrid w:val="0"/>
          <w:color w:val="auto"/>
          <w:kern w:val="0"/>
          <w:sz w:val="24"/>
          <w:highlight w:val="none"/>
          <w:lang w:bidi="ar"/>
        </w:rPr>
        <w:t>第七条</w:t>
      </w:r>
      <w:r>
        <w:rPr>
          <w:rFonts w:hint="eastAsia" w:ascii="宋体" w:hAnsi="宋体" w:cs="宋体"/>
          <w:snapToGrid w:val="0"/>
          <w:color w:val="auto"/>
          <w:kern w:val="0"/>
          <w:sz w:val="24"/>
          <w:highlight w:val="none"/>
          <w:lang w:bidi="ar"/>
        </w:rPr>
        <w:t>本廉政责任书份数和合同份数一致</w:t>
      </w:r>
      <w:r>
        <w:rPr>
          <w:rFonts w:hint="eastAsia" w:ascii="宋体" w:hAnsi="宋体" w:cs="宋体"/>
          <w:bCs/>
          <w:color w:val="auto"/>
          <w:kern w:val="0"/>
          <w:sz w:val="24"/>
          <w:highlight w:val="none"/>
          <w:lang w:bidi="ar"/>
        </w:rPr>
        <w:t>。</w:t>
      </w:r>
    </w:p>
    <w:p w14:paraId="5389C3F8">
      <w:pPr>
        <w:adjustRightInd w:val="0"/>
        <w:snapToGrid w:val="0"/>
        <w:spacing w:line="380" w:lineRule="exact"/>
        <w:ind w:right="11"/>
        <w:rPr>
          <w:rFonts w:hint="eastAsia" w:ascii="宋体" w:hAnsi="宋体" w:cs="宋体"/>
          <w:snapToGrid w:val="0"/>
          <w:color w:val="auto"/>
          <w:kern w:val="0"/>
          <w:sz w:val="24"/>
          <w:highlight w:val="none"/>
        </w:rPr>
      </w:pPr>
    </w:p>
    <w:p w14:paraId="6F917804">
      <w:pPr>
        <w:pStyle w:val="35"/>
        <w:adjustRightInd w:val="0"/>
        <w:snapToGrid w:val="0"/>
        <w:spacing w:line="360" w:lineRule="auto"/>
        <w:ind w:right="11"/>
        <w:rPr>
          <w:rFonts w:hint="eastAsia" w:ascii="宋体" w:hAnsi="宋体"/>
          <w:color w:val="auto"/>
          <w:sz w:val="24"/>
          <w:highlight w:val="none"/>
        </w:rPr>
      </w:pPr>
      <w:r>
        <w:rPr>
          <w:rFonts w:hint="eastAsia" w:ascii="宋体" w:hAnsi="宋体"/>
          <w:color w:val="auto"/>
          <w:sz w:val="24"/>
          <w:highlight w:val="none"/>
        </w:rPr>
        <w:t>甲方：                                    乙方：</w:t>
      </w:r>
    </w:p>
    <w:p w14:paraId="69D51BDC">
      <w:pPr>
        <w:pStyle w:val="35"/>
        <w:adjustRightInd w:val="0"/>
        <w:snapToGrid w:val="0"/>
        <w:spacing w:line="360" w:lineRule="auto"/>
        <w:ind w:left="1917" w:leftChars="513" w:right="11" w:hanging="840" w:hangingChars="350"/>
        <w:rPr>
          <w:rFonts w:hint="eastAsia" w:ascii="宋体" w:hAnsi="宋体"/>
          <w:color w:val="auto"/>
          <w:sz w:val="24"/>
          <w:highlight w:val="none"/>
        </w:rPr>
      </w:pPr>
      <w:r>
        <w:rPr>
          <w:rFonts w:hint="eastAsia" w:ascii="宋体" w:hAnsi="宋体"/>
          <w:color w:val="auto"/>
          <w:sz w:val="24"/>
          <w:highlight w:val="none"/>
        </w:rPr>
        <w:t xml:space="preserve">                          </w:t>
      </w:r>
    </w:p>
    <w:p w14:paraId="20AAF524">
      <w:pPr>
        <w:pStyle w:val="35"/>
        <w:adjustRightInd w:val="0"/>
        <w:snapToGrid w:val="0"/>
        <w:spacing w:line="360" w:lineRule="auto"/>
        <w:ind w:right="11"/>
        <w:rPr>
          <w:rFonts w:hint="eastAsia" w:ascii="宋体" w:hAnsi="宋体"/>
          <w:color w:val="auto"/>
          <w:sz w:val="24"/>
          <w:highlight w:val="none"/>
        </w:rPr>
      </w:pPr>
      <w:r>
        <w:rPr>
          <w:rFonts w:hint="eastAsia" w:ascii="宋体" w:hAnsi="宋体"/>
          <w:color w:val="auto"/>
          <w:sz w:val="24"/>
          <w:highlight w:val="none"/>
        </w:rPr>
        <w:t>法定代表人：                              法定代表人：</w:t>
      </w:r>
    </w:p>
    <w:p w14:paraId="144C9B03">
      <w:pPr>
        <w:pStyle w:val="35"/>
        <w:tabs>
          <w:tab w:val="left" w:pos="5460"/>
        </w:tabs>
        <w:adjustRightInd w:val="0"/>
        <w:snapToGrid w:val="0"/>
        <w:spacing w:line="360" w:lineRule="auto"/>
        <w:ind w:right="11"/>
        <w:rPr>
          <w:rFonts w:hint="eastAsia" w:ascii="宋体" w:hAnsi="宋体"/>
          <w:color w:val="auto"/>
          <w:sz w:val="24"/>
          <w:highlight w:val="none"/>
        </w:rPr>
      </w:pPr>
      <w:r>
        <w:rPr>
          <w:rFonts w:hint="eastAsia" w:ascii="宋体" w:hAnsi="宋体"/>
          <w:color w:val="auto"/>
          <w:sz w:val="24"/>
          <w:highlight w:val="none"/>
        </w:rPr>
        <w:t>委托代理人：                              委托代理人：</w:t>
      </w:r>
    </w:p>
    <w:p w14:paraId="530F5A43">
      <w:pPr>
        <w:pStyle w:val="35"/>
        <w:tabs>
          <w:tab w:val="left" w:pos="5460"/>
        </w:tabs>
        <w:adjustRightInd w:val="0"/>
        <w:snapToGrid w:val="0"/>
        <w:spacing w:line="400" w:lineRule="exact"/>
        <w:ind w:right="11"/>
        <w:rPr>
          <w:rFonts w:hint="eastAsia"/>
          <w:color w:val="auto"/>
          <w:highlight w:val="none"/>
        </w:rPr>
      </w:pPr>
      <w:r>
        <w:rPr>
          <w:rFonts w:hint="eastAsia" w:ascii="宋体" w:hAnsi="宋体"/>
          <w:color w:val="auto"/>
          <w:sz w:val="24"/>
          <w:highlight w:val="none"/>
        </w:rPr>
        <w:t xml:space="preserve">签约日期：    年  月  日          </w:t>
      </w:r>
    </w:p>
    <w:p w14:paraId="6ECE1E4D">
      <w:pPr>
        <w:snapToGrid w:val="0"/>
        <w:spacing w:line="360" w:lineRule="auto"/>
        <w:jc w:val="center"/>
        <w:rPr>
          <w:rFonts w:hint="eastAsia" w:ascii="宋体" w:hAnsi="宋体" w:cs="宋体"/>
          <w:color w:val="auto"/>
          <w:sz w:val="24"/>
          <w:highlight w:val="none"/>
        </w:rPr>
      </w:pPr>
    </w:p>
    <w:p w14:paraId="26CD4E60">
      <w:pPr>
        <w:pStyle w:val="2"/>
        <w:jc w:val="center"/>
        <w:rPr>
          <w:rFonts w:hint="eastAsia"/>
          <w:color w:val="auto"/>
          <w:highlight w:val="none"/>
        </w:rPr>
      </w:pPr>
      <w:bookmarkStart w:id="226" w:name="_Toc274"/>
      <w:bookmarkStart w:id="227" w:name="_Toc8323"/>
      <w:bookmarkStart w:id="228" w:name="_Toc8343"/>
      <w:bookmarkStart w:id="229" w:name="_Toc15094"/>
      <w:bookmarkStart w:id="230" w:name="_Toc235"/>
      <w:bookmarkStart w:id="231" w:name="_Toc7622"/>
      <w:bookmarkStart w:id="232" w:name="_Toc2272567"/>
      <w:bookmarkStart w:id="233" w:name="_Toc32333"/>
      <w:bookmarkStart w:id="234" w:name="_Toc9383"/>
      <w:bookmarkStart w:id="235" w:name="_Toc11946"/>
      <w:bookmarkStart w:id="236" w:name="_Toc25572"/>
    </w:p>
    <w:p w14:paraId="230CBDF8">
      <w:pPr>
        <w:rPr>
          <w:rFonts w:hint="eastAsia" w:ascii="宋体" w:hAnsi="宋体" w:cs="宋体"/>
          <w:color w:val="auto"/>
          <w:highlight w:val="none"/>
        </w:rPr>
      </w:pPr>
    </w:p>
    <w:p w14:paraId="3322E712">
      <w:pPr>
        <w:rPr>
          <w:rFonts w:hint="eastAsia" w:ascii="宋体" w:hAnsi="宋体" w:cs="宋体"/>
          <w:color w:val="auto"/>
          <w:highlight w:val="none"/>
        </w:rPr>
      </w:pPr>
    </w:p>
    <w:p w14:paraId="5DAB5F4E">
      <w:pPr>
        <w:rPr>
          <w:rFonts w:hint="eastAsia" w:ascii="宋体" w:hAnsi="宋体" w:cs="宋体"/>
          <w:color w:val="auto"/>
          <w:highlight w:val="none"/>
        </w:rPr>
      </w:pPr>
    </w:p>
    <w:p w14:paraId="0139E96F">
      <w:pPr>
        <w:rPr>
          <w:rFonts w:hint="eastAsia" w:ascii="宋体" w:hAnsi="宋体" w:cs="宋体"/>
          <w:color w:val="auto"/>
          <w:highlight w:val="none"/>
        </w:rPr>
      </w:pPr>
    </w:p>
    <w:p w14:paraId="56FAABDE">
      <w:pPr>
        <w:rPr>
          <w:rFonts w:hint="eastAsia" w:ascii="宋体" w:hAnsi="宋体" w:cs="宋体"/>
          <w:color w:val="auto"/>
          <w:highlight w:val="none"/>
        </w:rPr>
      </w:pPr>
    </w:p>
    <w:p w14:paraId="32C92837">
      <w:pPr>
        <w:rPr>
          <w:rFonts w:hint="eastAsia" w:ascii="宋体" w:hAnsi="宋体" w:cs="宋体"/>
          <w:color w:val="auto"/>
          <w:highlight w:val="none"/>
        </w:rPr>
      </w:pPr>
    </w:p>
    <w:p w14:paraId="33AF8F7D">
      <w:pPr>
        <w:rPr>
          <w:rFonts w:hint="eastAsia" w:ascii="宋体" w:hAnsi="宋体" w:cs="宋体"/>
          <w:color w:val="auto"/>
          <w:highlight w:val="none"/>
        </w:rPr>
      </w:pPr>
    </w:p>
    <w:p w14:paraId="2E683CE1">
      <w:pPr>
        <w:rPr>
          <w:rFonts w:hint="eastAsia" w:ascii="宋体" w:hAnsi="宋体" w:cs="宋体"/>
          <w:color w:val="auto"/>
          <w:highlight w:val="none"/>
        </w:rPr>
      </w:pPr>
    </w:p>
    <w:p w14:paraId="7604C1E4">
      <w:pPr>
        <w:rPr>
          <w:rFonts w:hint="eastAsia" w:ascii="宋体" w:hAnsi="宋体" w:cs="宋体"/>
          <w:color w:val="auto"/>
          <w:highlight w:val="none"/>
        </w:rPr>
      </w:pPr>
    </w:p>
    <w:p w14:paraId="6161FB10">
      <w:pPr>
        <w:rPr>
          <w:rFonts w:hint="eastAsia" w:ascii="宋体" w:hAnsi="宋体" w:cs="宋体"/>
          <w:color w:val="auto"/>
          <w:highlight w:val="none"/>
        </w:rPr>
      </w:pPr>
    </w:p>
    <w:p w14:paraId="1C504EF3">
      <w:pPr>
        <w:rPr>
          <w:rFonts w:hint="eastAsia" w:ascii="宋体" w:hAnsi="宋体" w:cs="宋体"/>
          <w:color w:val="auto"/>
          <w:highlight w:val="none"/>
        </w:rPr>
      </w:pPr>
    </w:p>
    <w:p w14:paraId="7FE49DBF">
      <w:pPr>
        <w:rPr>
          <w:rFonts w:hint="eastAsia" w:ascii="宋体" w:hAnsi="宋体" w:cs="宋体"/>
          <w:color w:val="auto"/>
          <w:highlight w:val="none"/>
        </w:rPr>
      </w:pPr>
    </w:p>
    <w:p w14:paraId="626FF27B">
      <w:pPr>
        <w:rPr>
          <w:rFonts w:hint="eastAsia" w:ascii="宋体" w:hAnsi="宋体" w:cs="宋体"/>
          <w:color w:val="auto"/>
          <w:highlight w:val="none"/>
        </w:rPr>
      </w:pPr>
    </w:p>
    <w:p w14:paraId="08736029">
      <w:pPr>
        <w:rPr>
          <w:rFonts w:hint="eastAsia" w:ascii="宋体" w:hAnsi="宋体" w:cs="宋体"/>
          <w:color w:val="auto"/>
          <w:highlight w:val="none"/>
        </w:rPr>
      </w:pPr>
    </w:p>
    <w:p w14:paraId="114892B6">
      <w:pPr>
        <w:rPr>
          <w:rFonts w:hint="eastAsia" w:ascii="宋体" w:hAnsi="宋体" w:cs="宋体"/>
          <w:color w:val="auto"/>
          <w:highlight w:val="none"/>
        </w:rPr>
      </w:pPr>
    </w:p>
    <w:p w14:paraId="5906B5AD">
      <w:pPr>
        <w:rPr>
          <w:rFonts w:hint="eastAsia" w:ascii="宋体" w:hAnsi="宋体" w:cs="宋体"/>
          <w:color w:val="auto"/>
          <w:highlight w:val="none"/>
        </w:rPr>
      </w:pPr>
    </w:p>
    <w:p w14:paraId="26885564">
      <w:pPr>
        <w:rPr>
          <w:rFonts w:hint="eastAsia" w:ascii="宋体" w:hAnsi="宋体" w:cs="宋体"/>
          <w:color w:val="auto"/>
          <w:highlight w:val="none"/>
        </w:rPr>
      </w:pPr>
    </w:p>
    <w:p w14:paraId="0AC7794F">
      <w:pPr>
        <w:rPr>
          <w:rFonts w:hint="eastAsia" w:ascii="宋体" w:hAnsi="宋体" w:cs="宋体"/>
          <w:color w:val="auto"/>
          <w:highlight w:val="none"/>
        </w:rPr>
      </w:pPr>
    </w:p>
    <w:p w14:paraId="7968E623">
      <w:pPr>
        <w:rPr>
          <w:rFonts w:hint="eastAsia" w:ascii="宋体" w:hAnsi="宋体" w:cs="宋体"/>
          <w:color w:val="auto"/>
          <w:highlight w:val="none"/>
        </w:rPr>
      </w:pPr>
    </w:p>
    <w:p w14:paraId="375BB148">
      <w:pPr>
        <w:rPr>
          <w:rFonts w:hint="eastAsia" w:ascii="宋体" w:hAnsi="宋体" w:cs="宋体"/>
          <w:color w:val="auto"/>
          <w:highlight w:val="none"/>
        </w:rPr>
      </w:pPr>
    </w:p>
    <w:p w14:paraId="3FE495DF">
      <w:pPr>
        <w:rPr>
          <w:rFonts w:hint="eastAsia" w:ascii="宋体" w:hAnsi="宋体" w:cs="宋体"/>
          <w:color w:val="auto"/>
          <w:highlight w:val="none"/>
        </w:rPr>
      </w:pPr>
    </w:p>
    <w:p w14:paraId="0E644914">
      <w:pPr>
        <w:rPr>
          <w:rFonts w:hint="eastAsia" w:ascii="宋体" w:hAnsi="宋体" w:cs="宋体"/>
          <w:color w:val="auto"/>
          <w:highlight w:val="none"/>
        </w:rPr>
      </w:pPr>
    </w:p>
    <w:p w14:paraId="7C066575">
      <w:pPr>
        <w:rPr>
          <w:rFonts w:hint="eastAsia" w:ascii="宋体" w:hAnsi="宋体" w:cs="宋体"/>
          <w:color w:val="auto"/>
          <w:highlight w:val="none"/>
        </w:rPr>
      </w:pPr>
    </w:p>
    <w:p w14:paraId="34986E9C">
      <w:pPr>
        <w:rPr>
          <w:rFonts w:hint="eastAsia" w:ascii="宋体" w:hAnsi="宋体" w:cs="宋体"/>
          <w:color w:val="auto"/>
          <w:highlight w:val="none"/>
        </w:rPr>
      </w:pPr>
    </w:p>
    <w:p w14:paraId="6BCDE33A">
      <w:pPr>
        <w:rPr>
          <w:rFonts w:hint="eastAsia" w:ascii="宋体" w:hAnsi="宋体" w:cs="宋体"/>
          <w:color w:val="auto"/>
          <w:highlight w:val="none"/>
        </w:rPr>
      </w:pPr>
    </w:p>
    <w:p w14:paraId="72D9F3D5">
      <w:pPr>
        <w:rPr>
          <w:rFonts w:hint="eastAsia" w:ascii="宋体" w:hAnsi="宋体" w:cs="宋体"/>
          <w:color w:val="auto"/>
          <w:highlight w:val="none"/>
        </w:rPr>
      </w:pPr>
    </w:p>
    <w:p w14:paraId="7C1FB625">
      <w:pPr>
        <w:rPr>
          <w:rFonts w:hint="eastAsia" w:ascii="宋体" w:hAnsi="宋体" w:cs="宋体"/>
          <w:color w:val="auto"/>
          <w:highlight w:val="none"/>
        </w:rPr>
      </w:pPr>
    </w:p>
    <w:p w14:paraId="1227DFB1">
      <w:pPr>
        <w:rPr>
          <w:rFonts w:hint="eastAsia" w:ascii="宋体" w:hAnsi="宋体" w:cs="宋体"/>
          <w:color w:val="auto"/>
          <w:highlight w:val="none"/>
        </w:rPr>
      </w:pPr>
    </w:p>
    <w:p w14:paraId="236D07E5">
      <w:pPr>
        <w:rPr>
          <w:rFonts w:hint="eastAsia" w:ascii="宋体" w:hAnsi="宋体" w:cs="宋体"/>
          <w:color w:val="auto"/>
          <w:highlight w:val="none"/>
        </w:rPr>
      </w:pPr>
    </w:p>
    <w:p w14:paraId="19E17C09">
      <w:pPr>
        <w:rPr>
          <w:rFonts w:hint="eastAsia" w:ascii="宋体" w:hAnsi="宋体" w:cs="宋体"/>
          <w:color w:val="auto"/>
          <w:highlight w:val="none"/>
        </w:rPr>
      </w:pPr>
    </w:p>
    <w:p w14:paraId="3B04BFB9">
      <w:pPr>
        <w:rPr>
          <w:rFonts w:hint="eastAsia" w:ascii="宋体" w:hAnsi="宋体" w:cs="宋体"/>
          <w:color w:val="auto"/>
          <w:highlight w:val="none"/>
        </w:rPr>
      </w:pPr>
    </w:p>
    <w:p w14:paraId="5BD45334">
      <w:pPr>
        <w:rPr>
          <w:rFonts w:hint="eastAsia" w:ascii="宋体" w:hAnsi="宋体" w:cs="宋体"/>
          <w:color w:val="auto"/>
          <w:highlight w:val="none"/>
        </w:rPr>
      </w:pPr>
    </w:p>
    <w:p w14:paraId="2BD15853">
      <w:pPr>
        <w:rPr>
          <w:rFonts w:hint="eastAsia" w:ascii="宋体" w:hAnsi="宋体" w:cs="宋体"/>
          <w:color w:val="auto"/>
          <w:highlight w:val="none"/>
        </w:rPr>
      </w:pPr>
    </w:p>
    <w:p w14:paraId="208A7726">
      <w:pPr>
        <w:rPr>
          <w:rFonts w:hint="eastAsia" w:ascii="宋体" w:hAnsi="宋体" w:cs="宋体"/>
          <w:color w:val="auto"/>
          <w:highlight w:val="none"/>
        </w:rPr>
      </w:pPr>
    </w:p>
    <w:p w14:paraId="5DBC648E">
      <w:pPr>
        <w:jc w:val="center"/>
        <w:rPr>
          <w:color w:val="auto"/>
          <w:highlight w:val="none"/>
        </w:rPr>
      </w:pPr>
      <w:bookmarkStart w:id="237" w:name="_Toc17765"/>
      <w:bookmarkStart w:id="238" w:name="_Toc15926"/>
      <w:r>
        <w:rPr>
          <w:rFonts w:hint="eastAsia"/>
          <w:color w:val="auto"/>
          <w:highlight w:val="none"/>
        </w:rPr>
        <w:br w:type="page"/>
      </w:r>
    </w:p>
    <w:p w14:paraId="508AFC15">
      <w:pPr>
        <w:pStyle w:val="2"/>
        <w:jc w:val="center"/>
        <w:rPr>
          <w:rFonts w:hint="eastAsia"/>
          <w:color w:val="auto"/>
          <w:highlight w:val="none"/>
        </w:rPr>
      </w:pPr>
      <w:r>
        <w:rPr>
          <w:rFonts w:hint="eastAsia"/>
          <w:color w:val="auto"/>
          <w:highlight w:val="none"/>
        </w:rPr>
        <w:t>第四章 投标文件格式</w:t>
      </w:r>
      <w:bookmarkEnd w:id="226"/>
      <w:bookmarkEnd w:id="227"/>
      <w:bookmarkEnd w:id="228"/>
      <w:bookmarkEnd w:id="229"/>
      <w:bookmarkEnd w:id="230"/>
      <w:bookmarkEnd w:id="231"/>
      <w:bookmarkEnd w:id="232"/>
      <w:bookmarkEnd w:id="233"/>
      <w:bookmarkEnd w:id="234"/>
      <w:bookmarkEnd w:id="235"/>
      <w:bookmarkEnd w:id="236"/>
      <w:bookmarkEnd w:id="237"/>
      <w:bookmarkEnd w:id="238"/>
    </w:p>
    <w:p w14:paraId="15708241">
      <w:pPr>
        <w:spacing w:line="360" w:lineRule="auto"/>
        <w:rPr>
          <w:rFonts w:hint="eastAsia" w:ascii="宋体" w:hAnsi="宋体" w:cs="宋体"/>
          <w:color w:val="auto"/>
          <w:highlight w:val="none"/>
        </w:rPr>
      </w:pPr>
      <w:r>
        <w:rPr>
          <w:rFonts w:hint="eastAsia" w:ascii="宋体" w:hAnsi="宋体" w:cs="宋体"/>
          <w:color w:val="auto"/>
          <w:highlight w:val="none"/>
        </w:rPr>
        <w:br w:type="page"/>
      </w:r>
    </w:p>
    <w:p w14:paraId="00FF3958">
      <w:pPr>
        <w:pStyle w:val="12"/>
        <w:spacing w:line="360" w:lineRule="auto"/>
        <w:rPr>
          <w:rFonts w:hint="eastAsia" w:hAnsi="宋体" w:cs="宋体"/>
          <w:color w:val="auto"/>
          <w:highlight w:val="none"/>
        </w:rPr>
      </w:pPr>
    </w:p>
    <w:p w14:paraId="57C9140F">
      <w:pPr>
        <w:pStyle w:val="3"/>
        <w:spacing w:line="360" w:lineRule="auto"/>
        <w:rPr>
          <w:rFonts w:hint="eastAsia"/>
          <w:color w:val="auto"/>
          <w:highlight w:val="none"/>
        </w:rPr>
      </w:pPr>
      <w:bookmarkStart w:id="239" w:name="_Toc21775"/>
      <w:bookmarkStart w:id="240" w:name="_Toc9396"/>
      <w:bookmarkStart w:id="241" w:name="_Toc13546"/>
      <w:bookmarkStart w:id="242" w:name="_Toc29156"/>
      <w:bookmarkStart w:id="243" w:name="_Toc16581"/>
      <w:bookmarkStart w:id="244" w:name="_Toc17726"/>
      <w:bookmarkStart w:id="245" w:name="_Toc18513"/>
      <w:bookmarkStart w:id="246" w:name="_Toc4847"/>
      <w:bookmarkStart w:id="247" w:name="_Toc21543"/>
      <w:bookmarkStart w:id="248" w:name="_Toc6065"/>
      <w:bookmarkStart w:id="249" w:name="_Toc6049"/>
      <w:bookmarkStart w:id="250" w:name="_Toc14864"/>
      <w:bookmarkStart w:id="251" w:name="_Toc2068"/>
      <w:r>
        <w:rPr>
          <w:rFonts w:hint="eastAsia"/>
          <w:color w:val="auto"/>
          <w:highlight w:val="none"/>
        </w:rPr>
        <w:t>一、技术标投标文件格式</w:t>
      </w:r>
      <w:bookmarkEnd w:id="239"/>
      <w:bookmarkEnd w:id="240"/>
      <w:bookmarkEnd w:id="241"/>
      <w:bookmarkEnd w:id="242"/>
      <w:bookmarkEnd w:id="243"/>
      <w:bookmarkEnd w:id="244"/>
      <w:bookmarkEnd w:id="245"/>
      <w:bookmarkEnd w:id="246"/>
      <w:bookmarkEnd w:id="247"/>
      <w:bookmarkEnd w:id="248"/>
      <w:bookmarkEnd w:id="249"/>
      <w:bookmarkEnd w:id="250"/>
      <w:bookmarkEnd w:id="251"/>
    </w:p>
    <w:p w14:paraId="7D01551A">
      <w:pPr>
        <w:spacing w:line="360" w:lineRule="auto"/>
        <w:rPr>
          <w:rFonts w:hint="eastAsia" w:ascii="宋体" w:hAnsi="宋体" w:cs="宋体"/>
          <w:b/>
          <w:bCs/>
          <w:color w:val="auto"/>
          <w:sz w:val="27"/>
          <w:szCs w:val="27"/>
          <w:highlight w:val="none"/>
        </w:rPr>
      </w:pPr>
      <w:bookmarkStart w:id="252" w:name="_Toc60070621"/>
      <w:r>
        <w:rPr>
          <w:rFonts w:hint="eastAsia" w:ascii="宋体" w:hAnsi="宋体" w:cs="宋体"/>
          <w:b/>
          <w:bCs/>
          <w:color w:val="auto"/>
          <w:sz w:val="27"/>
          <w:szCs w:val="27"/>
          <w:highlight w:val="none"/>
        </w:rPr>
        <w:t>格式一：</w:t>
      </w:r>
      <w:bookmarkEnd w:id="252"/>
    </w:p>
    <w:p w14:paraId="161B3758">
      <w:pPr>
        <w:spacing w:line="360" w:lineRule="auto"/>
        <w:jc w:val="center"/>
        <w:rPr>
          <w:rFonts w:hint="eastAsia" w:ascii="宋体" w:hAnsi="宋体" w:cs="宋体"/>
          <w:b/>
          <w:color w:val="auto"/>
          <w:sz w:val="36"/>
          <w:szCs w:val="36"/>
          <w:highlight w:val="none"/>
        </w:rPr>
      </w:pPr>
      <w:bookmarkStart w:id="253" w:name="_Toc58838587"/>
      <w:r>
        <w:rPr>
          <w:rFonts w:hint="eastAsia" w:ascii="宋体" w:hAnsi="宋体" w:cs="宋体"/>
          <w:b/>
          <w:color w:val="auto"/>
          <w:sz w:val="36"/>
          <w:szCs w:val="36"/>
          <w:highlight w:val="none"/>
        </w:rPr>
        <w:t>广州建设工程施工招标投标书（技术标）</w:t>
      </w:r>
      <w:bookmarkEnd w:id="253"/>
    </w:p>
    <w:tbl>
      <w:tblPr>
        <w:tblStyle w:val="25"/>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14:paraId="3C0B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334" w:type="dxa"/>
            <w:tcBorders>
              <w:top w:val="single" w:color="auto" w:sz="4" w:space="0"/>
              <w:left w:val="single" w:color="auto" w:sz="4" w:space="0"/>
              <w:bottom w:val="single" w:color="auto" w:sz="4" w:space="0"/>
              <w:right w:val="single" w:color="auto" w:sz="4" w:space="0"/>
            </w:tcBorders>
            <w:vAlign w:val="center"/>
          </w:tcPr>
          <w:p w14:paraId="10743FC4">
            <w:pPr>
              <w:autoSpaceDE w:val="0"/>
              <w:autoSpaceDN w:val="0"/>
              <w:adjustRightInd w:val="0"/>
              <w:spacing w:line="360" w:lineRule="auto"/>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6045" w:type="dxa"/>
            <w:gridSpan w:val="2"/>
            <w:tcBorders>
              <w:top w:val="single" w:color="auto" w:sz="4" w:space="0"/>
              <w:left w:val="single" w:color="auto" w:sz="4" w:space="0"/>
              <w:bottom w:val="single" w:color="auto" w:sz="4" w:space="0"/>
              <w:right w:val="single" w:color="auto" w:sz="4" w:space="0"/>
            </w:tcBorders>
            <w:vAlign w:val="center"/>
          </w:tcPr>
          <w:p w14:paraId="43C19F6B">
            <w:pPr>
              <w:autoSpaceDE w:val="0"/>
              <w:autoSpaceDN w:val="0"/>
              <w:adjustRightInd w:val="0"/>
              <w:spacing w:line="360" w:lineRule="auto"/>
              <w:jc w:val="center"/>
              <w:rPr>
                <w:rFonts w:hint="eastAsia" w:ascii="宋体" w:hAnsi="宋体" w:cs="宋体"/>
                <w:bCs/>
                <w:color w:val="auto"/>
                <w:sz w:val="24"/>
                <w:szCs w:val="24"/>
                <w:highlight w:val="none"/>
                <w:lang w:val="zh-CN"/>
              </w:rPr>
            </w:pPr>
          </w:p>
        </w:tc>
      </w:tr>
      <w:tr w14:paraId="770D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334" w:type="dxa"/>
            <w:tcBorders>
              <w:top w:val="single" w:color="auto" w:sz="4" w:space="0"/>
              <w:left w:val="single" w:color="auto" w:sz="4" w:space="0"/>
              <w:bottom w:val="single" w:color="auto" w:sz="4" w:space="0"/>
              <w:right w:val="single" w:color="auto" w:sz="4" w:space="0"/>
            </w:tcBorders>
            <w:vAlign w:val="center"/>
          </w:tcPr>
          <w:p w14:paraId="594F354F">
            <w:pPr>
              <w:spacing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vAlign w:val="center"/>
          </w:tcPr>
          <w:p w14:paraId="34DFB6E7">
            <w:pPr>
              <w:spacing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日历天</w:t>
            </w:r>
          </w:p>
        </w:tc>
      </w:tr>
      <w:tr w14:paraId="2F3F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vAlign w:val="center"/>
          </w:tcPr>
          <w:p w14:paraId="67316787">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vAlign w:val="center"/>
          </w:tcPr>
          <w:p w14:paraId="00AE2A69">
            <w:pPr>
              <w:autoSpaceDE w:val="0"/>
              <w:autoSpaceDN w:val="0"/>
              <w:adjustRightInd w:val="0"/>
              <w:spacing w:line="360" w:lineRule="auto"/>
              <w:jc w:val="center"/>
              <w:rPr>
                <w:rFonts w:hint="eastAsia" w:ascii="宋体" w:hAnsi="宋体" w:cs="宋体"/>
                <w:bCs/>
                <w:color w:val="auto"/>
                <w:sz w:val="24"/>
                <w:szCs w:val="24"/>
                <w:highlight w:val="none"/>
                <w:lang w:val="zh-CN"/>
              </w:rPr>
            </w:pPr>
          </w:p>
        </w:tc>
      </w:tr>
      <w:tr w14:paraId="3AA5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vAlign w:val="center"/>
          </w:tcPr>
          <w:p w14:paraId="16E63BAB">
            <w:pPr>
              <w:autoSpaceDE w:val="0"/>
              <w:autoSpaceDN w:val="0"/>
              <w:adjustRightInd w:val="0"/>
              <w:spacing w:line="360" w:lineRule="auto"/>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vAlign w:val="center"/>
          </w:tcPr>
          <w:p w14:paraId="7CAC0C83">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p>
        </w:tc>
        <w:tc>
          <w:tcPr>
            <w:tcW w:w="3834" w:type="dxa"/>
            <w:tcBorders>
              <w:top w:val="single" w:color="auto" w:sz="4" w:space="0"/>
              <w:left w:val="single" w:color="auto" w:sz="4" w:space="0"/>
              <w:bottom w:val="single" w:color="auto" w:sz="4" w:space="0"/>
              <w:right w:val="single" w:color="auto" w:sz="4" w:space="0"/>
            </w:tcBorders>
          </w:tcPr>
          <w:p w14:paraId="2C701BC0">
            <w:pPr>
              <w:autoSpaceDE w:val="0"/>
              <w:autoSpaceDN w:val="0"/>
              <w:adjustRightInd w:val="0"/>
              <w:spacing w:line="360" w:lineRule="auto"/>
              <w:rPr>
                <w:rFonts w:hint="eastAsia" w:ascii="宋体" w:hAnsi="宋体" w:cs="宋体"/>
                <w:bCs/>
                <w:color w:val="auto"/>
                <w:sz w:val="24"/>
                <w:szCs w:val="24"/>
                <w:highlight w:val="none"/>
                <w:lang w:val="zh-CN"/>
              </w:rPr>
            </w:pPr>
          </w:p>
        </w:tc>
      </w:tr>
      <w:tr w14:paraId="517D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vAlign w:val="center"/>
          </w:tcPr>
          <w:p w14:paraId="129B8AA9">
            <w:pPr>
              <w:autoSpaceDE w:val="0"/>
              <w:autoSpaceDN w:val="0"/>
              <w:adjustRightIn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vAlign w:val="center"/>
          </w:tcPr>
          <w:p w14:paraId="050B2DDC">
            <w:pPr>
              <w:autoSpaceDE w:val="0"/>
              <w:autoSpaceDN w:val="0"/>
              <w:adjustRightIn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姓   名</w:t>
            </w:r>
          </w:p>
        </w:tc>
        <w:tc>
          <w:tcPr>
            <w:tcW w:w="3834" w:type="dxa"/>
            <w:tcBorders>
              <w:top w:val="single" w:color="auto" w:sz="4" w:space="0"/>
              <w:left w:val="single" w:color="auto" w:sz="4" w:space="0"/>
              <w:bottom w:val="single" w:color="auto" w:sz="4" w:space="0"/>
              <w:right w:val="single" w:color="auto" w:sz="4" w:space="0"/>
            </w:tcBorders>
          </w:tcPr>
          <w:p w14:paraId="018C47AD">
            <w:pPr>
              <w:autoSpaceDE w:val="0"/>
              <w:autoSpaceDN w:val="0"/>
              <w:adjustRightInd w:val="0"/>
              <w:spacing w:line="360" w:lineRule="auto"/>
              <w:rPr>
                <w:rFonts w:hint="eastAsia" w:ascii="宋体" w:hAnsi="宋体" w:cs="宋体"/>
                <w:bCs/>
                <w:color w:val="auto"/>
                <w:sz w:val="24"/>
                <w:szCs w:val="24"/>
                <w:highlight w:val="none"/>
                <w:lang w:val="zh-CN"/>
              </w:rPr>
            </w:pPr>
          </w:p>
        </w:tc>
      </w:tr>
    </w:tbl>
    <w:p w14:paraId="73FF1A69">
      <w:pPr>
        <w:autoSpaceDE w:val="0"/>
        <w:autoSpaceDN w:val="0"/>
        <w:adjustRightInd w:val="0"/>
        <w:spacing w:line="360" w:lineRule="auto"/>
        <w:rPr>
          <w:rFonts w:hint="eastAsia" w:ascii="宋体" w:hAnsi="宋体" w:cs="宋体"/>
          <w:color w:val="auto"/>
          <w:sz w:val="24"/>
          <w:szCs w:val="24"/>
          <w:highlight w:val="none"/>
        </w:rPr>
      </w:pPr>
      <w:r>
        <w:rPr>
          <w:rFonts w:hint="eastAsia" w:ascii="宋体" w:hAnsi="宋体" w:cs="宋体"/>
          <w:b/>
          <w:color w:val="auto"/>
          <w:highlight w:val="none"/>
        </w:rPr>
        <w:br w:type="page"/>
      </w:r>
    </w:p>
    <w:p w14:paraId="413BA49D">
      <w:pPr>
        <w:spacing w:line="360" w:lineRule="auto"/>
        <w:rPr>
          <w:rFonts w:hint="eastAsia" w:ascii="宋体" w:hAnsi="宋体" w:cs="宋体"/>
          <w:b/>
          <w:bCs/>
          <w:color w:val="auto"/>
          <w:sz w:val="27"/>
          <w:szCs w:val="27"/>
          <w:highlight w:val="none"/>
        </w:rPr>
      </w:pPr>
      <w:bookmarkStart w:id="254" w:name="_Toc60070622"/>
      <w:r>
        <w:rPr>
          <w:rFonts w:hint="eastAsia" w:ascii="宋体" w:hAnsi="宋体" w:cs="宋体"/>
          <w:b/>
          <w:bCs/>
          <w:color w:val="auto"/>
          <w:sz w:val="27"/>
          <w:szCs w:val="27"/>
          <w:highlight w:val="none"/>
        </w:rPr>
        <w:t>格式二：</w:t>
      </w:r>
      <w:bookmarkEnd w:id="254"/>
    </w:p>
    <w:p w14:paraId="39095B1F">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投标函</w:t>
      </w:r>
    </w:p>
    <w:p w14:paraId="342108F2">
      <w:pPr>
        <w:topLinePunct/>
        <w:adjustRightInd w:val="0"/>
        <w:snapToGrid w:val="0"/>
        <w:spacing w:line="360" w:lineRule="auto"/>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致：</w:t>
      </w:r>
      <w:r>
        <w:rPr>
          <w:rFonts w:hint="eastAsia" w:ascii="宋体" w:hAnsi="宋体" w:cs="宋体"/>
          <w:snapToGrid w:val="0"/>
          <w:color w:val="auto"/>
          <w:spacing w:val="4"/>
          <w:kern w:val="0"/>
          <w:sz w:val="24"/>
          <w:szCs w:val="24"/>
          <w:highlight w:val="none"/>
          <w:u w:val="single"/>
        </w:rPr>
        <w:t xml:space="preserve"> （招标人名称） </w:t>
      </w:r>
    </w:p>
    <w:p w14:paraId="50CD49F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1.根据已收到贵方的项目编号为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项目的招标文件，并已详细审核了全部招标文件及有关附件。</w:t>
      </w:r>
    </w:p>
    <w:p w14:paraId="60546CAB">
      <w:pPr>
        <w:snapToGrid w:val="0"/>
        <w:spacing w:line="360" w:lineRule="auto"/>
        <w:ind w:firstLine="523" w:firstLineChars="218"/>
        <w:rPr>
          <w:rFonts w:hint="eastAsia" w:ascii="宋体" w:hAnsi="宋体" w:cs="宋体"/>
          <w:color w:val="auto"/>
          <w:sz w:val="24"/>
          <w:szCs w:val="24"/>
          <w:highlight w:val="none"/>
        </w:rPr>
      </w:pPr>
      <w:r>
        <w:rPr>
          <w:rFonts w:hint="eastAsia" w:ascii="宋体" w:hAnsi="宋体" w:cs="宋体"/>
          <w:color w:val="auto"/>
          <w:sz w:val="24"/>
          <w:szCs w:val="24"/>
          <w:highlight w:val="none"/>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5FB40E5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愿以经济标中的投标报价并按上述合同条款、标准和技术规范、图纸、工程量清单等的要求承包上述工程的施工、竣工并修补其任何缺陷。</w:t>
      </w:r>
    </w:p>
    <w:p w14:paraId="2A1B032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我方同意所递交的投标文件在投标须知规定的投标有效期内有效，在此期间内我方的投标有可能中标，我方将受此约束。如果在投标有效期内撤回投标或放弃中标资格，给贵方造成的损失，贵方还有权要求我方进行赔偿。</w:t>
      </w:r>
    </w:p>
    <w:p w14:paraId="016F5E2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4.我方理解贵方将不受必须接受你们所收到的最低标价或其它任何投标文件的约束。</w:t>
      </w:r>
    </w:p>
    <w:p w14:paraId="0593B71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5.如果我方中标，我方保证按招标文件中规定的工期，在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日历天内完成并移交本工程，质量标准达到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要求。</w:t>
      </w:r>
    </w:p>
    <w:p w14:paraId="3D6723B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6.如果我方中标，我方将按照规定递交由招标人认可，并在招标文件中规定金额的履约保函。</w:t>
      </w:r>
    </w:p>
    <w:p w14:paraId="1877539D">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7.除非另外达成协议并生效，贵方的中标通知书和本投标文件将成为约束双方的合同文件的组成部分。</w:t>
      </w:r>
    </w:p>
    <w:p w14:paraId="3B88E23F">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0C123B23">
      <w:pPr>
        <w:spacing w:line="360" w:lineRule="auto"/>
        <w:ind w:firstLine="480"/>
        <w:rPr>
          <w:rFonts w:hint="eastAsia" w:ascii="宋体" w:hAnsi="宋体" w:cs="宋体"/>
          <w:color w:val="auto"/>
          <w:sz w:val="24"/>
          <w:szCs w:val="24"/>
          <w:highlight w:val="none"/>
        </w:rPr>
      </w:pPr>
    </w:p>
    <w:p w14:paraId="07F18902">
      <w:pPr>
        <w:spacing w:line="360" w:lineRule="auto"/>
        <w:ind w:firstLine="481"/>
        <w:rPr>
          <w:rFonts w:hint="eastAsia" w:ascii="宋体" w:hAnsi="宋体" w:cs="宋体"/>
          <w:snapToGrid w:val="0"/>
          <w:color w:val="auto"/>
          <w:spacing w:val="4"/>
          <w:kern w:val="0"/>
          <w:sz w:val="24"/>
          <w:szCs w:val="24"/>
          <w:highlight w:val="none"/>
        </w:rPr>
      </w:pPr>
    </w:p>
    <w:p w14:paraId="57FCFFB7">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 标 人：（盖章）</w:t>
      </w:r>
    </w:p>
    <w:p w14:paraId="29785631">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法定代表人或授权代理人（签字或盖章）：</w:t>
      </w:r>
    </w:p>
    <w:p w14:paraId="1AED4D50">
      <w:pPr>
        <w:spacing w:line="360" w:lineRule="auto"/>
        <w:ind w:firstLine="691" w:firstLineChars="279"/>
        <w:jc w:val="left"/>
        <w:rPr>
          <w:rFonts w:hint="eastAsia" w:ascii="宋体" w:hAnsi="宋体" w:cs="宋体"/>
          <w:color w:val="auto"/>
          <w:sz w:val="24"/>
          <w:szCs w:val="20"/>
          <w:highlight w:val="none"/>
        </w:rPr>
      </w:pPr>
      <w:r>
        <w:rPr>
          <w:rFonts w:hint="eastAsia" w:ascii="宋体" w:hAnsi="宋体" w:cs="宋体"/>
          <w:snapToGrid w:val="0"/>
          <w:color w:val="auto"/>
          <w:spacing w:val="4"/>
          <w:kern w:val="0"/>
          <w:sz w:val="24"/>
          <w:szCs w:val="24"/>
          <w:highlight w:val="none"/>
        </w:rPr>
        <w:t>日    期：    年    月    日</w:t>
      </w:r>
    </w:p>
    <w:p w14:paraId="18859C6F">
      <w:pPr>
        <w:autoSpaceDN w:val="0"/>
        <w:spacing w:line="360" w:lineRule="auto"/>
        <w:jc w:val="center"/>
        <w:rPr>
          <w:rFonts w:hint="eastAsia" w:ascii="宋体" w:hAnsi="宋体" w:cs="宋体"/>
          <w:color w:val="auto"/>
          <w:szCs w:val="20"/>
          <w:highlight w:val="none"/>
        </w:rPr>
      </w:pPr>
      <w:r>
        <w:rPr>
          <w:rFonts w:hint="eastAsia" w:ascii="宋体" w:hAnsi="宋体" w:cs="宋体"/>
          <w:color w:val="auto"/>
          <w:szCs w:val="20"/>
          <w:highlight w:val="none"/>
        </w:rPr>
        <w:br w:type="page"/>
      </w:r>
    </w:p>
    <w:p w14:paraId="08F72CC1">
      <w:pPr>
        <w:spacing w:line="360" w:lineRule="auto"/>
        <w:rPr>
          <w:rFonts w:hint="eastAsia" w:ascii="宋体" w:hAnsi="宋体" w:cs="宋体"/>
          <w:b/>
          <w:bCs/>
          <w:snapToGrid w:val="0"/>
          <w:color w:val="auto"/>
          <w:spacing w:val="4"/>
          <w:sz w:val="27"/>
          <w:szCs w:val="27"/>
          <w:highlight w:val="none"/>
        </w:rPr>
      </w:pPr>
      <w:bookmarkStart w:id="255" w:name="_Toc60070623"/>
      <w:r>
        <w:rPr>
          <w:rFonts w:hint="eastAsia" w:ascii="宋体" w:hAnsi="宋体" w:cs="宋体"/>
          <w:b/>
          <w:bCs/>
          <w:color w:val="auto"/>
          <w:sz w:val="27"/>
          <w:szCs w:val="27"/>
          <w:highlight w:val="none"/>
        </w:rPr>
        <w:t>格式三：</w:t>
      </w:r>
      <w:bookmarkEnd w:id="255"/>
    </w:p>
    <w:p w14:paraId="58D69E64">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标函承诺书</w:t>
      </w:r>
    </w:p>
    <w:p w14:paraId="453335E5">
      <w:pPr>
        <w:pStyle w:val="36"/>
        <w:spacing w:after="0" w:line="360" w:lineRule="auto"/>
        <w:ind w:left="339" w:leftChars="101" w:hanging="127" w:hangingChars="53"/>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致：</w:t>
      </w:r>
      <w:r>
        <w:rPr>
          <w:rFonts w:hint="eastAsia" w:ascii="宋体" w:hAnsi="宋体" w:eastAsia="宋体" w:cs="宋体"/>
          <w:color w:val="auto"/>
          <w:sz w:val="24"/>
          <w:szCs w:val="24"/>
          <w:highlight w:val="none"/>
          <w:u w:val="single"/>
          <w:lang w:eastAsia="zh-CN"/>
        </w:rPr>
        <w:t>广州东进新区开发有限公司</w:t>
      </w:r>
    </w:p>
    <w:p w14:paraId="7D2187AA">
      <w:pPr>
        <w:pStyle w:val="36"/>
        <w:spacing w:after="0" w:line="360" w:lineRule="auto"/>
        <w:ind w:left="357" w:leftChars="17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如果在本招标工程中我司中标，我司将积极响应贵单位提出的合同条件及招标文件的要求，并做出如下承诺：</w:t>
      </w:r>
    </w:p>
    <w:p w14:paraId="75658E8E">
      <w:pPr>
        <w:pStyle w:val="36"/>
        <w:spacing w:after="0" w:line="360" w:lineRule="auto"/>
        <w:ind w:left="357" w:leftChars="17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1、若我公司中标，我公司承诺按时交纳履约保证金。</w:t>
      </w:r>
    </w:p>
    <w:p w14:paraId="2896C3E9">
      <w:pPr>
        <w:pStyle w:val="36"/>
        <w:spacing w:after="0" w:line="360" w:lineRule="auto"/>
        <w:ind w:left="357" w:leftChars="17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2、在本工程施工期间，拟投入的人力不少于下表中的人数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3783"/>
      </w:tblGrid>
      <w:tr w14:paraId="77BA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2E0EE9EA">
            <w:pPr>
              <w:pStyle w:val="37"/>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工种</w:t>
            </w:r>
          </w:p>
        </w:tc>
        <w:tc>
          <w:tcPr>
            <w:tcW w:w="3783" w:type="dxa"/>
            <w:tcBorders>
              <w:top w:val="single" w:color="auto" w:sz="4" w:space="0"/>
              <w:left w:val="single" w:color="auto" w:sz="4" w:space="0"/>
              <w:bottom w:val="single" w:color="auto" w:sz="4" w:space="0"/>
              <w:right w:val="single" w:color="auto" w:sz="4" w:space="0"/>
            </w:tcBorders>
            <w:vAlign w:val="center"/>
          </w:tcPr>
          <w:p w14:paraId="20EAE976">
            <w:pPr>
              <w:spacing w:line="360" w:lineRule="auto"/>
              <w:jc w:val="center"/>
              <w:rPr>
                <w:rFonts w:hint="eastAsia" w:ascii="宋体" w:hAnsi="宋体" w:cs="宋体"/>
                <w:color w:val="auto"/>
                <w:kern w:val="0"/>
                <w:szCs w:val="21"/>
                <w:highlight w:val="none"/>
                <w:u w:val="single"/>
              </w:rPr>
            </w:pPr>
            <w:r>
              <w:rPr>
                <w:rFonts w:hint="eastAsia" w:ascii="宋体" w:hAnsi="宋体" w:cs="宋体"/>
                <w:color w:val="auto"/>
                <w:szCs w:val="21"/>
                <w:highlight w:val="none"/>
                <w:u w:val="single"/>
              </w:rPr>
              <w:t>施工低峰期数量</w:t>
            </w:r>
          </w:p>
        </w:tc>
      </w:tr>
      <w:tr w14:paraId="2899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3280311D">
            <w:pPr>
              <w:spacing w:line="360" w:lineRule="auto"/>
              <w:ind w:left="357" w:leftChars="170"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14:paraId="309E7E60">
            <w:pPr>
              <w:spacing w:line="360" w:lineRule="auto"/>
              <w:ind w:left="357" w:leftChars="170" w:firstLine="420" w:firstLineChars="200"/>
              <w:jc w:val="center"/>
              <w:rPr>
                <w:rFonts w:hint="eastAsia" w:ascii="宋体" w:hAnsi="宋体" w:cs="宋体"/>
                <w:color w:val="auto"/>
                <w:kern w:val="0"/>
                <w:szCs w:val="21"/>
                <w:highlight w:val="none"/>
                <w:u w:val="single"/>
              </w:rPr>
            </w:pPr>
          </w:p>
        </w:tc>
      </w:tr>
      <w:tr w14:paraId="2ADE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2AD26842">
            <w:pPr>
              <w:spacing w:line="360" w:lineRule="auto"/>
              <w:ind w:left="357" w:leftChars="170"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14:paraId="0C61C3C3">
            <w:pPr>
              <w:spacing w:line="360" w:lineRule="auto"/>
              <w:ind w:left="357" w:leftChars="170" w:firstLine="420" w:firstLineChars="200"/>
              <w:jc w:val="center"/>
              <w:rPr>
                <w:rFonts w:hint="eastAsia" w:ascii="宋体" w:hAnsi="宋体" w:cs="宋体"/>
                <w:color w:val="auto"/>
                <w:kern w:val="0"/>
                <w:szCs w:val="21"/>
                <w:highlight w:val="none"/>
                <w:u w:val="single"/>
              </w:rPr>
            </w:pPr>
          </w:p>
        </w:tc>
      </w:tr>
      <w:tr w14:paraId="0FD2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10BF24FF">
            <w:pPr>
              <w:spacing w:line="360" w:lineRule="auto"/>
              <w:ind w:left="357" w:leftChars="170"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14:paraId="442706F8">
            <w:pPr>
              <w:spacing w:line="360" w:lineRule="auto"/>
              <w:ind w:left="357" w:leftChars="170" w:firstLine="420" w:firstLineChars="200"/>
              <w:jc w:val="center"/>
              <w:rPr>
                <w:rFonts w:hint="eastAsia" w:ascii="宋体" w:hAnsi="宋体" w:cs="宋体"/>
                <w:color w:val="auto"/>
                <w:kern w:val="0"/>
                <w:szCs w:val="21"/>
                <w:highlight w:val="none"/>
                <w:u w:val="single"/>
              </w:rPr>
            </w:pPr>
          </w:p>
        </w:tc>
      </w:tr>
      <w:tr w14:paraId="1113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33ECCB8B">
            <w:pPr>
              <w:spacing w:line="360" w:lineRule="auto"/>
              <w:ind w:left="357" w:leftChars="170"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14:paraId="16DAACF3">
            <w:pPr>
              <w:spacing w:line="360" w:lineRule="auto"/>
              <w:ind w:left="357" w:leftChars="170" w:firstLine="420" w:firstLineChars="200"/>
              <w:jc w:val="center"/>
              <w:rPr>
                <w:rFonts w:hint="eastAsia" w:ascii="宋体" w:hAnsi="宋体" w:cs="宋体"/>
                <w:color w:val="auto"/>
                <w:kern w:val="0"/>
                <w:szCs w:val="21"/>
                <w:highlight w:val="none"/>
                <w:u w:val="single"/>
              </w:rPr>
            </w:pPr>
          </w:p>
        </w:tc>
      </w:tr>
      <w:tr w14:paraId="5483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0E8D5208">
            <w:pPr>
              <w:spacing w:line="360" w:lineRule="auto"/>
              <w:ind w:left="357" w:leftChars="170"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14:paraId="2869C9E2">
            <w:pPr>
              <w:spacing w:line="360" w:lineRule="auto"/>
              <w:ind w:left="357" w:leftChars="170" w:firstLine="420" w:firstLineChars="200"/>
              <w:jc w:val="center"/>
              <w:rPr>
                <w:rFonts w:hint="eastAsia" w:ascii="宋体" w:hAnsi="宋体" w:cs="宋体"/>
                <w:color w:val="auto"/>
                <w:kern w:val="0"/>
                <w:szCs w:val="21"/>
                <w:highlight w:val="none"/>
                <w:u w:val="single"/>
              </w:rPr>
            </w:pPr>
          </w:p>
        </w:tc>
      </w:tr>
      <w:tr w14:paraId="1D17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2269BB88">
            <w:pPr>
              <w:spacing w:line="360" w:lineRule="auto"/>
              <w:ind w:left="357" w:leftChars="170"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14:paraId="0C5A1AE1">
            <w:pPr>
              <w:spacing w:line="360" w:lineRule="auto"/>
              <w:ind w:left="357" w:leftChars="170" w:firstLine="420" w:firstLineChars="200"/>
              <w:jc w:val="center"/>
              <w:rPr>
                <w:rFonts w:hint="eastAsia" w:ascii="宋体" w:hAnsi="宋体" w:cs="宋体"/>
                <w:color w:val="auto"/>
                <w:kern w:val="0"/>
                <w:szCs w:val="21"/>
                <w:highlight w:val="none"/>
                <w:u w:val="single"/>
              </w:rPr>
            </w:pPr>
          </w:p>
        </w:tc>
      </w:tr>
      <w:tr w14:paraId="012B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0323B7A2">
            <w:pPr>
              <w:spacing w:line="360" w:lineRule="auto"/>
              <w:ind w:left="357" w:leftChars="170"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14:paraId="144C4763">
            <w:pPr>
              <w:spacing w:line="360" w:lineRule="auto"/>
              <w:ind w:left="357" w:leftChars="170" w:firstLine="420" w:firstLineChars="200"/>
              <w:jc w:val="center"/>
              <w:rPr>
                <w:rFonts w:hint="eastAsia" w:ascii="宋体" w:hAnsi="宋体" w:cs="宋体"/>
                <w:color w:val="auto"/>
                <w:kern w:val="0"/>
                <w:szCs w:val="21"/>
                <w:highlight w:val="none"/>
                <w:u w:val="single"/>
              </w:rPr>
            </w:pPr>
          </w:p>
        </w:tc>
      </w:tr>
      <w:tr w14:paraId="0857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429C20C7">
            <w:pPr>
              <w:spacing w:line="360" w:lineRule="auto"/>
              <w:ind w:left="357" w:leftChars="170" w:firstLine="420" w:firstLineChars="200"/>
              <w:jc w:val="center"/>
              <w:rPr>
                <w:rFonts w:hint="eastAsia" w:ascii="宋体" w:hAnsi="宋体" w:cs="宋体"/>
                <w:color w:val="auto"/>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14:paraId="77767DC1">
            <w:pPr>
              <w:spacing w:line="360" w:lineRule="auto"/>
              <w:ind w:left="357" w:leftChars="170" w:firstLine="420" w:firstLineChars="200"/>
              <w:jc w:val="center"/>
              <w:rPr>
                <w:rFonts w:hint="eastAsia" w:ascii="宋体" w:hAnsi="宋体" w:cs="宋体"/>
                <w:color w:val="auto"/>
                <w:kern w:val="0"/>
                <w:szCs w:val="21"/>
                <w:highlight w:val="none"/>
                <w:u w:val="single"/>
              </w:rPr>
            </w:pPr>
          </w:p>
        </w:tc>
      </w:tr>
      <w:tr w14:paraId="2470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50C99C35">
            <w:pPr>
              <w:spacing w:line="360" w:lineRule="auto"/>
              <w:ind w:left="357" w:leftChars="170" w:firstLine="420" w:firstLineChars="200"/>
              <w:jc w:val="center"/>
              <w:rPr>
                <w:rFonts w:hint="eastAsia" w:ascii="宋体" w:hAnsi="宋体" w:cs="宋体"/>
                <w:color w:val="auto"/>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14:paraId="51601919">
            <w:pPr>
              <w:spacing w:line="360" w:lineRule="auto"/>
              <w:ind w:left="357" w:leftChars="170" w:firstLine="420" w:firstLineChars="200"/>
              <w:jc w:val="center"/>
              <w:rPr>
                <w:rFonts w:hint="eastAsia" w:ascii="宋体" w:hAnsi="宋体" w:cs="宋体"/>
                <w:color w:val="auto"/>
                <w:kern w:val="0"/>
                <w:szCs w:val="21"/>
                <w:highlight w:val="none"/>
                <w:u w:val="single"/>
              </w:rPr>
            </w:pPr>
          </w:p>
        </w:tc>
      </w:tr>
    </w:tbl>
    <w:p w14:paraId="55C5E0C8">
      <w:pPr>
        <w:spacing w:line="360" w:lineRule="auto"/>
        <w:ind w:left="357" w:leftChars="17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3、在工程施工期间，拟投入的主要机械设备按投标文件所附的《拟投入本工程施工的主要机械设备配备表》</w:t>
      </w:r>
    </w:p>
    <w:p w14:paraId="2BD610F7">
      <w:pPr>
        <w:spacing w:line="360" w:lineRule="auto"/>
        <w:ind w:left="357" w:leftChars="17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4、所选用的主要材料品牌符合招标文件的要求。</w:t>
      </w:r>
    </w:p>
    <w:p w14:paraId="7667EBEB">
      <w:pPr>
        <w:spacing w:line="360" w:lineRule="auto"/>
        <w:ind w:left="357" w:leftChars="17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5、拟投入到本工程的主要技术人员、经济和管理人员如表：</w:t>
      </w:r>
      <w:r>
        <w:rPr>
          <w:rFonts w:hint="eastAsia" w:ascii="宋体" w:hAnsi="宋体" w:cs="宋体"/>
          <w:color w:val="auto"/>
          <w:sz w:val="24"/>
          <w:szCs w:val="24"/>
          <w:highlight w:val="none"/>
          <w:u w:val="single"/>
        </w:rPr>
        <w:t>详见《施工项目管理团队人员信息表》中标后，拟投入到本工程安全人员人数不得低于住建部相关文件的最低要求。</w:t>
      </w:r>
    </w:p>
    <w:p w14:paraId="3148A6F6">
      <w:pPr>
        <w:pStyle w:val="36"/>
        <w:spacing w:after="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我公司保证拟派项目负责人符合《广州市住房和城乡建设局关于加强建筑工程项目负责人管理的通知》（穗建规字〔2020〕32号）文的要求，并将严格按照招标文件要求，自签订合同之日起至工程竣工验收将常驻现场，严格按照有关工程项目管理的要求进行项目管理，如果不能够按照此要求实施，我方自愿接受贵中心的处罚措施。</w:t>
      </w:r>
    </w:p>
    <w:p w14:paraId="0D88D52E">
      <w:pPr>
        <w:pStyle w:val="36"/>
        <w:spacing w:after="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7、本工程施工过程中，我司将严格按照国家、省、市有关施工及验收规范、标准进行施工，确保本工程质量达到</w:t>
      </w:r>
      <w:r>
        <w:rPr>
          <w:rFonts w:hint="eastAsia" w:ascii="宋体" w:hAnsi="宋体" w:eastAsia="宋体" w:cs="宋体"/>
          <w:b/>
          <w:color w:val="auto"/>
          <w:sz w:val="24"/>
          <w:szCs w:val="24"/>
          <w:highlight w:val="none"/>
          <w:u w:val="single"/>
        </w:rPr>
        <w:t xml:space="preserve">     等级</w:t>
      </w:r>
      <w:r>
        <w:rPr>
          <w:rFonts w:hint="eastAsia" w:ascii="宋体" w:hAnsi="宋体" w:eastAsia="宋体" w:cs="宋体"/>
          <w:color w:val="auto"/>
          <w:sz w:val="24"/>
          <w:szCs w:val="24"/>
          <w:highlight w:val="none"/>
          <w:u w:val="single"/>
        </w:rPr>
        <w:t>。</w:t>
      </w:r>
    </w:p>
    <w:p w14:paraId="69AF1557">
      <w:pPr>
        <w:pStyle w:val="36"/>
        <w:spacing w:after="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8、在确保工程质量的前提下，我司严格控制工程工期，确保工程在</w:t>
      </w:r>
      <w:r>
        <w:rPr>
          <w:rFonts w:hint="eastAsia" w:ascii="宋体" w:hAnsi="宋体" w:eastAsia="宋体" w:cs="宋体"/>
          <w:b/>
          <w:color w:val="auto"/>
          <w:sz w:val="24"/>
          <w:szCs w:val="24"/>
          <w:highlight w:val="none"/>
          <w:u w:val="single"/>
        </w:rPr>
        <w:t xml:space="preserve">    日历天内完成</w:t>
      </w:r>
      <w:r>
        <w:rPr>
          <w:rFonts w:hint="eastAsia" w:ascii="宋体" w:hAnsi="宋体" w:eastAsia="宋体" w:cs="宋体"/>
          <w:color w:val="auto"/>
          <w:sz w:val="24"/>
          <w:szCs w:val="24"/>
          <w:highlight w:val="none"/>
          <w:u w:val="single"/>
        </w:rPr>
        <w:t>。</w:t>
      </w:r>
    </w:p>
    <w:p w14:paraId="01E745FA">
      <w:pPr>
        <w:pStyle w:val="36"/>
        <w:spacing w:after="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严格按照国家、省、市有关安全生产、文明施工要求，积极制定安全生产、文明施工措施，并严格执行，确保施工中符合安全生产、文明施工要求。在施工过程中,若发生重大伤亡事故，我方自愿接受贵中心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14:paraId="038A101A">
      <w:pPr>
        <w:pStyle w:val="36"/>
        <w:spacing w:after="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10、按照发包人、监理工程师的要求及时为各专业工程（电信、电力管线、电力走廊、煤气、道路绿化、路灯、交通设施等）提供工作面，并为专业工程穿插施工所需各项配合工作给予方便。</w:t>
      </w:r>
    </w:p>
    <w:p w14:paraId="0D052859">
      <w:pPr>
        <w:spacing w:line="360" w:lineRule="auto"/>
        <w:ind w:left="420" w:leftChars="200"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11、将按照招标过程中确定的范围，除了下表所列专业工程外，其余全部工程由我司自行施工。对工程分包，我司承诺按照招标文件的要求和有关规定履行总包单位的职责，在中标后提供分包单位的资质证明材料（如有必须分包的专业工程，请填入下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523"/>
      </w:tblGrid>
      <w:tr w14:paraId="26C9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73" w:type="dxa"/>
            <w:gridSpan w:val="2"/>
            <w:tcBorders>
              <w:top w:val="single" w:color="auto" w:sz="4" w:space="0"/>
              <w:left w:val="single" w:color="auto" w:sz="4" w:space="0"/>
              <w:bottom w:val="single" w:color="auto" w:sz="4" w:space="0"/>
              <w:right w:val="single" w:color="auto" w:sz="4" w:space="0"/>
            </w:tcBorders>
            <w:vAlign w:val="center"/>
          </w:tcPr>
          <w:p w14:paraId="3646E13E">
            <w:pPr>
              <w:spacing w:line="360" w:lineRule="auto"/>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必须分包的专业工程内容</w:t>
            </w:r>
          </w:p>
        </w:tc>
      </w:tr>
      <w:tr w14:paraId="1916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38DCDB36">
            <w:pPr>
              <w:spacing w:line="360" w:lineRule="auto"/>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序号</w:t>
            </w:r>
          </w:p>
        </w:tc>
        <w:tc>
          <w:tcPr>
            <w:tcW w:w="7523" w:type="dxa"/>
            <w:tcBorders>
              <w:top w:val="single" w:color="auto" w:sz="4" w:space="0"/>
              <w:left w:val="single" w:color="auto" w:sz="4" w:space="0"/>
              <w:bottom w:val="single" w:color="auto" w:sz="4" w:space="0"/>
              <w:right w:val="single" w:color="auto" w:sz="4" w:space="0"/>
            </w:tcBorders>
            <w:vAlign w:val="center"/>
          </w:tcPr>
          <w:p w14:paraId="67CB05ED">
            <w:pPr>
              <w:spacing w:line="360" w:lineRule="auto"/>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工程内容</w:t>
            </w:r>
          </w:p>
        </w:tc>
      </w:tr>
      <w:tr w14:paraId="320E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7EFCF364">
            <w:pPr>
              <w:spacing w:line="360" w:lineRule="auto"/>
              <w:ind w:left="420" w:leftChars="200" w:firstLine="480" w:firstLineChars="200"/>
              <w:rPr>
                <w:rFonts w:hint="eastAsia" w:ascii="宋体" w:hAnsi="宋体" w:cs="宋体"/>
                <w:color w:val="auto"/>
                <w:sz w:val="24"/>
                <w:szCs w:val="24"/>
                <w:highlight w:val="none"/>
                <w:u w:val="single"/>
              </w:rPr>
            </w:pPr>
          </w:p>
        </w:tc>
        <w:tc>
          <w:tcPr>
            <w:tcW w:w="7523" w:type="dxa"/>
            <w:tcBorders>
              <w:top w:val="single" w:color="auto" w:sz="4" w:space="0"/>
              <w:left w:val="single" w:color="auto" w:sz="4" w:space="0"/>
              <w:bottom w:val="single" w:color="auto" w:sz="4" w:space="0"/>
              <w:right w:val="single" w:color="auto" w:sz="4" w:space="0"/>
            </w:tcBorders>
            <w:vAlign w:val="center"/>
          </w:tcPr>
          <w:p w14:paraId="73864EBC">
            <w:pPr>
              <w:spacing w:line="360" w:lineRule="auto"/>
              <w:ind w:left="420" w:leftChars="200" w:firstLine="480" w:firstLineChars="200"/>
              <w:rPr>
                <w:rFonts w:hint="eastAsia" w:ascii="宋体" w:hAnsi="宋体" w:cs="宋体"/>
                <w:color w:val="auto"/>
                <w:sz w:val="24"/>
                <w:szCs w:val="24"/>
                <w:highlight w:val="none"/>
                <w:u w:val="single"/>
              </w:rPr>
            </w:pPr>
          </w:p>
        </w:tc>
      </w:tr>
      <w:tr w14:paraId="3147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364DABC8">
            <w:pPr>
              <w:spacing w:line="360" w:lineRule="auto"/>
              <w:ind w:left="420" w:leftChars="200" w:firstLine="480" w:firstLineChars="200"/>
              <w:rPr>
                <w:rFonts w:hint="eastAsia" w:ascii="宋体" w:hAnsi="宋体" w:cs="宋体"/>
                <w:color w:val="auto"/>
                <w:sz w:val="24"/>
                <w:szCs w:val="24"/>
                <w:highlight w:val="none"/>
                <w:u w:val="single"/>
              </w:rPr>
            </w:pPr>
          </w:p>
        </w:tc>
        <w:tc>
          <w:tcPr>
            <w:tcW w:w="7523" w:type="dxa"/>
            <w:tcBorders>
              <w:top w:val="single" w:color="auto" w:sz="4" w:space="0"/>
              <w:left w:val="single" w:color="auto" w:sz="4" w:space="0"/>
              <w:bottom w:val="single" w:color="auto" w:sz="4" w:space="0"/>
              <w:right w:val="single" w:color="auto" w:sz="4" w:space="0"/>
            </w:tcBorders>
            <w:vAlign w:val="center"/>
          </w:tcPr>
          <w:p w14:paraId="23CE0C32">
            <w:pPr>
              <w:spacing w:line="360" w:lineRule="auto"/>
              <w:ind w:left="420" w:leftChars="200" w:firstLine="480" w:firstLineChars="200"/>
              <w:rPr>
                <w:rFonts w:hint="eastAsia" w:ascii="宋体" w:hAnsi="宋体" w:cs="宋体"/>
                <w:color w:val="auto"/>
                <w:sz w:val="24"/>
                <w:szCs w:val="24"/>
                <w:highlight w:val="none"/>
                <w:u w:val="single"/>
              </w:rPr>
            </w:pPr>
          </w:p>
        </w:tc>
      </w:tr>
      <w:tr w14:paraId="3EF9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6CC29245">
            <w:pPr>
              <w:spacing w:line="360" w:lineRule="auto"/>
              <w:ind w:left="420" w:leftChars="200" w:firstLine="480" w:firstLineChars="200"/>
              <w:rPr>
                <w:rFonts w:hint="eastAsia" w:ascii="宋体" w:hAnsi="宋体" w:cs="宋体"/>
                <w:color w:val="auto"/>
                <w:sz w:val="24"/>
                <w:szCs w:val="24"/>
                <w:highlight w:val="none"/>
                <w:u w:val="single"/>
              </w:rPr>
            </w:pPr>
          </w:p>
        </w:tc>
        <w:tc>
          <w:tcPr>
            <w:tcW w:w="7523" w:type="dxa"/>
            <w:tcBorders>
              <w:top w:val="single" w:color="auto" w:sz="4" w:space="0"/>
              <w:left w:val="single" w:color="auto" w:sz="4" w:space="0"/>
              <w:bottom w:val="single" w:color="auto" w:sz="4" w:space="0"/>
              <w:right w:val="single" w:color="auto" w:sz="4" w:space="0"/>
            </w:tcBorders>
            <w:vAlign w:val="center"/>
          </w:tcPr>
          <w:p w14:paraId="36467A00">
            <w:pPr>
              <w:spacing w:line="360" w:lineRule="auto"/>
              <w:ind w:left="420" w:leftChars="200" w:firstLine="480" w:firstLineChars="200"/>
              <w:rPr>
                <w:rFonts w:hint="eastAsia" w:ascii="宋体" w:hAnsi="宋体" w:cs="宋体"/>
                <w:color w:val="auto"/>
                <w:sz w:val="24"/>
                <w:szCs w:val="24"/>
                <w:highlight w:val="none"/>
                <w:u w:val="single"/>
              </w:rPr>
            </w:pPr>
          </w:p>
        </w:tc>
      </w:tr>
    </w:tbl>
    <w:p w14:paraId="03EEF22D">
      <w:pPr>
        <w:tabs>
          <w:tab w:val="left" w:pos="645"/>
          <w:tab w:val="left" w:pos="930"/>
        </w:tabs>
        <w:spacing w:line="360" w:lineRule="auto"/>
        <w:ind w:left="420" w:leftChars="200" w:firstLine="480" w:firstLineChars="200"/>
        <w:rPr>
          <w:rFonts w:hint="eastAsia" w:ascii="宋体" w:hAnsi="宋体" w:cs="宋体"/>
          <w:bCs/>
          <w:color w:val="auto"/>
          <w:sz w:val="24"/>
          <w:szCs w:val="24"/>
          <w:highlight w:val="none"/>
          <w:u w:val="single"/>
        </w:rPr>
      </w:pPr>
      <w:r>
        <w:rPr>
          <w:rFonts w:hint="eastAsia" w:ascii="宋体" w:hAnsi="宋体" w:cs="宋体"/>
          <w:color w:val="auto"/>
          <w:sz w:val="24"/>
          <w:szCs w:val="24"/>
          <w:highlight w:val="none"/>
          <w:u w:val="single"/>
        </w:rPr>
        <w:t>12、我司保证在中标后，严格按照 《广州市住房和城乡建设委员会关于印发&lt;广州市建筑施工实名制管理办法&gt;的通知》（穗建规字[2020]18号）、《关于印发广州市建设领域工人工资支付分帐管理实施细则的通知》（穗建规字[2020]37号）等最新规定及广州市黄埔区、开发区对应出台的相关文件规定办理建筑工地实名制管理和工人工资支付分帐管理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14:paraId="17040980">
      <w:pPr>
        <w:tabs>
          <w:tab w:val="left" w:pos="315"/>
        </w:tabs>
        <w:spacing w:line="360" w:lineRule="auto"/>
        <w:ind w:left="420" w:leftChars="200"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13、我司保证在中标后，根据工程特点，编制本工程详细的施工组织设计和施工方案，并报监理和发包人审核批准，并严格按审批的意见和要求组织施工。</w:t>
      </w:r>
    </w:p>
    <w:p w14:paraId="701D88E4">
      <w:pPr>
        <w:spacing w:line="360" w:lineRule="auto"/>
        <w:ind w:left="420" w:leftChars="200"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14、我司承诺积极响应并接受招标文件中合同专用专款关于合同价款的调整办法。</w:t>
      </w:r>
    </w:p>
    <w:p w14:paraId="1B0B99A8">
      <w:pPr>
        <w:pStyle w:val="38"/>
        <w:spacing w:line="360" w:lineRule="auto"/>
        <w:ind w:left="420" w:leftChars="200"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15、我司保证在中标后，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[2008]1008号）、广州市住房和城乡建设委员会关于《广州市建设工程绿色施工围蔽指导图集(V2.0试行版 )》(穂建质〔 2020〕1号)、《黄埔区住房和城乡建设局 广州开发区建设和交通局关于进一步规范全区建设工程施工围蔽标准的通知》（穗埔建〔2020〕183号）、《关于进一步落实我区市政建设项目施工围蔽提升工作的通知》（穗埔建[2019]123号）、广州开发区建设和交通局《关于在全区建设项目推广使用封闭式外脚手架金属防护网的通知》（房建工程及桥梁工程要求使用）、《黄埔区住房和城乡建设局 广州开发区建设和交通局关于进一步提升我区施工围蔽建设标准的通知》（穗埔建﹝2023﹞56号）、《黄埔区住房和城乡建设局 广州开发区建设和交通局关于进一步提升我区施工围蔽建设标准的补充通知》（穗埔建﹝2023﹞71号）及相关文件要求的标准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不及时按要求整改，发包人有权另行委托单位实施，所发生的费用在本工程承包工程款中扣除，同时我司接受发包人根据实际情况对我司作出的其他处罚措施。发包人可将情况上报建设行政主管部门，视情况追究我司有关责任，可对我司或项目责任人作不良行为记录。</w:t>
      </w:r>
    </w:p>
    <w:p w14:paraId="65CD2AC3">
      <w:pPr>
        <w:pStyle w:val="36"/>
        <w:spacing w:after="0" w:line="360" w:lineRule="auto"/>
        <w:ind w:firstLine="4620" w:firstLineChars="19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 标 人：</w:t>
      </w:r>
    </w:p>
    <w:p w14:paraId="4235C23E">
      <w:pPr>
        <w:pStyle w:val="36"/>
        <w:spacing w:after="0" w:line="360" w:lineRule="auto"/>
        <w:ind w:right="560" w:firstLine="5040" w:firstLineChars="2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年  月  日</w:t>
      </w:r>
    </w:p>
    <w:p w14:paraId="4A4D94A1">
      <w:pPr>
        <w:tabs>
          <w:tab w:val="left" w:pos="720"/>
        </w:tabs>
        <w:snapToGrid w:val="0"/>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注：标函承诺书作为投标文件的“实质性响应”文件，投标人应如实填写，中标后必须按填报内容如期实施，否则按“弄虚作假骗取中标”处理。中标后，工程的监理单位将经常核验投标人是否按填报内容实施，行政管理机构也将随时抽查。</w:t>
      </w:r>
    </w:p>
    <w:p w14:paraId="601690EC">
      <w:pPr>
        <w:spacing w:line="360" w:lineRule="auto"/>
        <w:rPr>
          <w:rFonts w:hint="eastAsia" w:ascii="宋体" w:hAnsi="宋体" w:cs="宋体"/>
          <w:color w:val="auto"/>
          <w:highlight w:val="none"/>
        </w:rPr>
      </w:pPr>
      <w:r>
        <w:rPr>
          <w:rFonts w:hint="eastAsia" w:ascii="宋体" w:hAnsi="宋体" w:cs="宋体"/>
          <w:color w:val="auto"/>
          <w:highlight w:val="none"/>
        </w:rPr>
        <w:br w:type="page"/>
      </w:r>
      <w:bookmarkStart w:id="256" w:name="_Toc60070624"/>
      <w:r>
        <w:rPr>
          <w:rFonts w:hint="eastAsia" w:ascii="宋体" w:hAnsi="宋体" w:cs="宋体"/>
          <w:b/>
          <w:bCs/>
          <w:color w:val="auto"/>
          <w:sz w:val="27"/>
          <w:szCs w:val="27"/>
          <w:highlight w:val="none"/>
        </w:rPr>
        <w:t>格式四</w:t>
      </w:r>
      <w:r>
        <w:rPr>
          <w:rFonts w:hint="eastAsia" w:ascii="宋体" w:hAnsi="宋体" w:cs="宋体"/>
          <w:b/>
          <w:bCs/>
          <w:snapToGrid w:val="0"/>
          <w:color w:val="auto"/>
          <w:spacing w:val="4"/>
          <w:sz w:val="27"/>
          <w:szCs w:val="27"/>
          <w:highlight w:val="none"/>
        </w:rPr>
        <w:t>：</w:t>
      </w:r>
      <w:bookmarkEnd w:id="256"/>
    </w:p>
    <w:p w14:paraId="77CE6437">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项目负责人驻场承诺书</w:t>
      </w:r>
    </w:p>
    <w:p w14:paraId="49361685">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致（业主/监理）                                           ：</w:t>
      </w:r>
    </w:p>
    <w:p w14:paraId="6AB99896">
      <w:pPr>
        <w:spacing w:line="360" w:lineRule="auto"/>
        <w:ind w:firstLine="523" w:firstLineChars="218"/>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本人（姓名）              ，项目负责人证书注册编号：                       </w:t>
      </w:r>
    </w:p>
    <w:p w14:paraId="28D7FD12">
      <w:pPr>
        <w:spacing w:line="360" w:lineRule="auto"/>
        <w:ind w:left="1"/>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受（投标人）                                                              委派，拟在（项目名称）                                                   担任项目负责人一职。为加强本工程项目管理，保证我公司在中标后严格履行与业主签定的工程建设承包合同，圆满的完成本项工程，我愿就此做出以下承诺；</w:t>
      </w:r>
    </w:p>
    <w:p w14:paraId="0054284C">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本人作为公司选派的本项目的项目负责人，我保证自即日起至项目竣工并通过验收之日止，自始至终全过程常驻工地现场，代表我公司全面负责本工程现场组织，指挥，管理，协调等工作。并承诺在本项目完成后的合同期限内，根据项目实际工作需要也能随时到场负责指挥，完成招标人安排的工作。</w:t>
      </w:r>
    </w:p>
    <w:p w14:paraId="6C330C67">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2．如果本招标工程我公司中标，我本人保证在工程签订合同之日起至工程竣工验收完成期间只担任此工程的项目负责人，不参加其他任何工程的登记和任何工作，不在其他任何工程担任本职务。</w:t>
      </w:r>
    </w:p>
    <w:p w14:paraId="6712BC8C">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等有关部门并接受上述部门给予的通报和相关职能部门给予的扣证等处罚。</w:t>
      </w:r>
    </w:p>
    <w:p w14:paraId="4D9FF8F8">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4．项目负责人本人身份证扫描件和两寸相片：</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3"/>
        <w:gridCol w:w="2492"/>
      </w:tblGrid>
      <w:tr w14:paraId="2185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6043" w:type="dxa"/>
            <w:tcBorders>
              <w:top w:val="single" w:color="auto" w:sz="4" w:space="0"/>
              <w:left w:val="single" w:color="auto" w:sz="4" w:space="0"/>
              <w:bottom w:val="single" w:color="auto" w:sz="4" w:space="0"/>
              <w:right w:val="single" w:color="auto" w:sz="4" w:space="0"/>
            </w:tcBorders>
          </w:tcPr>
          <w:p w14:paraId="4CEA4C41">
            <w:pPr>
              <w:spacing w:line="360" w:lineRule="auto"/>
              <w:jc w:val="center"/>
              <w:rPr>
                <w:rFonts w:hint="eastAsia" w:ascii="宋体" w:hAnsi="宋体" w:cs="宋体"/>
                <w:color w:val="auto"/>
                <w:szCs w:val="21"/>
                <w:highlight w:val="none"/>
                <w:u w:val="single"/>
              </w:rPr>
            </w:pPr>
          </w:p>
          <w:p w14:paraId="654661C6">
            <w:pPr>
              <w:spacing w:line="360" w:lineRule="auto"/>
              <w:jc w:val="center"/>
              <w:rPr>
                <w:rFonts w:hint="eastAsia" w:ascii="宋体" w:hAnsi="宋体" w:cs="宋体"/>
                <w:color w:val="auto"/>
                <w:szCs w:val="21"/>
                <w:highlight w:val="none"/>
                <w:u w:val="single"/>
              </w:rPr>
            </w:pPr>
          </w:p>
          <w:p w14:paraId="667CE43A">
            <w:pPr>
              <w:spacing w:line="360" w:lineRule="auto"/>
              <w:jc w:val="center"/>
              <w:rPr>
                <w:rFonts w:hint="eastAsia" w:ascii="宋体" w:hAnsi="宋体" w:cs="宋体"/>
                <w:color w:val="auto"/>
                <w:szCs w:val="21"/>
                <w:highlight w:val="none"/>
                <w:u w:val="single"/>
              </w:rPr>
            </w:pPr>
          </w:p>
          <w:p w14:paraId="163E2AF0">
            <w:pPr>
              <w:spacing w:line="360" w:lineRule="auto"/>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身份证正反面扫描件</w:t>
            </w:r>
          </w:p>
        </w:tc>
        <w:tc>
          <w:tcPr>
            <w:tcW w:w="2492" w:type="dxa"/>
            <w:tcBorders>
              <w:top w:val="single" w:color="auto" w:sz="4" w:space="0"/>
              <w:left w:val="single" w:color="auto" w:sz="4" w:space="0"/>
              <w:bottom w:val="single" w:color="auto" w:sz="4" w:space="0"/>
              <w:right w:val="single" w:color="auto" w:sz="4" w:space="0"/>
            </w:tcBorders>
          </w:tcPr>
          <w:p w14:paraId="2DC79773">
            <w:pPr>
              <w:spacing w:line="360" w:lineRule="auto"/>
              <w:jc w:val="center"/>
              <w:rPr>
                <w:rFonts w:hint="eastAsia" w:ascii="宋体" w:hAnsi="宋体" w:cs="宋体"/>
                <w:color w:val="auto"/>
                <w:szCs w:val="21"/>
                <w:highlight w:val="none"/>
                <w:u w:val="single"/>
              </w:rPr>
            </w:pPr>
          </w:p>
          <w:p w14:paraId="79E1C7D0">
            <w:pPr>
              <w:spacing w:line="360" w:lineRule="auto"/>
              <w:jc w:val="center"/>
              <w:rPr>
                <w:rFonts w:hint="eastAsia" w:ascii="宋体" w:hAnsi="宋体" w:cs="宋体"/>
                <w:color w:val="auto"/>
                <w:szCs w:val="21"/>
                <w:highlight w:val="none"/>
                <w:u w:val="single"/>
              </w:rPr>
            </w:pPr>
          </w:p>
          <w:p w14:paraId="204F9663">
            <w:pPr>
              <w:spacing w:line="360" w:lineRule="auto"/>
              <w:jc w:val="center"/>
              <w:rPr>
                <w:rFonts w:hint="eastAsia" w:ascii="宋体" w:hAnsi="宋体" w:cs="宋体"/>
                <w:color w:val="auto"/>
                <w:szCs w:val="21"/>
                <w:highlight w:val="none"/>
                <w:u w:val="single"/>
              </w:rPr>
            </w:pPr>
          </w:p>
          <w:p w14:paraId="5BC55155">
            <w:pPr>
              <w:spacing w:line="360" w:lineRule="auto"/>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相片</w:t>
            </w:r>
          </w:p>
        </w:tc>
      </w:tr>
    </w:tbl>
    <w:p w14:paraId="47242AA0">
      <w:pPr>
        <w:spacing w:line="360" w:lineRule="auto"/>
        <w:rPr>
          <w:rFonts w:hint="eastAsia" w:ascii="宋体" w:hAnsi="宋体" w:cs="宋体"/>
          <w:color w:val="auto"/>
          <w:sz w:val="24"/>
          <w:szCs w:val="24"/>
          <w:highlight w:val="none"/>
          <w:u w:val="single"/>
        </w:rPr>
      </w:pPr>
    </w:p>
    <w:p w14:paraId="140E816F">
      <w:pPr>
        <w:spacing w:line="360" w:lineRule="auto"/>
        <w:ind w:firstLine="3840" w:firstLineChars="16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投 标 人：</w:t>
      </w:r>
    </w:p>
    <w:p w14:paraId="2981053F">
      <w:pPr>
        <w:spacing w:line="360" w:lineRule="auto"/>
        <w:ind w:firstLine="3855" w:firstLineChars="1600"/>
        <w:rPr>
          <w:rFonts w:hint="eastAsia" w:ascii="宋体" w:hAnsi="宋体" w:cs="宋体"/>
          <w:color w:val="auto"/>
          <w:sz w:val="24"/>
          <w:szCs w:val="24"/>
          <w:highlight w:val="none"/>
          <w:u w:val="single"/>
        </w:rPr>
      </w:pPr>
      <w:r>
        <w:rPr>
          <w:rFonts w:hint="eastAsia" w:ascii="宋体" w:hAnsi="宋体" w:cs="宋体"/>
          <w:b/>
          <w:bCs/>
          <w:color w:val="auto"/>
          <w:sz w:val="24"/>
          <w:szCs w:val="24"/>
          <w:highlight w:val="none"/>
          <w:u w:val="single"/>
        </w:rPr>
        <w:t>项目负责人签名：</w:t>
      </w:r>
      <w:r>
        <w:rPr>
          <w:rFonts w:hint="eastAsia" w:ascii="宋体" w:hAnsi="宋体" w:cs="宋体"/>
          <w:color w:val="auto"/>
          <w:sz w:val="24"/>
          <w:szCs w:val="24"/>
          <w:highlight w:val="none"/>
          <w:u w:val="single"/>
        </w:rPr>
        <w:t xml:space="preserve">                 </w:t>
      </w:r>
    </w:p>
    <w:p w14:paraId="3DA8EAA7">
      <w:pPr>
        <w:tabs>
          <w:tab w:val="left" w:pos="720"/>
        </w:tabs>
        <w:snapToGrid w:val="0"/>
        <w:spacing w:line="360" w:lineRule="auto"/>
        <w:jc w:val="righ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年   月    日</w:t>
      </w:r>
    </w:p>
    <w:p w14:paraId="6A2B2022">
      <w:pPr>
        <w:spacing w:line="360" w:lineRule="auto"/>
        <w:rPr>
          <w:rFonts w:hint="eastAsia" w:ascii="宋体" w:hAnsi="宋体" w:cs="宋体"/>
          <w:b/>
          <w:bCs/>
          <w:color w:val="auto"/>
          <w:sz w:val="27"/>
          <w:szCs w:val="27"/>
          <w:highlight w:val="none"/>
        </w:rPr>
      </w:pPr>
      <w:bookmarkStart w:id="257" w:name="_Toc60070625"/>
      <w:r>
        <w:rPr>
          <w:rFonts w:hint="eastAsia" w:ascii="宋体" w:hAnsi="宋体" w:cs="宋体"/>
          <w:b/>
          <w:bCs/>
          <w:color w:val="auto"/>
          <w:sz w:val="27"/>
          <w:szCs w:val="27"/>
          <w:highlight w:val="none"/>
        </w:rPr>
        <w:t>格式五：</w:t>
      </w:r>
      <w:bookmarkEnd w:id="257"/>
    </w:p>
    <w:p w14:paraId="3B0F6B1C">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施工项目管理团队人员信息表</w:t>
      </w:r>
    </w:p>
    <w:tbl>
      <w:tblPr>
        <w:tblStyle w:val="25"/>
        <w:tblW w:w="4989" w:type="pct"/>
        <w:tblInd w:w="0" w:type="dxa"/>
        <w:tblLayout w:type="fixed"/>
        <w:tblCellMar>
          <w:top w:w="0" w:type="dxa"/>
          <w:left w:w="108" w:type="dxa"/>
          <w:bottom w:w="0" w:type="dxa"/>
          <w:right w:w="108" w:type="dxa"/>
        </w:tblCellMar>
      </w:tblPr>
      <w:tblGrid>
        <w:gridCol w:w="631"/>
        <w:gridCol w:w="858"/>
        <w:gridCol w:w="2070"/>
        <w:gridCol w:w="419"/>
        <w:gridCol w:w="1064"/>
        <w:gridCol w:w="4897"/>
      </w:tblGrid>
      <w:tr w14:paraId="0E19A83C">
        <w:tblPrEx>
          <w:tblCellMar>
            <w:top w:w="0" w:type="dxa"/>
            <w:left w:w="108" w:type="dxa"/>
            <w:bottom w:w="0" w:type="dxa"/>
            <w:right w:w="108" w:type="dxa"/>
          </w:tblCellMar>
        </w:tblPrEx>
        <w:trPr>
          <w:trHeight w:val="975" w:hRule="atLeast"/>
        </w:trPr>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3C064EC6">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432" w:type="pct"/>
            <w:tcBorders>
              <w:top w:val="single" w:color="auto" w:sz="4" w:space="0"/>
              <w:left w:val="nil"/>
              <w:bottom w:val="single" w:color="auto" w:sz="4" w:space="0"/>
              <w:right w:val="single" w:color="auto" w:sz="4" w:space="0"/>
            </w:tcBorders>
            <w:shd w:val="clear" w:color="auto" w:fill="auto"/>
            <w:vAlign w:val="center"/>
          </w:tcPr>
          <w:p w14:paraId="4162FDD9">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姓名</w:t>
            </w:r>
          </w:p>
        </w:tc>
        <w:tc>
          <w:tcPr>
            <w:tcW w:w="1041" w:type="pct"/>
            <w:tcBorders>
              <w:top w:val="single" w:color="auto" w:sz="4" w:space="0"/>
              <w:left w:val="nil"/>
              <w:bottom w:val="single" w:color="auto" w:sz="4" w:space="0"/>
              <w:right w:val="single" w:color="auto" w:sz="4" w:space="0"/>
            </w:tcBorders>
            <w:shd w:val="clear" w:color="auto" w:fill="auto"/>
            <w:vAlign w:val="center"/>
          </w:tcPr>
          <w:p w14:paraId="60CAC7B0">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岗位</w:t>
            </w:r>
          </w:p>
        </w:tc>
        <w:tc>
          <w:tcPr>
            <w:tcW w:w="211" w:type="pct"/>
            <w:tcBorders>
              <w:top w:val="single" w:color="auto" w:sz="4" w:space="0"/>
              <w:left w:val="nil"/>
              <w:bottom w:val="single" w:color="auto" w:sz="4" w:space="0"/>
              <w:right w:val="single" w:color="auto" w:sz="4" w:space="0"/>
            </w:tcBorders>
            <w:shd w:val="clear" w:color="auto" w:fill="auto"/>
            <w:vAlign w:val="center"/>
          </w:tcPr>
          <w:p w14:paraId="2C05A353">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职称</w:t>
            </w:r>
          </w:p>
        </w:tc>
        <w:tc>
          <w:tcPr>
            <w:tcW w:w="535" w:type="pct"/>
            <w:tcBorders>
              <w:top w:val="single" w:color="auto" w:sz="4" w:space="0"/>
              <w:left w:val="nil"/>
              <w:bottom w:val="single" w:color="auto" w:sz="4" w:space="0"/>
              <w:right w:val="single" w:color="auto" w:sz="4" w:space="0"/>
            </w:tcBorders>
            <w:shd w:val="clear" w:color="auto" w:fill="auto"/>
            <w:vAlign w:val="center"/>
          </w:tcPr>
          <w:p w14:paraId="1FBC00EE">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职称证书或资格证书编号</w:t>
            </w:r>
          </w:p>
        </w:tc>
        <w:tc>
          <w:tcPr>
            <w:tcW w:w="2460" w:type="pct"/>
            <w:tcBorders>
              <w:top w:val="single" w:color="auto" w:sz="4" w:space="0"/>
              <w:left w:val="single" w:color="auto" w:sz="4" w:space="0"/>
              <w:bottom w:val="single" w:color="auto" w:sz="4" w:space="0"/>
              <w:right w:val="single" w:color="auto" w:sz="4" w:space="0"/>
            </w:tcBorders>
            <w:shd w:val="clear" w:color="auto" w:fill="auto"/>
            <w:vAlign w:val="center"/>
          </w:tcPr>
          <w:p w14:paraId="6B6E98E1">
            <w:pPr>
              <w:widowControl/>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基本要求</w:t>
            </w:r>
          </w:p>
        </w:tc>
      </w:tr>
      <w:tr w14:paraId="62D643B9">
        <w:tblPrEx>
          <w:tblCellMar>
            <w:top w:w="0" w:type="dxa"/>
            <w:left w:w="108" w:type="dxa"/>
            <w:bottom w:w="0" w:type="dxa"/>
            <w:right w:w="108" w:type="dxa"/>
          </w:tblCellMar>
        </w:tblPrEx>
        <w:trPr>
          <w:trHeight w:val="9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14:paraId="32F79D3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432" w:type="pct"/>
            <w:tcBorders>
              <w:top w:val="nil"/>
              <w:left w:val="nil"/>
              <w:bottom w:val="single" w:color="auto" w:sz="4" w:space="0"/>
              <w:right w:val="single" w:color="auto" w:sz="4" w:space="0"/>
            </w:tcBorders>
            <w:shd w:val="clear" w:color="auto" w:fill="auto"/>
            <w:noWrap/>
            <w:vAlign w:val="center"/>
          </w:tcPr>
          <w:p w14:paraId="3A2438AA">
            <w:pPr>
              <w:widowControl/>
              <w:jc w:val="center"/>
              <w:rPr>
                <w:rFonts w:hint="eastAsia" w:ascii="宋体" w:hAnsi="宋体" w:cs="宋体"/>
                <w:color w:val="auto"/>
                <w:kern w:val="0"/>
                <w:sz w:val="20"/>
                <w:szCs w:val="20"/>
                <w:highlight w:val="none"/>
              </w:rPr>
            </w:pPr>
          </w:p>
        </w:tc>
        <w:tc>
          <w:tcPr>
            <w:tcW w:w="1041" w:type="pct"/>
            <w:tcBorders>
              <w:top w:val="nil"/>
              <w:left w:val="nil"/>
              <w:bottom w:val="single" w:color="auto" w:sz="4" w:space="0"/>
              <w:right w:val="single" w:color="auto" w:sz="4" w:space="0"/>
            </w:tcBorders>
            <w:shd w:val="clear" w:color="auto" w:fill="auto"/>
            <w:noWrap/>
            <w:vAlign w:val="center"/>
          </w:tcPr>
          <w:p w14:paraId="5BF32E43">
            <w:pPr>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项目负责人</w:t>
            </w:r>
          </w:p>
        </w:tc>
        <w:tc>
          <w:tcPr>
            <w:tcW w:w="211" w:type="pct"/>
            <w:tcBorders>
              <w:top w:val="nil"/>
              <w:left w:val="nil"/>
              <w:bottom w:val="single" w:color="auto" w:sz="4" w:space="0"/>
              <w:right w:val="single" w:color="auto" w:sz="4" w:space="0"/>
            </w:tcBorders>
            <w:shd w:val="clear" w:color="auto" w:fill="auto"/>
            <w:noWrap/>
            <w:vAlign w:val="center"/>
          </w:tcPr>
          <w:p w14:paraId="16D66203">
            <w:pPr>
              <w:widowControl/>
              <w:jc w:val="center"/>
              <w:rPr>
                <w:rFonts w:hint="eastAsia" w:ascii="宋体" w:hAnsi="宋体" w:cs="宋体"/>
                <w:color w:val="auto"/>
                <w:kern w:val="0"/>
                <w:sz w:val="20"/>
                <w:szCs w:val="20"/>
                <w:highlight w:val="none"/>
              </w:rPr>
            </w:pPr>
          </w:p>
        </w:tc>
        <w:tc>
          <w:tcPr>
            <w:tcW w:w="535" w:type="pct"/>
            <w:tcBorders>
              <w:top w:val="nil"/>
              <w:left w:val="nil"/>
              <w:bottom w:val="single" w:color="auto" w:sz="4" w:space="0"/>
              <w:right w:val="single" w:color="auto" w:sz="4" w:space="0"/>
            </w:tcBorders>
            <w:shd w:val="clear" w:color="auto" w:fill="auto"/>
            <w:noWrap/>
            <w:vAlign w:val="center"/>
          </w:tcPr>
          <w:p w14:paraId="744D3067">
            <w:pPr>
              <w:widowControl/>
              <w:jc w:val="center"/>
              <w:rPr>
                <w:rFonts w:hint="eastAsia" w:ascii="宋体" w:hAnsi="宋体" w:cs="宋体"/>
                <w:color w:val="auto"/>
                <w:kern w:val="0"/>
                <w:sz w:val="20"/>
                <w:szCs w:val="20"/>
                <w:highlight w:val="none"/>
              </w:rPr>
            </w:pPr>
          </w:p>
        </w:tc>
        <w:tc>
          <w:tcPr>
            <w:tcW w:w="2460" w:type="pct"/>
            <w:tcBorders>
              <w:top w:val="nil"/>
              <w:left w:val="single" w:color="auto" w:sz="4" w:space="0"/>
              <w:bottom w:val="single" w:color="auto" w:sz="4" w:space="0"/>
              <w:right w:val="single" w:color="auto" w:sz="4" w:space="0"/>
            </w:tcBorders>
            <w:shd w:val="clear" w:color="auto" w:fill="auto"/>
            <w:noWrap/>
            <w:vAlign w:val="center"/>
          </w:tcPr>
          <w:p w14:paraId="036B8459">
            <w:pPr>
              <w:adjustRightInd w:val="0"/>
              <w:snapToGrid w:val="0"/>
              <w:rPr>
                <w:rFonts w:hint="eastAsia" w:ascii="宋体" w:hAnsi="宋体" w:cs="宋体"/>
                <w:color w:val="auto"/>
                <w:sz w:val="20"/>
                <w:szCs w:val="20"/>
                <w:highlight w:val="none"/>
              </w:rPr>
            </w:pPr>
          </w:p>
        </w:tc>
      </w:tr>
      <w:tr w14:paraId="1BFA4FE6">
        <w:tblPrEx>
          <w:tblCellMar>
            <w:top w:w="0" w:type="dxa"/>
            <w:left w:w="108" w:type="dxa"/>
            <w:bottom w:w="0" w:type="dxa"/>
            <w:right w:w="108" w:type="dxa"/>
          </w:tblCellMar>
        </w:tblPrEx>
        <w:trPr>
          <w:trHeight w:val="9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14:paraId="360B796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432" w:type="pct"/>
            <w:tcBorders>
              <w:top w:val="nil"/>
              <w:left w:val="nil"/>
              <w:bottom w:val="single" w:color="auto" w:sz="4" w:space="0"/>
              <w:right w:val="single" w:color="auto" w:sz="4" w:space="0"/>
            </w:tcBorders>
            <w:shd w:val="clear" w:color="auto" w:fill="auto"/>
            <w:noWrap/>
            <w:vAlign w:val="center"/>
          </w:tcPr>
          <w:p w14:paraId="3874160B">
            <w:pPr>
              <w:widowControl/>
              <w:jc w:val="center"/>
              <w:rPr>
                <w:rFonts w:hint="eastAsia" w:ascii="宋体" w:hAnsi="宋体" w:cs="宋体"/>
                <w:color w:val="auto"/>
                <w:kern w:val="0"/>
                <w:sz w:val="20"/>
                <w:szCs w:val="20"/>
                <w:highlight w:val="none"/>
              </w:rPr>
            </w:pPr>
          </w:p>
        </w:tc>
        <w:tc>
          <w:tcPr>
            <w:tcW w:w="1041" w:type="pct"/>
            <w:tcBorders>
              <w:top w:val="nil"/>
              <w:left w:val="nil"/>
              <w:bottom w:val="single" w:color="auto" w:sz="4" w:space="0"/>
              <w:right w:val="single" w:color="auto" w:sz="4" w:space="0"/>
            </w:tcBorders>
            <w:shd w:val="clear" w:color="auto" w:fill="auto"/>
            <w:noWrap/>
            <w:vAlign w:val="center"/>
          </w:tcPr>
          <w:p w14:paraId="1930A85E">
            <w:pPr>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技术负责人</w:t>
            </w:r>
          </w:p>
        </w:tc>
        <w:tc>
          <w:tcPr>
            <w:tcW w:w="211" w:type="pct"/>
            <w:tcBorders>
              <w:top w:val="nil"/>
              <w:left w:val="nil"/>
              <w:bottom w:val="single" w:color="auto" w:sz="4" w:space="0"/>
              <w:right w:val="single" w:color="auto" w:sz="4" w:space="0"/>
            </w:tcBorders>
            <w:shd w:val="clear" w:color="auto" w:fill="auto"/>
            <w:noWrap/>
            <w:vAlign w:val="center"/>
          </w:tcPr>
          <w:p w14:paraId="38619453">
            <w:pPr>
              <w:widowControl/>
              <w:jc w:val="center"/>
              <w:rPr>
                <w:rFonts w:hint="eastAsia" w:ascii="宋体" w:hAnsi="宋体" w:cs="宋体"/>
                <w:color w:val="auto"/>
                <w:kern w:val="0"/>
                <w:sz w:val="20"/>
                <w:szCs w:val="20"/>
                <w:highlight w:val="none"/>
              </w:rPr>
            </w:pPr>
          </w:p>
        </w:tc>
        <w:tc>
          <w:tcPr>
            <w:tcW w:w="535" w:type="pct"/>
            <w:tcBorders>
              <w:top w:val="nil"/>
              <w:left w:val="nil"/>
              <w:bottom w:val="single" w:color="auto" w:sz="4" w:space="0"/>
              <w:right w:val="single" w:color="auto" w:sz="4" w:space="0"/>
            </w:tcBorders>
            <w:shd w:val="clear" w:color="auto" w:fill="auto"/>
            <w:noWrap/>
            <w:vAlign w:val="center"/>
          </w:tcPr>
          <w:p w14:paraId="3BE0C15C">
            <w:pPr>
              <w:widowControl/>
              <w:jc w:val="center"/>
              <w:rPr>
                <w:rFonts w:hint="eastAsia" w:ascii="宋体" w:hAnsi="宋体" w:cs="宋体"/>
                <w:color w:val="auto"/>
                <w:kern w:val="0"/>
                <w:sz w:val="20"/>
                <w:szCs w:val="20"/>
                <w:highlight w:val="none"/>
              </w:rPr>
            </w:pPr>
          </w:p>
        </w:tc>
        <w:tc>
          <w:tcPr>
            <w:tcW w:w="2460" w:type="pct"/>
            <w:tcBorders>
              <w:top w:val="nil"/>
              <w:left w:val="single" w:color="auto" w:sz="4" w:space="0"/>
              <w:bottom w:val="single" w:color="auto" w:sz="4" w:space="0"/>
              <w:right w:val="single" w:color="auto" w:sz="4" w:space="0"/>
            </w:tcBorders>
            <w:shd w:val="clear" w:color="auto" w:fill="auto"/>
            <w:noWrap/>
            <w:vAlign w:val="center"/>
          </w:tcPr>
          <w:p w14:paraId="359D3C06">
            <w:pPr>
              <w:adjustRightInd w:val="0"/>
              <w:snapToGrid w:val="0"/>
              <w:rPr>
                <w:rFonts w:hint="eastAsia" w:ascii="宋体" w:hAnsi="宋体" w:cs="宋体"/>
                <w:color w:val="auto"/>
                <w:sz w:val="20"/>
                <w:szCs w:val="20"/>
                <w:highlight w:val="none"/>
              </w:rPr>
            </w:pPr>
          </w:p>
        </w:tc>
      </w:tr>
      <w:tr w14:paraId="19B4D554">
        <w:tblPrEx>
          <w:tblCellMar>
            <w:top w:w="0" w:type="dxa"/>
            <w:left w:w="108" w:type="dxa"/>
            <w:bottom w:w="0" w:type="dxa"/>
            <w:right w:w="108" w:type="dxa"/>
          </w:tblCellMar>
        </w:tblPrEx>
        <w:trPr>
          <w:trHeight w:val="9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14:paraId="2492504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432" w:type="pct"/>
            <w:tcBorders>
              <w:top w:val="nil"/>
              <w:left w:val="nil"/>
              <w:bottom w:val="single" w:color="auto" w:sz="4" w:space="0"/>
              <w:right w:val="single" w:color="auto" w:sz="4" w:space="0"/>
            </w:tcBorders>
            <w:shd w:val="clear" w:color="auto" w:fill="auto"/>
            <w:noWrap/>
            <w:vAlign w:val="center"/>
          </w:tcPr>
          <w:p w14:paraId="224674A7">
            <w:pPr>
              <w:widowControl/>
              <w:jc w:val="center"/>
              <w:rPr>
                <w:rFonts w:hint="eastAsia" w:ascii="宋体" w:hAnsi="宋体" w:cs="宋体"/>
                <w:color w:val="auto"/>
                <w:kern w:val="0"/>
                <w:sz w:val="20"/>
                <w:szCs w:val="20"/>
                <w:highlight w:val="none"/>
              </w:rPr>
            </w:pPr>
          </w:p>
        </w:tc>
        <w:tc>
          <w:tcPr>
            <w:tcW w:w="1041" w:type="pct"/>
            <w:tcBorders>
              <w:top w:val="nil"/>
              <w:left w:val="nil"/>
              <w:bottom w:val="single" w:color="auto" w:sz="4" w:space="0"/>
              <w:right w:val="single" w:color="auto" w:sz="4" w:space="0"/>
            </w:tcBorders>
            <w:shd w:val="clear" w:color="auto" w:fill="auto"/>
            <w:noWrap/>
            <w:vAlign w:val="center"/>
          </w:tcPr>
          <w:p w14:paraId="3E1D855D">
            <w:pPr>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专职安全员</w:t>
            </w:r>
          </w:p>
        </w:tc>
        <w:tc>
          <w:tcPr>
            <w:tcW w:w="211" w:type="pct"/>
            <w:tcBorders>
              <w:top w:val="nil"/>
              <w:left w:val="nil"/>
              <w:bottom w:val="single" w:color="auto" w:sz="4" w:space="0"/>
              <w:right w:val="single" w:color="auto" w:sz="4" w:space="0"/>
            </w:tcBorders>
            <w:shd w:val="clear" w:color="auto" w:fill="auto"/>
            <w:noWrap/>
            <w:vAlign w:val="center"/>
          </w:tcPr>
          <w:p w14:paraId="54907DA6">
            <w:pPr>
              <w:widowControl/>
              <w:jc w:val="center"/>
              <w:rPr>
                <w:rFonts w:hint="eastAsia" w:ascii="宋体" w:hAnsi="宋体" w:cs="宋体"/>
                <w:color w:val="auto"/>
                <w:kern w:val="0"/>
                <w:sz w:val="20"/>
                <w:szCs w:val="20"/>
                <w:highlight w:val="none"/>
              </w:rPr>
            </w:pPr>
          </w:p>
        </w:tc>
        <w:tc>
          <w:tcPr>
            <w:tcW w:w="535" w:type="pct"/>
            <w:tcBorders>
              <w:top w:val="nil"/>
              <w:left w:val="nil"/>
              <w:bottom w:val="single" w:color="auto" w:sz="4" w:space="0"/>
              <w:right w:val="single" w:color="auto" w:sz="4" w:space="0"/>
            </w:tcBorders>
            <w:shd w:val="clear" w:color="auto" w:fill="auto"/>
            <w:noWrap/>
            <w:vAlign w:val="center"/>
          </w:tcPr>
          <w:p w14:paraId="153EEB92">
            <w:pPr>
              <w:widowControl/>
              <w:jc w:val="center"/>
              <w:rPr>
                <w:rFonts w:hint="eastAsia" w:ascii="宋体" w:hAnsi="宋体" w:cs="宋体"/>
                <w:color w:val="auto"/>
                <w:kern w:val="0"/>
                <w:sz w:val="20"/>
                <w:szCs w:val="20"/>
                <w:highlight w:val="none"/>
              </w:rPr>
            </w:pPr>
          </w:p>
        </w:tc>
        <w:tc>
          <w:tcPr>
            <w:tcW w:w="2460" w:type="pct"/>
            <w:tcBorders>
              <w:top w:val="nil"/>
              <w:left w:val="single" w:color="auto" w:sz="4" w:space="0"/>
              <w:bottom w:val="single" w:color="auto" w:sz="4" w:space="0"/>
              <w:right w:val="single" w:color="auto" w:sz="4" w:space="0"/>
            </w:tcBorders>
            <w:shd w:val="clear" w:color="auto" w:fill="auto"/>
            <w:noWrap/>
            <w:vAlign w:val="center"/>
          </w:tcPr>
          <w:p w14:paraId="6B04C46B">
            <w:pPr>
              <w:adjustRightInd w:val="0"/>
              <w:snapToGrid w:val="0"/>
              <w:rPr>
                <w:rFonts w:hint="eastAsia" w:ascii="宋体" w:hAnsi="宋体" w:cs="宋体"/>
                <w:color w:val="auto"/>
                <w:sz w:val="20"/>
                <w:szCs w:val="20"/>
                <w:highlight w:val="none"/>
              </w:rPr>
            </w:pPr>
          </w:p>
        </w:tc>
      </w:tr>
      <w:tr w14:paraId="083EF695">
        <w:tblPrEx>
          <w:tblCellMar>
            <w:top w:w="0" w:type="dxa"/>
            <w:left w:w="108" w:type="dxa"/>
            <w:bottom w:w="0" w:type="dxa"/>
            <w:right w:w="108" w:type="dxa"/>
          </w:tblCellMar>
        </w:tblPrEx>
        <w:trPr>
          <w:trHeight w:val="9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14:paraId="254CC34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432" w:type="pct"/>
            <w:tcBorders>
              <w:top w:val="nil"/>
              <w:left w:val="nil"/>
              <w:bottom w:val="single" w:color="auto" w:sz="4" w:space="0"/>
              <w:right w:val="single" w:color="auto" w:sz="4" w:space="0"/>
            </w:tcBorders>
            <w:shd w:val="clear" w:color="auto" w:fill="auto"/>
            <w:noWrap/>
            <w:vAlign w:val="center"/>
          </w:tcPr>
          <w:p w14:paraId="0ADE9DCF">
            <w:pPr>
              <w:widowControl/>
              <w:jc w:val="center"/>
              <w:rPr>
                <w:rFonts w:hint="eastAsia" w:ascii="宋体" w:hAnsi="宋体" w:cs="宋体"/>
                <w:color w:val="auto"/>
                <w:kern w:val="0"/>
                <w:sz w:val="20"/>
                <w:szCs w:val="20"/>
                <w:highlight w:val="none"/>
              </w:rPr>
            </w:pPr>
          </w:p>
        </w:tc>
        <w:tc>
          <w:tcPr>
            <w:tcW w:w="1041" w:type="pct"/>
            <w:tcBorders>
              <w:top w:val="nil"/>
              <w:left w:val="nil"/>
              <w:bottom w:val="single" w:color="auto" w:sz="4" w:space="0"/>
              <w:right w:val="single" w:color="auto" w:sz="4" w:space="0"/>
            </w:tcBorders>
            <w:shd w:val="clear" w:color="auto" w:fill="auto"/>
            <w:noWrap/>
            <w:vAlign w:val="center"/>
          </w:tcPr>
          <w:p w14:paraId="3E123EB4">
            <w:pPr>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sz w:val="20"/>
                <w:szCs w:val="20"/>
                <w:highlight w:val="none"/>
              </w:rPr>
              <w:t>质量负责人</w:t>
            </w:r>
          </w:p>
        </w:tc>
        <w:tc>
          <w:tcPr>
            <w:tcW w:w="211" w:type="pct"/>
            <w:tcBorders>
              <w:top w:val="nil"/>
              <w:left w:val="nil"/>
              <w:bottom w:val="single" w:color="auto" w:sz="4" w:space="0"/>
              <w:right w:val="single" w:color="auto" w:sz="4" w:space="0"/>
            </w:tcBorders>
            <w:shd w:val="clear" w:color="auto" w:fill="auto"/>
            <w:noWrap/>
            <w:vAlign w:val="center"/>
          </w:tcPr>
          <w:p w14:paraId="7DC287D0">
            <w:pPr>
              <w:widowControl/>
              <w:jc w:val="center"/>
              <w:rPr>
                <w:rFonts w:hint="eastAsia" w:ascii="宋体" w:hAnsi="宋体" w:cs="宋体"/>
                <w:color w:val="auto"/>
                <w:kern w:val="0"/>
                <w:sz w:val="20"/>
                <w:szCs w:val="20"/>
                <w:highlight w:val="none"/>
              </w:rPr>
            </w:pPr>
          </w:p>
        </w:tc>
        <w:tc>
          <w:tcPr>
            <w:tcW w:w="535" w:type="pct"/>
            <w:tcBorders>
              <w:top w:val="nil"/>
              <w:left w:val="nil"/>
              <w:bottom w:val="single" w:color="auto" w:sz="4" w:space="0"/>
              <w:right w:val="single" w:color="auto" w:sz="4" w:space="0"/>
            </w:tcBorders>
            <w:shd w:val="clear" w:color="auto" w:fill="auto"/>
            <w:noWrap/>
            <w:vAlign w:val="center"/>
          </w:tcPr>
          <w:p w14:paraId="381BB8DC">
            <w:pPr>
              <w:widowControl/>
              <w:jc w:val="center"/>
              <w:rPr>
                <w:rFonts w:hint="eastAsia" w:ascii="宋体" w:hAnsi="宋体" w:cs="宋体"/>
                <w:color w:val="auto"/>
                <w:kern w:val="0"/>
                <w:sz w:val="20"/>
                <w:szCs w:val="20"/>
                <w:highlight w:val="none"/>
              </w:rPr>
            </w:pPr>
          </w:p>
        </w:tc>
        <w:tc>
          <w:tcPr>
            <w:tcW w:w="2460" w:type="pct"/>
            <w:tcBorders>
              <w:top w:val="nil"/>
              <w:left w:val="single" w:color="auto" w:sz="4" w:space="0"/>
              <w:bottom w:val="single" w:color="auto" w:sz="4" w:space="0"/>
              <w:right w:val="single" w:color="auto" w:sz="4" w:space="0"/>
            </w:tcBorders>
            <w:shd w:val="clear" w:color="auto" w:fill="auto"/>
            <w:noWrap/>
            <w:vAlign w:val="center"/>
          </w:tcPr>
          <w:p w14:paraId="15279385">
            <w:pPr>
              <w:adjustRightInd w:val="0"/>
              <w:snapToGrid w:val="0"/>
              <w:rPr>
                <w:rFonts w:hint="eastAsia" w:ascii="宋体" w:hAnsi="宋体" w:cs="宋体"/>
                <w:color w:val="auto"/>
                <w:sz w:val="20"/>
                <w:szCs w:val="20"/>
                <w:highlight w:val="none"/>
              </w:rPr>
            </w:pPr>
          </w:p>
        </w:tc>
      </w:tr>
      <w:tr w14:paraId="2477B63D">
        <w:tblPrEx>
          <w:tblCellMar>
            <w:top w:w="0" w:type="dxa"/>
            <w:left w:w="108" w:type="dxa"/>
            <w:bottom w:w="0" w:type="dxa"/>
            <w:right w:w="108" w:type="dxa"/>
          </w:tblCellMar>
        </w:tblPrEx>
        <w:trPr>
          <w:trHeight w:val="9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14:paraId="0653227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432" w:type="pct"/>
            <w:tcBorders>
              <w:top w:val="nil"/>
              <w:left w:val="nil"/>
              <w:bottom w:val="single" w:color="auto" w:sz="4" w:space="0"/>
              <w:right w:val="single" w:color="auto" w:sz="4" w:space="0"/>
            </w:tcBorders>
            <w:shd w:val="clear" w:color="auto" w:fill="auto"/>
            <w:noWrap/>
            <w:vAlign w:val="center"/>
          </w:tcPr>
          <w:p w14:paraId="1DD52482">
            <w:pPr>
              <w:widowControl/>
              <w:jc w:val="center"/>
              <w:rPr>
                <w:rFonts w:hint="eastAsia" w:ascii="宋体" w:hAnsi="宋体" w:cs="宋体"/>
                <w:color w:val="auto"/>
                <w:kern w:val="0"/>
                <w:sz w:val="20"/>
                <w:szCs w:val="20"/>
                <w:highlight w:val="none"/>
              </w:rPr>
            </w:pPr>
          </w:p>
        </w:tc>
        <w:tc>
          <w:tcPr>
            <w:tcW w:w="1041" w:type="pct"/>
            <w:tcBorders>
              <w:top w:val="nil"/>
              <w:left w:val="nil"/>
              <w:bottom w:val="single" w:color="auto" w:sz="4" w:space="0"/>
              <w:right w:val="single" w:color="auto" w:sz="4" w:space="0"/>
            </w:tcBorders>
            <w:shd w:val="clear" w:color="auto" w:fill="auto"/>
            <w:noWrap/>
            <w:vAlign w:val="center"/>
          </w:tcPr>
          <w:p w14:paraId="50795246">
            <w:pPr>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sz w:val="20"/>
                <w:szCs w:val="20"/>
                <w:highlight w:val="none"/>
              </w:rPr>
              <w:t>安全负责人</w:t>
            </w:r>
          </w:p>
        </w:tc>
        <w:tc>
          <w:tcPr>
            <w:tcW w:w="211" w:type="pct"/>
            <w:tcBorders>
              <w:top w:val="nil"/>
              <w:left w:val="nil"/>
              <w:bottom w:val="single" w:color="auto" w:sz="4" w:space="0"/>
              <w:right w:val="single" w:color="auto" w:sz="4" w:space="0"/>
            </w:tcBorders>
            <w:shd w:val="clear" w:color="auto" w:fill="auto"/>
            <w:noWrap/>
            <w:vAlign w:val="center"/>
          </w:tcPr>
          <w:p w14:paraId="1CB6FB62">
            <w:pPr>
              <w:widowControl/>
              <w:jc w:val="center"/>
              <w:rPr>
                <w:rFonts w:hint="eastAsia" w:ascii="宋体" w:hAnsi="宋体" w:cs="宋体"/>
                <w:color w:val="auto"/>
                <w:kern w:val="0"/>
                <w:sz w:val="20"/>
                <w:szCs w:val="20"/>
                <w:highlight w:val="none"/>
              </w:rPr>
            </w:pPr>
          </w:p>
        </w:tc>
        <w:tc>
          <w:tcPr>
            <w:tcW w:w="535" w:type="pct"/>
            <w:tcBorders>
              <w:top w:val="nil"/>
              <w:left w:val="nil"/>
              <w:bottom w:val="single" w:color="auto" w:sz="4" w:space="0"/>
              <w:right w:val="single" w:color="auto" w:sz="4" w:space="0"/>
            </w:tcBorders>
            <w:shd w:val="clear" w:color="auto" w:fill="auto"/>
            <w:noWrap/>
            <w:vAlign w:val="center"/>
          </w:tcPr>
          <w:p w14:paraId="3CA40138">
            <w:pPr>
              <w:widowControl/>
              <w:jc w:val="center"/>
              <w:rPr>
                <w:rFonts w:hint="eastAsia" w:ascii="宋体" w:hAnsi="宋体" w:cs="宋体"/>
                <w:color w:val="auto"/>
                <w:kern w:val="0"/>
                <w:sz w:val="20"/>
                <w:szCs w:val="20"/>
                <w:highlight w:val="none"/>
              </w:rPr>
            </w:pPr>
          </w:p>
        </w:tc>
        <w:tc>
          <w:tcPr>
            <w:tcW w:w="2460" w:type="pct"/>
            <w:tcBorders>
              <w:top w:val="nil"/>
              <w:left w:val="single" w:color="auto" w:sz="4" w:space="0"/>
              <w:bottom w:val="single" w:color="auto" w:sz="4" w:space="0"/>
              <w:right w:val="single" w:color="auto" w:sz="4" w:space="0"/>
            </w:tcBorders>
            <w:shd w:val="clear" w:color="auto" w:fill="auto"/>
            <w:noWrap/>
            <w:vAlign w:val="center"/>
          </w:tcPr>
          <w:p w14:paraId="4B46D51D">
            <w:pPr>
              <w:adjustRightInd w:val="0"/>
              <w:snapToGrid w:val="0"/>
              <w:rPr>
                <w:rFonts w:hint="eastAsia" w:ascii="宋体" w:hAnsi="宋体" w:cs="宋体"/>
                <w:color w:val="auto"/>
                <w:sz w:val="20"/>
                <w:szCs w:val="20"/>
                <w:highlight w:val="none"/>
              </w:rPr>
            </w:pPr>
          </w:p>
        </w:tc>
      </w:tr>
      <w:tr w14:paraId="7590D4ED">
        <w:tblPrEx>
          <w:tblCellMar>
            <w:top w:w="0" w:type="dxa"/>
            <w:left w:w="108" w:type="dxa"/>
            <w:bottom w:w="0" w:type="dxa"/>
            <w:right w:w="108" w:type="dxa"/>
          </w:tblCellMar>
        </w:tblPrEx>
        <w:trPr>
          <w:trHeight w:val="9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14:paraId="74D49A4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432" w:type="pct"/>
            <w:tcBorders>
              <w:top w:val="nil"/>
              <w:left w:val="nil"/>
              <w:bottom w:val="single" w:color="auto" w:sz="4" w:space="0"/>
              <w:right w:val="single" w:color="auto" w:sz="4" w:space="0"/>
            </w:tcBorders>
            <w:shd w:val="clear" w:color="auto" w:fill="auto"/>
            <w:noWrap/>
            <w:vAlign w:val="center"/>
          </w:tcPr>
          <w:p w14:paraId="5FF66D95">
            <w:pPr>
              <w:widowControl/>
              <w:jc w:val="center"/>
              <w:rPr>
                <w:rFonts w:hint="eastAsia" w:ascii="宋体" w:hAnsi="宋体" w:cs="宋体"/>
                <w:color w:val="auto"/>
                <w:kern w:val="0"/>
                <w:sz w:val="20"/>
                <w:szCs w:val="20"/>
                <w:highlight w:val="none"/>
              </w:rPr>
            </w:pPr>
          </w:p>
        </w:tc>
        <w:tc>
          <w:tcPr>
            <w:tcW w:w="1041" w:type="pct"/>
            <w:tcBorders>
              <w:top w:val="nil"/>
              <w:left w:val="nil"/>
              <w:bottom w:val="single" w:color="auto" w:sz="4" w:space="0"/>
              <w:right w:val="single" w:color="auto" w:sz="4" w:space="0"/>
            </w:tcBorders>
            <w:shd w:val="clear" w:color="auto" w:fill="auto"/>
            <w:noWrap/>
            <w:vAlign w:val="center"/>
          </w:tcPr>
          <w:p w14:paraId="49B16FD7">
            <w:pPr>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sz w:val="20"/>
                <w:szCs w:val="20"/>
                <w:highlight w:val="none"/>
              </w:rPr>
              <w:t>造价负责人</w:t>
            </w:r>
          </w:p>
        </w:tc>
        <w:tc>
          <w:tcPr>
            <w:tcW w:w="211" w:type="pct"/>
            <w:tcBorders>
              <w:top w:val="nil"/>
              <w:left w:val="nil"/>
              <w:bottom w:val="single" w:color="auto" w:sz="4" w:space="0"/>
              <w:right w:val="single" w:color="auto" w:sz="4" w:space="0"/>
            </w:tcBorders>
            <w:shd w:val="clear" w:color="auto" w:fill="auto"/>
            <w:noWrap/>
            <w:vAlign w:val="center"/>
          </w:tcPr>
          <w:p w14:paraId="50FFBFFD">
            <w:pPr>
              <w:adjustRightInd w:val="0"/>
              <w:snapToGrid w:val="0"/>
              <w:jc w:val="center"/>
              <w:rPr>
                <w:rFonts w:hint="eastAsia" w:ascii="宋体" w:hAnsi="宋体" w:cs="宋体"/>
                <w:color w:val="auto"/>
                <w:kern w:val="0"/>
                <w:sz w:val="20"/>
                <w:szCs w:val="20"/>
                <w:highlight w:val="none"/>
              </w:rPr>
            </w:pPr>
          </w:p>
        </w:tc>
        <w:tc>
          <w:tcPr>
            <w:tcW w:w="535" w:type="pct"/>
            <w:tcBorders>
              <w:top w:val="nil"/>
              <w:left w:val="nil"/>
              <w:bottom w:val="single" w:color="auto" w:sz="4" w:space="0"/>
              <w:right w:val="single" w:color="auto" w:sz="4" w:space="0"/>
            </w:tcBorders>
            <w:shd w:val="clear" w:color="auto" w:fill="auto"/>
            <w:noWrap/>
            <w:vAlign w:val="center"/>
          </w:tcPr>
          <w:p w14:paraId="03819510">
            <w:pPr>
              <w:adjustRightInd w:val="0"/>
              <w:snapToGrid w:val="0"/>
              <w:rPr>
                <w:rFonts w:hint="eastAsia" w:ascii="宋体" w:hAnsi="宋体" w:cs="宋体"/>
                <w:color w:val="auto"/>
                <w:kern w:val="0"/>
                <w:sz w:val="20"/>
                <w:szCs w:val="20"/>
                <w:highlight w:val="none"/>
              </w:rPr>
            </w:pPr>
          </w:p>
        </w:tc>
        <w:tc>
          <w:tcPr>
            <w:tcW w:w="2460" w:type="pct"/>
            <w:tcBorders>
              <w:top w:val="nil"/>
              <w:left w:val="single" w:color="auto" w:sz="4" w:space="0"/>
              <w:bottom w:val="single" w:color="auto" w:sz="4" w:space="0"/>
              <w:right w:val="single" w:color="auto" w:sz="4" w:space="0"/>
            </w:tcBorders>
            <w:shd w:val="clear" w:color="auto" w:fill="auto"/>
            <w:noWrap/>
            <w:vAlign w:val="center"/>
          </w:tcPr>
          <w:p w14:paraId="2941115A">
            <w:pPr>
              <w:adjustRightInd w:val="0"/>
              <w:snapToGrid w:val="0"/>
              <w:rPr>
                <w:rFonts w:hint="eastAsia" w:ascii="宋体" w:hAnsi="宋体" w:cs="宋体"/>
                <w:color w:val="auto"/>
                <w:sz w:val="20"/>
                <w:szCs w:val="20"/>
                <w:highlight w:val="none"/>
              </w:rPr>
            </w:pPr>
          </w:p>
        </w:tc>
      </w:tr>
      <w:tr w14:paraId="7425299A">
        <w:tblPrEx>
          <w:tblCellMar>
            <w:top w:w="0" w:type="dxa"/>
            <w:left w:w="108" w:type="dxa"/>
            <w:bottom w:w="0" w:type="dxa"/>
            <w:right w:w="108" w:type="dxa"/>
          </w:tblCellMar>
        </w:tblPrEx>
        <w:trPr>
          <w:trHeight w:val="61"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14:paraId="59653FE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432" w:type="pct"/>
            <w:tcBorders>
              <w:top w:val="nil"/>
              <w:left w:val="nil"/>
              <w:bottom w:val="single" w:color="auto" w:sz="4" w:space="0"/>
              <w:right w:val="single" w:color="auto" w:sz="4" w:space="0"/>
            </w:tcBorders>
            <w:shd w:val="clear" w:color="auto" w:fill="auto"/>
            <w:noWrap/>
            <w:vAlign w:val="center"/>
          </w:tcPr>
          <w:p w14:paraId="32DB95F7">
            <w:pPr>
              <w:widowControl/>
              <w:jc w:val="center"/>
              <w:rPr>
                <w:rFonts w:hint="eastAsia" w:ascii="宋体" w:hAnsi="宋体" w:cs="宋体"/>
                <w:color w:val="auto"/>
                <w:kern w:val="0"/>
                <w:sz w:val="20"/>
                <w:szCs w:val="20"/>
                <w:highlight w:val="none"/>
              </w:rPr>
            </w:pPr>
          </w:p>
        </w:tc>
        <w:tc>
          <w:tcPr>
            <w:tcW w:w="1041" w:type="pct"/>
            <w:tcBorders>
              <w:top w:val="nil"/>
              <w:left w:val="nil"/>
              <w:bottom w:val="single" w:color="auto" w:sz="4" w:space="0"/>
              <w:right w:val="single" w:color="auto" w:sz="4" w:space="0"/>
            </w:tcBorders>
            <w:shd w:val="clear" w:color="auto" w:fill="auto"/>
            <w:noWrap/>
            <w:vAlign w:val="center"/>
          </w:tcPr>
          <w:p w14:paraId="1E2CD766">
            <w:pPr>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sz w:val="20"/>
                <w:szCs w:val="20"/>
                <w:highlight w:val="none"/>
              </w:rPr>
              <w:t>……</w:t>
            </w:r>
          </w:p>
        </w:tc>
        <w:tc>
          <w:tcPr>
            <w:tcW w:w="211" w:type="pct"/>
            <w:tcBorders>
              <w:top w:val="nil"/>
              <w:left w:val="nil"/>
              <w:bottom w:val="single" w:color="auto" w:sz="4" w:space="0"/>
              <w:right w:val="single" w:color="auto" w:sz="4" w:space="0"/>
            </w:tcBorders>
            <w:shd w:val="clear" w:color="auto" w:fill="auto"/>
            <w:noWrap/>
            <w:vAlign w:val="center"/>
          </w:tcPr>
          <w:p w14:paraId="28009BA4">
            <w:pPr>
              <w:adjustRightInd w:val="0"/>
              <w:snapToGrid w:val="0"/>
              <w:jc w:val="center"/>
              <w:rPr>
                <w:rFonts w:hint="eastAsia" w:ascii="宋体" w:hAnsi="宋体" w:cs="宋体"/>
                <w:color w:val="auto"/>
                <w:kern w:val="0"/>
                <w:sz w:val="20"/>
                <w:szCs w:val="20"/>
                <w:highlight w:val="none"/>
              </w:rPr>
            </w:pPr>
          </w:p>
        </w:tc>
        <w:tc>
          <w:tcPr>
            <w:tcW w:w="535" w:type="pct"/>
            <w:tcBorders>
              <w:top w:val="nil"/>
              <w:left w:val="nil"/>
              <w:bottom w:val="single" w:color="auto" w:sz="4" w:space="0"/>
              <w:right w:val="single" w:color="auto" w:sz="4" w:space="0"/>
            </w:tcBorders>
            <w:shd w:val="clear" w:color="auto" w:fill="auto"/>
            <w:noWrap/>
            <w:vAlign w:val="center"/>
          </w:tcPr>
          <w:p w14:paraId="4B783525">
            <w:pPr>
              <w:adjustRightInd w:val="0"/>
              <w:snapToGrid w:val="0"/>
              <w:rPr>
                <w:rFonts w:hint="eastAsia" w:ascii="宋体" w:hAnsi="宋体" w:cs="宋体"/>
                <w:color w:val="auto"/>
                <w:kern w:val="0"/>
                <w:sz w:val="20"/>
                <w:szCs w:val="20"/>
                <w:highlight w:val="none"/>
              </w:rPr>
            </w:pPr>
          </w:p>
        </w:tc>
        <w:tc>
          <w:tcPr>
            <w:tcW w:w="2460" w:type="pct"/>
            <w:tcBorders>
              <w:top w:val="nil"/>
              <w:left w:val="single" w:color="auto" w:sz="4" w:space="0"/>
              <w:bottom w:val="single" w:color="auto" w:sz="4" w:space="0"/>
              <w:right w:val="single" w:color="auto" w:sz="4" w:space="0"/>
            </w:tcBorders>
            <w:shd w:val="clear" w:color="auto" w:fill="auto"/>
            <w:noWrap/>
            <w:vAlign w:val="center"/>
          </w:tcPr>
          <w:p w14:paraId="34E51DDC">
            <w:pPr>
              <w:adjustRightInd w:val="0"/>
              <w:snapToGrid w:val="0"/>
              <w:rPr>
                <w:rFonts w:hint="eastAsia" w:ascii="宋体" w:hAnsi="宋体" w:cs="宋体"/>
                <w:color w:val="auto"/>
                <w:sz w:val="20"/>
                <w:szCs w:val="20"/>
                <w:highlight w:val="none"/>
              </w:rPr>
            </w:pPr>
          </w:p>
        </w:tc>
      </w:tr>
      <w:tr w14:paraId="5F094AB9">
        <w:tblPrEx>
          <w:tblCellMar>
            <w:top w:w="0" w:type="dxa"/>
            <w:left w:w="108" w:type="dxa"/>
            <w:bottom w:w="0" w:type="dxa"/>
            <w:right w:w="108" w:type="dxa"/>
          </w:tblCellMar>
        </w:tblPrEx>
        <w:trPr>
          <w:trHeight w:val="266"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B4FA5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432" w:type="pct"/>
            <w:tcBorders>
              <w:top w:val="single" w:color="auto" w:sz="4" w:space="0"/>
              <w:left w:val="nil"/>
              <w:bottom w:val="single" w:color="auto" w:sz="4" w:space="0"/>
              <w:right w:val="single" w:color="auto" w:sz="4" w:space="0"/>
            </w:tcBorders>
            <w:shd w:val="clear" w:color="auto" w:fill="auto"/>
            <w:noWrap/>
            <w:vAlign w:val="center"/>
          </w:tcPr>
          <w:p w14:paraId="2C15A8CF">
            <w:pPr>
              <w:widowControl/>
              <w:jc w:val="center"/>
              <w:rPr>
                <w:rFonts w:hint="eastAsia" w:ascii="宋体" w:hAnsi="宋体" w:cs="宋体"/>
                <w:color w:val="auto"/>
                <w:kern w:val="0"/>
                <w:sz w:val="20"/>
                <w:szCs w:val="20"/>
                <w:highlight w:val="none"/>
              </w:rPr>
            </w:pPr>
          </w:p>
        </w:tc>
        <w:tc>
          <w:tcPr>
            <w:tcW w:w="1041" w:type="pct"/>
            <w:tcBorders>
              <w:top w:val="single" w:color="auto" w:sz="4" w:space="0"/>
              <w:left w:val="nil"/>
              <w:bottom w:val="single" w:color="auto" w:sz="4" w:space="0"/>
              <w:right w:val="single" w:color="auto" w:sz="4" w:space="0"/>
            </w:tcBorders>
            <w:shd w:val="clear" w:color="auto" w:fill="auto"/>
            <w:noWrap/>
            <w:vAlign w:val="center"/>
          </w:tcPr>
          <w:p w14:paraId="626AA6FD">
            <w:pPr>
              <w:adjustRightInd w:val="0"/>
              <w:snapToGrid w:val="0"/>
              <w:jc w:val="center"/>
              <w:rPr>
                <w:rFonts w:hint="eastAsia" w:ascii="宋体" w:hAnsi="宋体" w:cs="宋体"/>
                <w:color w:val="auto"/>
                <w:kern w:val="0"/>
                <w:sz w:val="20"/>
                <w:szCs w:val="20"/>
                <w:highlight w:val="none"/>
              </w:rPr>
            </w:pPr>
          </w:p>
        </w:tc>
        <w:tc>
          <w:tcPr>
            <w:tcW w:w="211" w:type="pct"/>
            <w:tcBorders>
              <w:top w:val="single" w:color="auto" w:sz="4" w:space="0"/>
              <w:left w:val="nil"/>
              <w:bottom w:val="single" w:color="auto" w:sz="4" w:space="0"/>
              <w:right w:val="single" w:color="auto" w:sz="4" w:space="0"/>
            </w:tcBorders>
            <w:shd w:val="clear" w:color="auto" w:fill="auto"/>
            <w:noWrap/>
            <w:vAlign w:val="center"/>
          </w:tcPr>
          <w:p w14:paraId="5123339A">
            <w:pPr>
              <w:adjustRightInd w:val="0"/>
              <w:snapToGrid w:val="0"/>
              <w:jc w:val="center"/>
              <w:rPr>
                <w:rFonts w:hint="eastAsia" w:ascii="宋体" w:hAnsi="宋体" w:cs="宋体"/>
                <w:color w:val="auto"/>
                <w:kern w:val="0"/>
                <w:sz w:val="20"/>
                <w:szCs w:val="20"/>
                <w:highlight w:val="none"/>
              </w:rPr>
            </w:pPr>
          </w:p>
        </w:tc>
        <w:tc>
          <w:tcPr>
            <w:tcW w:w="535" w:type="pct"/>
            <w:tcBorders>
              <w:top w:val="single" w:color="auto" w:sz="4" w:space="0"/>
              <w:left w:val="nil"/>
              <w:bottom w:val="single" w:color="auto" w:sz="4" w:space="0"/>
              <w:right w:val="single" w:color="auto" w:sz="4" w:space="0"/>
            </w:tcBorders>
            <w:shd w:val="clear" w:color="auto" w:fill="auto"/>
            <w:noWrap/>
            <w:vAlign w:val="center"/>
          </w:tcPr>
          <w:p w14:paraId="24697527">
            <w:pPr>
              <w:adjustRightInd w:val="0"/>
              <w:snapToGrid w:val="0"/>
              <w:rPr>
                <w:rFonts w:hint="eastAsia" w:ascii="宋体" w:hAnsi="宋体" w:cs="宋体"/>
                <w:color w:val="auto"/>
                <w:kern w:val="0"/>
                <w:sz w:val="20"/>
                <w:szCs w:val="20"/>
                <w:highlight w:val="none"/>
              </w:rPr>
            </w:pPr>
          </w:p>
        </w:tc>
        <w:tc>
          <w:tcPr>
            <w:tcW w:w="2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AFCF90">
            <w:pPr>
              <w:adjustRightInd w:val="0"/>
              <w:snapToGrid w:val="0"/>
              <w:rPr>
                <w:rFonts w:hint="eastAsia" w:ascii="宋体" w:hAnsi="宋体" w:cs="宋体"/>
                <w:color w:val="auto"/>
                <w:sz w:val="20"/>
                <w:szCs w:val="20"/>
                <w:highlight w:val="none"/>
              </w:rPr>
            </w:pPr>
          </w:p>
        </w:tc>
      </w:tr>
      <w:tr w14:paraId="6C10CAE0">
        <w:tblPrEx>
          <w:tblCellMar>
            <w:top w:w="0" w:type="dxa"/>
            <w:left w:w="108" w:type="dxa"/>
            <w:bottom w:w="0" w:type="dxa"/>
            <w:right w:w="108" w:type="dxa"/>
          </w:tblCellMar>
        </w:tblPrEx>
        <w:trPr>
          <w:trHeight w:val="109"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B3182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432" w:type="pct"/>
            <w:tcBorders>
              <w:top w:val="single" w:color="auto" w:sz="4" w:space="0"/>
              <w:left w:val="nil"/>
              <w:bottom w:val="single" w:color="auto" w:sz="4" w:space="0"/>
              <w:right w:val="single" w:color="auto" w:sz="4" w:space="0"/>
            </w:tcBorders>
            <w:shd w:val="clear" w:color="auto" w:fill="auto"/>
            <w:noWrap/>
            <w:vAlign w:val="center"/>
          </w:tcPr>
          <w:p w14:paraId="60CC4100">
            <w:pPr>
              <w:widowControl/>
              <w:jc w:val="center"/>
              <w:rPr>
                <w:rFonts w:hint="eastAsia" w:ascii="宋体" w:hAnsi="宋体" w:cs="宋体"/>
                <w:color w:val="auto"/>
                <w:kern w:val="0"/>
                <w:sz w:val="20"/>
                <w:szCs w:val="20"/>
                <w:highlight w:val="none"/>
              </w:rPr>
            </w:pPr>
          </w:p>
        </w:tc>
        <w:tc>
          <w:tcPr>
            <w:tcW w:w="1041" w:type="pct"/>
            <w:tcBorders>
              <w:top w:val="single" w:color="auto" w:sz="4" w:space="0"/>
              <w:left w:val="nil"/>
              <w:bottom w:val="single" w:color="auto" w:sz="4" w:space="0"/>
              <w:right w:val="single" w:color="auto" w:sz="4" w:space="0"/>
            </w:tcBorders>
            <w:shd w:val="clear" w:color="auto" w:fill="auto"/>
            <w:noWrap/>
            <w:vAlign w:val="center"/>
          </w:tcPr>
          <w:p w14:paraId="2200608C">
            <w:pPr>
              <w:adjustRightInd w:val="0"/>
              <w:snapToGrid w:val="0"/>
              <w:jc w:val="center"/>
              <w:rPr>
                <w:rFonts w:hint="eastAsia" w:ascii="宋体" w:hAnsi="宋体" w:cs="宋体"/>
                <w:color w:val="auto"/>
                <w:kern w:val="0"/>
                <w:sz w:val="20"/>
                <w:szCs w:val="20"/>
                <w:highlight w:val="none"/>
              </w:rPr>
            </w:pPr>
          </w:p>
        </w:tc>
        <w:tc>
          <w:tcPr>
            <w:tcW w:w="211" w:type="pct"/>
            <w:tcBorders>
              <w:top w:val="single" w:color="auto" w:sz="4" w:space="0"/>
              <w:left w:val="nil"/>
              <w:bottom w:val="single" w:color="auto" w:sz="4" w:space="0"/>
              <w:right w:val="single" w:color="auto" w:sz="4" w:space="0"/>
            </w:tcBorders>
            <w:shd w:val="clear" w:color="auto" w:fill="auto"/>
            <w:noWrap/>
            <w:vAlign w:val="center"/>
          </w:tcPr>
          <w:p w14:paraId="40E57BC3">
            <w:pPr>
              <w:adjustRightInd w:val="0"/>
              <w:snapToGrid w:val="0"/>
              <w:jc w:val="center"/>
              <w:rPr>
                <w:rFonts w:hint="eastAsia" w:ascii="宋体" w:hAnsi="宋体" w:cs="宋体"/>
                <w:color w:val="auto"/>
                <w:kern w:val="0"/>
                <w:sz w:val="20"/>
                <w:szCs w:val="20"/>
                <w:highlight w:val="none"/>
              </w:rPr>
            </w:pPr>
          </w:p>
        </w:tc>
        <w:tc>
          <w:tcPr>
            <w:tcW w:w="535" w:type="pct"/>
            <w:tcBorders>
              <w:top w:val="single" w:color="auto" w:sz="4" w:space="0"/>
              <w:left w:val="nil"/>
              <w:bottom w:val="single" w:color="auto" w:sz="4" w:space="0"/>
              <w:right w:val="single" w:color="auto" w:sz="4" w:space="0"/>
            </w:tcBorders>
            <w:shd w:val="clear" w:color="auto" w:fill="auto"/>
            <w:noWrap/>
            <w:vAlign w:val="center"/>
          </w:tcPr>
          <w:p w14:paraId="535592DC">
            <w:pPr>
              <w:adjustRightInd w:val="0"/>
              <w:snapToGrid w:val="0"/>
              <w:rPr>
                <w:rFonts w:hint="eastAsia" w:ascii="宋体" w:hAnsi="宋体" w:cs="宋体"/>
                <w:color w:val="auto"/>
                <w:kern w:val="0"/>
                <w:sz w:val="20"/>
                <w:szCs w:val="20"/>
                <w:highlight w:val="none"/>
              </w:rPr>
            </w:pPr>
          </w:p>
        </w:tc>
        <w:tc>
          <w:tcPr>
            <w:tcW w:w="2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3C4746">
            <w:pPr>
              <w:adjustRightInd w:val="0"/>
              <w:snapToGrid w:val="0"/>
              <w:rPr>
                <w:rFonts w:hint="eastAsia" w:ascii="宋体" w:hAnsi="宋体" w:cs="宋体"/>
                <w:color w:val="auto"/>
                <w:sz w:val="20"/>
                <w:szCs w:val="20"/>
                <w:highlight w:val="none"/>
              </w:rPr>
            </w:pPr>
          </w:p>
        </w:tc>
      </w:tr>
      <w:tr w14:paraId="366580E9">
        <w:tblPrEx>
          <w:tblCellMar>
            <w:top w:w="0" w:type="dxa"/>
            <w:left w:w="108" w:type="dxa"/>
            <w:bottom w:w="0" w:type="dxa"/>
            <w:right w:w="108" w:type="dxa"/>
          </w:tblCellMar>
        </w:tblPrEx>
        <w:trPr>
          <w:trHeight w:val="112"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2846B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432" w:type="pct"/>
            <w:tcBorders>
              <w:top w:val="single" w:color="auto" w:sz="4" w:space="0"/>
              <w:left w:val="nil"/>
              <w:bottom w:val="single" w:color="auto" w:sz="4" w:space="0"/>
              <w:right w:val="single" w:color="auto" w:sz="4" w:space="0"/>
            </w:tcBorders>
            <w:shd w:val="clear" w:color="auto" w:fill="auto"/>
            <w:noWrap/>
            <w:vAlign w:val="center"/>
          </w:tcPr>
          <w:p w14:paraId="43157E00">
            <w:pPr>
              <w:widowControl/>
              <w:jc w:val="center"/>
              <w:rPr>
                <w:rFonts w:hint="eastAsia" w:ascii="宋体" w:hAnsi="宋体" w:cs="宋体"/>
                <w:color w:val="auto"/>
                <w:kern w:val="0"/>
                <w:sz w:val="20"/>
                <w:szCs w:val="20"/>
                <w:highlight w:val="none"/>
              </w:rPr>
            </w:pPr>
          </w:p>
        </w:tc>
        <w:tc>
          <w:tcPr>
            <w:tcW w:w="1041" w:type="pct"/>
            <w:tcBorders>
              <w:top w:val="single" w:color="auto" w:sz="4" w:space="0"/>
              <w:left w:val="nil"/>
              <w:bottom w:val="single" w:color="auto" w:sz="4" w:space="0"/>
              <w:right w:val="single" w:color="auto" w:sz="4" w:space="0"/>
            </w:tcBorders>
            <w:shd w:val="clear" w:color="auto" w:fill="auto"/>
            <w:noWrap/>
            <w:vAlign w:val="center"/>
          </w:tcPr>
          <w:p w14:paraId="5283FC33">
            <w:pPr>
              <w:adjustRightInd w:val="0"/>
              <w:snapToGrid w:val="0"/>
              <w:jc w:val="center"/>
              <w:rPr>
                <w:rFonts w:hint="eastAsia" w:ascii="宋体" w:hAnsi="宋体" w:cs="宋体"/>
                <w:color w:val="auto"/>
                <w:kern w:val="0"/>
                <w:sz w:val="20"/>
                <w:szCs w:val="20"/>
                <w:highlight w:val="none"/>
              </w:rPr>
            </w:pPr>
          </w:p>
        </w:tc>
        <w:tc>
          <w:tcPr>
            <w:tcW w:w="211" w:type="pct"/>
            <w:tcBorders>
              <w:top w:val="single" w:color="auto" w:sz="4" w:space="0"/>
              <w:left w:val="nil"/>
              <w:bottom w:val="single" w:color="auto" w:sz="4" w:space="0"/>
              <w:right w:val="single" w:color="auto" w:sz="4" w:space="0"/>
            </w:tcBorders>
            <w:shd w:val="clear" w:color="auto" w:fill="auto"/>
            <w:noWrap/>
            <w:vAlign w:val="center"/>
          </w:tcPr>
          <w:p w14:paraId="6D3C783A">
            <w:pPr>
              <w:adjustRightInd w:val="0"/>
              <w:snapToGrid w:val="0"/>
              <w:jc w:val="center"/>
              <w:rPr>
                <w:rFonts w:hint="eastAsia" w:ascii="宋体" w:hAnsi="宋体" w:cs="宋体"/>
                <w:color w:val="auto"/>
                <w:kern w:val="0"/>
                <w:sz w:val="20"/>
                <w:szCs w:val="20"/>
                <w:highlight w:val="none"/>
              </w:rPr>
            </w:pPr>
          </w:p>
        </w:tc>
        <w:tc>
          <w:tcPr>
            <w:tcW w:w="535" w:type="pct"/>
            <w:tcBorders>
              <w:top w:val="single" w:color="auto" w:sz="4" w:space="0"/>
              <w:left w:val="nil"/>
              <w:bottom w:val="single" w:color="auto" w:sz="4" w:space="0"/>
              <w:right w:val="single" w:color="auto" w:sz="4" w:space="0"/>
            </w:tcBorders>
            <w:shd w:val="clear" w:color="auto" w:fill="auto"/>
            <w:noWrap/>
            <w:vAlign w:val="center"/>
          </w:tcPr>
          <w:p w14:paraId="5BDDCF18">
            <w:pPr>
              <w:adjustRightInd w:val="0"/>
              <w:snapToGrid w:val="0"/>
              <w:rPr>
                <w:rFonts w:hint="eastAsia" w:ascii="宋体" w:hAnsi="宋体" w:cs="宋体"/>
                <w:color w:val="auto"/>
                <w:kern w:val="0"/>
                <w:sz w:val="20"/>
                <w:szCs w:val="20"/>
                <w:highlight w:val="none"/>
              </w:rPr>
            </w:pPr>
          </w:p>
        </w:tc>
        <w:tc>
          <w:tcPr>
            <w:tcW w:w="2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2C595A">
            <w:pPr>
              <w:adjustRightInd w:val="0"/>
              <w:snapToGrid w:val="0"/>
              <w:rPr>
                <w:rFonts w:hint="eastAsia" w:ascii="宋体" w:hAnsi="宋体" w:cs="宋体"/>
                <w:color w:val="auto"/>
                <w:sz w:val="20"/>
                <w:szCs w:val="20"/>
                <w:highlight w:val="none"/>
              </w:rPr>
            </w:pPr>
          </w:p>
        </w:tc>
      </w:tr>
      <w:tr w14:paraId="3CFCD060">
        <w:tblPrEx>
          <w:tblCellMar>
            <w:top w:w="0" w:type="dxa"/>
            <w:left w:w="108" w:type="dxa"/>
            <w:bottom w:w="0" w:type="dxa"/>
            <w:right w:w="108" w:type="dxa"/>
          </w:tblCellMar>
        </w:tblPrEx>
        <w:trPr>
          <w:trHeight w:val="88"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C45FE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432" w:type="pct"/>
            <w:tcBorders>
              <w:top w:val="single" w:color="auto" w:sz="4" w:space="0"/>
              <w:left w:val="nil"/>
              <w:bottom w:val="single" w:color="auto" w:sz="4" w:space="0"/>
              <w:right w:val="single" w:color="auto" w:sz="4" w:space="0"/>
            </w:tcBorders>
            <w:shd w:val="clear" w:color="auto" w:fill="auto"/>
            <w:noWrap/>
            <w:vAlign w:val="center"/>
          </w:tcPr>
          <w:p w14:paraId="0E952EA7">
            <w:pPr>
              <w:widowControl/>
              <w:jc w:val="center"/>
              <w:rPr>
                <w:rFonts w:hint="eastAsia" w:ascii="宋体" w:hAnsi="宋体" w:cs="宋体"/>
                <w:color w:val="auto"/>
                <w:kern w:val="0"/>
                <w:sz w:val="20"/>
                <w:szCs w:val="20"/>
                <w:highlight w:val="none"/>
              </w:rPr>
            </w:pPr>
          </w:p>
        </w:tc>
        <w:tc>
          <w:tcPr>
            <w:tcW w:w="1041" w:type="pct"/>
            <w:tcBorders>
              <w:top w:val="single" w:color="auto" w:sz="4" w:space="0"/>
              <w:left w:val="nil"/>
              <w:bottom w:val="single" w:color="auto" w:sz="4" w:space="0"/>
              <w:right w:val="single" w:color="auto" w:sz="4" w:space="0"/>
            </w:tcBorders>
            <w:shd w:val="clear" w:color="auto" w:fill="auto"/>
            <w:noWrap/>
            <w:vAlign w:val="center"/>
          </w:tcPr>
          <w:p w14:paraId="205AD92F">
            <w:pPr>
              <w:adjustRightInd w:val="0"/>
              <w:snapToGrid w:val="0"/>
              <w:jc w:val="center"/>
              <w:rPr>
                <w:rFonts w:hint="eastAsia" w:ascii="宋体" w:hAnsi="宋体" w:cs="宋体"/>
                <w:color w:val="auto"/>
                <w:kern w:val="0"/>
                <w:sz w:val="20"/>
                <w:szCs w:val="20"/>
                <w:highlight w:val="none"/>
              </w:rPr>
            </w:pPr>
          </w:p>
        </w:tc>
        <w:tc>
          <w:tcPr>
            <w:tcW w:w="211" w:type="pct"/>
            <w:tcBorders>
              <w:top w:val="single" w:color="auto" w:sz="4" w:space="0"/>
              <w:left w:val="nil"/>
              <w:bottom w:val="single" w:color="auto" w:sz="4" w:space="0"/>
              <w:right w:val="single" w:color="auto" w:sz="4" w:space="0"/>
            </w:tcBorders>
            <w:shd w:val="clear" w:color="auto" w:fill="auto"/>
            <w:noWrap/>
            <w:vAlign w:val="center"/>
          </w:tcPr>
          <w:p w14:paraId="7A5721CD">
            <w:pPr>
              <w:adjustRightInd w:val="0"/>
              <w:snapToGrid w:val="0"/>
              <w:jc w:val="center"/>
              <w:rPr>
                <w:rFonts w:hint="eastAsia" w:ascii="宋体" w:hAnsi="宋体" w:cs="宋体"/>
                <w:color w:val="auto"/>
                <w:kern w:val="0"/>
                <w:sz w:val="20"/>
                <w:szCs w:val="20"/>
                <w:highlight w:val="none"/>
              </w:rPr>
            </w:pPr>
          </w:p>
        </w:tc>
        <w:tc>
          <w:tcPr>
            <w:tcW w:w="535" w:type="pct"/>
            <w:tcBorders>
              <w:top w:val="single" w:color="auto" w:sz="4" w:space="0"/>
              <w:left w:val="nil"/>
              <w:bottom w:val="single" w:color="auto" w:sz="4" w:space="0"/>
              <w:right w:val="single" w:color="auto" w:sz="4" w:space="0"/>
            </w:tcBorders>
            <w:shd w:val="clear" w:color="auto" w:fill="auto"/>
            <w:noWrap/>
            <w:vAlign w:val="center"/>
          </w:tcPr>
          <w:p w14:paraId="4D824001">
            <w:pPr>
              <w:adjustRightInd w:val="0"/>
              <w:snapToGrid w:val="0"/>
              <w:rPr>
                <w:rFonts w:hint="eastAsia" w:ascii="宋体" w:hAnsi="宋体" w:cs="宋体"/>
                <w:color w:val="auto"/>
                <w:kern w:val="0"/>
                <w:sz w:val="20"/>
                <w:szCs w:val="20"/>
                <w:highlight w:val="none"/>
              </w:rPr>
            </w:pPr>
          </w:p>
        </w:tc>
        <w:tc>
          <w:tcPr>
            <w:tcW w:w="2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97A7BF">
            <w:pPr>
              <w:adjustRightInd w:val="0"/>
              <w:snapToGrid w:val="0"/>
              <w:rPr>
                <w:rFonts w:hint="eastAsia" w:ascii="宋体" w:hAnsi="宋体" w:cs="宋体"/>
                <w:color w:val="auto"/>
                <w:sz w:val="20"/>
                <w:szCs w:val="20"/>
                <w:highlight w:val="none"/>
              </w:rPr>
            </w:pPr>
          </w:p>
        </w:tc>
      </w:tr>
      <w:tr w14:paraId="24C6531D">
        <w:tblPrEx>
          <w:tblCellMar>
            <w:top w:w="0" w:type="dxa"/>
            <w:left w:w="108" w:type="dxa"/>
            <w:bottom w:w="0" w:type="dxa"/>
            <w:right w:w="108" w:type="dxa"/>
          </w:tblCellMar>
        </w:tblPrEx>
        <w:trPr>
          <w:trHeight w:val="239"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E4794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432" w:type="pct"/>
            <w:tcBorders>
              <w:top w:val="single" w:color="auto" w:sz="4" w:space="0"/>
              <w:left w:val="nil"/>
              <w:bottom w:val="single" w:color="auto" w:sz="4" w:space="0"/>
              <w:right w:val="single" w:color="auto" w:sz="4" w:space="0"/>
            </w:tcBorders>
            <w:shd w:val="clear" w:color="auto" w:fill="auto"/>
            <w:noWrap/>
            <w:vAlign w:val="center"/>
          </w:tcPr>
          <w:p w14:paraId="1AD16E90">
            <w:pPr>
              <w:widowControl/>
              <w:jc w:val="center"/>
              <w:rPr>
                <w:rFonts w:hint="eastAsia" w:ascii="宋体" w:hAnsi="宋体" w:cs="宋体"/>
                <w:color w:val="auto"/>
                <w:kern w:val="0"/>
                <w:sz w:val="20"/>
                <w:szCs w:val="20"/>
                <w:highlight w:val="none"/>
              </w:rPr>
            </w:pPr>
          </w:p>
        </w:tc>
        <w:tc>
          <w:tcPr>
            <w:tcW w:w="1041" w:type="pct"/>
            <w:tcBorders>
              <w:top w:val="single" w:color="auto" w:sz="4" w:space="0"/>
              <w:left w:val="nil"/>
              <w:bottom w:val="single" w:color="auto" w:sz="4" w:space="0"/>
              <w:right w:val="single" w:color="auto" w:sz="4" w:space="0"/>
            </w:tcBorders>
            <w:shd w:val="clear" w:color="auto" w:fill="auto"/>
            <w:noWrap/>
            <w:vAlign w:val="center"/>
          </w:tcPr>
          <w:p w14:paraId="0226AE91">
            <w:pPr>
              <w:adjustRightInd w:val="0"/>
              <w:snapToGrid w:val="0"/>
              <w:jc w:val="center"/>
              <w:rPr>
                <w:rFonts w:hint="eastAsia" w:ascii="宋体" w:hAnsi="宋体" w:cs="宋体"/>
                <w:color w:val="auto"/>
                <w:kern w:val="0"/>
                <w:sz w:val="20"/>
                <w:szCs w:val="20"/>
                <w:highlight w:val="none"/>
              </w:rPr>
            </w:pPr>
          </w:p>
        </w:tc>
        <w:tc>
          <w:tcPr>
            <w:tcW w:w="211" w:type="pct"/>
            <w:tcBorders>
              <w:top w:val="single" w:color="auto" w:sz="4" w:space="0"/>
              <w:left w:val="nil"/>
              <w:bottom w:val="single" w:color="auto" w:sz="4" w:space="0"/>
              <w:right w:val="single" w:color="auto" w:sz="4" w:space="0"/>
            </w:tcBorders>
            <w:shd w:val="clear" w:color="auto" w:fill="auto"/>
            <w:noWrap/>
            <w:vAlign w:val="center"/>
          </w:tcPr>
          <w:p w14:paraId="6BB82C60">
            <w:pPr>
              <w:adjustRightInd w:val="0"/>
              <w:snapToGrid w:val="0"/>
              <w:jc w:val="center"/>
              <w:rPr>
                <w:rFonts w:hint="eastAsia" w:ascii="宋体" w:hAnsi="宋体" w:cs="宋体"/>
                <w:color w:val="auto"/>
                <w:kern w:val="0"/>
                <w:sz w:val="20"/>
                <w:szCs w:val="20"/>
                <w:highlight w:val="none"/>
              </w:rPr>
            </w:pPr>
          </w:p>
        </w:tc>
        <w:tc>
          <w:tcPr>
            <w:tcW w:w="535" w:type="pct"/>
            <w:tcBorders>
              <w:top w:val="single" w:color="auto" w:sz="4" w:space="0"/>
              <w:left w:val="nil"/>
              <w:bottom w:val="single" w:color="auto" w:sz="4" w:space="0"/>
              <w:right w:val="single" w:color="auto" w:sz="4" w:space="0"/>
            </w:tcBorders>
            <w:shd w:val="clear" w:color="auto" w:fill="auto"/>
            <w:noWrap/>
            <w:vAlign w:val="center"/>
          </w:tcPr>
          <w:p w14:paraId="1FD2CAC9">
            <w:pPr>
              <w:adjustRightInd w:val="0"/>
              <w:snapToGrid w:val="0"/>
              <w:rPr>
                <w:rFonts w:hint="eastAsia" w:ascii="宋体" w:hAnsi="宋体" w:cs="宋体"/>
                <w:color w:val="auto"/>
                <w:kern w:val="0"/>
                <w:sz w:val="20"/>
                <w:szCs w:val="20"/>
                <w:highlight w:val="none"/>
              </w:rPr>
            </w:pPr>
          </w:p>
        </w:tc>
        <w:tc>
          <w:tcPr>
            <w:tcW w:w="2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638DDD">
            <w:pPr>
              <w:adjustRightInd w:val="0"/>
              <w:snapToGrid w:val="0"/>
              <w:rPr>
                <w:rFonts w:hint="eastAsia" w:ascii="宋体" w:hAnsi="宋体" w:cs="宋体"/>
                <w:color w:val="auto"/>
                <w:sz w:val="20"/>
                <w:szCs w:val="20"/>
                <w:highlight w:val="none"/>
              </w:rPr>
            </w:pPr>
          </w:p>
        </w:tc>
      </w:tr>
      <w:tr w14:paraId="60359723">
        <w:tblPrEx>
          <w:tblCellMar>
            <w:top w:w="0" w:type="dxa"/>
            <w:left w:w="108" w:type="dxa"/>
            <w:bottom w:w="0" w:type="dxa"/>
            <w:right w:w="108" w:type="dxa"/>
          </w:tblCellMar>
        </w:tblPrEx>
        <w:trPr>
          <w:trHeight w:val="239"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8345E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432" w:type="pct"/>
            <w:tcBorders>
              <w:top w:val="single" w:color="auto" w:sz="4" w:space="0"/>
              <w:left w:val="nil"/>
              <w:bottom w:val="single" w:color="auto" w:sz="4" w:space="0"/>
              <w:right w:val="single" w:color="auto" w:sz="4" w:space="0"/>
            </w:tcBorders>
            <w:shd w:val="clear" w:color="auto" w:fill="auto"/>
            <w:noWrap/>
            <w:vAlign w:val="center"/>
          </w:tcPr>
          <w:p w14:paraId="4A558177">
            <w:pPr>
              <w:widowControl/>
              <w:jc w:val="center"/>
              <w:rPr>
                <w:rFonts w:hint="eastAsia" w:ascii="宋体" w:hAnsi="宋体" w:cs="宋体"/>
                <w:color w:val="auto"/>
                <w:kern w:val="0"/>
                <w:sz w:val="20"/>
                <w:szCs w:val="20"/>
                <w:highlight w:val="none"/>
              </w:rPr>
            </w:pPr>
          </w:p>
        </w:tc>
        <w:tc>
          <w:tcPr>
            <w:tcW w:w="1041" w:type="pct"/>
            <w:tcBorders>
              <w:top w:val="single" w:color="auto" w:sz="4" w:space="0"/>
              <w:left w:val="nil"/>
              <w:bottom w:val="single" w:color="auto" w:sz="4" w:space="0"/>
              <w:right w:val="single" w:color="auto" w:sz="4" w:space="0"/>
            </w:tcBorders>
            <w:shd w:val="clear" w:color="auto" w:fill="auto"/>
            <w:noWrap/>
            <w:vAlign w:val="center"/>
          </w:tcPr>
          <w:p w14:paraId="6956FAB4">
            <w:pPr>
              <w:adjustRightInd w:val="0"/>
              <w:snapToGrid w:val="0"/>
              <w:jc w:val="center"/>
              <w:rPr>
                <w:rFonts w:hint="eastAsia" w:ascii="宋体" w:hAnsi="宋体" w:cs="宋体"/>
                <w:color w:val="auto"/>
                <w:kern w:val="0"/>
                <w:sz w:val="20"/>
                <w:szCs w:val="20"/>
                <w:highlight w:val="none"/>
              </w:rPr>
            </w:pPr>
          </w:p>
        </w:tc>
        <w:tc>
          <w:tcPr>
            <w:tcW w:w="211" w:type="pct"/>
            <w:tcBorders>
              <w:top w:val="single" w:color="auto" w:sz="4" w:space="0"/>
              <w:left w:val="nil"/>
              <w:bottom w:val="single" w:color="auto" w:sz="4" w:space="0"/>
              <w:right w:val="single" w:color="auto" w:sz="4" w:space="0"/>
            </w:tcBorders>
            <w:shd w:val="clear" w:color="auto" w:fill="auto"/>
            <w:noWrap/>
            <w:vAlign w:val="center"/>
          </w:tcPr>
          <w:p w14:paraId="387E1572">
            <w:pPr>
              <w:adjustRightInd w:val="0"/>
              <w:snapToGrid w:val="0"/>
              <w:jc w:val="center"/>
              <w:rPr>
                <w:rFonts w:hint="eastAsia" w:ascii="宋体" w:hAnsi="宋体" w:cs="宋体"/>
                <w:color w:val="auto"/>
                <w:kern w:val="0"/>
                <w:sz w:val="20"/>
                <w:szCs w:val="20"/>
                <w:highlight w:val="none"/>
              </w:rPr>
            </w:pPr>
          </w:p>
        </w:tc>
        <w:tc>
          <w:tcPr>
            <w:tcW w:w="535" w:type="pct"/>
            <w:tcBorders>
              <w:top w:val="single" w:color="auto" w:sz="4" w:space="0"/>
              <w:left w:val="nil"/>
              <w:bottom w:val="single" w:color="auto" w:sz="4" w:space="0"/>
              <w:right w:val="single" w:color="auto" w:sz="4" w:space="0"/>
            </w:tcBorders>
            <w:shd w:val="clear" w:color="auto" w:fill="auto"/>
            <w:noWrap/>
            <w:vAlign w:val="center"/>
          </w:tcPr>
          <w:p w14:paraId="1EF81941">
            <w:pPr>
              <w:adjustRightInd w:val="0"/>
              <w:snapToGrid w:val="0"/>
              <w:rPr>
                <w:rFonts w:hint="eastAsia" w:ascii="宋体" w:hAnsi="宋体" w:cs="宋体"/>
                <w:color w:val="auto"/>
                <w:kern w:val="0"/>
                <w:sz w:val="20"/>
                <w:szCs w:val="20"/>
                <w:highlight w:val="none"/>
              </w:rPr>
            </w:pPr>
          </w:p>
        </w:tc>
        <w:tc>
          <w:tcPr>
            <w:tcW w:w="2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4FAA9B">
            <w:pPr>
              <w:adjustRightInd w:val="0"/>
              <w:snapToGrid w:val="0"/>
              <w:rPr>
                <w:rFonts w:hint="eastAsia" w:ascii="宋体" w:hAnsi="宋体" w:cs="宋体"/>
                <w:color w:val="auto"/>
                <w:sz w:val="20"/>
                <w:szCs w:val="20"/>
                <w:highlight w:val="none"/>
              </w:rPr>
            </w:pPr>
          </w:p>
        </w:tc>
      </w:tr>
      <w:tr w14:paraId="54B5B97F">
        <w:tblPrEx>
          <w:tblCellMar>
            <w:top w:w="0" w:type="dxa"/>
            <w:left w:w="108" w:type="dxa"/>
            <w:bottom w:w="0" w:type="dxa"/>
            <w:right w:w="108" w:type="dxa"/>
          </w:tblCellMar>
        </w:tblPrEx>
        <w:trPr>
          <w:trHeight w:val="239"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4B39B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432" w:type="pct"/>
            <w:tcBorders>
              <w:top w:val="single" w:color="auto" w:sz="4" w:space="0"/>
              <w:left w:val="nil"/>
              <w:bottom w:val="single" w:color="auto" w:sz="4" w:space="0"/>
              <w:right w:val="single" w:color="auto" w:sz="4" w:space="0"/>
            </w:tcBorders>
            <w:shd w:val="clear" w:color="auto" w:fill="auto"/>
            <w:noWrap/>
            <w:vAlign w:val="center"/>
          </w:tcPr>
          <w:p w14:paraId="1E9CF846">
            <w:pPr>
              <w:widowControl/>
              <w:jc w:val="center"/>
              <w:rPr>
                <w:rFonts w:hint="eastAsia" w:ascii="宋体" w:hAnsi="宋体" w:cs="宋体"/>
                <w:color w:val="auto"/>
                <w:kern w:val="0"/>
                <w:sz w:val="20"/>
                <w:szCs w:val="20"/>
                <w:highlight w:val="none"/>
              </w:rPr>
            </w:pPr>
          </w:p>
        </w:tc>
        <w:tc>
          <w:tcPr>
            <w:tcW w:w="1041" w:type="pct"/>
            <w:tcBorders>
              <w:top w:val="single" w:color="auto" w:sz="4" w:space="0"/>
              <w:left w:val="nil"/>
              <w:bottom w:val="single" w:color="auto" w:sz="4" w:space="0"/>
              <w:right w:val="single" w:color="auto" w:sz="4" w:space="0"/>
            </w:tcBorders>
            <w:shd w:val="clear" w:color="auto" w:fill="auto"/>
            <w:noWrap/>
            <w:vAlign w:val="center"/>
          </w:tcPr>
          <w:p w14:paraId="14059EB3">
            <w:pPr>
              <w:adjustRightInd w:val="0"/>
              <w:snapToGrid w:val="0"/>
              <w:jc w:val="center"/>
              <w:rPr>
                <w:rFonts w:hint="eastAsia" w:ascii="宋体" w:hAnsi="宋体" w:cs="宋体"/>
                <w:color w:val="auto"/>
                <w:kern w:val="0"/>
                <w:sz w:val="20"/>
                <w:szCs w:val="20"/>
                <w:highlight w:val="none"/>
              </w:rPr>
            </w:pPr>
          </w:p>
        </w:tc>
        <w:tc>
          <w:tcPr>
            <w:tcW w:w="211" w:type="pct"/>
            <w:tcBorders>
              <w:top w:val="single" w:color="auto" w:sz="4" w:space="0"/>
              <w:left w:val="nil"/>
              <w:bottom w:val="single" w:color="auto" w:sz="4" w:space="0"/>
              <w:right w:val="single" w:color="auto" w:sz="4" w:space="0"/>
            </w:tcBorders>
            <w:shd w:val="clear" w:color="auto" w:fill="auto"/>
            <w:noWrap/>
            <w:vAlign w:val="center"/>
          </w:tcPr>
          <w:p w14:paraId="36181C54">
            <w:pPr>
              <w:adjustRightInd w:val="0"/>
              <w:snapToGrid w:val="0"/>
              <w:jc w:val="center"/>
              <w:rPr>
                <w:rFonts w:hint="eastAsia" w:ascii="宋体" w:hAnsi="宋体" w:cs="宋体"/>
                <w:color w:val="auto"/>
                <w:kern w:val="0"/>
                <w:sz w:val="20"/>
                <w:szCs w:val="20"/>
                <w:highlight w:val="none"/>
              </w:rPr>
            </w:pPr>
          </w:p>
        </w:tc>
        <w:tc>
          <w:tcPr>
            <w:tcW w:w="535" w:type="pct"/>
            <w:tcBorders>
              <w:top w:val="single" w:color="auto" w:sz="4" w:space="0"/>
              <w:left w:val="nil"/>
              <w:bottom w:val="single" w:color="auto" w:sz="4" w:space="0"/>
              <w:right w:val="single" w:color="auto" w:sz="4" w:space="0"/>
            </w:tcBorders>
            <w:shd w:val="clear" w:color="auto" w:fill="auto"/>
            <w:noWrap/>
            <w:vAlign w:val="center"/>
          </w:tcPr>
          <w:p w14:paraId="73BE6DB3">
            <w:pPr>
              <w:adjustRightInd w:val="0"/>
              <w:snapToGrid w:val="0"/>
              <w:rPr>
                <w:rFonts w:hint="eastAsia" w:ascii="宋体" w:hAnsi="宋体" w:cs="宋体"/>
                <w:color w:val="auto"/>
                <w:kern w:val="0"/>
                <w:sz w:val="20"/>
                <w:szCs w:val="20"/>
                <w:highlight w:val="none"/>
              </w:rPr>
            </w:pPr>
          </w:p>
        </w:tc>
        <w:tc>
          <w:tcPr>
            <w:tcW w:w="2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D9A94E">
            <w:pPr>
              <w:adjustRightInd w:val="0"/>
              <w:snapToGrid w:val="0"/>
              <w:rPr>
                <w:rFonts w:hint="eastAsia" w:ascii="宋体" w:hAnsi="宋体" w:cs="宋体"/>
                <w:color w:val="auto"/>
                <w:sz w:val="20"/>
                <w:szCs w:val="20"/>
                <w:highlight w:val="none"/>
              </w:rPr>
            </w:pPr>
          </w:p>
        </w:tc>
      </w:tr>
      <w:tr w14:paraId="03F4F0E6">
        <w:tblPrEx>
          <w:tblCellMar>
            <w:top w:w="0" w:type="dxa"/>
            <w:left w:w="108" w:type="dxa"/>
            <w:bottom w:w="0" w:type="dxa"/>
            <w:right w:w="108" w:type="dxa"/>
          </w:tblCellMar>
        </w:tblPrEx>
        <w:trPr>
          <w:trHeight w:val="239"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E1AEA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432" w:type="pct"/>
            <w:tcBorders>
              <w:top w:val="single" w:color="auto" w:sz="4" w:space="0"/>
              <w:left w:val="nil"/>
              <w:bottom w:val="single" w:color="auto" w:sz="4" w:space="0"/>
              <w:right w:val="single" w:color="auto" w:sz="4" w:space="0"/>
            </w:tcBorders>
            <w:shd w:val="clear" w:color="auto" w:fill="auto"/>
            <w:noWrap/>
            <w:vAlign w:val="center"/>
          </w:tcPr>
          <w:p w14:paraId="702FF6D9">
            <w:pPr>
              <w:widowControl/>
              <w:jc w:val="center"/>
              <w:rPr>
                <w:rFonts w:hint="eastAsia" w:ascii="宋体" w:hAnsi="宋体" w:cs="宋体"/>
                <w:color w:val="auto"/>
                <w:kern w:val="0"/>
                <w:sz w:val="20"/>
                <w:szCs w:val="20"/>
                <w:highlight w:val="none"/>
              </w:rPr>
            </w:pPr>
          </w:p>
        </w:tc>
        <w:tc>
          <w:tcPr>
            <w:tcW w:w="1041" w:type="pct"/>
            <w:tcBorders>
              <w:top w:val="single" w:color="auto" w:sz="4" w:space="0"/>
              <w:left w:val="nil"/>
              <w:bottom w:val="single" w:color="auto" w:sz="4" w:space="0"/>
              <w:right w:val="single" w:color="auto" w:sz="4" w:space="0"/>
            </w:tcBorders>
            <w:shd w:val="clear" w:color="auto" w:fill="auto"/>
            <w:noWrap/>
            <w:vAlign w:val="center"/>
          </w:tcPr>
          <w:p w14:paraId="2AC6C386">
            <w:pPr>
              <w:adjustRightInd w:val="0"/>
              <w:snapToGrid w:val="0"/>
              <w:jc w:val="center"/>
              <w:rPr>
                <w:rFonts w:hint="eastAsia" w:ascii="宋体" w:hAnsi="宋体" w:cs="宋体"/>
                <w:color w:val="auto"/>
                <w:kern w:val="0"/>
                <w:sz w:val="20"/>
                <w:szCs w:val="20"/>
                <w:highlight w:val="none"/>
              </w:rPr>
            </w:pPr>
          </w:p>
        </w:tc>
        <w:tc>
          <w:tcPr>
            <w:tcW w:w="211" w:type="pct"/>
            <w:tcBorders>
              <w:top w:val="single" w:color="auto" w:sz="4" w:space="0"/>
              <w:left w:val="nil"/>
              <w:bottom w:val="single" w:color="auto" w:sz="4" w:space="0"/>
              <w:right w:val="single" w:color="auto" w:sz="4" w:space="0"/>
            </w:tcBorders>
            <w:shd w:val="clear" w:color="auto" w:fill="auto"/>
            <w:noWrap/>
            <w:vAlign w:val="center"/>
          </w:tcPr>
          <w:p w14:paraId="458BE001">
            <w:pPr>
              <w:adjustRightInd w:val="0"/>
              <w:snapToGrid w:val="0"/>
              <w:jc w:val="center"/>
              <w:rPr>
                <w:rFonts w:hint="eastAsia" w:ascii="宋体" w:hAnsi="宋体" w:cs="宋体"/>
                <w:color w:val="auto"/>
                <w:kern w:val="0"/>
                <w:sz w:val="20"/>
                <w:szCs w:val="20"/>
                <w:highlight w:val="none"/>
              </w:rPr>
            </w:pPr>
          </w:p>
        </w:tc>
        <w:tc>
          <w:tcPr>
            <w:tcW w:w="535" w:type="pct"/>
            <w:tcBorders>
              <w:top w:val="single" w:color="auto" w:sz="4" w:space="0"/>
              <w:left w:val="nil"/>
              <w:bottom w:val="single" w:color="auto" w:sz="4" w:space="0"/>
              <w:right w:val="single" w:color="auto" w:sz="4" w:space="0"/>
            </w:tcBorders>
            <w:shd w:val="clear" w:color="auto" w:fill="auto"/>
            <w:noWrap/>
            <w:vAlign w:val="center"/>
          </w:tcPr>
          <w:p w14:paraId="7E00EB3D">
            <w:pPr>
              <w:adjustRightInd w:val="0"/>
              <w:snapToGrid w:val="0"/>
              <w:rPr>
                <w:rFonts w:hint="eastAsia" w:ascii="宋体" w:hAnsi="宋体" w:cs="宋体"/>
                <w:color w:val="auto"/>
                <w:kern w:val="0"/>
                <w:sz w:val="20"/>
                <w:szCs w:val="20"/>
                <w:highlight w:val="none"/>
              </w:rPr>
            </w:pPr>
          </w:p>
        </w:tc>
        <w:tc>
          <w:tcPr>
            <w:tcW w:w="2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FA3160">
            <w:pPr>
              <w:adjustRightInd w:val="0"/>
              <w:snapToGrid w:val="0"/>
              <w:rPr>
                <w:rFonts w:hint="eastAsia" w:ascii="宋体" w:hAnsi="宋体" w:cs="宋体"/>
                <w:color w:val="auto"/>
                <w:sz w:val="20"/>
                <w:szCs w:val="20"/>
                <w:highlight w:val="none"/>
              </w:rPr>
            </w:pPr>
          </w:p>
        </w:tc>
      </w:tr>
      <w:tr w14:paraId="595B2BAA">
        <w:tblPrEx>
          <w:tblCellMar>
            <w:top w:w="0" w:type="dxa"/>
            <w:left w:w="108" w:type="dxa"/>
            <w:bottom w:w="0" w:type="dxa"/>
            <w:right w:w="108" w:type="dxa"/>
          </w:tblCellMar>
        </w:tblPrEx>
        <w:trPr>
          <w:trHeight w:val="239"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A21AF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432" w:type="pct"/>
            <w:tcBorders>
              <w:top w:val="single" w:color="auto" w:sz="4" w:space="0"/>
              <w:left w:val="nil"/>
              <w:bottom w:val="single" w:color="auto" w:sz="4" w:space="0"/>
              <w:right w:val="single" w:color="auto" w:sz="4" w:space="0"/>
            </w:tcBorders>
            <w:shd w:val="clear" w:color="auto" w:fill="auto"/>
            <w:noWrap/>
            <w:vAlign w:val="center"/>
          </w:tcPr>
          <w:p w14:paraId="57DA8534">
            <w:pPr>
              <w:widowControl/>
              <w:jc w:val="center"/>
              <w:rPr>
                <w:rFonts w:hint="eastAsia" w:ascii="宋体" w:hAnsi="宋体" w:cs="宋体"/>
                <w:color w:val="auto"/>
                <w:kern w:val="0"/>
                <w:sz w:val="20"/>
                <w:szCs w:val="20"/>
                <w:highlight w:val="none"/>
              </w:rPr>
            </w:pPr>
          </w:p>
        </w:tc>
        <w:tc>
          <w:tcPr>
            <w:tcW w:w="1041" w:type="pct"/>
            <w:tcBorders>
              <w:top w:val="single" w:color="auto" w:sz="4" w:space="0"/>
              <w:left w:val="nil"/>
              <w:bottom w:val="single" w:color="auto" w:sz="4" w:space="0"/>
              <w:right w:val="single" w:color="auto" w:sz="4" w:space="0"/>
            </w:tcBorders>
            <w:shd w:val="clear" w:color="auto" w:fill="auto"/>
            <w:noWrap/>
            <w:vAlign w:val="center"/>
          </w:tcPr>
          <w:p w14:paraId="50D1E8FB">
            <w:pPr>
              <w:adjustRightInd w:val="0"/>
              <w:snapToGrid w:val="0"/>
              <w:jc w:val="center"/>
              <w:rPr>
                <w:rFonts w:hint="eastAsia" w:ascii="宋体" w:hAnsi="宋体" w:cs="宋体"/>
                <w:color w:val="auto"/>
                <w:kern w:val="0"/>
                <w:sz w:val="20"/>
                <w:szCs w:val="20"/>
                <w:highlight w:val="none"/>
              </w:rPr>
            </w:pPr>
          </w:p>
        </w:tc>
        <w:tc>
          <w:tcPr>
            <w:tcW w:w="211" w:type="pct"/>
            <w:tcBorders>
              <w:top w:val="single" w:color="auto" w:sz="4" w:space="0"/>
              <w:left w:val="nil"/>
              <w:bottom w:val="single" w:color="auto" w:sz="4" w:space="0"/>
              <w:right w:val="single" w:color="auto" w:sz="4" w:space="0"/>
            </w:tcBorders>
            <w:shd w:val="clear" w:color="auto" w:fill="auto"/>
            <w:noWrap/>
            <w:vAlign w:val="center"/>
          </w:tcPr>
          <w:p w14:paraId="5595603E">
            <w:pPr>
              <w:adjustRightInd w:val="0"/>
              <w:snapToGrid w:val="0"/>
              <w:jc w:val="center"/>
              <w:rPr>
                <w:rFonts w:hint="eastAsia" w:ascii="宋体" w:hAnsi="宋体" w:cs="宋体"/>
                <w:color w:val="auto"/>
                <w:kern w:val="0"/>
                <w:sz w:val="20"/>
                <w:szCs w:val="20"/>
                <w:highlight w:val="none"/>
              </w:rPr>
            </w:pPr>
          </w:p>
        </w:tc>
        <w:tc>
          <w:tcPr>
            <w:tcW w:w="535" w:type="pct"/>
            <w:tcBorders>
              <w:top w:val="single" w:color="auto" w:sz="4" w:space="0"/>
              <w:left w:val="nil"/>
              <w:bottom w:val="single" w:color="auto" w:sz="4" w:space="0"/>
              <w:right w:val="single" w:color="auto" w:sz="4" w:space="0"/>
            </w:tcBorders>
            <w:shd w:val="clear" w:color="auto" w:fill="auto"/>
            <w:noWrap/>
            <w:vAlign w:val="center"/>
          </w:tcPr>
          <w:p w14:paraId="164501F3">
            <w:pPr>
              <w:adjustRightInd w:val="0"/>
              <w:snapToGrid w:val="0"/>
              <w:rPr>
                <w:rFonts w:hint="eastAsia" w:ascii="宋体" w:hAnsi="宋体" w:cs="宋体"/>
                <w:color w:val="auto"/>
                <w:kern w:val="0"/>
                <w:sz w:val="20"/>
                <w:szCs w:val="20"/>
                <w:highlight w:val="none"/>
              </w:rPr>
            </w:pPr>
          </w:p>
        </w:tc>
        <w:tc>
          <w:tcPr>
            <w:tcW w:w="2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8F914B">
            <w:pPr>
              <w:adjustRightInd w:val="0"/>
              <w:snapToGrid w:val="0"/>
              <w:rPr>
                <w:rFonts w:hint="eastAsia" w:ascii="宋体" w:hAnsi="宋体" w:cs="宋体"/>
                <w:color w:val="auto"/>
                <w:sz w:val="20"/>
                <w:szCs w:val="20"/>
                <w:highlight w:val="none"/>
              </w:rPr>
            </w:pPr>
          </w:p>
        </w:tc>
      </w:tr>
      <w:tr w14:paraId="5B400CC1">
        <w:tblPrEx>
          <w:tblCellMar>
            <w:top w:w="0" w:type="dxa"/>
            <w:left w:w="108" w:type="dxa"/>
            <w:bottom w:w="0" w:type="dxa"/>
            <w:right w:w="108" w:type="dxa"/>
          </w:tblCellMar>
        </w:tblPrEx>
        <w:trPr>
          <w:trHeight w:val="9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14:paraId="62C3186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432" w:type="pct"/>
            <w:tcBorders>
              <w:top w:val="nil"/>
              <w:left w:val="nil"/>
              <w:bottom w:val="single" w:color="auto" w:sz="4" w:space="0"/>
              <w:right w:val="single" w:color="auto" w:sz="4" w:space="0"/>
            </w:tcBorders>
            <w:shd w:val="clear" w:color="auto" w:fill="auto"/>
            <w:noWrap/>
            <w:vAlign w:val="center"/>
          </w:tcPr>
          <w:p w14:paraId="2E0DD6AA">
            <w:pPr>
              <w:widowControl/>
              <w:jc w:val="center"/>
              <w:rPr>
                <w:rFonts w:hint="eastAsia" w:ascii="宋体" w:hAnsi="宋体" w:cs="宋体"/>
                <w:color w:val="auto"/>
                <w:kern w:val="0"/>
                <w:sz w:val="20"/>
                <w:szCs w:val="20"/>
                <w:highlight w:val="none"/>
              </w:rPr>
            </w:pPr>
          </w:p>
        </w:tc>
        <w:tc>
          <w:tcPr>
            <w:tcW w:w="1041" w:type="pct"/>
            <w:tcBorders>
              <w:top w:val="nil"/>
              <w:left w:val="nil"/>
              <w:bottom w:val="single" w:color="auto" w:sz="4" w:space="0"/>
              <w:right w:val="single" w:color="auto" w:sz="4" w:space="0"/>
            </w:tcBorders>
            <w:shd w:val="clear" w:color="auto" w:fill="auto"/>
            <w:noWrap/>
            <w:vAlign w:val="center"/>
          </w:tcPr>
          <w:p w14:paraId="23A1D0A5">
            <w:pPr>
              <w:widowControl/>
              <w:jc w:val="center"/>
              <w:rPr>
                <w:rFonts w:hint="eastAsia" w:ascii="宋体" w:hAnsi="宋体" w:cs="宋体"/>
                <w:color w:val="auto"/>
                <w:kern w:val="0"/>
                <w:sz w:val="20"/>
                <w:szCs w:val="20"/>
                <w:highlight w:val="none"/>
              </w:rPr>
            </w:pPr>
          </w:p>
        </w:tc>
        <w:tc>
          <w:tcPr>
            <w:tcW w:w="211" w:type="pct"/>
            <w:tcBorders>
              <w:top w:val="nil"/>
              <w:left w:val="nil"/>
              <w:bottom w:val="single" w:color="auto" w:sz="4" w:space="0"/>
              <w:right w:val="single" w:color="auto" w:sz="4" w:space="0"/>
            </w:tcBorders>
            <w:shd w:val="clear" w:color="auto" w:fill="auto"/>
            <w:noWrap/>
            <w:vAlign w:val="center"/>
          </w:tcPr>
          <w:p w14:paraId="05F669D9">
            <w:pPr>
              <w:widowControl/>
              <w:jc w:val="center"/>
              <w:rPr>
                <w:rFonts w:hint="eastAsia" w:ascii="宋体" w:hAnsi="宋体" w:cs="宋体"/>
                <w:color w:val="auto"/>
                <w:kern w:val="0"/>
                <w:sz w:val="20"/>
                <w:szCs w:val="20"/>
                <w:highlight w:val="none"/>
              </w:rPr>
            </w:pPr>
          </w:p>
        </w:tc>
        <w:tc>
          <w:tcPr>
            <w:tcW w:w="535" w:type="pct"/>
            <w:tcBorders>
              <w:top w:val="nil"/>
              <w:left w:val="nil"/>
              <w:bottom w:val="single" w:color="auto" w:sz="4" w:space="0"/>
              <w:right w:val="single" w:color="auto" w:sz="4" w:space="0"/>
            </w:tcBorders>
            <w:shd w:val="clear" w:color="auto" w:fill="auto"/>
            <w:noWrap/>
            <w:vAlign w:val="center"/>
          </w:tcPr>
          <w:p w14:paraId="009F206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0" w:type="pct"/>
            <w:tcBorders>
              <w:top w:val="nil"/>
              <w:left w:val="single" w:color="auto" w:sz="4" w:space="0"/>
              <w:bottom w:val="single" w:color="auto" w:sz="4" w:space="0"/>
              <w:right w:val="single" w:color="auto" w:sz="4" w:space="0"/>
            </w:tcBorders>
            <w:shd w:val="clear" w:color="auto" w:fill="auto"/>
            <w:noWrap/>
            <w:vAlign w:val="center"/>
          </w:tcPr>
          <w:p w14:paraId="78777EAC">
            <w:pPr>
              <w:widowControl/>
              <w:jc w:val="center"/>
              <w:rPr>
                <w:rFonts w:hint="eastAsia" w:ascii="宋体" w:hAnsi="宋体" w:cs="宋体"/>
                <w:color w:val="auto"/>
                <w:kern w:val="0"/>
                <w:sz w:val="20"/>
                <w:szCs w:val="20"/>
                <w:highlight w:val="none"/>
              </w:rPr>
            </w:pPr>
          </w:p>
        </w:tc>
      </w:tr>
      <w:tr w14:paraId="1CE14399">
        <w:tblPrEx>
          <w:tblCellMar>
            <w:top w:w="0" w:type="dxa"/>
            <w:left w:w="108" w:type="dxa"/>
            <w:bottom w:w="0" w:type="dxa"/>
            <w:right w:w="108" w:type="dxa"/>
          </w:tblCellMar>
        </w:tblPrEx>
        <w:trPr>
          <w:trHeight w:val="3787"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1E1007F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备注：</w:t>
            </w:r>
          </w:p>
          <w:p w14:paraId="6E73161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1、本表为项目经理部主要人员的基本要求，投标单位可根据自身情况增加专业技术管理人员，各岗位人员不得相互兼职。</w:t>
            </w:r>
          </w:p>
          <w:p w14:paraId="39FDF61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2、本表项目经理部主要人员需提供2025年</w:t>
            </w:r>
            <w:r>
              <w:rPr>
                <w:rFonts w:hint="eastAsia" w:ascii="宋体" w:hAnsi="宋体" w:cs="宋体"/>
                <w:color w:val="auto"/>
                <w:kern w:val="0"/>
                <w:sz w:val="20"/>
                <w:szCs w:val="20"/>
                <w:highlight w:val="none"/>
                <w:lang w:val="en-US" w:eastAsia="zh-CN"/>
              </w:rPr>
              <w:t>7</w:t>
            </w:r>
            <w:r>
              <w:rPr>
                <w:rFonts w:hint="eastAsia" w:ascii="宋体" w:hAnsi="宋体" w:cs="宋体"/>
                <w:color w:val="auto"/>
                <w:kern w:val="0"/>
                <w:sz w:val="20"/>
                <w:szCs w:val="20"/>
                <w:highlight w:val="none"/>
              </w:rPr>
              <w:t>月的社保证明文件扫描件，项目经理部主要人员需提供的其他证明文件详见基本要求及备注。</w:t>
            </w:r>
          </w:p>
          <w:p w14:paraId="74D8E7E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w:t>
            </w:r>
          </w:p>
          <w:p w14:paraId="1DD9C748">
            <w:pPr>
              <w:widowControl/>
              <w:jc w:val="left"/>
              <w:rPr>
                <w:color w:val="auto"/>
                <w:sz w:val="20"/>
                <w:szCs w:val="20"/>
                <w:highlight w:val="none"/>
              </w:rPr>
            </w:pPr>
            <w:r>
              <w:rPr>
                <w:rFonts w:hint="eastAsia" w:ascii="宋体" w:hAnsi="宋体" w:cs="宋体"/>
                <w:color w:val="auto"/>
                <w:kern w:val="0"/>
                <w:sz w:val="20"/>
                <w:szCs w:val="20"/>
                <w:highlight w:val="none"/>
              </w:rPr>
              <w:t>4、本表中投标人提供的“项目负责人、技术负责人、专职安全员”须满足招标公告要求，其余人员不全或未满足招标文件要求的，不作为废标否决性条款。中标后须按招标文件的要求补充完善并报发包人审批同意；涉及违约的，还需按合同约定承担相应的违约责任。</w:t>
            </w:r>
          </w:p>
        </w:tc>
      </w:tr>
    </w:tbl>
    <w:p w14:paraId="005E352C">
      <w:pPr>
        <w:pStyle w:val="39"/>
        <w:spacing w:line="240" w:lineRule="auto"/>
        <w:ind w:firstLine="0" w:firstLineChars="0"/>
        <w:rPr>
          <w:rFonts w:hint="eastAsia" w:eastAsia="宋体" w:cs="宋体"/>
          <w:color w:val="auto"/>
          <w:sz w:val="20"/>
          <w:szCs w:val="20"/>
          <w:highlight w:val="none"/>
        </w:rPr>
      </w:pPr>
      <w:r>
        <w:rPr>
          <w:rFonts w:hint="eastAsia" w:eastAsia="宋体" w:cs="宋体"/>
          <w:color w:val="auto"/>
          <w:sz w:val="20"/>
          <w:szCs w:val="20"/>
          <w:highlight w:val="none"/>
        </w:rPr>
        <w:t>注：附相关的证明材料。</w:t>
      </w:r>
    </w:p>
    <w:p w14:paraId="56827D19">
      <w:pPr>
        <w:topLinePunct/>
        <w:adjustRightInd w:val="0"/>
        <w:snapToGrid w:val="0"/>
        <w:rPr>
          <w:rFonts w:hint="eastAsia" w:ascii="宋体" w:hAnsi="宋体" w:cs="宋体"/>
          <w:color w:val="auto"/>
          <w:spacing w:val="4"/>
          <w:kern w:val="0"/>
          <w:sz w:val="20"/>
          <w:szCs w:val="20"/>
          <w:highlight w:val="none"/>
        </w:rPr>
      </w:pPr>
    </w:p>
    <w:p w14:paraId="1A2ED1FB">
      <w:pPr>
        <w:topLinePunct/>
        <w:adjustRightInd w:val="0"/>
        <w:snapToGrid w:val="0"/>
        <w:spacing w:line="360" w:lineRule="auto"/>
        <w:ind w:firstLine="3306" w:firstLineChars="1450"/>
        <w:jc w:val="left"/>
        <w:rPr>
          <w:rFonts w:hint="eastAsia" w:ascii="宋体" w:hAnsi="宋体" w:cs="宋体"/>
          <w:color w:val="auto"/>
          <w:spacing w:val="4"/>
          <w:kern w:val="0"/>
          <w:sz w:val="22"/>
          <w:highlight w:val="none"/>
        </w:rPr>
      </w:pPr>
      <w:r>
        <w:rPr>
          <w:rFonts w:hint="eastAsia" w:ascii="宋体" w:hAnsi="宋体" w:cs="宋体"/>
          <w:color w:val="auto"/>
          <w:spacing w:val="4"/>
          <w:kern w:val="0"/>
          <w:sz w:val="22"/>
          <w:highlight w:val="none"/>
        </w:rPr>
        <w:t>投标人：</w:t>
      </w:r>
    </w:p>
    <w:p w14:paraId="5201A408">
      <w:pPr>
        <w:autoSpaceDE w:val="0"/>
        <w:autoSpaceDN w:val="0"/>
        <w:adjustRightInd w:val="0"/>
        <w:spacing w:line="360" w:lineRule="auto"/>
        <w:ind w:firstLine="3306" w:firstLineChars="1450"/>
        <w:jc w:val="left"/>
        <w:rPr>
          <w:rFonts w:hint="eastAsia" w:ascii="宋体" w:hAnsi="宋体" w:cs="宋体"/>
          <w:color w:val="auto"/>
          <w:spacing w:val="4"/>
          <w:kern w:val="0"/>
          <w:sz w:val="22"/>
          <w:highlight w:val="none"/>
        </w:rPr>
      </w:pPr>
      <w:r>
        <w:rPr>
          <w:rFonts w:hint="eastAsia" w:ascii="宋体" w:hAnsi="宋体" w:cs="宋体"/>
          <w:color w:val="auto"/>
          <w:spacing w:val="4"/>
          <w:kern w:val="0"/>
          <w:sz w:val="22"/>
          <w:highlight w:val="none"/>
        </w:rPr>
        <w:t>日   期：    年    月    日</w:t>
      </w:r>
    </w:p>
    <w:p w14:paraId="5C1A4369">
      <w:pPr>
        <w:spacing w:line="360" w:lineRule="auto"/>
        <w:jc w:val="center"/>
        <w:rPr>
          <w:rFonts w:hint="eastAsia" w:ascii="宋体" w:hAnsi="宋体" w:cs="宋体"/>
          <w:b/>
          <w:color w:val="auto"/>
          <w:sz w:val="36"/>
          <w:szCs w:val="36"/>
          <w:highlight w:val="none"/>
        </w:rPr>
      </w:pPr>
      <w:r>
        <w:rPr>
          <w:rFonts w:hint="eastAsia" w:ascii="宋体" w:hAnsi="宋体" w:cs="宋体"/>
          <w:color w:val="auto"/>
          <w:spacing w:val="4"/>
          <w:highlight w:val="none"/>
        </w:rPr>
        <w:br w:type="page"/>
      </w:r>
      <w:r>
        <w:rPr>
          <w:rFonts w:hint="eastAsia" w:ascii="宋体" w:hAnsi="宋体" w:cs="宋体"/>
          <w:b/>
          <w:color w:val="auto"/>
          <w:sz w:val="36"/>
          <w:szCs w:val="36"/>
          <w:highlight w:val="none"/>
        </w:rPr>
        <w:t>主要人员简历表</w:t>
      </w:r>
    </w:p>
    <w:tbl>
      <w:tblPr>
        <w:tblStyle w:val="25"/>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0" w:type="dxa"/>
          <w:left w:w="60" w:type="dxa"/>
          <w:bottom w:w="60" w:type="dxa"/>
          <w:right w:w="60" w:type="dxa"/>
        </w:tblCellMar>
      </w:tblPr>
      <w:tblGrid>
        <w:gridCol w:w="1334"/>
        <w:gridCol w:w="1488"/>
        <w:gridCol w:w="1534"/>
        <w:gridCol w:w="1911"/>
        <w:gridCol w:w="1361"/>
        <w:gridCol w:w="1582"/>
      </w:tblGrid>
      <w:tr w14:paraId="19E13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20" w:hRule="atLeast"/>
          <w:tblCellSpacing w:w="0" w:type="dxa"/>
          <w:jc w:val="center"/>
        </w:trPr>
        <w:tc>
          <w:tcPr>
            <w:tcW w:w="1334" w:type="dxa"/>
            <w:tcBorders>
              <w:tl2br w:val="nil"/>
              <w:tr2bl w:val="nil"/>
            </w:tcBorders>
            <w:vAlign w:val="center"/>
          </w:tcPr>
          <w:p w14:paraId="485CC9D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488" w:type="dxa"/>
            <w:tcBorders>
              <w:tl2br w:val="nil"/>
              <w:tr2bl w:val="nil"/>
            </w:tcBorders>
            <w:vAlign w:val="center"/>
          </w:tcPr>
          <w:p w14:paraId="1E6F0799">
            <w:pPr>
              <w:spacing w:line="360" w:lineRule="auto"/>
              <w:jc w:val="center"/>
              <w:rPr>
                <w:rFonts w:hint="eastAsia" w:ascii="宋体" w:hAnsi="宋体" w:cs="宋体"/>
                <w:color w:val="auto"/>
                <w:szCs w:val="21"/>
                <w:highlight w:val="none"/>
              </w:rPr>
            </w:pPr>
          </w:p>
        </w:tc>
        <w:tc>
          <w:tcPr>
            <w:tcW w:w="1534" w:type="dxa"/>
            <w:tcBorders>
              <w:tl2br w:val="nil"/>
              <w:tr2bl w:val="nil"/>
            </w:tcBorders>
            <w:vAlign w:val="center"/>
          </w:tcPr>
          <w:p w14:paraId="2234BE2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1911" w:type="dxa"/>
            <w:tcBorders>
              <w:tl2br w:val="nil"/>
              <w:tr2bl w:val="nil"/>
            </w:tcBorders>
            <w:vAlign w:val="center"/>
          </w:tcPr>
          <w:p w14:paraId="72DC3212">
            <w:pPr>
              <w:spacing w:line="360" w:lineRule="auto"/>
              <w:jc w:val="center"/>
              <w:rPr>
                <w:rFonts w:hint="eastAsia" w:ascii="宋体" w:hAnsi="宋体" w:cs="宋体"/>
                <w:color w:val="auto"/>
                <w:szCs w:val="21"/>
                <w:highlight w:val="none"/>
              </w:rPr>
            </w:pPr>
          </w:p>
        </w:tc>
        <w:tc>
          <w:tcPr>
            <w:tcW w:w="1361" w:type="dxa"/>
            <w:tcBorders>
              <w:tl2br w:val="nil"/>
              <w:tr2bl w:val="nil"/>
            </w:tcBorders>
            <w:vAlign w:val="center"/>
          </w:tcPr>
          <w:p w14:paraId="65BC7D8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582" w:type="dxa"/>
            <w:tcBorders>
              <w:tl2br w:val="nil"/>
              <w:tr2bl w:val="nil"/>
            </w:tcBorders>
            <w:vAlign w:val="center"/>
          </w:tcPr>
          <w:p w14:paraId="6967C759">
            <w:pPr>
              <w:spacing w:line="360" w:lineRule="auto"/>
              <w:jc w:val="center"/>
              <w:rPr>
                <w:rFonts w:hint="eastAsia" w:ascii="宋体" w:hAnsi="宋体" w:cs="宋体"/>
                <w:color w:val="auto"/>
                <w:szCs w:val="21"/>
                <w:highlight w:val="none"/>
              </w:rPr>
            </w:pPr>
          </w:p>
        </w:tc>
      </w:tr>
      <w:tr w14:paraId="47B06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4" w:type="dxa"/>
            <w:tcBorders>
              <w:tl2br w:val="nil"/>
              <w:tr2bl w:val="nil"/>
            </w:tcBorders>
            <w:vAlign w:val="center"/>
          </w:tcPr>
          <w:p w14:paraId="793FC1C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488" w:type="dxa"/>
            <w:tcBorders>
              <w:tl2br w:val="nil"/>
              <w:tr2bl w:val="nil"/>
            </w:tcBorders>
            <w:vAlign w:val="center"/>
          </w:tcPr>
          <w:p w14:paraId="78B45916">
            <w:pPr>
              <w:spacing w:line="360" w:lineRule="auto"/>
              <w:jc w:val="center"/>
              <w:rPr>
                <w:rFonts w:hint="eastAsia" w:ascii="宋体" w:hAnsi="宋体" w:cs="宋体"/>
                <w:color w:val="auto"/>
                <w:szCs w:val="21"/>
                <w:highlight w:val="none"/>
              </w:rPr>
            </w:pPr>
          </w:p>
        </w:tc>
        <w:tc>
          <w:tcPr>
            <w:tcW w:w="1534" w:type="dxa"/>
            <w:tcBorders>
              <w:tl2br w:val="nil"/>
              <w:tr2bl w:val="nil"/>
            </w:tcBorders>
            <w:vAlign w:val="center"/>
          </w:tcPr>
          <w:p w14:paraId="07AD5E4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1911" w:type="dxa"/>
            <w:tcBorders>
              <w:tl2br w:val="nil"/>
              <w:tr2bl w:val="nil"/>
            </w:tcBorders>
            <w:vAlign w:val="center"/>
          </w:tcPr>
          <w:p w14:paraId="46ABB419">
            <w:pPr>
              <w:spacing w:line="360" w:lineRule="auto"/>
              <w:jc w:val="center"/>
              <w:rPr>
                <w:rFonts w:hint="eastAsia" w:ascii="宋体" w:hAnsi="宋体" w:cs="宋体"/>
                <w:color w:val="auto"/>
                <w:szCs w:val="21"/>
                <w:highlight w:val="none"/>
              </w:rPr>
            </w:pPr>
          </w:p>
        </w:tc>
        <w:tc>
          <w:tcPr>
            <w:tcW w:w="1361" w:type="dxa"/>
            <w:tcBorders>
              <w:tl2br w:val="nil"/>
              <w:tr2bl w:val="nil"/>
            </w:tcBorders>
            <w:vAlign w:val="center"/>
          </w:tcPr>
          <w:p w14:paraId="07C7CA8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1582" w:type="dxa"/>
            <w:tcBorders>
              <w:tl2br w:val="nil"/>
              <w:tr2bl w:val="nil"/>
            </w:tcBorders>
            <w:vAlign w:val="center"/>
          </w:tcPr>
          <w:p w14:paraId="072F929B">
            <w:pPr>
              <w:spacing w:line="360" w:lineRule="auto"/>
              <w:jc w:val="center"/>
              <w:rPr>
                <w:rFonts w:hint="eastAsia" w:ascii="宋体" w:hAnsi="宋体" w:cs="宋体"/>
                <w:color w:val="auto"/>
                <w:szCs w:val="21"/>
                <w:highlight w:val="none"/>
              </w:rPr>
            </w:pPr>
          </w:p>
        </w:tc>
      </w:tr>
      <w:tr w14:paraId="7EC3F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2822" w:type="dxa"/>
            <w:gridSpan w:val="2"/>
            <w:tcBorders>
              <w:tl2br w:val="nil"/>
              <w:tr2bl w:val="nil"/>
            </w:tcBorders>
            <w:vAlign w:val="center"/>
          </w:tcPr>
          <w:p w14:paraId="1C0722A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参加工作时间</w:t>
            </w:r>
          </w:p>
        </w:tc>
        <w:tc>
          <w:tcPr>
            <w:tcW w:w="1534" w:type="dxa"/>
            <w:tcBorders>
              <w:tl2br w:val="nil"/>
              <w:tr2bl w:val="nil"/>
            </w:tcBorders>
            <w:vAlign w:val="center"/>
          </w:tcPr>
          <w:p w14:paraId="1FC6DCDE">
            <w:pPr>
              <w:spacing w:line="360" w:lineRule="auto"/>
              <w:jc w:val="center"/>
              <w:rPr>
                <w:rFonts w:hint="eastAsia" w:ascii="宋体" w:hAnsi="宋体" w:cs="宋体"/>
                <w:color w:val="auto"/>
                <w:szCs w:val="21"/>
                <w:highlight w:val="none"/>
              </w:rPr>
            </w:pPr>
          </w:p>
        </w:tc>
        <w:tc>
          <w:tcPr>
            <w:tcW w:w="1911" w:type="dxa"/>
            <w:tcBorders>
              <w:tl2br w:val="nil"/>
              <w:tr2bl w:val="nil"/>
            </w:tcBorders>
            <w:vAlign w:val="center"/>
          </w:tcPr>
          <w:p w14:paraId="694B38F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担任相应职务年限</w:t>
            </w:r>
          </w:p>
        </w:tc>
        <w:tc>
          <w:tcPr>
            <w:tcW w:w="2943" w:type="dxa"/>
            <w:gridSpan w:val="2"/>
            <w:tcBorders>
              <w:tl2br w:val="nil"/>
              <w:tr2bl w:val="nil"/>
            </w:tcBorders>
            <w:vAlign w:val="center"/>
          </w:tcPr>
          <w:p w14:paraId="563A68B5">
            <w:pPr>
              <w:spacing w:line="360" w:lineRule="auto"/>
              <w:jc w:val="center"/>
              <w:rPr>
                <w:rFonts w:hint="eastAsia" w:ascii="宋体" w:hAnsi="宋体" w:cs="宋体"/>
                <w:color w:val="auto"/>
                <w:szCs w:val="21"/>
                <w:highlight w:val="none"/>
              </w:rPr>
            </w:pPr>
          </w:p>
        </w:tc>
      </w:tr>
      <w:tr w14:paraId="32551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2822" w:type="dxa"/>
            <w:gridSpan w:val="2"/>
            <w:tcBorders>
              <w:tl2br w:val="nil"/>
              <w:tr2bl w:val="nil"/>
            </w:tcBorders>
            <w:vAlign w:val="center"/>
          </w:tcPr>
          <w:p w14:paraId="0B62761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资格证书号</w:t>
            </w:r>
          </w:p>
        </w:tc>
        <w:tc>
          <w:tcPr>
            <w:tcW w:w="6388" w:type="dxa"/>
            <w:gridSpan w:val="4"/>
            <w:tcBorders>
              <w:tl2br w:val="nil"/>
              <w:tr2bl w:val="nil"/>
            </w:tcBorders>
            <w:vAlign w:val="center"/>
          </w:tcPr>
          <w:p w14:paraId="3FE2AF53">
            <w:pPr>
              <w:spacing w:line="360" w:lineRule="auto"/>
              <w:jc w:val="center"/>
              <w:rPr>
                <w:rFonts w:hint="eastAsia" w:ascii="宋体" w:hAnsi="宋体" w:cs="宋体"/>
                <w:color w:val="auto"/>
                <w:szCs w:val="21"/>
                <w:highlight w:val="none"/>
              </w:rPr>
            </w:pPr>
          </w:p>
        </w:tc>
      </w:tr>
      <w:tr w14:paraId="4779B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9210" w:type="dxa"/>
            <w:gridSpan w:val="6"/>
            <w:tcBorders>
              <w:tl2br w:val="nil"/>
              <w:tr2bl w:val="nil"/>
            </w:tcBorders>
            <w:vAlign w:val="center"/>
          </w:tcPr>
          <w:p w14:paraId="6A61062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业绩简介</w:t>
            </w:r>
          </w:p>
        </w:tc>
      </w:tr>
      <w:tr w14:paraId="59E66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4" w:type="dxa"/>
            <w:tcBorders>
              <w:tl2br w:val="nil"/>
              <w:tr2bl w:val="nil"/>
            </w:tcBorders>
            <w:vAlign w:val="center"/>
          </w:tcPr>
          <w:p w14:paraId="57CFAE1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建设单位</w:t>
            </w:r>
          </w:p>
        </w:tc>
        <w:tc>
          <w:tcPr>
            <w:tcW w:w="1488" w:type="dxa"/>
            <w:tcBorders>
              <w:tl2br w:val="nil"/>
              <w:tr2bl w:val="nil"/>
            </w:tcBorders>
            <w:vAlign w:val="center"/>
          </w:tcPr>
          <w:p w14:paraId="5C59640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534" w:type="dxa"/>
            <w:tcBorders>
              <w:tl2br w:val="nil"/>
              <w:tr2bl w:val="nil"/>
            </w:tcBorders>
            <w:vAlign w:val="center"/>
          </w:tcPr>
          <w:p w14:paraId="3A757B9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建设规模</w:t>
            </w:r>
          </w:p>
        </w:tc>
        <w:tc>
          <w:tcPr>
            <w:tcW w:w="1911" w:type="dxa"/>
            <w:tcBorders>
              <w:tl2br w:val="nil"/>
              <w:tr2bl w:val="nil"/>
            </w:tcBorders>
            <w:vAlign w:val="center"/>
          </w:tcPr>
          <w:p w14:paraId="4EBB3AD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开、竣工日期</w:t>
            </w:r>
          </w:p>
        </w:tc>
        <w:tc>
          <w:tcPr>
            <w:tcW w:w="1361" w:type="dxa"/>
            <w:tcBorders>
              <w:tl2br w:val="nil"/>
              <w:tr2bl w:val="nil"/>
            </w:tcBorders>
            <w:vAlign w:val="center"/>
          </w:tcPr>
          <w:p w14:paraId="26933BC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在建或已完工程质量</w:t>
            </w:r>
          </w:p>
        </w:tc>
        <w:tc>
          <w:tcPr>
            <w:tcW w:w="1582" w:type="dxa"/>
            <w:tcBorders>
              <w:tl2br w:val="nil"/>
              <w:tr2bl w:val="nil"/>
            </w:tcBorders>
            <w:vAlign w:val="center"/>
          </w:tcPr>
          <w:p w14:paraId="251305C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担任职务</w:t>
            </w:r>
          </w:p>
        </w:tc>
      </w:tr>
      <w:tr w14:paraId="2E08C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4" w:type="dxa"/>
            <w:tcBorders>
              <w:tl2br w:val="nil"/>
              <w:tr2bl w:val="nil"/>
            </w:tcBorders>
            <w:vAlign w:val="center"/>
          </w:tcPr>
          <w:p w14:paraId="3CC96017">
            <w:pPr>
              <w:spacing w:line="360" w:lineRule="auto"/>
              <w:jc w:val="left"/>
              <w:rPr>
                <w:rFonts w:hint="eastAsia" w:ascii="宋体" w:hAnsi="宋体" w:cs="宋体"/>
                <w:color w:val="auto"/>
                <w:szCs w:val="21"/>
                <w:highlight w:val="none"/>
              </w:rPr>
            </w:pPr>
          </w:p>
        </w:tc>
        <w:tc>
          <w:tcPr>
            <w:tcW w:w="1488" w:type="dxa"/>
            <w:tcBorders>
              <w:tl2br w:val="nil"/>
              <w:tr2bl w:val="nil"/>
            </w:tcBorders>
            <w:vAlign w:val="center"/>
          </w:tcPr>
          <w:p w14:paraId="40B74F3B">
            <w:pPr>
              <w:spacing w:line="360" w:lineRule="auto"/>
              <w:jc w:val="left"/>
              <w:rPr>
                <w:rFonts w:hint="eastAsia" w:ascii="宋体" w:hAnsi="宋体" w:cs="宋体"/>
                <w:color w:val="auto"/>
                <w:szCs w:val="21"/>
                <w:highlight w:val="none"/>
              </w:rPr>
            </w:pPr>
          </w:p>
        </w:tc>
        <w:tc>
          <w:tcPr>
            <w:tcW w:w="1534" w:type="dxa"/>
            <w:tcBorders>
              <w:tl2br w:val="nil"/>
              <w:tr2bl w:val="nil"/>
            </w:tcBorders>
            <w:vAlign w:val="center"/>
          </w:tcPr>
          <w:p w14:paraId="15767A2B">
            <w:pPr>
              <w:spacing w:line="360" w:lineRule="auto"/>
              <w:jc w:val="left"/>
              <w:rPr>
                <w:rFonts w:hint="eastAsia" w:ascii="宋体" w:hAnsi="宋体" w:cs="宋体"/>
                <w:color w:val="auto"/>
                <w:szCs w:val="21"/>
                <w:highlight w:val="none"/>
              </w:rPr>
            </w:pPr>
          </w:p>
        </w:tc>
        <w:tc>
          <w:tcPr>
            <w:tcW w:w="1911" w:type="dxa"/>
            <w:tcBorders>
              <w:tl2br w:val="nil"/>
              <w:tr2bl w:val="nil"/>
            </w:tcBorders>
            <w:vAlign w:val="center"/>
          </w:tcPr>
          <w:p w14:paraId="453A1AA4">
            <w:pPr>
              <w:spacing w:line="360" w:lineRule="auto"/>
              <w:jc w:val="left"/>
              <w:rPr>
                <w:rFonts w:hint="eastAsia" w:ascii="宋体" w:hAnsi="宋体" w:cs="宋体"/>
                <w:color w:val="auto"/>
                <w:szCs w:val="21"/>
                <w:highlight w:val="none"/>
              </w:rPr>
            </w:pPr>
          </w:p>
        </w:tc>
        <w:tc>
          <w:tcPr>
            <w:tcW w:w="1361" w:type="dxa"/>
            <w:tcBorders>
              <w:tl2br w:val="nil"/>
              <w:tr2bl w:val="nil"/>
            </w:tcBorders>
            <w:vAlign w:val="center"/>
          </w:tcPr>
          <w:p w14:paraId="1D6BF2EE">
            <w:pPr>
              <w:spacing w:line="360" w:lineRule="auto"/>
              <w:jc w:val="left"/>
              <w:rPr>
                <w:rFonts w:hint="eastAsia" w:ascii="宋体" w:hAnsi="宋体" w:cs="宋体"/>
                <w:color w:val="auto"/>
                <w:szCs w:val="21"/>
                <w:highlight w:val="none"/>
              </w:rPr>
            </w:pPr>
          </w:p>
        </w:tc>
        <w:tc>
          <w:tcPr>
            <w:tcW w:w="1582" w:type="dxa"/>
            <w:tcBorders>
              <w:tl2br w:val="nil"/>
              <w:tr2bl w:val="nil"/>
            </w:tcBorders>
            <w:vAlign w:val="center"/>
          </w:tcPr>
          <w:p w14:paraId="5D7E605D">
            <w:pPr>
              <w:spacing w:line="360" w:lineRule="auto"/>
              <w:jc w:val="left"/>
              <w:rPr>
                <w:rFonts w:hint="eastAsia" w:ascii="宋体" w:hAnsi="宋体" w:cs="宋体"/>
                <w:color w:val="auto"/>
                <w:szCs w:val="21"/>
                <w:highlight w:val="none"/>
              </w:rPr>
            </w:pPr>
          </w:p>
        </w:tc>
      </w:tr>
      <w:tr w14:paraId="6D0D7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4" w:type="dxa"/>
            <w:tcBorders>
              <w:tl2br w:val="nil"/>
              <w:tr2bl w:val="nil"/>
            </w:tcBorders>
            <w:vAlign w:val="center"/>
          </w:tcPr>
          <w:p w14:paraId="7D0D2740">
            <w:pPr>
              <w:spacing w:line="360" w:lineRule="auto"/>
              <w:jc w:val="left"/>
              <w:rPr>
                <w:rFonts w:hint="eastAsia" w:ascii="宋体" w:hAnsi="宋体" w:cs="宋体"/>
                <w:color w:val="auto"/>
                <w:szCs w:val="21"/>
                <w:highlight w:val="none"/>
              </w:rPr>
            </w:pPr>
          </w:p>
        </w:tc>
        <w:tc>
          <w:tcPr>
            <w:tcW w:w="1488" w:type="dxa"/>
            <w:tcBorders>
              <w:tl2br w:val="nil"/>
              <w:tr2bl w:val="nil"/>
            </w:tcBorders>
            <w:vAlign w:val="center"/>
          </w:tcPr>
          <w:p w14:paraId="1F1BDEE8">
            <w:pPr>
              <w:spacing w:line="360" w:lineRule="auto"/>
              <w:jc w:val="left"/>
              <w:rPr>
                <w:rFonts w:hint="eastAsia" w:ascii="宋体" w:hAnsi="宋体" w:cs="宋体"/>
                <w:color w:val="auto"/>
                <w:szCs w:val="21"/>
                <w:highlight w:val="none"/>
              </w:rPr>
            </w:pPr>
          </w:p>
        </w:tc>
        <w:tc>
          <w:tcPr>
            <w:tcW w:w="1534" w:type="dxa"/>
            <w:tcBorders>
              <w:tl2br w:val="nil"/>
              <w:tr2bl w:val="nil"/>
            </w:tcBorders>
            <w:vAlign w:val="center"/>
          </w:tcPr>
          <w:p w14:paraId="3C18319E">
            <w:pPr>
              <w:spacing w:line="360" w:lineRule="auto"/>
              <w:jc w:val="left"/>
              <w:rPr>
                <w:rFonts w:hint="eastAsia" w:ascii="宋体" w:hAnsi="宋体" w:cs="宋体"/>
                <w:color w:val="auto"/>
                <w:szCs w:val="21"/>
                <w:highlight w:val="none"/>
              </w:rPr>
            </w:pPr>
          </w:p>
        </w:tc>
        <w:tc>
          <w:tcPr>
            <w:tcW w:w="1911" w:type="dxa"/>
            <w:tcBorders>
              <w:tl2br w:val="nil"/>
              <w:tr2bl w:val="nil"/>
            </w:tcBorders>
            <w:vAlign w:val="center"/>
          </w:tcPr>
          <w:p w14:paraId="2BFEAC0A">
            <w:pPr>
              <w:spacing w:line="360" w:lineRule="auto"/>
              <w:jc w:val="left"/>
              <w:rPr>
                <w:rFonts w:hint="eastAsia" w:ascii="宋体" w:hAnsi="宋体" w:cs="宋体"/>
                <w:color w:val="auto"/>
                <w:szCs w:val="21"/>
                <w:highlight w:val="none"/>
              </w:rPr>
            </w:pPr>
          </w:p>
        </w:tc>
        <w:tc>
          <w:tcPr>
            <w:tcW w:w="1361" w:type="dxa"/>
            <w:tcBorders>
              <w:tl2br w:val="nil"/>
              <w:tr2bl w:val="nil"/>
            </w:tcBorders>
            <w:vAlign w:val="center"/>
          </w:tcPr>
          <w:p w14:paraId="430B70FA">
            <w:pPr>
              <w:spacing w:line="360" w:lineRule="auto"/>
              <w:jc w:val="left"/>
              <w:rPr>
                <w:rFonts w:hint="eastAsia" w:ascii="宋体" w:hAnsi="宋体" w:cs="宋体"/>
                <w:color w:val="auto"/>
                <w:szCs w:val="21"/>
                <w:highlight w:val="none"/>
              </w:rPr>
            </w:pPr>
          </w:p>
        </w:tc>
        <w:tc>
          <w:tcPr>
            <w:tcW w:w="1582" w:type="dxa"/>
            <w:tcBorders>
              <w:tl2br w:val="nil"/>
              <w:tr2bl w:val="nil"/>
            </w:tcBorders>
            <w:vAlign w:val="center"/>
          </w:tcPr>
          <w:p w14:paraId="23CC024E">
            <w:pPr>
              <w:spacing w:line="360" w:lineRule="auto"/>
              <w:jc w:val="left"/>
              <w:rPr>
                <w:rFonts w:hint="eastAsia" w:ascii="宋体" w:hAnsi="宋体" w:cs="宋体"/>
                <w:color w:val="auto"/>
                <w:szCs w:val="21"/>
                <w:highlight w:val="none"/>
              </w:rPr>
            </w:pPr>
          </w:p>
        </w:tc>
      </w:tr>
      <w:tr w14:paraId="26F23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4" w:type="dxa"/>
            <w:tcBorders>
              <w:tl2br w:val="nil"/>
              <w:tr2bl w:val="nil"/>
            </w:tcBorders>
            <w:vAlign w:val="center"/>
          </w:tcPr>
          <w:p w14:paraId="2AE0FEB9">
            <w:pPr>
              <w:spacing w:line="360" w:lineRule="auto"/>
              <w:jc w:val="left"/>
              <w:rPr>
                <w:rFonts w:hint="eastAsia" w:ascii="宋体" w:hAnsi="宋体" w:cs="宋体"/>
                <w:color w:val="auto"/>
                <w:szCs w:val="21"/>
                <w:highlight w:val="none"/>
              </w:rPr>
            </w:pPr>
          </w:p>
        </w:tc>
        <w:tc>
          <w:tcPr>
            <w:tcW w:w="1488" w:type="dxa"/>
            <w:tcBorders>
              <w:tl2br w:val="nil"/>
              <w:tr2bl w:val="nil"/>
            </w:tcBorders>
            <w:vAlign w:val="center"/>
          </w:tcPr>
          <w:p w14:paraId="60759A5A">
            <w:pPr>
              <w:spacing w:line="360" w:lineRule="auto"/>
              <w:jc w:val="left"/>
              <w:rPr>
                <w:rFonts w:hint="eastAsia" w:ascii="宋体" w:hAnsi="宋体" w:cs="宋体"/>
                <w:color w:val="auto"/>
                <w:szCs w:val="21"/>
                <w:highlight w:val="none"/>
              </w:rPr>
            </w:pPr>
          </w:p>
        </w:tc>
        <w:tc>
          <w:tcPr>
            <w:tcW w:w="1534" w:type="dxa"/>
            <w:tcBorders>
              <w:tl2br w:val="nil"/>
              <w:tr2bl w:val="nil"/>
            </w:tcBorders>
            <w:vAlign w:val="center"/>
          </w:tcPr>
          <w:p w14:paraId="065AC7E4">
            <w:pPr>
              <w:spacing w:line="360" w:lineRule="auto"/>
              <w:jc w:val="left"/>
              <w:rPr>
                <w:rFonts w:hint="eastAsia" w:ascii="宋体" w:hAnsi="宋体" w:cs="宋体"/>
                <w:color w:val="auto"/>
                <w:szCs w:val="21"/>
                <w:highlight w:val="none"/>
              </w:rPr>
            </w:pPr>
          </w:p>
        </w:tc>
        <w:tc>
          <w:tcPr>
            <w:tcW w:w="1911" w:type="dxa"/>
            <w:tcBorders>
              <w:tl2br w:val="nil"/>
              <w:tr2bl w:val="nil"/>
            </w:tcBorders>
            <w:vAlign w:val="center"/>
          </w:tcPr>
          <w:p w14:paraId="0920B735">
            <w:pPr>
              <w:spacing w:line="360" w:lineRule="auto"/>
              <w:jc w:val="left"/>
              <w:rPr>
                <w:rFonts w:hint="eastAsia" w:ascii="宋体" w:hAnsi="宋体" w:cs="宋体"/>
                <w:color w:val="auto"/>
                <w:szCs w:val="21"/>
                <w:highlight w:val="none"/>
              </w:rPr>
            </w:pPr>
          </w:p>
        </w:tc>
        <w:tc>
          <w:tcPr>
            <w:tcW w:w="1361" w:type="dxa"/>
            <w:tcBorders>
              <w:tl2br w:val="nil"/>
              <w:tr2bl w:val="nil"/>
            </w:tcBorders>
            <w:vAlign w:val="center"/>
          </w:tcPr>
          <w:p w14:paraId="5ABE8062">
            <w:pPr>
              <w:spacing w:line="360" w:lineRule="auto"/>
              <w:jc w:val="left"/>
              <w:rPr>
                <w:rFonts w:hint="eastAsia" w:ascii="宋体" w:hAnsi="宋体" w:cs="宋体"/>
                <w:color w:val="auto"/>
                <w:szCs w:val="21"/>
                <w:highlight w:val="none"/>
              </w:rPr>
            </w:pPr>
          </w:p>
        </w:tc>
        <w:tc>
          <w:tcPr>
            <w:tcW w:w="1582" w:type="dxa"/>
            <w:tcBorders>
              <w:tl2br w:val="nil"/>
              <w:tr2bl w:val="nil"/>
            </w:tcBorders>
            <w:vAlign w:val="center"/>
          </w:tcPr>
          <w:p w14:paraId="553DB99E">
            <w:pPr>
              <w:spacing w:line="360" w:lineRule="auto"/>
              <w:jc w:val="left"/>
              <w:rPr>
                <w:rFonts w:hint="eastAsia" w:ascii="宋体" w:hAnsi="宋体" w:cs="宋体"/>
                <w:color w:val="auto"/>
                <w:szCs w:val="21"/>
                <w:highlight w:val="none"/>
              </w:rPr>
            </w:pPr>
          </w:p>
        </w:tc>
      </w:tr>
    </w:tbl>
    <w:p w14:paraId="58A41B0E">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686735AF">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785DC777">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6EF4ADF8">
      <w:pPr>
        <w:autoSpaceDE w:val="0"/>
        <w:autoSpaceDN w:val="0"/>
        <w:adjustRightInd w:val="0"/>
        <w:spacing w:line="360" w:lineRule="auto"/>
        <w:ind w:firstLine="4677" w:firstLineChars="1886"/>
        <w:jc w:val="lef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w:t>
      </w:r>
    </w:p>
    <w:p w14:paraId="0F930096">
      <w:pPr>
        <w:autoSpaceDE w:val="0"/>
        <w:autoSpaceDN w:val="0"/>
        <w:adjustRightInd w:val="0"/>
        <w:spacing w:line="360" w:lineRule="auto"/>
        <w:ind w:firstLine="4677" w:firstLineChars="1886"/>
        <w:jc w:val="left"/>
        <w:rPr>
          <w:rFonts w:hint="eastAsia" w:ascii="宋体" w:hAnsi="宋体" w:cs="宋体"/>
          <w:color w:val="auto"/>
          <w:sz w:val="24"/>
          <w:szCs w:val="24"/>
          <w:highlight w:val="none"/>
        </w:rPr>
      </w:pPr>
      <w:r>
        <w:rPr>
          <w:rFonts w:hint="eastAsia" w:ascii="宋体" w:hAnsi="宋体" w:cs="宋体"/>
          <w:color w:val="auto"/>
          <w:spacing w:val="4"/>
          <w:kern w:val="0"/>
          <w:sz w:val="24"/>
          <w:szCs w:val="24"/>
          <w:highlight w:val="none"/>
        </w:rPr>
        <w:t>日   期：    年    月    日</w:t>
      </w:r>
    </w:p>
    <w:p w14:paraId="7D50221E">
      <w:pPr>
        <w:autoSpaceDE w:val="0"/>
        <w:autoSpaceDN w:val="0"/>
        <w:adjustRightInd w:val="0"/>
        <w:spacing w:line="360" w:lineRule="auto"/>
        <w:jc w:val="right"/>
        <w:rPr>
          <w:rFonts w:hint="eastAsia" w:ascii="宋体" w:hAnsi="宋体" w:cs="宋体"/>
          <w:color w:val="auto"/>
          <w:sz w:val="24"/>
          <w:szCs w:val="24"/>
          <w:highlight w:val="none"/>
        </w:rPr>
      </w:pPr>
    </w:p>
    <w:p w14:paraId="47C65EB2">
      <w:pPr>
        <w:spacing w:line="360" w:lineRule="auto"/>
        <w:rPr>
          <w:rFonts w:hint="eastAsia" w:ascii="宋体" w:hAnsi="宋体" w:cs="宋体"/>
          <w:color w:val="auto"/>
          <w:highlight w:val="none"/>
        </w:rPr>
      </w:pPr>
      <w:r>
        <w:rPr>
          <w:rFonts w:hint="eastAsia" w:ascii="宋体" w:hAnsi="宋体" w:cs="宋体"/>
          <w:color w:val="auto"/>
          <w:highlight w:val="none"/>
        </w:rPr>
        <w:br w:type="page"/>
      </w:r>
    </w:p>
    <w:p w14:paraId="1B212132">
      <w:pPr>
        <w:spacing w:line="360" w:lineRule="auto"/>
        <w:rPr>
          <w:rFonts w:hint="eastAsia" w:ascii="宋体" w:hAnsi="宋体" w:cs="宋体"/>
          <w:b/>
          <w:bCs/>
          <w:color w:val="auto"/>
          <w:sz w:val="27"/>
          <w:szCs w:val="27"/>
          <w:highlight w:val="none"/>
        </w:rPr>
      </w:pPr>
      <w:bookmarkStart w:id="258" w:name="_Toc60070626"/>
      <w:r>
        <w:rPr>
          <w:rFonts w:hint="eastAsia" w:ascii="宋体" w:hAnsi="宋体" w:cs="宋体"/>
          <w:b/>
          <w:bCs/>
          <w:color w:val="auto"/>
          <w:sz w:val="27"/>
          <w:szCs w:val="27"/>
          <w:highlight w:val="none"/>
        </w:rPr>
        <w:t>格式六：</w:t>
      </w:r>
      <w:bookmarkEnd w:id="258"/>
    </w:p>
    <w:p w14:paraId="3F4667BC">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企业业绩信息表</w:t>
      </w:r>
    </w:p>
    <w:p w14:paraId="664B25BF">
      <w:pPr>
        <w:spacing w:line="360" w:lineRule="auto"/>
        <w:rPr>
          <w:rFonts w:hint="eastAsia" w:ascii="宋体" w:hAnsi="宋体" w:cs="宋体"/>
          <w:color w:val="auto"/>
          <w:sz w:val="24"/>
          <w:szCs w:val="24"/>
          <w:highlight w:val="none"/>
        </w:rPr>
      </w:pPr>
    </w:p>
    <w:tbl>
      <w:tblPr>
        <w:tblStyle w:val="25"/>
        <w:tblpPr w:leftFromText="180" w:rightFromText="180" w:vertAnchor="text" w:horzAnchor="margin" w:tblpXSpec="center" w:tblpY="-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821"/>
        <w:gridCol w:w="2821"/>
        <w:gridCol w:w="2822"/>
      </w:tblGrid>
      <w:tr w14:paraId="71DD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92" w:type="dxa"/>
            <w:vMerge w:val="restart"/>
            <w:tcBorders>
              <w:top w:val="single" w:color="auto" w:sz="4" w:space="0"/>
              <w:left w:val="single" w:color="auto" w:sz="4" w:space="0"/>
              <w:right w:val="single" w:color="auto" w:sz="4" w:space="0"/>
            </w:tcBorders>
            <w:vAlign w:val="center"/>
          </w:tcPr>
          <w:p w14:paraId="72AFF584">
            <w:pPr>
              <w:widowControl/>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类似工程业绩</w:t>
            </w:r>
          </w:p>
        </w:tc>
        <w:tc>
          <w:tcPr>
            <w:tcW w:w="2821" w:type="dxa"/>
            <w:tcBorders>
              <w:top w:val="single" w:color="auto" w:sz="4" w:space="0"/>
              <w:left w:val="single" w:color="auto" w:sz="4" w:space="0"/>
              <w:right w:val="single" w:color="auto" w:sz="4" w:space="0"/>
            </w:tcBorders>
            <w:vAlign w:val="center"/>
          </w:tcPr>
          <w:p w14:paraId="52C8A545">
            <w:pPr>
              <w:autoSpaceDE w:val="0"/>
              <w:autoSpaceDN w:val="0"/>
              <w:adjustRightIn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工程名称</w:t>
            </w:r>
          </w:p>
        </w:tc>
        <w:tc>
          <w:tcPr>
            <w:tcW w:w="2821" w:type="dxa"/>
            <w:tcBorders>
              <w:top w:val="single" w:color="auto" w:sz="4" w:space="0"/>
              <w:left w:val="single" w:color="auto" w:sz="4" w:space="0"/>
              <w:bottom w:val="single" w:color="auto" w:sz="4" w:space="0"/>
              <w:right w:val="single" w:color="auto" w:sz="4" w:space="0"/>
            </w:tcBorders>
            <w:vAlign w:val="center"/>
          </w:tcPr>
          <w:p w14:paraId="27BAC40F">
            <w:pPr>
              <w:autoSpaceDE w:val="0"/>
              <w:autoSpaceDN w:val="0"/>
              <w:adjustRightIn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 金额</w:t>
            </w:r>
          </w:p>
        </w:tc>
        <w:tc>
          <w:tcPr>
            <w:tcW w:w="2822" w:type="dxa"/>
            <w:tcBorders>
              <w:top w:val="single" w:color="auto" w:sz="4" w:space="0"/>
              <w:left w:val="single" w:color="auto" w:sz="4" w:space="0"/>
              <w:bottom w:val="single" w:color="auto" w:sz="4" w:space="0"/>
              <w:right w:val="single" w:color="auto" w:sz="4" w:space="0"/>
            </w:tcBorders>
            <w:vAlign w:val="center"/>
          </w:tcPr>
          <w:p w14:paraId="0C0A675B">
            <w:pPr>
              <w:autoSpaceDE w:val="0"/>
              <w:autoSpaceDN w:val="0"/>
              <w:adjustRightIn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项目编号</w:t>
            </w:r>
          </w:p>
        </w:tc>
      </w:tr>
      <w:tr w14:paraId="2087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92" w:type="dxa"/>
            <w:vMerge w:val="continue"/>
            <w:tcBorders>
              <w:left w:val="single" w:color="auto" w:sz="4" w:space="0"/>
              <w:right w:val="single" w:color="auto" w:sz="4" w:space="0"/>
            </w:tcBorders>
            <w:vAlign w:val="center"/>
          </w:tcPr>
          <w:p w14:paraId="6FDC0D71">
            <w:pPr>
              <w:widowControl/>
              <w:spacing w:line="360" w:lineRule="auto"/>
              <w:jc w:val="center"/>
              <w:rPr>
                <w:rFonts w:hint="eastAsia" w:ascii="宋体" w:hAnsi="宋体" w:cs="宋体"/>
                <w:bCs/>
                <w:color w:val="auto"/>
                <w:sz w:val="24"/>
                <w:szCs w:val="24"/>
                <w:highlight w:val="none"/>
                <w:lang w:val="zh-CN"/>
              </w:rPr>
            </w:pPr>
          </w:p>
        </w:tc>
        <w:tc>
          <w:tcPr>
            <w:tcW w:w="2821" w:type="dxa"/>
            <w:tcBorders>
              <w:left w:val="single" w:color="auto" w:sz="4" w:space="0"/>
              <w:right w:val="single" w:color="auto" w:sz="4" w:space="0"/>
            </w:tcBorders>
            <w:vAlign w:val="center"/>
          </w:tcPr>
          <w:p w14:paraId="745B5D1B">
            <w:pPr>
              <w:autoSpaceDE w:val="0"/>
              <w:autoSpaceDN w:val="0"/>
              <w:adjustRightInd w:val="0"/>
              <w:spacing w:line="360" w:lineRule="auto"/>
              <w:jc w:val="center"/>
              <w:rPr>
                <w:rFonts w:hint="eastAsia" w:ascii="宋体" w:hAnsi="宋体" w:cs="宋体"/>
                <w:bCs/>
                <w:color w:val="auto"/>
                <w:sz w:val="24"/>
                <w:szCs w:val="24"/>
                <w:highlight w:val="none"/>
                <w:lang w:val="zh-CN"/>
              </w:rPr>
            </w:pPr>
          </w:p>
        </w:tc>
        <w:tc>
          <w:tcPr>
            <w:tcW w:w="2821" w:type="dxa"/>
            <w:tcBorders>
              <w:top w:val="single" w:color="auto" w:sz="4" w:space="0"/>
              <w:left w:val="single" w:color="auto" w:sz="4" w:space="0"/>
              <w:bottom w:val="single" w:color="auto" w:sz="4" w:space="0"/>
              <w:right w:val="single" w:color="auto" w:sz="4" w:space="0"/>
            </w:tcBorders>
            <w:vAlign w:val="center"/>
          </w:tcPr>
          <w:p w14:paraId="163E3745">
            <w:pPr>
              <w:autoSpaceDE w:val="0"/>
              <w:autoSpaceDN w:val="0"/>
              <w:adjustRightInd w:val="0"/>
              <w:spacing w:line="360" w:lineRule="auto"/>
              <w:jc w:val="center"/>
              <w:rPr>
                <w:rFonts w:hint="eastAsia" w:ascii="宋体" w:hAnsi="宋体" w:cs="宋体"/>
                <w:bCs/>
                <w:color w:val="auto"/>
                <w:sz w:val="24"/>
                <w:szCs w:val="24"/>
                <w:highlight w:val="none"/>
                <w:lang w:val="zh-CN"/>
              </w:rPr>
            </w:pPr>
          </w:p>
        </w:tc>
        <w:tc>
          <w:tcPr>
            <w:tcW w:w="2822" w:type="dxa"/>
            <w:tcBorders>
              <w:top w:val="single" w:color="auto" w:sz="4" w:space="0"/>
              <w:left w:val="single" w:color="auto" w:sz="4" w:space="0"/>
              <w:bottom w:val="single" w:color="auto" w:sz="4" w:space="0"/>
              <w:right w:val="single" w:color="auto" w:sz="4" w:space="0"/>
            </w:tcBorders>
            <w:vAlign w:val="center"/>
          </w:tcPr>
          <w:p w14:paraId="2A3FF4BC">
            <w:pPr>
              <w:autoSpaceDE w:val="0"/>
              <w:autoSpaceDN w:val="0"/>
              <w:adjustRightInd w:val="0"/>
              <w:spacing w:line="360" w:lineRule="auto"/>
              <w:jc w:val="center"/>
              <w:rPr>
                <w:rFonts w:hint="eastAsia" w:ascii="宋体" w:hAnsi="宋体" w:cs="宋体"/>
                <w:bCs/>
                <w:color w:val="auto"/>
                <w:sz w:val="24"/>
                <w:szCs w:val="24"/>
                <w:highlight w:val="none"/>
                <w:lang w:val="zh-CN"/>
              </w:rPr>
            </w:pPr>
          </w:p>
        </w:tc>
      </w:tr>
      <w:tr w14:paraId="0C7B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92" w:type="dxa"/>
            <w:vMerge w:val="continue"/>
            <w:tcBorders>
              <w:left w:val="single" w:color="auto" w:sz="4" w:space="0"/>
              <w:right w:val="single" w:color="auto" w:sz="4" w:space="0"/>
            </w:tcBorders>
            <w:vAlign w:val="center"/>
          </w:tcPr>
          <w:p w14:paraId="3C585FA7">
            <w:pPr>
              <w:widowControl/>
              <w:spacing w:line="360" w:lineRule="auto"/>
              <w:jc w:val="center"/>
              <w:rPr>
                <w:rFonts w:hint="eastAsia" w:ascii="宋体" w:hAnsi="宋体" w:cs="宋体"/>
                <w:bCs/>
                <w:color w:val="auto"/>
                <w:sz w:val="24"/>
                <w:szCs w:val="24"/>
                <w:highlight w:val="none"/>
                <w:lang w:val="zh-CN"/>
              </w:rPr>
            </w:pPr>
          </w:p>
        </w:tc>
        <w:tc>
          <w:tcPr>
            <w:tcW w:w="2821" w:type="dxa"/>
            <w:tcBorders>
              <w:left w:val="single" w:color="auto" w:sz="4" w:space="0"/>
              <w:right w:val="single" w:color="auto" w:sz="4" w:space="0"/>
            </w:tcBorders>
            <w:vAlign w:val="center"/>
          </w:tcPr>
          <w:p w14:paraId="02AD9FB4">
            <w:pPr>
              <w:autoSpaceDE w:val="0"/>
              <w:autoSpaceDN w:val="0"/>
              <w:adjustRightInd w:val="0"/>
              <w:spacing w:line="360" w:lineRule="auto"/>
              <w:jc w:val="center"/>
              <w:rPr>
                <w:rFonts w:hint="eastAsia" w:ascii="宋体" w:hAnsi="宋体" w:cs="宋体"/>
                <w:bCs/>
                <w:color w:val="auto"/>
                <w:sz w:val="24"/>
                <w:szCs w:val="24"/>
                <w:highlight w:val="none"/>
                <w:lang w:val="zh-CN"/>
              </w:rPr>
            </w:pPr>
          </w:p>
        </w:tc>
        <w:tc>
          <w:tcPr>
            <w:tcW w:w="2821" w:type="dxa"/>
            <w:tcBorders>
              <w:top w:val="single" w:color="auto" w:sz="4" w:space="0"/>
              <w:left w:val="single" w:color="auto" w:sz="4" w:space="0"/>
              <w:bottom w:val="single" w:color="auto" w:sz="4" w:space="0"/>
              <w:right w:val="single" w:color="auto" w:sz="4" w:space="0"/>
            </w:tcBorders>
            <w:vAlign w:val="center"/>
          </w:tcPr>
          <w:p w14:paraId="6EE1645C">
            <w:pPr>
              <w:autoSpaceDE w:val="0"/>
              <w:autoSpaceDN w:val="0"/>
              <w:adjustRightInd w:val="0"/>
              <w:spacing w:line="360" w:lineRule="auto"/>
              <w:jc w:val="center"/>
              <w:rPr>
                <w:rFonts w:hint="eastAsia" w:ascii="宋体" w:hAnsi="宋体" w:cs="宋体"/>
                <w:bCs/>
                <w:color w:val="auto"/>
                <w:sz w:val="24"/>
                <w:szCs w:val="24"/>
                <w:highlight w:val="none"/>
                <w:lang w:val="zh-CN"/>
              </w:rPr>
            </w:pPr>
          </w:p>
        </w:tc>
        <w:tc>
          <w:tcPr>
            <w:tcW w:w="2822" w:type="dxa"/>
            <w:tcBorders>
              <w:top w:val="single" w:color="auto" w:sz="4" w:space="0"/>
              <w:left w:val="single" w:color="auto" w:sz="4" w:space="0"/>
              <w:bottom w:val="single" w:color="auto" w:sz="4" w:space="0"/>
              <w:right w:val="single" w:color="auto" w:sz="4" w:space="0"/>
            </w:tcBorders>
            <w:vAlign w:val="center"/>
          </w:tcPr>
          <w:p w14:paraId="3B9ADE04">
            <w:pPr>
              <w:autoSpaceDE w:val="0"/>
              <w:autoSpaceDN w:val="0"/>
              <w:adjustRightInd w:val="0"/>
              <w:spacing w:line="360" w:lineRule="auto"/>
              <w:jc w:val="center"/>
              <w:rPr>
                <w:rFonts w:hint="eastAsia" w:ascii="宋体" w:hAnsi="宋体" w:cs="宋体"/>
                <w:bCs/>
                <w:color w:val="auto"/>
                <w:sz w:val="24"/>
                <w:szCs w:val="24"/>
                <w:highlight w:val="none"/>
                <w:lang w:val="zh-CN"/>
              </w:rPr>
            </w:pPr>
          </w:p>
        </w:tc>
      </w:tr>
      <w:tr w14:paraId="1720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92" w:type="dxa"/>
            <w:vMerge w:val="restart"/>
            <w:tcBorders>
              <w:left w:val="single" w:color="auto" w:sz="4" w:space="0"/>
              <w:right w:val="single" w:color="auto" w:sz="4" w:space="0"/>
            </w:tcBorders>
            <w:vAlign w:val="center"/>
          </w:tcPr>
          <w:p w14:paraId="22F2D409">
            <w:pPr>
              <w:widowControl/>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获奖情况</w:t>
            </w:r>
          </w:p>
        </w:tc>
        <w:tc>
          <w:tcPr>
            <w:tcW w:w="2821" w:type="dxa"/>
            <w:tcBorders>
              <w:left w:val="single" w:color="auto" w:sz="4" w:space="0"/>
              <w:right w:val="single" w:color="auto" w:sz="4" w:space="0"/>
            </w:tcBorders>
            <w:vAlign w:val="center"/>
          </w:tcPr>
          <w:p w14:paraId="7D7EEF3A">
            <w:pPr>
              <w:autoSpaceDE w:val="0"/>
              <w:autoSpaceDN w:val="0"/>
              <w:adjustRightIn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工程名称</w:t>
            </w:r>
          </w:p>
        </w:tc>
        <w:tc>
          <w:tcPr>
            <w:tcW w:w="2821" w:type="dxa"/>
            <w:tcBorders>
              <w:top w:val="single" w:color="auto" w:sz="4" w:space="0"/>
              <w:left w:val="single" w:color="auto" w:sz="4" w:space="0"/>
              <w:bottom w:val="single" w:color="auto" w:sz="4" w:space="0"/>
              <w:right w:val="single" w:color="auto" w:sz="4" w:space="0"/>
            </w:tcBorders>
            <w:vAlign w:val="center"/>
          </w:tcPr>
          <w:p w14:paraId="73A91067">
            <w:pPr>
              <w:autoSpaceDE w:val="0"/>
              <w:autoSpaceDN w:val="0"/>
              <w:adjustRightIn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所获奖项</w:t>
            </w:r>
          </w:p>
        </w:tc>
        <w:tc>
          <w:tcPr>
            <w:tcW w:w="2822" w:type="dxa"/>
            <w:tcBorders>
              <w:top w:val="single" w:color="auto" w:sz="4" w:space="0"/>
              <w:left w:val="single" w:color="auto" w:sz="4" w:space="0"/>
              <w:bottom w:val="single" w:color="auto" w:sz="4" w:space="0"/>
              <w:right w:val="single" w:color="auto" w:sz="4" w:space="0"/>
            </w:tcBorders>
            <w:vAlign w:val="center"/>
          </w:tcPr>
          <w:p w14:paraId="2C3EE2DF">
            <w:pPr>
              <w:autoSpaceDE w:val="0"/>
              <w:autoSpaceDN w:val="0"/>
              <w:adjustRightIn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备注</w:t>
            </w:r>
          </w:p>
        </w:tc>
      </w:tr>
      <w:tr w14:paraId="1B99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92" w:type="dxa"/>
            <w:vMerge w:val="continue"/>
            <w:tcBorders>
              <w:left w:val="single" w:color="auto" w:sz="4" w:space="0"/>
              <w:right w:val="single" w:color="auto" w:sz="4" w:space="0"/>
            </w:tcBorders>
            <w:vAlign w:val="center"/>
          </w:tcPr>
          <w:p w14:paraId="3B1D89DC">
            <w:pPr>
              <w:widowControl/>
              <w:spacing w:line="360" w:lineRule="auto"/>
              <w:jc w:val="center"/>
              <w:rPr>
                <w:rFonts w:hint="eastAsia" w:ascii="宋体" w:hAnsi="宋体" w:cs="宋体"/>
                <w:bCs/>
                <w:color w:val="auto"/>
                <w:sz w:val="24"/>
                <w:szCs w:val="24"/>
                <w:highlight w:val="none"/>
                <w:lang w:val="zh-CN"/>
              </w:rPr>
            </w:pPr>
          </w:p>
        </w:tc>
        <w:tc>
          <w:tcPr>
            <w:tcW w:w="2821" w:type="dxa"/>
            <w:tcBorders>
              <w:left w:val="single" w:color="auto" w:sz="4" w:space="0"/>
              <w:right w:val="single" w:color="auto" w:sz="4" w:space="0"/>
            </w:tcBorders>
          </w:tcPr>
          <w:p w14:paraId="03608067">
            <w:pPr>
              <w:autoSpaceDE w:val="0"/>
              <w:autoSpaceDN w:val="0"/>
              <w:adjustRightInd w:val="0"/>
              <w:spacing w:line="360" w:lineRule="auto"/>
              <w:jc w:val="center"/>
              <w:rPr>
                <w:rFonts w:hint="eastAsia" w:ascii="宋体" w:hAnsi="宋体" w:cs="宋体"/>
                <w:bCs/>
                <w:color w:val="auto"/>
                <w:sz w:val="24"/>
                <w:szCs w:val="24"/>
                <w:highlight w:val="none"/>
                <w:lang w:val="zh-CN"/>
              </w:rPr>
            </w:pPr>
          </w:p>
        </w:tc>
        <w:tc>
          <w:tcPr>
            <w:tcW w:w="2821" w:type="dxa"/>
            <w:tcBorders>
              <w:top w:val="single" w:color="auto" w:sz="4" w:space="0"/>
              <w:left w:val="single" w:color="auto" w:sz="4" w:space="0"/>
              <w:bottom w:val="single" w:color="auto" w:sz="4" w:space="0"/>
              <w:right w:val="single" w:color="auto" w:sz="4" w:space="0"/>
            </w:tcBorders>
            <w:vAlign w:val="center"/>
          </w:tcPr>
          <w:p w14:paraId="06A47591">
            <w:pPr>
              <w:autoSpaceDE w:val="0"/>
              <w:autoSpaceDN w:val="0"/>
              <w:adjustRightInd w:val="0"/>
              <w:spacing w:line="360" w:lineRule="auto"/>
              <w:jc w:val="center"/>
              <w:rPr>
                <w:rFonts w:hint="eastAsia" w:ascii="宋体" w:hAnsi="宋体" w:cs="宋体"/>
                <w:bCs/>
                <w:color w:val="auto"/>
                <w:sz w:val="24"/>
                <w:szCs w:val="24"/>
                <w:highlight w:val="none"/>
                <w:lang w:val="zh-CN"/>
              </w:rPr>
            </w:pPr>
          </w:p>
        </w:tc>
        <w:tc>
          <w:tcPr>
            <w:tcW w:w="2822" w:type="dxa"/>
            <w:tcBorders>
              <w:top w:val="single" w:color="auto" w:sz="4" w:space="0"/>
              <w:left w:val="single" w:color="auto" w:sz="4" w:space="0"/>
              <w:bottom w:val="single" w:color="auto" w:sz="4" w:space="0"/>
              <w:right w:val="single" w:color="auto" w:sz="4" w:space="0"/>
            </w:tcBorders>
            <w:vAlign w:val="center"/>
          </w:tcPr>
          <w:p w14:paraId="5997F31D">
            <w:pPr>
              <w:autoSpaceDE w:val="0"/>
              <w:autoSpaceDN w:val="0"/>
              <w:adjustRightInd w:val="0"/>
              <w:spacing w:line="360" w:lineRule="auto"/>
              <w:jc w:val="center"/>
              <w:rPr>
                <w:rFonts w:hint="eastAsia" w:ascii="宋体" w:hAnsi="宋体" w:cs="宋体"/>
                <w:bCs/>
                <w:color w:val="auto"/>
                <w:sz w:val="24"/>
                <w:szCs w:val="24"/>
                <w:highlight w:val="none"/>
                <w:lang w:val="zh-CN"/>
              </w:rPr>
            </w:pPr>
          </w:p>
        </w:tc>
      </w:tr>
      <w:tr w14:paraId="652B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92" w:type="dxa"/>
            <w:vMerge w:val="continue"/>
            <w:tcBorders>
              <w:left w:val="single" w:color="auto" w:sz="4" w:space="0"/>
              <w:right w:val="single" w:color="auto" w:sz="4" w:space="0"/>
            </w:tcBorders>
            <w:vAlign w:val="center"/>
          </w:tcPr>
          <w:p w14:paraId="539C8480">
            <w:pPr>
              <w:widowControl/>
              <w:spacing w:line="360" w:lineRule="auto"/>
              <w:jc w:val="center"/>
              <w:rPr>
                <w:rFonts w:hint="eastAsia" w:ascii="宋体" w:hAnsi="宋体" w:cs="宋体"/>
                <w:bCs/>
                <w:color w:val="auto"/>
                <w:sz w:val="24"/>
                <w:szCs w:val="24"/>
                <w:highlight w:val="none"/>
                <w:lang w:val="zh-CN"/>
              </w:rPr>
            </w:pPr>
          </w:p>
        </w:tc>
        <w:tc>
          <w:tcPr>
            <w:tcW w:w="2821" w:type="dxa"/>
            <w:tcBorders>
              <w:left w:val="single" w:color="auto" w:sz="4" w:space="0"/>
              <w:right w:val="single" w:color="auto" w:sz="4" w:space="0"/>
            </w:tcBorders>
          </w:tcPr>
          <w:p w14:paraId="12F9D641">
            <w:pPr>
              <w:autoSpaceDE w:val="0"/>
              <w:autoSpaceDN w:val="0"/>
              <w:adjustRightInd w:val="0"/>
              <w:spacing w:line="360" w:lineRule="auto"/>
              <w:jc w:val="center"/>
              <w:rPr>
                <w:rFonts w:hint="eastAsia" w:ascii="宋体" w:hAnsi="宋体" w:cs="宋体"/>
                <w:bCs/>
                <w:color w:val="auto"/>
                <w:sz w:val="24"/>
                <w:szCs w:val="24"/>
                <w:highlight w:val="none"/>
                <w:lang w:val="zh-CN"/>
              </w:rPr>
            </w:pPr>
          </w:p>
        </w:tc>
        <w:tc>
          <w:tcPr>
            <w:tcW w:w="2821" w:type="dxa"/>
            <w:tcBorders>
              <w:top w:val="single" w:color="auto" w:sz="4" w:space="0"/>
              <w:left w:val="single" w:color="auto" w:sz="4" w:space="0"/>
              <w:bottom w:val="single" w:color="auto" w:sz="4" w:space="0"/>
              <w:right w:val="single" w:color="auto" w:sz="4" w:space="0"/>
            </w:tcBorders>
            <w:vAlign w:val="center"/>
          </w:tcPr>
          <w:p w14:paraId="0B84F1F9">
            <w:pPr>
              <w:autoSpaceDE w:val="0"/>
              <w:autoSpaceDN w:val="0"/>
              <w:adjustRightInd w:val="0"/>
              <w:spacing w:line="360" w:lineRule="auto"/>
              <w:jc w:val="center"/>
              <w:rPr>
                <w:rFonts w:hint="eastAsia" w:ascii="宋体" w:hAnsi="宋体" w:cs="宋体"/>
                <w:bCs/>
                <w:color w:val="auto"/>
                <w:sz w:val="24"/>
                <w:szCs w:val="24"/>
                <w:highlight w:val="none"/>
                <w:lang w:val="zh-CN"/>
              </w:rPr>
            </w:pPr>
          </w:p>
        </w:tc>
        <w:tc>
          <w:tcPr>
            <w:tcW w:w="2822" w:type="dxa"/>
            <w:tcBorders>
              <w:top w:val="single" w:color="auto" w:sz="4" w:space="0"/>
              <w:left w:val="single" w:color="auto" w:sz="4" w:space="0"/>
              <w:bottom w:val="single" w:color="auto" w:sz="4" w:space="0"/>
              <w:right w:val="single" w:color="auto" w:sz="4" w:space="0"/>
            </w:tcBorders>
            <w:vAlign w:val="center"/>
          </w:tcPr>
          <w:p w14:paraId="63645BA6">
            <w:pPr>
              <w:autoSpaceDE w:val="0"/>
              <w:autoSpaceDN w:val="0"/>
              <w:adjustRightInd w:val="0"/>
              <w:spacing w:line="360" w:lineRule="auto"/>
              <w:jc w:val="center"/>
              <w:rPr>
                <w:rFonts w:hint="eastAsia" w:ascii="宋体" w:hAnsi="宋体" w:cs="宋体"/>
                <w:bCs/>
                <w:color w:val="auto"/>
                <w:sz w:val="24"/>
                <w:szCs w:val="24"/>
                <w:highlight w:val="none"/>
                <w:lang w:val="zh-CN"/>
              </w:rPr>
            </w:pPr>
          </w:p>
        </w:tc>
      </w:tr>
    </w:tbl>
    <w:p w14:paraId="6C8C0432">
      <w:pPr>
        <w:spacing w:line="360" w:lineRule="auto"/>
        <w:jc w:val="left"/>
        <w:rPr>
          <w:rFonts w:hint="eastAsia" w:ascii="宋体" w:hAnsi="宋体" w:cs="宋体"/>
          <w:bCs/>
          <w:color w:val="auto"/>
          <w:szCs w:val="24"/>
          <w:highlight w:val="none"/>
        </w:rPr>
      </w:pPr>
    </w:p>
    <w:p w14:paraId="49D2FF4B">
      <w:pPr>
        <w:autoSpaceDE w:val="0"/>
        <w:autoSpaceDN w:val="0"/>
        <w:adjustRightInd w:val="0"/>
        <w:spacing w:line="360" w:lineRule="auto"/>
        <w:rPr>
          <w:rFonts w:hint="eastAsia" w:ascii="宋体" w:hAnsi="宋体" w:cs="宋体"/>
          <w:color w:val="auto"/>
          <w:sz w:val="24"/>
          <w:szCs w:val="24"/>
          <w:highlight w:val="none"/>
        </w:rPr>
      </w:pPr>
    </w:p>
    <w:p w14:paraId="3515ACA1">
      <w:pPr>
        <w:spacing w:line="360" w:lineRule="auto"/>
        <w:rPr>
          <w:rFonts w:hint="eastAsia" w:ascii="宋体" w:hAnsi="宋体" w:cs="宋体"/>
          <w:color w:val="auto"/>
          <w:highlight w:val="none"/>
        </w:rPr>
      </w:pPr>
      <w:r>
        <w:rPr>
          <w:rFonts w:hint="eastAsia" w:ascii="宋体" w:hAnsi="宋体" w:cs="宋体"/>
          <w:color w:val="auto"/>
          <w:highlight w:val="none"/>
        </w:rPr>
        <w:br w:type="page"/>
      </w:r>
    </w:p>
    <w:p w14:paraId="10DE392E">
      <w:pPr>
        <w:spacing w:line="360" w:lineRule="auto"/>
        <w:rPr>
          <w:rFonts w:hint="eastAsia" w:ascii="宋体" w:hAnsi="宋体" w:cs="宋体"/>
          <w:b/>
          <w:bCs/>
          <w:color w:val="auto"/>
          <w:sz w:val="27"/>
          <w:szCs w:val="27"/>
          <w:highlight w:val="none"/>
          <w:lang w:val="zh-CN"/>
        </w:rPr>
      </w:pPr>
      <w:bookmarkStart w:id="259" w:name="_Toc60070629"/>
      <w:r>
        <w:rPr>
          <w:rFonts w:hint="eastAsia" w:ascii="宋体" w:hAnsi="宋体" w:cs="宋体"/>
          <w:b/>
          <w:bCs/>
          <w:color w:val="auto"/>
          <w:sz w:val="27"/>
          <w:szCs w:val="27"/>
          <w:highlight w:val="none"/>
        </w:rPr>
        <w:t>格式七：</w:t>
      </w:r>
      <w:bookmarkEnd w:id="259"/>
    </w:p>
    <w:p w14:paraId="46729EBA">
      <w:pPr>
        <w:autoSpaceDE w:val="0"/>
        <w:autoSpaceDN w:val="0"/>
        <w:adjustRightIn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拟投入本工程施工的主要机械设备配备表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
        <w:gridCol w:w="2856"/>
        <w:gridCol w:w="2024"/>
        <w:gridCol w:w="1559"/>
        <w:gridCol w:w="1545"/>
      </w:tblGrid>
      <w:tr w14:paraId="06871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31756CF9">
            <w:pPr>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序</w:t>
            </w:r>
          </w:p>
          <w:p w14:paraId="41F91702">
            <w:pPr>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号</w:t>
            </w:r>
          </w:p>
        </w:tc>
        <w:tc>
          <w:tcPr>
            <w:tcW w:w="2856" w:type="dxa"/>
            <w:tcBorders>
              <w:top w:val="single" w:color="auto" w:sz="4" w:space="0"/>
              <w:left w:val="single" w:color="auto" w:sz="4" w:space="0"/>
              <w:bottom w:val="single" w:color="auto" w:sz="4" w:space="0"/>
              <w:right w:val="single" w:color="auto" w:sz="4" w:space="0"/>
            </w:tcBorders>
            <w:vAlign w:val="center"/>
          </w:tcPr>
          <w:p w14:paraId="3A958785">
            <w:pPr>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设备名称</w:t>
            </w:r>
          </w:p>
        </w:tc>
        <w:tc>
          <w:tcPr>
            <w:tcW w:w="2024" w:type="dxa"/>
            <w:tcBorders>
              <w:top w:val="single" w:color="auto" w:sz="4" w:space="0"/>
              <w:left w:val="single" w:color="auto" w:sz="4" w:space="0"/>
              <w:bottom w:val="single" w:color="auto" w:sz="4" w:space="0"/>
              <w:right w:val="single" w:color="auto" w:sz="4" w:space="0"/>
            </w:tcBorders>
            <w:vAlign w:val="center"/>
          </w:tcPr>
          <w:p w14:paraId="375BB3B4">
            <w:pPr>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投入总数量</w:t>
            </w:r>
          </w:p>
        </w:tc>
        <w:tc>
          <w:tcPr>
            <w:tcW w:w="1559" w:type="dxa"/>
            <w:tcBorders>
              <w:top w:val="single" w:color="auto" w:sz="4" w:space="0"/>
              <w:left w:val="single" w:color="auto" w:sz="4" w:space="0"/>
              <w:bottom w:val="single" w:color="auto" w:sz="4" w:space="0"/>
              <w:right w:val="single" w:color="auto" w:sz="4" w:space="0"/>
            </w:tcBorders>
            <w:vAlign w:val="center"/>
          </w:tcPr>
          <w:p w14:paraId="4D834FCC">
            <w:pPr>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来源</w:t>
            </w:r>
          </w:p>
          <w:p w14:paraId="30093379">
            <w:pPr>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(自有/</w:t>
            </w:r>
          </w:p>
          <w:p w14:paraId="372FAD81">
            <w:pPr>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租赁)</w:t>
            </w:r>
          </w:p>
        </w:tc>
        <w:tc>
          <w:tcPr>
            <w:tcW w:w="1545" w:type="dxa"/>
            <w:tcBorders>
              <w:top w:val="single" w:color="auto" w:sz="4" w:space="0"/>
              <w:left w:val="single" w:color="auto" w:sz="4" w:space="0"/>
              <w:bottom w:val="single" w:color="auto" w:sz="4" w:space="0"/>
              <w:right w:val="single" w:color="auto" w:sz="4" w:space="0"/>
            </w:tcBorders>
            <w:vAlign w:val="center"/>
          </w:tcPr>
          <w:p w14:paraId="664A18BF">
            <w:pPr>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2D21D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68727C5F">
            <w:pPr>
              <w:spacing w:line="360" w:lineRule="auto"/>
              <w:jc w:val="center"/>
              <w:textAlignment w:val="center"/>
              <w:rPr>
                <w:rFonts w:hint="eastAsia"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0D7ED37D">
            <w:pPr>
              <w:spacing w:line="360" w:lineRule="auto"/>
              <w:jc w:val="center"/>
              <w:textAlignment w:val="center"/>
              <w:rPr>
                <w:rFonts w:hint="eastAsia"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288461D0">
            <w:pPr>
              <w:spacing w:line="360" w:lineRule="auto"/>
              <w:jc w:val="center"/>
              <w:textAlignment w:val="center"/>
              <w:rPr>
                <w:rFonts w:hint="eastAsia" w:ascii="宋体"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3267CBB">
            <w:pPr>
              <w:spacing w:line="360" w:lineRule="auto"/>
              <w:jc w:val="center"/>
              <w:textAlignment w:val="center"/>
              <w:rPr>
                <w:rFonts w:hint="eastAsia" w:ascii="宋体" w:hAnsi="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70C573E6">
            <w:pPr>
              <w:spacing w:line="360" w:lineRule="auto"/>
              <w:jc w:val="center"/>
              <w:textAlignment w:val="center"/>
              <w:rPr>
                <w:rFonts w:hint="eastAsia" w:ascii="宋体" w:hAnsi="宋体" w:cs="宋体"/>
                <w:color w:val="auto"/>
                <w:szCs w:val="21"/>
                <w:highlight w:val="none"/>
              </w:rPr>
            </w:pPr>
          </w:p>
        </w:tc>
      </w:tr>
      <w:tr w14:paraId="7FD7D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673ACE2F">
            <w:pPr>
              <w:spacing w:line="360" w:lineRule="auto"/>
              <w:jc w:val="center"/>
              <w:textAlignment w:val="center"/>
              <w:rPr>
                <w:rFonts w:hint="eastAsia"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5537A6F0">
            <w:pPr>
              <w:spacing w:line="360" w:lineRule="auto"/>
              <w:jc w:val="center"/>
              <w:textAlignment w:val="center"/>
              <w:rPr>
                <w:rFonts w:hint="eastAsia"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6C3AC3D9">
            <w:pPr>
              <w:spacing w:line="360" w:lineRule="auto"/>
              <w:jc w:val="center"/>
              <w:textAlignment w:val="center"/>
              <w:rPr>
                <w:rFonts w:hint="eastAsia" w:ascii="宋体"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7FB244B">
            <w:pPr>
              <w:spacing w:line="360" w:lineRule="auto"/>
              <w:jc w:val="center"/>
              <w:textAlignment w:val="center"/>
              <w:rPr>
                <w:rFonts w:hint="eastAsia" w:ascii="宋体" w:hAnsi="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42E02BF7">
            <w:pPr>
              <w:spacing w:line="360" w:lineRule="auto"/>
              <w:jc w:val="center"/>
              <w:textAlignment w:val="center"/>
              <w:rPr>
                <w:rFonts w:hint="eastAsia" w:ascii="宋体" w:hAnsi="宋体" w:cs="宋体"/>
                <w:color w:val="auto"/>
                <w:szCs w:val="21"/>
                <w:highlight w:val="none"/>
              </w:rPr>
            </w:pPr>
          </w:p>
        </w:tc>
      </w:tr>
      <w:tr w14:paraId="3E9AE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55CE4B33">
            <w:pPr>
              <w:spacing w:line="360" w:lineRule="auto"/>
              <w:jc w:val="center"/>
              <w:textAlignment w:val="center"/>
              <w:rPr>
                <w:rFonts w:hint="eastAsia"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3EE2A3D0">
            <w:pPr>
              <w:spacing w:line="360" w:lineRule="auto"/>
              <w:jc w:val="center"/>
              <w:textAlignment w:val="center"/>
              <w:rPr>
                <w:rFonts w:hint="eastAsia"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0DC983BA">
            <w:pPr>
              <w:spacing w:line="360" w:lineRule="auto"/>
              <w:jc w:val="center"/>
              <w:textAlignment w:val="center"/>
              <w:rPr>
                <w:rFonts w:hint="eastAsia" w:ascii="宋体"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223F26D">
            <w:pPr>
              <w:spacing w:line="360" w:lineRule="auto"/>
              <w:jc w:val="center"/>
              <w:textAlignment w:val="center"/>
              <w:rPr>
                <w:rFonts w:hint="eastAsia" w:ascii="宋体" w:hAnsi="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36DAFA37">
            <w:pPr>
              <w:spacing w:line="360" w:lineRule="auto"/>
              <w:jc w:val="center"/>
              <w:textAlignment w:val="center"/>
              <w:rPr>
                <w:rFonts w:hint="eastAsia" w:ascii="宋体" w:hAnsi="宋体" w:cs="宋体"/>
                <w:color w:val="auto"/>
                <w:szCs w:val="21"/>
                <w:highlight w:val="none"/>
              </w:rPr>
            </w:pPr>
          </w:p>
        </w:tc>
      </w:tr>
      <w:tr w14:paraId="65496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201ADFC8">
            <w:pPr>
              <w:spacing w:line="360" w:lineRule="auto"/>
              <w:jc w:val="center"/>
              <w:textAlignment w:val="center"/>
              <w:rPr>
                <w:rFonts w:hint="eastAsia"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55493F8C">
            <w:pPr>
              <w:spacing w:line="360" w:lineRule="auto"/>
              <w:jc w:val="center"/>
              <w:textAlignment w:val="center"/>
              <w:rPr>
                <w:rFonts w:hint="eastAsia"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61470E75">
            <w:pPr>
              <w:spacing w:line="360" w:lineRule="auto"/>
              <w:jc w:val="center"/>
              <w:textAlignment w:val="center"/>
              <w:rPr>
                <w:rFonts w:hint="eastAsia" w:ascii="宋体"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2A55E99">
            <w:pPr>
              <w:spacing w:line="360" w:lineRule="auto"/>
              <w:jc w:val="center"/>
              <w:textAlignment w:val="center"/>
              <w:rPr>
                <w:rFonts w:hint="eastAsia" w:ascii="宋体" w:hAnsi="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384F3459">
            <w:pPr>
              <w:spacing w:line="360" w:lineRule="auto"/>
              <w:jc w:val="center"/>
              <w:textAlignment w:val="center"/>
              <w:rPr>
                <w:rFonts w:hint="eastAsia" w:ascii="宋体" w:hAnsi="宋体" w:cs="宋体"/>
                <w:color w:val="auto"/>
                <w:szCs w:val="21"/>
                <w:highlight w:val="none"/>
              </w:rPr>
            </w:pPr>
          </w:p>
        </w:tc>
      </w:tr>
      <w:tr w14:paraId="11C68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2EB137A2">
            <w:pPr>
              <w:spacing w:line="360" w:lineRule="auto"/>
              <w:jc w:val="center"/>
              <w:textAlignment w:val="center"/>
              <w:rPr>
                <w:rFonts w:hint="eastAsia"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63F52455">
            <w:pPr>
              <w:spacing w:line="360" w:lineRule="auto"/>
              <w:jc w:val="center"/>
              <w:textAlignment w:val="center"/>
              <w:rPr>
                <w:rFonts w:hint="eastAsia"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6E9E0AD1">
            <w:pPr>
              <w:spacing w:line="360" w:lineRule="auto"/>
              <w:jc w:val="center"/>
              <w:textAlignment w:val="center"/>
              <w:rPr>
                <w:rFonts w:hint="eastAsia" w:ascii="宋体"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2691CF9C">
            <w:pPr>
              <w:spacing w:line="360" w:lineRule="auto"/>
              <w:jc w:val="center"/>
              <w:textAlignment w:val="center"/>
              <w:rPr>
                <w:rFonts w:hint="eastAsia" w:ascii="宋体" w:hAnsi="宋体" w:cs="宋体"/>
                <w:color w:val="auto"/>
                <w:szCs w:val="21"/>
                <w:highlight w:val="none"/>
              </w:rPr>
            </w:pPr>
          </w:p>
        </w:tc>
        <w:tc>
          <w:tcPr>
            <w:tcW w:w="1545" w:type="dxa"/>
            <w:tcBorders>
              <w:top w:val="single" w:color="auto" w:sz="4" w:space="0"/>
              <w:left w:val="single" w:color="auto" w:sz="4" w:space="0"/>
              <w:right w:val="single" w:color="auto" w:sz="4" w:space="0"/>
            </w:tcBorders>
            <w:vAlign w:val="center"/>
          </w:tcPr>
          <w:p w14:paraId="28DB7DD4">
            <w:pPr>
              <w:spacing w:line="360" w:lineRule="auto"/>
              <w:jc w:val="center"/>
              <w:textAlignment w:val="center"/>
              <w:rPr>
                <w:rFonts w:hint="eastAsia" w:ascii="宋体" w:hAnsi="宋体" w:cs="宋体"/>
                <w:color w:val="auto"/>
                <w:szCs w:val="21"/>
                <w:highlight w:val="none"/>
              </w:rPr>
            </w:pPr>
          </w:p>
        </w:tc>
      </w:tr>
    </w:tbl>
    <w:p w14:paraId="43027447">
      <w:pPr>
        <w:topLinePunct/>
        <w:adjustRightInd w:val="0"/>
        <w:snapToGrid w:val="0"/>
        <w:spacing w:line="360" w:lineRule="auto"/>
        <w:ind w:firstLine="691" w:firstLineChars="279"/>
        <w:jc w:val="left"/>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注：1、设备名称及要求数量由投标人视本工程具体情况结合招标人对本工程的具体要求自行配备。</w:t>
      </w:r>
    </w:p>
    <w:p w14:paraId="41164211">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2、为贯彻绿色发展理念，本项目应积极使用燃料电池汽车等新能源工程车。</w:t>
      </w:r>
    </w:p>
    <w:p w14:paraId="2A0FB3DA">
      <w:pPr>
        <w:spacing w:line="360" w:lineRule="auto"/>
        <w:ind w:right="-130" w:rightChars="-62"/>
        <w:rPr>
          <w:rFonts w:hint="eastAsia" w:ascii="宋体" w:hAnsi="宋体" w:cs="宋体"/>
          <w:color w:val="auto"/>
          <w:highlight w:val="none"/>
        </w:rPr>
      </w:pPr>
    </w:p>
    <w:p w14:paraId="1A17993D">
      <w:pPr>
        <w:topLinePunct/>
        <w:adjustRightInd w:val="0"/>
        <w:snapToGrid w:val="0"/>
        <w:spacing w:line="360" w:lineRule="auto"/>
        <w:ind w:firstLine="3161" w:firstLineChars="1450"/>
        <w:rPr>
          <w:rFonts w:hint="eastAsia" w:ascii="宋体" w:hAnsi="宋体" w:cs="宋体"/>
          <w:snapToGrid w:val="0"/>
          <w:color w:val="auto"/>
          <w:spacing w:val="4"/>
          <w:kern w:val="0"/>
          <w:szCs w:val="21"/>
          <w:highlight w:val="none"/>
        </w:rPr>
      </w:pPr>
    </w:p>
    <w:p w14:paraId="589EFD88">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 标 人：</w:t>
      </w:r>
    </w:p>
    <w:p w14:paraId="2180EB45">
      <w:pPr>
        <w:topLinePunct/>
        <w:adjustRightInd w:val="0"/>
        <w:snapToGrid w:val="0"/>
        <w:spacing w:line="360" w:lineRule="auto"/>
        <w:ind w:firstLine="691" w:firstLineChars="279"/>
        <w:jc w:val="left"/>
        <w:rPr>
          <w:rFonts w:hint="eastAsia" w:ascii="宋体" w:hAnsi="宋体" w:cs="宋体"/>
          <w:snapToGrid w:val="0"/>
          <w:color w:val="auto"/>
          <w:spacing w:val="4"/>
          <w:kern w:val="0"/>
          <w:szCs w:val="21"/>
          <w:highlight w:val="none"/>
        </w:rPr>
      </w:pPr>
      <w:r>
        <w:rPr>
          <w:rFonts w:hint="eastAsia" w:ascii="宋体" w:hAnsi="宋体" w:cs="宋体"/>
          <w:snapToGrid w:val="0"/>
          <w:color w:val="auto"/>
          <w:spacing w:val="4"/>
          <w:kern w:val="0"/>
          <w:sz w:val="24"/>
          <w:szCs w:val="24"/>
          <w:highlight w:val="none"/>
        </w:rPr>
        <w:t>日    期：    年    月    日</w:t>
      </w:r>
    </w:p>
    <w:p w14:paraId="45AD2A89">
      <w:pPr>
        <w:spacing w:line="360" w:lineRule="auto"/>
        <w:rPr>
          <w:rFonts w:hint="eastAsia" w:ascii="宋体" w:hAnsi="宋体" w:cs="宋体"/>
          <w:color w:val="auto"/>
          <w:highlight w:val="none"/>
        </w:rPr>
      </w:pPr>
    </w:p>
    <w:p w14:paraId="6594DBEE">
      <w:pPr>
        <w:widowControl/>
        <w:spacing w:line="360" w:lineRule="auto"/>
        <w:jc w:val="left"/>
        <w:rPr>
          <w:rFonts w:hint="eastAsia" w:ascii="宋体" w:hAnsi="宋体" w:cs="宋体"/>
          <w:color w:val="auto"/>
          <w:highlight w:val="none"/>
        </w:rPr>
      </w:pPr>
      <w:r>
        <w:rPr>
          <w:rFonts w:hint="eastAsia" w:ascii="宋体" w:hAnsi="宋体" w:cs="宋体"/>
          <w:color w:val="auto"/>
          <w:highlight w:val="none"/>
        </w:rPr>
        <w:br w:type="page"/>
      </w:r>
    </w:p>
    <w:p w14:paraId="14CB04D3">
      <w:pPr>
        <w:spacing w:line="360" w:lineRule="auto"/>
        <w:rPr>
          <w:rFonts w:hint="eastAsia" w:ascii="宋体" w:hAnsi="宋体" w:cs="宋体"/>
          <w:b/>
          <w:bCs/>
          <w:color w:val="auto"/>
          <w:sz w:val="27"/>
          <w:szCs w:val="27"/>
          <w:highlight w:val="none"/>
        </w:rPr>
      </w:pPr>
      <w:bookmarkStart w:id="260" w:name="_Toc60070630"/>
      <w:bookmarkStart w:id="261" w:name="_Toc58838602"/>
      <w:r>
        <w:rPr>
          <w:rFonts w:hint="eastAsia" w:ascii="宋体" w:hAnsi="宋体" w:cs="宋体"/>
          <w:b/>
          <w:bCs/>
          <w:color w:val="auto"/>
          <w:sz w:val="27"/>
          <w:szCs w:val="27"/>
          <w:highlight w:val="none"/>
        </w:rPr>
        <w:t>格式八：</w:t>
      </w:r>
      <w:bookmarkEnd w:id="260"/>
    </w:p>
    <w:p w14:paraId="05AB64ED">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危险性较大的分部分项工程安全管理措施</w:t>
      </w:r>
      <w:bookmarkEnd w:id="261"/>
    </w:p>
    <w:p w14:paraId="0C9D7DC2">
      <w:pPr>
        <w:numPr>
          <w:ilvl w:val="0"/>
          <w:numId w:val="3"/>
        </w:numPr>
        <w:autoSpaceDE w:val="0"/>
        <w:autoSpaceDN w:val="0"/>
        <w:adjustRightInd w:val="0"/>
        <w:spacing w:line="360" w:lineRule="auto"/>
        <w:jc w:val="left"/>
        <w:rPr>
          <w:rFonts w:hint="eastAsia" w:ascii="宋体" w:hAnsi="宋体" w:cs="宋体"/>
          <w:snapToGrid w:val="0"/>
          <w:color w:val="auto"/>
          <w:spacing w:val="4"/>
          <w:kern w:val="0"/>
          <w:sz w:val="24"/>
          <w:szCs w:val="24"/>
          <w:highlight w:val="none"/>
        </w:rPr>
      </w:pPr>
      <w:r>
        <w:rPr>
          <w:rFonts w:hint="eastAsia" w:ascii="宋体" w:hAnsi="宋体" w:cs="宋体"/>
          <w:color w:val="auto"/>
          <w:sz w:val="24"/>
          <w:szCs w:val="28"/>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cs="宋体"/>
          <w:snapToGrid w:val="0"/>
          <w:color w:val="auto"/>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14:paraId="488A0D7F">
      <w:pPr>
        <w:numPr>
          <w:ilvl w:val="0"/>
          <w:numId w:val="3"/>
        </w:numPr>
        <w:autoSpaceDE w:val="0"/>
        <w:autoSpaceDN w:val="0"/>
        <w:adjustRightInd w:val="0"/>
        <w:spacing w:line="360" w:lineRule="auto"/>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招标人根据设计文件的要求及37号文的规定列出“危险性较大的分部分项工程清单及超过一定规模的危险性较大的分部分项工程清单”中与本招标项目相关的清单项，具体详见第5点“打</w:t>
      </w:r>
      <w:r>
        <w:rPr>
          <w:rFonts w:hint="eastAsia" w:ascii="宋体" w:hAnsi="宋体" w:cs="宋体"/>
          <w:color w:val="auto"/>
          <w:sz w:val="24"/>
          <w:szCs w:val="36"/>
          <w:highlight w:val="none"/>
        </w:rPr>
        <w:t>√”标识。</w:t>
      </w:r>
    </w:p>
    <w:p w14:paraId="7EFC19C9">
      <w:pPr>
        <w:numPr>
          <w:ilvl w:val="0"/>
          <w:numId w:val="4"/>
        </w:numPr>
        <w:autoSpaceDE w:val="0"/>
        <w:autoSpaceDN w:val="0"/>
        <w:adjustRightInd w:val="0"/>
        <w:spacing w:line="360" w:lineRule="auto"/>
        <w:jc w:val="left"/>
        <w:rPr>
          <w:rFonts w:hint="eastAsia" w:ascii="宋体" w:hAnsi="宋体" w:cs="宋体"/>
          <w:color w:val="auto"/>
          <w:sz w:val="24"/>
          <w:szCs w:val="36"/>
          <w:highlight w:val="none"/>
        </w:rPr>
      </w:pPr>
      <w:r>
        <w:rPr>
          <w:rFonts w:hint="eastAsia" w:ascii="宋体" w:hAnsi="宋体" w:cs="宋体"/>
          <w:color w:val="auto"/>
          <w:sz w:val="24"/>
          <w:szCs w:val="28"/>
          <w:highlight w:val="none"/>
        </w:rPr>
        <w:t>投标单位同意招标人在清单中标识的该项请在对应项打“</w:t>
      </w:r>
      <w:r>
        <w:rPr>
          <w:rFonts w:hint="eastAsia" w:ascii="宋体" w:hAnsi="宋体" w:cs="宋体"/>
          <w:color w:val="auto"/>
          <w:sz w:val="24"/>
          <w:szCs w:val="36"/>
          <w:highlight w:val="none"/>
        </w:rPr>
        <w:t>√”标识，并在投标文件中提供相应的安全管理措施。</w:t>
      </w:r>
    </w:p>
    <w:p w14:paraId="2C29FD87">
      <w:pPr>
        <w:numPr>
          <w:ilvl w:val="0"/>
          <w:numId w:val="4"/>
        </w:numPr>
        <w:autoSpaceDE w:val="0"/>
        <w:autoSpaceDN w:val="0"/>
        <w:adjustRightInd w:val="0"/>
        <w:spacing w:line="360" w:lineRule="auto"/>
        <w:jc w:val="left"/>
        <w:rPr>
          <w:rFonts w:hint="eastAsia" w:ascii="宋体" w:hAnsi="宋体" w:cs="宋体"/>
          <w:color w:val="auto"/>
          <w:sz w:val="24"/>
          <w:szCs w:val="36"/>
          <w:highlight w:val="none"/>
        </w:rPr>
      </w:pPr>
      <w:r>
        <w:rPr>
          <w:rFonts w:hint="eastAsia" w:ascii="宋体" w:hAnsi="宋体" w:cs="宋体"/>
          <w:color w:val="auto"/>
          <w:sz w:val="24"/>
          <w:szCs w:val="28"/>
          <w:highlight w:val="none"/>
        </w:rPr>
        <w:t>投标单位对清单中认为需要补充的该项请在对应项打“</w:t>
      </w:r>
      <w:r>
        <w:rPr>
          <w:rFonts w:hint="eastAsia" w:ascii="宋体" w:hAnsi="宋体" w:cs="宋体"/>
          <w:color w:val="auto"/>
          <w:sz w:val="24"/>
          <w:szCs w:val="36"/>
          <w:highlight w:val="none"/>
        </w:rPr>
        <w:t>√”标识，并在投标文件中提供相应的安全管理措施。</w:t>
      </w:r>
    </w:p>
    <w:p w14:paraId="56A19D83">
      <w:pPr>
        <w:numPr>
          <w:ilvl w:val="0"/>
          <w:numId w:val="4"/>
        </w:numPr>
        <w:autoSpaceDE w:val="0"/>
        <w:autoSpaceDN w:val="0"/>
        <w:adjustRightInd w:val="0"/>
        <w:spacing w:line="360" w:lineRule="auto"/>
        <w:jc w:val="left"/>
        <w:rPr>
          <w:rFonts w:hint="eastAsia" w:ascii="宋体" w:hAnsi="宋体" w:cs="宋体"/>
          <w:color w:val="auto"/>
          <w:sz w:val="24"/>
          <w:szCs w:val="28"/>
          <w:highlight w:val="none"/>
        </w:rPr>
      </w:pPr>
      <w:r>
        <w:rPr>
          <w:rFonts w:hint="eastAsia" w:ascii="宋体" w:hAnsi="宋体" w:cs="宋体"/>
          <w:color w:val="auto"/>
          <w:sz w:val="24"/>
          <w:szCs w:val="36"/>
          <w:highlight w:val="none"/>
        </w:rPr>
        <w:t>投标单位不同意招标人</w:t>
      </w:r>
      <w:r>
        <w:rPr>
          <w:rFonts w:hint="eastAsia" w:ascii="宋体" w:hAnsi="宋体" w:cs="宋体"/>
          <w:color w:val="auto"/>
          <w:sz w:val="24"/>
          <w:szCs w:val="28"/>
          <w:highlight w:val="none"/>
        </w:rPr>
        <w:t>在清单中标识的该项</w:t>
      </w:r>
      <w:r>
        <w:rPr>
          <w:rFonts w:hint="eastAsia" w:ascii="宋体" w:hAnsi="宋体" w:cs="宋体"/>
          <w:color w:val="auto"/>
          <w:sz w:val="24"/>
          <w:szCs w:val="36"/>
          <w:highlight w:val="none"/>
        </w:rPr>
        <w:t>请在对应项打“×”标识，并在备注栏填上相关说明。</w:t>
      </w:r>
    </w:p>
    <w:p w14:paraId="163D8A83">
      <w:pPr>
        <w:numPr>
          <w:ilvl w:val="0"/>
          <w:numId w:val="3"/>
        </w:numPr>
        <w:autoSpaceDE w:val="0"/>
        <w:autoSpaceDN w:val="0"/>
        <w:adjustRightInd w:val="0"/>
        <w:spacing w:line="360" w:lineRule="auto"/>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投标单位应当在投标时根据招标人提供的下述第5点清单，在投标文件中编制专项施工方案。</w:t>
      </w:r>
    </w:p>
    <w:p w14:paraId="7E7B1AEF">
      <w:pPr>
        <w:numPr>
          <w:ilvl w:val="0"/>
          <w:numId w:val="3"/>
        </w:numPr>
        <w:autoSpaceDE w:val="0"/>
        <w:autoSpaceDN w:val="0"/>
        <w:adjustRightInd w:val="0"/>
        <w:spacing w:line="360" w:lineRule="auto"/>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50F7AC5E">
      <w:pPr>
        <w:numPr>
          <w:ilvl w:val="0"/>
          <w:numId w:val="3"/>
        </w:numPr>
        <w:autoSpaceDE w:val="0"/>
        <w:autoSpaceDN w:val="0"/>
        <w:adjustRightInd w:val="0"/>
        <w:spacing w:line="360" w:lineRule="auto"/>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危险性较大的分部分项工程清单及超过一定规模的危险性较大的分部分项工程清单：</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1"/>
        <w:gridCol w:w="1579"/>
        <w:gridCol w:w="1579"/>
        <w:gridCol w:w="1239"/>
      </w:tblGrid>
      <w:tr w14:paraId="3E8D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792"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EF1DE32">
            <w:pPr>
              <w:widowControl/>
              <w:spacing w:line="360" w:lineRule="auto"/>
              <w:jc w:val="left"/>
              <w:rPr>
                <w:rFonts w:hint="eastAsia" w:ascii="宋体" w:hAnsi="宋体" w:cs="宋体"/>
                <w:b/>
                <w:color w:val="auto"/>
                <w:highlight w:val="none"/>
              </w:rPr>
            </w:pPr>
            <w:r>
              <w:rPr>
                <w:rFonts w:hint="eastAsia" w:ascii="宋体" w:hAnsi="宋体" w:cs="宋体"/>
                <w:color w:val="auto"/>
                <w:sz w:val="24"/>
                <w:szCs w:val="28"/>
                <w:highlight w:val="none"/>
              </w:rPr>
              <w:br w:type="page"/>
            </w:r>
            <w:r>
              <w:rPr>
                <w:rFonts w:hint="eastAsia" w:ascii="宋体" w:hAnsi="宋体" w:cs="宋体"/>
                <w:b/>
                <w:color w:val="auto"/>
                <w:highlight w:val="none"/>
              </w:rPr>
              <w:t>危险性较大的分部分项工程清单</w:t>
            </w:r>
          </w:p>
        </w:tc>
        <w:tc>
          <w:tcPr>
            <w:tcW w:w="793"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18EB16BF">
            <w:pPr>
              <w:spacing w:line="360" w:lineRule="auto"/>
              <w:jc w:val="center"/>
              <w:rPr>
                <w:rFonts w:hint="eastAsia" w:ascii="宋体" w:hAnsi="宋体" w:cs="宋体"/>
                <w:b/>
                <w:color w:val="auto"/>
                <w:highlight w:val="none"/>
              </w:rPr>
            </w:pPr>
            <w:r>
              <w:rPr>
                <w:rFonts w:hint="eastAsia" w:ascii="宋体" w:hAnsi="宋体" w:cs="宋体"/>
                <w:b/>
                <w:color w:val="auto"/>
                <w:highlight w:val="none"/>
              </w:rPr>
              <w:t>招标人</w:t>
            </w:r>
          </w:p>
        </w:tc>
        <w:tc>
          <w:tcPr>
            <w:tcW w:w="793"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1A7BE2D9">
            <w:pPr>
              <w:spacing w:line="360" w:lineRule="auto"/>
              <w:jc w:val="center"/>
              <w:rPr>
                <w:rFonts w:hint="eastAsia" w:ascii="宋体" w:hAnsi="宋体" w:cs="宋体"/>
                <w:b/>
                <w:color w:val="auto"/>
                <w:highlight w:val="none"/>
              </w:rPr>
            </w:pPr>
            <w:r>
              <w:rPr>
                <w:rFonts w:hint="eastAsia" w:ascii="宋体" w:hAnsi="宋体" w:cs="宋体"/>
                <w:b/>
                <w:color w:val="auto"/>
                <w:highlight w:val="none"/>
              </w:rPr>
              <w:t>投标单位</w:t>
            </w:r>
          </w:p>
        </w:tc>
        <w:tc>
          <w:tcPr>
            <w:tcW w:w="620"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33E2EEBE">
            <w:pPr>
              <w:spacing w:line="360" w:lineRule="auto"/>
              <w:jc w:val="center"/>
              <w:rPr>
                <w:rFonts w:hint="eastAsia" w:ascii="宋体" w:hAnsi="宋体" w:cs="宋体"/>
                <w:b/>
                <w:color w:val="auto"/>
                <w:highlight w:val="none"/>
              </w:rPr>
            </w:pPr>
            <w:r>
              <w:rPr>
                <w:rFonts w:hint="eastAsia" w:ascii="宋体" w:hAnsi="宋体" w:cs="宋体"/>
                <w:b/>
                <w:color w:val="auto"/>
                <w:highlight w:val="none"/>
              </w:rPr>
              <w:t>备注</w:t>
            </w:r>
          </w:p>
        </w:tc>
      </w:tr>
      <w:tr w14:paraId="4F09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219E30AB">
            <w:pPr>
              <w:spacing w:line="360" w:lineRule="auto"/>
              <w:rPr>
                <w:rFonts w:hint="eastAsia" w:ascii="宋体" w:hAnsi="宋体" w:cs="宋体"/>
                <w:b/>
                <w:color w:val="auto"/>
                <w:highlight w:val="none"/>
              </w:rPr>
            </w:pPr>
            <w:r>
              <w:rPr>
                <w:rFonts w:hint="eastAsia" w:ascii="宋体" w:hAnsi="宋体" w:cs="宋体"/>
                <w:b/>
                <w:color w:val="auto"/>
                <w:highlight w:val="none"/>
              </w:rPr>
              <w:t>一、基坑支护</w:t>
            </w:r>
          </w:p>
        </w:tc>
      </w:tr>
      <w:tr w14:paraId="7DCE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792" w:type="pct"/>
            <w:tcBorders>
              <w:top w:val="single" w:color="auto" w:sz="4" w:space="0"/>
              <w:left w:val="single" w:color="auto" w:sz="4" w:space="0"/>
              <w:bottom w:val="single" w:color="auto" w:sz="4" w:space="0"/>
              <w:right w:val="single" w:color="auto" w:sz="4" w:space="0"/>
            </w:tcBorders>
            <w:vAlign w:val="center"/>
          </w:tcPr>
          <w:p w14:paraId="793BE998">
            <w:pPr>
              <w:spacing w:line="360" w:lineRule="auto"/>
              <w:rPr>
                <w:rFonts w:hint="eastAsia" w:ascii="宋体" w:hAnsi="宋体" w:cs="宋体"/>
                <w:color w:val="auto"/>
                <w:highlight w:val="none"/>
              </w:rPr>
            </w:pPr>
            <w:r>
              <w:rPr>
                <w:rFonts w:hint="eastAsia" w:ascii="宋体" w:hAnsi="宋体" w:cs="宋体"/>
                <w:color w:val="auto"/>
                <w:highlight w:val="none"/>
              </w:rPr>
              <w:t>（一）开挖深度超过3m（含3m）的基坑（槽）的土方开挖、支护、降水工程。</w:t>
            </w:r>
          </w:p>
        </w:tc>
        <w:tc>
          <w:tcPr>
            <w:tcW w:w="793" w:type="pct"/>
            <w:tcBorders>
              <w:top w:val="single" w:color="auto" w:sz="4" w:space="0"/>
              <w:left w:val="nil"/>
              <w:bottom w:val="single" w:color="auto" w:sz="4" w:space="0"/>
              <w:right w:val="single" w:color="auto" w:sz="4" w:space="0"/>
            </w:tcBorders>
            <w:vAlign w:val="center"/>
          </w:tcPr>
          <w:p w14:paraId="7FB24B5E">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525219A9">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179D77F2">
            <w:pPr>
              <w:spacing w:line="360" w:lineRule="auto"/>
              <w:jc w:val="center"/>
              <w:rPr>
                <w:rFonts w:hint="eastAsia" w:ascii="宋体" w:hAnsi="宋体" w:cs="宋体"/>
                <w:color w:val="auto"/>
                <w:highlight w:val="none"/>
              </w:rPr>
            </w:pPr>
          </w:p>
        </w:tc>
      </w:tr>
      <w:tr w14:paraId="1FF9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4478C93E">
            <w:pPr>
              <w:spacing w:line="360" w:lineRule="auto"/>
              <w:rPr>
                <w:rFonts w:hint="eastAsia" w:ascii="宋体" w:hAnsi="宋体" w:cs="宋体"/>
                <w:color w:val="auto"/>
                <w:highlight w:val="none"/>
              </w:rPr>
            </w:pPr>
            <w:r>
              <w:rPr>
                <w:rFonts w:hint="eastAsia" w:ascii="宋体" w:hAnsi="宋体" w:cs="宋体"/>
                <w:color w:val="auto"/>
                <w:highlight w:val="none"/>
              </w:rPr>
              <w:t>（二）开挖深度虽未超过3m，但地质条件、周围环境和地下管线复杂，或影响毗邻建、构筑物安全的基坑（槽）的土方开挖、支护、降水工程。</w:t>
            </w:r>
          </w:p>
        </w:tc>
        <w:tc>
          <w:tcPr>
            <w:tcW w:w="793" w:type="pct"/>
            <w:tcBorders>
              <w:top w:val="single" w:color="auto" w:sz="4" w:space="0"/>
              <w:left w:val="nil"/>
              <w:bottom w:val="single" w:color="auto" w:sz="4" w:space="0"/>
              <w:right w:val="single" w:color="auto" w:sz="4" w:space="0"/>
            </w:tcBorders>
            <w:vAlign w:val="center"/>
          </w:tcPr>
          <w:p w14:paraId="3C43440E">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68DBC8A2">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2253C4E0">
            <w:pPr>
              <w:spacing w:line="360" w:lineRule="auto"/>
              <w:jc w:val="center"/>
              <w:rPr>
                <w:rFonts w:hint="eastAsia" w:ascii="宋体" w:hAnsi="宋体" w:cs="宋体"/>
                <w:color w:val="auto"/>
                <w:highlight w:val="none"/>
              </w:rPr>
            </w:pPr>
          </w:p>
        </w:tc>
      </w:tr>
      <w:tr w14:paraId="2E84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71A101A5">
            <w:pPr>
              <w:spacing w:line="360" w:lineRule="auto"/>
              <w:rPr>
                <w:rFonts w:hint="eastAsia" w:ascii="宋体" w:hAnsi="宋体" w:cs="宋体"/>
                <w:color w:val="auto"/>
                <w:highlight w:val="none"/>
              </w:rPr>
            </w:pPr>
            <w:r>
              <w:rPr>
                <w:rFonts w:hint="eastAsia" w:ascii="宋体" w:hAnsi="宋体" w:cs="宋体"/>
                <w:b/>
                <w:color w:val="auto"/>
                <w:highlight w:val="none"/>
              </w:rPr>
              <w:t>二、模板工程及支撑体系</w:t>
            </w:r>
          </w:p>
        </w:tc>
      </w:tr>
      <w:tr w14:paraId="704F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0088104F">
            <w:pPr>
              <w:spacing w:line="360" w:lineRule="auto"/>
              <w:rPr>
                <w:rFonts w:hint="eastAsia" w:ascii="宋体" w:hAnsi="宋体" w:cs="宋体"/>
                <w:color w:val="auto"/>
                <w:highlight w:val="none"/>
              </w:rPr>
            </w:pPr>
            <w:r>
              <w:rPr>
                <w:rFonts w:hint="eastAsia" w:ascii="宋体" w:hAnsi="宋体" w:cs="宋体"/>
                <w:color w:val="auto"/>
                <w:highlight w:val="none"/>
              </w:rPr>
              <w:t>（一）各类工具式模板工程：包括滑模、爬模、飞模、隧道模等工程。</w:t>
            </w:r>
          </w:p>
        </w:tc>
        <w:tc>
          <w:tcPr>
            <w:tcW w:w="793" w:type="pct"/>
            <w:tcBorders>
              <w:top w:val="single" w:color="auto" w:sz="4" w:space="0"/>
              <w:left w:val="nil"/>
              <w:bottom w:val="single" w:color="auto" w:sz="4" w:space="0"/>
              <w:right w:val="single" w:color="auto" w:sz="4" w:space="0"/>
            </w:tcBorders>
            <w:vAlign w:val="center"/>
          </w:tcPr>
          <w:p w14:paraId="54E89923">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550DC50E">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4115CE4E">
            <w:pPr>
              <w:spacing w:line="360" w:lineRule="auto"/>
              <w:jc w:val="center"/>
              <w:rPr>
                <w:rFonts w:hint="eastAsia" w:ascii="宋体" w:hAnsi="宋体" w:cs="宋体"/>
                <w:color w:val="auto"/>
                <w:highlight w:val="none"/>
              </w:rPr>
            </w:pPr>
          </w:p>
        </w:tc>
      </w:tr>
      <w:tr w14:paraId="1235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1B94A12B">
            <w:pPr>
              <w:spacing w:line="360" w:lineRule="auto"/>
              <w:rPr>
                <w:rFonts w:hint="eastAsia" w:ascii="宋体" w:hAnsi="宋体" w:cs="宋体"/>
                <w:color w:val="auto"/>
                <w:highlight w:val="none"/>
              </w:rPr>
            </w:pPr>
            <w:r>
              <w:rPr>
                <w:rFonts w:hint="eastAsia" w:ascii="宋体" w:hAnsi="宋体" w:cs="宋体"/>
                <w:color w:val="auto"/>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793" w:type="pct"/>
            <w:tcBorders>
              <w:top w:val="single" w:color="auto" w:sz="4" w:space="0"/>
              <w:left w:val="nil"/>
              <w:bottom w:val="single" w:color="auto" w:sz="4" w:space="0"/>
              <w:right w:val="single" w:color="auto" w:sz="4" w:space="0"/>
            </w:tcBorders>
            <w:vAlign w:val="center"/>
          </w:tcPr>
          <w:p w14:paraId="139FEE3C">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637932CD">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7950C6D8">
            <w:pPr>
              <w:spacing w:line="360" w:lineRule="auto"/>
              <w:jc w:val="center"/>
              <w:rPr>
                <w:rFonts w:hint="eastAsia" w:ascii="宋体" w:hAnsi="宋体" w:cs="宋体"/>
                <w:color w:val="auto"/>
                <w:highlight w:val="none"/>
              </w:rPr>
            </w:pPr>
          </w:p>
        </w:tc>
      </w:tr>
      <w:tr w14:paraId="0B64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08493EC0">
            <w:pPr>
              <w:widowControl/>
              <w:spacing w:line="360" w:lineRule="auto"/>
              <w:rPr>
                <w:rFonts w:hint="eastAsia" w:ascii="宋体" w:hAnsi="宋体" w:cs="宋体"/>
                <w:color w:val="auto"/>
                <w:highlight w:val="none"/>
              </w:rPr>
            </w:pPr>
            <w:r>
              <w:rPr>
                <w:rFonts w:hint="eastAsia" w:ascii="宋体" w:hAnsi="宋体" w:cs="宋体"/>
                <w:color w:val="auto"/>
                <w:highlight w:val="none"/>
              </w:rPr>
              <w:t>（三）承重支撑体系：用于钢结构安装等满堂支撑体系。</w:t>
            </w:r>
          </w:p>
        </w:tc>
        <w:tc>
          <w:tcPr>
            <w:tcW w:w="793" w:type="pct"/>
            <w:tcBorders>
              <w:top w:val="single" w:color="auto" w:sz="4" w:space="0"/>
              <w:left w:val="nil"/>
              <w:bottom w:val="single" w:color="auto" w:sz="4" w:space="0"/>
              <w:right w:val="single" w:color="auto" w:sz="4" w:space="0"/>
            </w:tcBorders>
            <w:vAlign w:val="center"/>
          </w:tcPr>
          <w:p w14:paraId="6ADCF402">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36840882">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14DC7CDD">
            <w:pPr>
              <w:spacing w:line="360" w:lineRule="auto"/>
              <w:jc w:val="center"/>
              <w:rPr>
                <w:rFonts w:hint="eastAsia" w:ascii="宋体" w:hAnsi="宋体" w:cs="宋体"/>
                <w:color w:val="auto"/>
                <w:highlight w:val="none"/>
              </w:rPr>
            </w:pPr>
          </w:p>
        </w:tc>
      </w:tr>
      <w:tr w14:paraId="5936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6EE57069">
            <w:pPr>
              <w:spacing w:line="360" w:lineRule="auto"/>
              <w:rPr>
                <w:rFonts w:hint="eastAsia" w:ascii="宋体" w:hAnsi="宋体" w:cs="宋体"/>
                <w:color w:val="auto"/>
                <w:highlight w:val="none"/>
              </w:rPr>
            </w:pPr>
            <w:r>
              <w:rPr>
                <w:rFonts w:hint="eastAsia" w:ascii="宋体" w:hAnsi="宋体" w:cs="宋体"/>
                <w:b/>
                <w:color w:val="auto"/>
                <w:highlight w:val="none"/>
              </w:rPr>
              <w:t>三、起重吊装及起重机械安装拆卸工程</w:t>
            </w:r>
          </w:p>
        </w:tc>
      </w:tr>
      <w:tr w14:paraId="3B8D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02374AAE">
            <w:pPr>
              <w:widowControl/>
              <w:spacing w:line="360" w:lineRule="auto"/>
              <w:rPr>
                <w:rFonts w:hint="eastAsia" w:ascii="宋体" w:hAnsi="宋体" w:cs="宋体"/>
                <w:color w:val="auto"/>
                <w:highlight w:val="none"/>
              </w:rPr>
            </w:pPr>
            <w:r>
              <w:rPr>
                <w:rFonts w:hint="eastAsia" w:ascii="宋体" w:hAnsi="宋体" w:cs="宋体"/>
                <w:color w:val="auto"/>
                <w:highlight w:val="none"/>
              </w:rPr>
              <w:t>（一）采用非常规起重设备、方法，且单件起吊重量在10kN及以上的起重吊装工程。</w:t>
            </w:r>
          </w:p>
        </w:tc>
        <w:tc>
          <w:tcPr>
            <w:tcW w:w="793" w:type="pct"/>
            <w:tcBorders>
              <w:top w:val="single" w:color="auto" w:sz="4" w:space="0"/>
              <w:left w:val="nil"/>
              <w:bottom w:val="single" w:color="auto" w:sz="4" w:space="0"/>
              <w:right w:val="single" w:color="auto" w:sz="4" w:space="0"/>
            </w:tcBorders>
            <w:vAlign w:val="center"/>
          </w:tcPr>
          <w:p w14:paraId="6734B787">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3072BB45">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4DBF3EC9">
            <w:pPr>
              <w:spacing w:line="360" w:lineRule="auto"/>
              <w:jc w:val="center"/>
              <w:rPr>
                <w:rFonts w:hint="eastAsia" w:ascii="宋体" w:hAnsi="宋体" w:cs="宋体"/>
                <w:color w:val="auto"/>
                <w:highlight w:val="none"/>
              </w:rPr>
            </w:pPr>
          </w:p>
        </w:tc>
      </w:tr>
      <w:tr w14:paraId="6A1B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0385F3E4">
            <w:pPr>
              <w:spacing w:line="360" w:lineRule="auto"/>
              <w:rPr>
                <w:rFonts w:hint="eastAsia" w:ascii="宋体" w:hAnsi="宋体" w:cs="宋体"/>
                <w:color w:val="auto"/>
                <w:highlight w:val="none"/>
              </w:rPr>
            </w:pPr>
            <w:r>
              <w:rPr>
                <w:rFonts w:hint="eastAsia" w:ascii="宋体" w:hAnsi="宋体" w:cs="宋体"/>
                <w:color w:val="auto"/>
                <w:highlight w:val="none"/>
              </w:rPr>
              <w:t>（二）采用起重机械进行安装的工程。</w:t>
            </w:r>
          </w:p>
        </w:tc>
        <w:tc>
          <w:tcPr>
            <w:tcW w:w="793" w:type="pct"/>
            <w:tcBorders>
              <w:top w:val="single" w:color="auto" w:sz="4" w:space="0"/>
              <w:left w:val="nil"/>
              <w:bottom w:val="single" w:color="auto" w:sz="4" w:space="0"/>
              <w:right w:val="single" w:color="auto" w:sz="4" w:space="0"/>
            </w:tcBorders>
            <w:vAlign w:val="center"/>
          </w:tcPr>
          <w:p w14:paraId="5D4A8D66">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42A3A102">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1671A5F6">
            <w:pPr>
              <w:spacing w:line="360" w:lineRule="auto"/>
              <w:jc w:val="center"/>
              <w:rPr>
                <w:rFonts w:hint="eastAsia" w:ascii="宋体" w:hAnsi="宋体" w:cs="宋体"/>
                <w:color w:val="auto"/>
                <w:highlight w:val="none"/>
              </w:rPr>
            </w:pPr>
          </w:p>
        </w:tc>
      </w:tr>
      <w:tr w14:paraId="2664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28658064">
            <w:pPr>
              <w:spacing w:line="360" w:lineRule="auto"/>
              <w:rPr>
                <w:rFonts w:hint="eastAsia" w:ascii="宋体" w:hAnsi="宋体" w:cs="宋体"/>
                <w:color w:val="auto"/>
                <w:highlight w:val="none"/>
              </w:rPr>
            </w:pPr>
            <w:r>
              <w:rPr>
                <w:rFonts w:hint="eastAsia" w:ascii="宋体" w:hAnsi="宋体" w:cs="宋体"/>
                <w:color w:val="auto"/>
                <w:highlight w:val="none"/>
              </w:rPr>
              <w:t>（三）起重机械安装和拆卸工程。</w:t>
            </w:r>
          </w:p>
        </w:tc>
        <w:tc>
          <w:tcPr>
            <w:tcW w:w="793" w:type="pct"/>
            <w:tcBorders>
              <w:top w:val="single" w:color="auto" w:sz="4" w:space="0"/>
              <w:left w:val="nil"/>
              <w:bottom w:val="single" w:color="auto" w:sz="4" w:space="0"/>
              <w:right w:val="single" w:color="auto" w:sz="4" w:space="0"/>
            </w:tcBorders>
            <w:vAlign w:val="center"/>
          </w:tcPr>
          <w:p w14:paraId="69DF63E2">
            <w:pPr>
              <w:spacing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w:t>
            </w:r>
          </w:p>
        </w:tc>
        <w:tc>
          <w:tcPr>
            <w:tcW w:w="793" w:type="pct"/>
            <w:tcBorders>
              <w:top w:val="single" w:color="auto" w:sz="4" w:space="0"/>
              <w:left w:val="nil"/>
              <w:bottom w:val="single" w:color="auto" w:sz="4" w:space="0"/>
              <w:right w:val="single" w:color="auto" w:sz="4" w:space="0"/>
            </w:tcBorders>
            <w:vAlign w:val="center"/>
          </w:tcPr>
          <w:p w14:paraId="27952DFE">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209EDB3E">
            <w:pPr>
              <w:spacing w:line="360" w:lineRule="auto"/>
              <w:jc w:val="center"/>
              <w:rPr>
                <w:rFonts w:hint="eastAsia" w:ascii="宋体" w:hAnsi="宋体" w:cs="宋体"/>
                <w:color w:val="auto"/>
                <w:highlight w:val="none"/>
              </w:rPr>
            </w:pPr>
          </w:p>
        </w:tc>
      </w:tr>
      <w:tr w14:paraId="5F4B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077FEE46">
            <w:pPr>
              <w:spacing w:line="360" w:lineRule="auto"/>
              <w:rPr>
                <w:rFonts w:hint="eastAsia" w:ascii="宋体" w:hAnsi="宋体" w:cs="宋体"/>
                <w:color w:val="auto"/>
                <w:highlight w:val="none"/>
              </w:rPr>
            </w:pPr>
            <w:r>
              <w:rPr>
                <w:rFonts w:hint="eastAsia" w:ascii="宋体" w:hAnsi="宋体" w:cs="宋体"/>
                <w:b/>
                <w:color w:val="auto"/>
                <w:highlight w:val="none"/>
              </w:rPr>
              <w:t>四、脚手架工程</w:t>
            </w:r>
          </w:p>
        </w:tc>
      </w:tr>
      <w:tr w14:paraId="3D5B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7675AECA">
            <w:pPr>
              <w:spacing w:line="360" w:lineRule="auto"/>
              <w:rPr>
                <w:rFonts w:hint="eastAsia" w:ascii="宋体" w:hAnsi="宋体" w:cs="宋体"/>
                <w:color w:val="auto"/>
                <w:highlight w:val="none"/>
              </w:rPr>
            </w:pPr>
            <w:r>
              <w:rPr>
                <w:rFonts w:hint="eastAsia" w:ascii="宋体" w:hAnsi="宋体" w:cs="宋体"/>
                <w:color w:val="auto"/>
                <w:highlight w:val="none"/>
              </w:rPr>
              <w:t>（一）搭设高度24m及以上的落地式钢管脚手架工程（包括采光井、电梯井脚手架）。</w:t>
            </w:r>
          </w:p>
        </w:tc>
        <w:tc>
          <w:tcPr>
            <w:tcW w:w="793" w:type="pct"/>
            <w:tcBorders>
              <w:top w:val="single" w:color="auto" w:sz="4" w:space="0"/>
              <w:left w:val="nil"/>
              <w:bottom w:val="single" w:color="auto" w:sz="4" w:space="0"/>
              <w:right w:val="single" w:color="auto" w:sz="4" w:space="0"/>
            </w:tcBorders>
            <w:vAlign w:val="center"/>
          </w:tcPr>
          <w:p w14:paraId="65AC1BFE">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73F0885C">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0EDBE0DD">
            <w:pPr>
              <w:spacing w:line="360" w:lineRule="auto"/>
              <w:jc w:val="center"/>
              <w:rPr>
                <w:rFonts w:hint="eastAsia" w:ascii="宋体" w:hAnsi="宋体" w:cs="宋体"/>
                <w:color w:val="auto"/>
                <w:highlight w:val="none"/>
              </w:rPr>
            </w:pPr>
          </w:p>
        </w:tc>
      </w:tr>
      <w:tr w14:paraId="5F5C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3335C13C">
            <w:pPr>
              <w:spacing w:line="360" w:lineRule="auto"/>
              <w:rPr>
                <w:rFonts w:hint="eastAsia" w:ascii="宋体" w:hAnsi="宋体" w:cs="宋体"/>
                <w:color w:val="auto"/>
                <w:highlight w:val="none"/>
              </w:rPr>
            </w:pPr>
            <w:r>
              <w:rPr>
                <w:rFonts w:hint="eastAsia" w:ascii="宋体" w:hAnsi="宋体" w:cs="宋体"/>
                <w:color w:val="auto"/>
                <w:highlight w:val="none"/>
              </w:rPr>
              <w:t>（二）附着式升降脚手架工程。</w:t>
            </w:r>
          </w:p>
        </w:tc>
        <w:tc>
          <w:tcPr>
            <w:tcW w:w="793" w:type="pct"/>
            <w:tcBorders>
              <w:top w:val="single" w:color="auto" w:sz="4" w:space="0"/>
              <w:left w:val="nil"/>
              <w:bottom w:val="single" w:color="auto" w:sz="4" w:space="0"/>
              <w:right w:val="single" w:color="auto" w:sz="4" w:space="0"/>
            </w:tcBorders>
            <w:vAlign w:val="center"/>
          </w:tcPr>
          <w:p w14:paraId="6D24B9FE">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69A98E5A">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6BE1350F">
            <w:pPr>
              <w:spacing w:line="360" w:lineRule="auto"/>
              <w:jc w:val="center"/>
              <w:rPr>
                <w:rFonts w:hint="eastAsia" w:ascii="宋体" w:hAnsi="宋体" w:cs="宋体"/>
                <w:color w:val="auto"/>
                <w:highlight w:val="none"/>
              </w:rPr>
            </w:pPr>
          </w:p>
        </w:tc>
      </w:tr>
      <w:tr w14:paraId="0483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54B2E23B">
            <w:pPr>
              <w:spacing w:line="360" w:lineRule="auto"/>
              <w:rPr>
                <w:rFonts w:hint="eastAsia" w:ascii="宋体" w:hAnsi="宋体" w:cs="宋体"/>
                <w:color w:val="auto"/>
                <w:highlight w:val="none"/>
              </w:rPr>
            </w:pPr>
            <w:r>
              <w:rPr>
                <w:rFonts w:hint="eastAsia" w:ascii="宋体" w:hAnsi="宋体" w:cs="宋体"/>
                <w:color w:val="auto"/>
                <w:highlight w:val="none"/>
              </w:rPr>
              <w:t>（三）悬挑式脚手架工程。</w:t>
            </w:r>
          </w:p>
        </w:tc>
        <w:tc>
          <w:tcPr>
            <w:tcW w:w="793" w:type="pct"/>
            <w:tcBorders>
              <w:top w:val="single" w:color="auto" w:sz="4" w:space="0"/>
              <w:left w:val="nil"/>
              <w:bottom w:val="single" w:color="auto" w:sz="4" w:space="0"/>
              <w:right w:val="single" w:color="auto" w:sz="4" w:space="0"/>
            </w:tcBorders>
            <w:vAlign w:val="center"/>
          </w:tcPr>
          <w:p w14:paraId="0B3C2C0D">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40797CCF">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47CC8903">
            <w:pPr>
              <w:spacing w:line="360" w:lineRule="auto"/>
              <w:jc w:val="center"/>
              <w:rPr>
                <w:rFonts w:hint="eastAsia" w:ascii="宋体" w:hAnsi="宋体" w:cs="宋体"/>
                <w:color w:val="auto"/>
                <w:highlight w:val="none"/>
              </w:rPr>
            </w:pPr>
          </w:p>
        </w:tc>
      </w:tr>
      <w:tr w14:paraId="6478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09F5FC0D">
            <w:pPr>
              <w:spacing w:line="360" w:lineRule="auto"/>
              <w:rPr>
                <w:rFonts w:hint="eastAsia" w:ascii="宋体" w:hAnsi="宋体" w:cs="宋体"/>
                <w:color w:val="auto"/>
                <w:highlight w:val="none"/>
              </w:rPr>
            </w:pPr>
            <w:r>
              <w:rPr>
                <w:rFonts w:hint="eastAsia" w:ascii="宋体" w:hAnsi="宋体" w:cs="宋体"/>
                <w:color w:val="auto"/>
                <w:highlight w:val="none"/>
              </w:rPr>
              <w:t>（四）高处作业吊篮。</w:t>
            </w:r>
          </w:p>
        </w:tc>
        <w:tc>
          <w:tcPr>
            <w:tcW w:w="793" w:type="pct"/>
            <w:tcBorders>
              <w:top w:val="single" w:color="auto" w:sz="4" w:space="0"/>
              <w:left w:val="nil"/>
              <w:bottom w:val="single" w:color="auto" w:sz="4" w:space="0"/>
              <w:right w:val="single" w:color="auto" w:sz="4" w:space="0"/>
            </w:tcBorders>
            <w:vAlign w:val="center"/>
          </w:tcPr>
          <w:p w14:paraId="0130453F">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516A0943">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697B3D11">
            <w:pPr>
              <w:spacing w:line="360" w:lineRule="auto"/>
              <w:jc w:val="center"/>
              <w:rPr>
                <w:rFonts w:hint="eastAsia" w:ascii="宋体" w:hAnsi="宋体" w:cs="宋体"/>
                <w:color w:val="auto"/>
                <w:highlight w:val="none"/>
              </w:rPr>
            </w:pPr>
          </w:p>
        </w:tc>
      </w:tr>
      <w:tr w14:paraId="619D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70E14A5B">
            <w:pPr>
              <w:spacing w:line="360" w:lineRule="auto"/>
              <w:rPr>
                <w:rFonts w:hint="eastAsia" w:ascii="宋体" w:hAnsi="宋体" w:cs="宋体"/>
                <w:color w:val="auto"/>
                <w:highlight w:val="none"/>
              </w:rPr>
            </w:pPr>
            <w:r>
              <w:rPr>
                <w:rFonts w:hint="eastAsia" w:ascii="宋体" w:hAnsi="宋体" w:cs="宋体"/>
                <w:color w:val="auto"/>
                <w:highlight w:val="none"/>
              </w:rPr>
              <w:t>（五）卸料平台、操作平台工程。</w:t>
            </w:r>
          </w:p>
        </w:tc>
        <w:tc>
          <w:tcPr>
            <w:tcW w:w="793" w:type="pct"/>
            <w:tcBorders>
              <w:top w:val="single" w:color="auto" w:sz="4" w:space="0"/>
              <w:left w:val="nil"/>
              <w:bottom w:val="single" w:color="auto" w:sz="4" w:space="0"/>
              <w:right w:val="single" w:color="auto" w:sz="4" w:space="0"/>
            </w:tcBorders>
            <w:vAlign w:val="center"/>
          </w:tcPr>
          <w:p w14:paraId="10BDF53F">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75A4FF85">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01FA756D">
            <w:pPr>
              <w:spacing w:line="360" w:lineRule="auto"/>
              <w:jc w:val="center"/>
              <w:rPr>
                <w:rFonts w:hint="eastAsia" w:ascii="宋体" w:hAnsi="宋体" w:cs="宋体"/>
                <w:color w:val="auto"/>
                <w:highlight w:val="none"/>
              </w:rPr>
            </w:pPr>
          </w:p>
        </w:tc>
      </w:tr>
      <w:tr w14:paraId="2C3D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4C72CF2A">
            <w:pPr>
              <w:spacing w:line="360" w:lineRule="auto"/>
              <w:rPr>
                <w:rFonts w:hint="eastAsia" w:ascii="宋体" w:hAnsi="宋体" w:cs="宋体"/>
                <w:color w:val="auto"/>
                <w:highlight w:val="none"/>
              </w:rPr>
            </w:pPr>
            <w:r>
              <w:rPr>
                <w:rFonts w:hint="eastAsia" w:ascii="宋体" w:hAnsi="宋体" w:cs="宋体"/>
                <w:color w:val="auto"/>
                <w:highlight w:val="none"/>
              </w:rPr>
              <w:t>（六）异型脚手架工程。</w:t>
            </w:r>
          </w:p>
        </w:tc>
        <w:tc>
          <w:tcPr>
            <w:tcW w:w="793" w:type="pct"/>
            <w:tcBorders>
              <w:top w:val="single" w:color="auto" w:sz="4" w:space="0"/>
              <w:left w:val="nil"/>
              <w:bottom w:val="single" w:color="auto" w:sz="4" w:space="0"/>
              <w:right w:val="single" w:color="auto" w:sz="4" w:space="0"/>
            </w:tcBorders>
            <w:vAlign w:val="center"/>
          </w:tcPr>
          <w:p w14:paraId="359FC610">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70AB7BF8">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5AEB5AB6">
            <w:pPr>
              <w:spacing w:line="360" w:lineRule="auto"/>
              <w:jc w:val="center"/>
              <w:rPr>
                <w:rFonts w:hint="eastAsia" w:ascii="宋体" w:hAnsi="宋体" w:cs="宋体"/>
                <w:color w:val="auto"/>
                <w:highlight w:val="none"/>
              </w:rPr>
            </w:pPr>
          </w:p>
        </w:tc>
      </w:tr>
      <w:tr w14:paraId="0B18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363D7531">
            <w:pPr>
              <w:spacing w:line="360" w:lineRule="auto"/>
              <w:rPr>
                <w:rFonts w:hint="eastAsia" w:ascii="宋体" w:hAnsi="宋体" w:cs="宋体"/>
                <w:color w:val="auto"/>
                <w:highlight w:val="none"/>
              </w:rPr>
            </w:pPr>
            <w:r>
              <w:rPr>
                <w:rFonts w:hint="eastAsia" w:ascii="宋体" w:hAnsi="宋体" w:cs="宋体"/>
                <w:b/>
                <w:color w:val="auto"/>
                <w:highlight w:val="none"/>
              </w:rPr>
              <w:t>五、拆除工程</w:t>
            </w:r>
          </w:p>
        </w:tc>
      </w:tr>
      <w:tr w14:paraId="7DC4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73B5A562">
            <w:pPr>
              <w:spacing w:line="360" w:lineRule="auto"/>
              <w:rPr>
                <w:rFonts w:hint="eastAsia" w:ascii="宋体" w:hAnsi="宋体" w:cs="宋体"/>
                <w:color w:val="auto"/>
                <w:highlight w:val="none"/>
              </w:rPr>
            </w:pPr>
            <w:r>
              <w:rPr>
                <w:rFonts w:hint="eastAsia" w:ascii="宋体" w:hAnsi="宋体" w:cs="宋体"/>
                <w:color w:val="auto"/>
                <w:highlight w:val="none"/>
              </w:rPr>
              <w:t>可能影响行人、交通、电力设施、通讯设施或其它建、构筑物安全的拆除工程。</w:t>
            </w:r>
          </w:p>
        </w:tc>
        <w:tc>
          <w:tcPr>
            <w:tcW w:w="793" w:type="pct"/>
            <w:tcBorders>
              <w:top w:val="single" w:color="auto" w:sz="4" w:space="0"/>
              <w:left w:val="nil"/>
              <w:bottom w:val="single" w:color="auto" w:sz="4" w:space="0"/>
              <w:right w:val="single" w:color="auto" w:sz="4" w:space="0"/>
            </w:tcBorders>
            <w:vAlign w:val="center"/>
          </w:tcPr>
          <w:p w14:paraId="5B818A30">
            <w:pPr>
              <w:spacing w:line="360" w:lineRule="auto"/>
              <w:jc w:val="center"/>
              <w:rPr>
                <w:rFonts w:hint="eastAsia" w:ascii="宋体" w:hAnsi="宋体" w:cs="宋体"/>
                <w:color w:val="auto"/>
                <w:highlight w:val="none"/>
              </w:rPr>
            </w:pPr>
            <w:r>
              <w:rPr>
                <w:rFonts w:hint="eastAsia" w:ascii="宋体" w:hAnsi="宋体" w:cs="宋体"/>
                <w:color w:val="auto"/>
                <w:highlight w:val="none"/>
                <w:lang w:val="en-US" w:eastAsia="zh-CN"/>
              </w:rPr>
              <w:t>√</w:t>
            </w:r>
          </w:p>
        </w:tc>
        <w:tc>
          <w:tcPr>
            <w:tcW w:w="793" w:type="pct"/>
            <w:tcBorders>
              <w:top w:val="single" w:color="auto" w:sz="4" w:space="0"/>
              <w:left w:val="nil"/>
              <w:bottom w:val="single" w:color="auto" w:sz="4" w:space="0"/>
              <w:right w:val="single" w:color="auto" w:sz="4" w:space="0"/>
            </w:tcBorders>
            <w:vAlign w:val="center"/>
          </w:tcPr>
          <w:p w14:paraId="43B8A237">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6DB806E9">
            <w:pPr>
              <w:spacing w:line="360" w:lineRule="auto"/>
              <w:jc w:val="center"/>
              <w:rPr>
                <w:rFonts w:hint="eastAsia" w:ascii="宋体" w:hAnsi="宋体" w:cs="宋体"/>
                <w:color w:val="auto"/>
                <w:highlight w:val="none"/>
              </w:rPr>
            </w:pPr>
          </w:p>
        </w:tc>
      </w:tr>
      <w:tr w14:paraId="43B7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5FF58C3F">
            <w:pPr>
              <w:spacing w:line="360" w:lineRule="auto"/>
              <w:rPr>
                <w:rFonts w:hint="eastAsia" w:ascii="宋体" w:hAnsi="宋体" w:cs="宋体"/>
                <w:color w:val="auto"/>
                <w:highlight w:val="none"/>
              </w:rPr>
            </w:pPr>
            <w:r>
              <w:rPr>
                <w:rFonts w:hint="eastAsia" w:ascii="宋体" w:hAnsi="宋体" w:cs="宋体"/>
                <w:b/>
                <w:color w:val="auto"/>
                <w:highlight w:val="none"/>
              </w:rPr>
              <w:t>六、暗挖工程</w:t>
            </w:r>
          </w:p>
        </w:tc>
      </w:tr>
      <w:tr w14:paraId="769F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463337AD">
            <w:pPr>
              <w:spacing w:line="360" w:lineRule="auto"/>
              <w:rPr>
                <w:rFonts w:hint="eastAsia" w:ascii="宋体" w:hAnsi="宋体" w:cs="宋体"/>
                <w:color w:val="auto"/>
                <w:highlight w:val="none"/>
              </w:rPr>
            </w:pPr>
            <w:r>
              <w:rPr>
                <w:rFonts w:hint="eastAsia" w:ascii="宋体" w:hAnsi="宋体" w:cs="宋体"/>
                <w:color w:val="auto"/>
                <w:highlight w:val="none"/>
              </w:rPr>
              <w:t>采用矿山法、盾构法、顶管法施工的隧道、洞室工程。</w:t>
            </w:r>
          </w:p>
        </w:tc>
        <w:tc>
          <w:tcPr>
            <w:tcW w:w="793" w:type="pct"/>
            <w:tcBorders>
              <w:top w:val="single" w:color="auto" w:sz="4" w:space="0"/>
              <w:left w:val="nil"/>
              <w:bottom w:val="single" w:color="auto" w:sz="4" w:space="0"/>
              <w:right w:val="single" w:color="auto" w:sz="4" w:space="0"/>
            </w:tcBorders>
            <w:vAlign w:val="center"/>
          </w:tcPr>
          <w:p w14:paraId="0C477AD5">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470EEE90">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79CF1D3F">
            <w:pPr>
              <w:spacing w:line="360" w:lineRule="auto"/>
              <w:jc w:val="center"/>
              <w:rPr>
                <w:rFonts w:hint="eastAsia" w:ascii="宋体" w:hAnsi="宋体" w:cs="宋体"/>
                <w:color w:val="auto"/>
                <w:highlight w:val="none"/>
              </w:rPr>
            </w:pPr>
          </w:p>
        </w:tc>
      </w:tr>
      <w:tr w14:paraId="4F4C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17FDD99B">
            <w:pPr>
              <w:spacing w:line="360" w:lineRule="auto"/>
              <w:rPr>
                <w:rFonts w:hint="eastAsia" w:ascii="宋体" w:hAnsi="宋体" w:cs="宋体"/>
                <w:color w:val="auto"/>
                <w:highlight w:val="none"/>
              </w:rPr>
            </w:pPr>
            <w:r>
              <w:rPr>
                <w:rFonts w:hint="eastAsia" w:ascii="宋体" w:hAnsi="宋体" w:cs="宋体"/>
                <w:b/>
                <w:color w:val="auto"/>
                <w:highlight w:val="none"/>
              </w:rPr>
              <w:t>七、其它</w:t>
            </w:r>
          </w:p>
        </w:tc>
      </w:tr>
      <w:tr w14:paraId="2BBD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7677D234">
            <w:pPr>
              <w:spacing w:line="360" w:lineRule="auto"/>
              <w:rPr>
                <w:rFonts w:hint="eastAsia" w:ascii="宋体" w:hAnsi="宋体" w:cs="宋体"/>
                <w:color w:val="auto"/>
                <w:highlight w:val="none"/>
              </w:rPr>
            </w:pPr>
            <w:r>
              <w:rPr>
                <w:rFonts w:hint="eastAsia" w:ascii="宋体" w:hAnsi="宋体" w:cs="宋体"/>
                <w:color w:val="auto"/>
                <w:highlight w:val="none"/>
              </w:rPr>
              <w:t>（一）建筑幕墙安装工程。</w:t>
            </w:r>
          </w:p>
        </w:tc>
        <w:tc>
          <w:tcPr>
            <w:tcW w:w="793" w:type="pct"/>
            <w:tcBorders>
              <w:top w:val="single" w:color="auto" w:sz="4" w:space="0"/>
              <w:left w:val="nil"/>
              <w:bottom w:val="single" w:color="auto" w:sz="4" w:space="0"/>
              <w:right w:val="single" w:color="auto" w:sz="4" w:space="0"/>
            </w:tcBorders>
            <w:vAlign w:val="center"/>
          </w:tcPr>
          <w:p w14:paraId="23CE283F">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6112F590">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5F884ACA">
            <w:pPr>
              <w:spacing w:line="360" w:lineRule="auto"/>
              <w:jc w:val="center"/>
              <w:rPr>
                <w:rFonts w:hint="eastAsia" w:ascii="宋体" w:hAnsi="宋体" w:cs="宋体"/>
                <w:color w:val="auto"/>
                <w:highlight w:val="none"/>
              </w:rPr>
            </w:pPr>
          </w:p>
        </w:tc>
      </w:tr>
      <w:tr w14:paraId="06F05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0C65C619">
            <w:pPr>
              <w:spacing w:line="360" w:lineRule="auto"/>
              <w:rPr>
                <w:rFonts w:hint="eastAsia" w:ascii="宋体" w:hAnsi="宋体" w:cs="宋体"/>
                <w:color w:val="auto"/>
                <w:highlight w:val="none"/>
              </w:rPr>
            </w:pPr>
            <w:r>
              <w:rPr>
                <w:rFonts w:hint="eastAsia" w:ascii="宋体" w:hAnsi="宋体" w:cs="宋体"/>
                <w:color w:val="auto"/>
                <w:highlight w:val="none"/>
              </w:rPr>
              <w:t>（二）钢结构、网架和索膜结构安装工程。</w:t>
            </w:r>
          </w:p>
        </w:tc>
        <w:tc>
          <w:tcPr>
            <w:tcW w:w="793" w:type="pct"/>
            <w:tcBorders>
              <w:top w:val="single" w:color="auto" w:sz="4" w:space="0"/>
              <w:left w:val="nil"/>
              <w:bottom w:val="single" w:color="auto" w:sz="4" w:space="0"/>
              <w:right w:val="single" w:color="auto" w:sz="4" w:space="0"/>
            </w:tcBorders>
            <w:vAlign w:val="center"/>
          </w:tcPr>
          <w:p w14:paraId="778BF6B8">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3A901B3F">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1D336742">
            <w:pPr>
              <w:spacing w:line="360" w:lineRule="auto"/>
              <w:jc w:val="center"/>
              <w:rPr>
                <w:rFonts w:hint="eastAsia" w:ascii="宋体" w:hAnsi="宋体" w:cs="宋体"/>
                <w:color w:val="auto"/>
                <w:highlight w:val="none"/>
              </w:rPr>
            </w:pPr>
          </w:p>
        </w:tc>
      </w:tr>
      <w:tr w14:paraId="2E0A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4D3E5075">
            <w:pPr>
              <w:spacing w:line="360" w:lineRule="auto"/>
              <w:rPr>
                <w:rFonts w:hint="eastAsia" w:ascii="宋体" w:hAnsi="宋体" w:cs="宋体"/>
                <w:color w:val="auto"/>
                <w:highlight w:val="none"/>
              </w:rPr>
            </w:pPr>
            <w:r>
              <w:rPr>
                <w:rFonts w:hint="eastAsia" w:ascii="宋体" w:hAnsi="宋体" w:cs="宋体"/>
                <w:color w:val="auto"/>
                <w:highlight w:val="none"/>
              </w:rPr>
              <w:t>（三）人工挖孔桩工程。</w:t>
            </w:r>
          </w:p>
        </w:tc>
        <w:tc>
          <w:tcPr>
            <w:tcW w:w="793" w:type="pct"/>
            <w:tcBorders>
              <w:top w:val="single" w:color="auto" w:sz="4" w:space="0"/>
              <w:left w:val="nil"/>
              <w:bottom w:val="single" w:color="auto" w:sz="4" w:space="0"/>
              <w:right w:val="single" w:color="auto" w:sz="4" w:space="0"/>
            </w:tcBorders>
            <w:vAlign w:val="center"/>
          </w:tcPr>
          <w:p w14:paraId="152350A2">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69ECFDA9">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60760763">
            <w:pPr>
              <w:spacing w:line="360" w:lineRule="auto"/>
              <w:jc w:val="center"/>
              <w:rPr>
                <w:rFonts w:hint="eastAsia" w:ascii="宋体" w:hAnsi="宋体" w:cs="宋体"/>
                <w:color w:val="auto"/>
                <w:highlight w:val="none"/>
              </w:rPr>
            </w:pPr>
          </w:p>
        </w:tc>
      </w:tr>
      <w:tr w14:paraId="3FE8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6D34D9C1">
            <w:pPr>
              <w:spacing w:line="360" w:lineRule="auto"/>
              <w:rPr>
                <w:rFonts w:hint="eastAsia" w:ascii="宋体" w:hAnsi="宋体" w:cs="宋体"/>
                <w:color w:val="auto"/>
                <w:highlight w:val="none"/>
              </w:rPr>
            </w:pPr>
            <w:r>
              <w:rPr>
                <w:rFonts w:hint="eastAsia" w:ascii="宋体" w:hAnsi="宋体" w:cs="宋体"/>
                <w:color w:val="auto"/>
                <w:highlight w:val="none"/>
              </w:rPr>
              <w:t>（四）水下作业工程。</w:t>
            </w:r>
          </w:p>
        </w:tc>
        <w:tc>
          <w:tcPr>
            <w:tcW w:w="793" w:type="pct"/>
            <w:tcBorders>
              <w:top w:val="single" w:color="auto" w:sz="4" w:space="0"/>
              <w:left w:val="nil"/>
              <w:bottom w:val="single" w:color="auto" w:sz="4" w:space="0"/>
              <w:right w:val="single" w:color="auto" w:sz="4" w:space="0"/>
            </w:tcBorders>
            <w:vAlign w:val="center"/>
          </w:tcPr>
          <w:p w14:paraId="0B7E86BF">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56C01E80">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2569A529">
            <w:pPr>
              <w:spacing w:line="360" w:lineRule="auto"/>
              <w:jc w:val="center"/>
              <w:rPr>
                <w:rFonts w:hint="eastAsia" w:ascii="宋体" w:hAnsi="宋体" w:cs="宋体"/>
                <w:color w:val="auto"/>
                <w:highlight w:val="none"/>
              </w:rPr>
            </w:pPr>
          </w:p>
        </w:tc>
      </w:tr>
      <w:tr w14:paraId="55CF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59BDC141">
            <w:pPr>
              <w:spacing w:line="360" w:lineRule="auto"/>
              <w:rPr>
                <w:rFonts w:hint="eastAsia" w:ascii="宋体" w:hAnsi="宋体" w:cs="宋体"/>
                <w:color w:val="auto"/>
                <w:highlight w:val="none"/>
              </w:rPr>
            </w:pPr>
            <w:r>
              <w:rPr>
                <w:rFonts w:hint="eastAsia" w:ascii="宋体" w:hAnsi="宋体" w:cs="宋体"/>
                <w:color w:val="auto"/>
                <w:highlight w:val="none"/>
              </w:rPr>
              <w:t>（五）装配式建筑混凝土预制构件安装工程。</w:t>
            </w:r>
          </w:p>
        </w:tc>
        <w:tc>
          <w:tcPr>
            <w:tcW w:w="793" w:type="pct"/>
            <w:tcBorders>
              <w:top w:val="single" w:color="auto" w:sz="4" w:space="0"/>
              <w:left w:val="nil"/>
              <w:bottom w:val="single" w:color="auto" w:sz="4" w:space="0"/>
              <w:right w:val="single" w:color="auto" w:sz="4" w:space="0"/>
            </w:tcBorders>
            <w:vAlign w:val="center"/>
          </w:tcPr>
          <w:p w14:paraId="536356AB">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4E30E0B0">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64DAC03A">
            <w:pPr>
              <w:spacing w:line="360" w:lineRule="auto"/>
              <w:jc w:val="center"/>
              <w:rPr>
                <w:rFonts w:hint="eastAsia" w:ascii="宋体" w:hAnsi="宋体" w:cs="宋体"/>
                <w:color w:val="auto"/>
                <w:highlight w:val="none"/>
              </w:rPr>
            </w:pPr>
          </w:p>
        </w:tc>
      </w:tr>
      <w:tr w14:paraId="0AA9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6B861742">
            <w:pPr>
              <w:spacing w:line="360" w:lineRule="auto"/>
              <w:rPr>
                <w:rFonts w:hint="eastAsia" w:ascii="宋体" w:hAnsi="宋体" w:cs="宋体"/>
                <w:color w:val="auto"/>
                <w:highlight w:val="none"/>
              </w:rPr>
            </w:pPr>
            <w:r>
              <w:rPr>
                <w:rFonts w:hint="eastAsia" w:ascii="宋体" w:hAnsi="宋体" w:cs="宋体"/>
                <w:color w:val="auto"/>
                <w:highlight w:val="none"/>
              </w:rPr>
              <w:t>（六）采用新技术、新工艺、新材料、新设备可能影响工程施工安全，尚无国家、行业及地方技术标准的分部分项工程。</w:t>
            </w:r>
          </w:p>
        </w:tc>
        <w:tc>
          <w:tcPr>
            <w:tcW w:w="793" w:type="pct"/>
            <w:tcBorders>
              <w:top w:val="single" w:color="auto" w:sz="4" w:space="0"/>
              <w:left w:val="nil"/>
              <w:bottom w:val="single" w:color="auto" w:sz="4" w:space="0"/>
              <w:right w:val="single" w:color="auto" w:sz="4" w:space="0"/>
            </w:tcBorders>
            <w:vAlign w:val="center"/>
          </w:tcPr>
          <w:p w14:paraId="5208E915">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19A69A8C">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679F4C43">
            <w:pPr>
              <w:spacing w:line="360" w:lineRule="auto"/>
              <w:jc w:val="center"/>
              <w:rPr>
                <w:rFonts w:hint="eastAsia" w:ascii="宋体" w:hAnsi="宋体" w:cs="宋体"/>
                <w:color w:val="auto"/>
                <w:highlight w:val="none"/>
              </w:rPr>
            </w:pPr>
          </w:p>
        </w:tc>
      </w:tr>
      <w:tr w14:paraId="4682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792"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2A6F0B5">
            <w:pPr>
              <w:spacing w:line="360" w:lineRule="auto"/>
              <w:jc w:val="center"/>
              <w:rPr>
                <w:rFonts w:hint="eastAsia" w:ascii="宋体" w:hAnsi="宋体" w:cs="宋体"/>
                <w:b/>
                <w:color w:val="auto"/>
                <w:highlight w:val="none"/>
              </w:rPr>
            </w:pPr>
            <w:r>
              <w:rPr>
                <w:rFonts w:hint="eastAsia" w:ascii="宋体" w:hAnsi="宋体" w:cs="宋体"/>
                <w:b/>
                <w:color w:val="auto"/>
                <w:highlight w:val="none"/>
              </w:rPr>
              <w:t>超过一定规模的危险性较大的分部分项工程清单</w:t>
            </w:r>
          </w:p>
        </w:tc>
        <w:tc>
          <w:tcPr>
            <w:tcW w:w="793"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6768E7B3">
            <w:pPr>
              <w:spacing w:line="360" w:lineRule="auto"/>
              <w:jc w:val="center"/>
              <w:rPr>
                <w:rFonts w:hint="eastAsia" w:ascii="宋体" w:hAnsi="宋体" w:cs="宋体"/>
                <w:b/>
                <w:color w:val="auto"/>
                <w:highlight w:val="none"/>
              </w:rPr>
            </w:pPr>
            <w:r>
              <w:rPr>
                <w:rFonts w:hint="eastAsia" w:ascii="宋体" w:hAnsi="宋体" w:cs="宋体"/>
                <w:b/>
                <w:color w:val="auto"/>
                <w:highlight w:val="none"/>
              </w:rPr>
              <w:t>招标人</w:t>
            </w:r>
          </w:p>
        </w:tc>
        <w:tc>
          <w:tcPr>
            <w:tcW w:w="793"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132DDF4D">
            <w:pPr>
              <w:spacing w:line="360" w:lineRule="auto"/>
              <w:jc w:val="center"/>
              <w:rPr>
                <w:rFonts w:hint="eastAsia" w:ascii="宋体" w:hAnsi="宋体" w:cs="宋体"/>
                <w:b/>
                <w:color w:val="auto"/>
                <w:highlight w:val="none"/>
              </w:rPr>
            </w:pPr>
            <w:r>
              <w:rPr>
                <w:rFonts w:hint="eastAsia" w:ascii="宋体" w:hAnsi="宋体" w:cs="宋体"/>
                <w:b/>
                <w:color w:val="auto"/>
                <w:highlight w:val="none"/>
              </w:rPr>
              <w:t>投标单位</w:t>
            </w:r>
          </w:p>
        </w:tc>
        <w:tc>
          <w:tcPr>
            <w:tcW w:w="620"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1E2F0E6D">
            <w:pPr>
              <w:spacing w:line="360" w:lineRule="auto"/>
              <w:jc w:val="center"/>
              <w:rPr>
                <w:rFonts w:hint="eastAsia" w:ascii="宋体" w:hAnsi="宋体" w:cs="宋体"/>
                <w:b/>
                <w:color w:val="auto"/>
                <w:highlight w:val="none"/>
              </w:rPr>
            </w:pPr>
            <w:r>
              <w:rPr>
                <w:rFonts w:hint="eastAsia" w:ascii="宋体" w:hAnsi="宋体" w:cs="宋体"/>
                <w:b/>
                <w:color w:val="auto"/>
                <w:highlight w:val="none"/>
              </w:rPr>
              <w:t>备注</w:t>
            </w:r>
          </w:p>
        </w:tc>
      </w:tr>
      <w:tr w14:paraId="433C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1B457627">
            <w:pPr>
              <w:spacing w:line="360" w:lineRule="auto"/>
              <w:rPr>
                <w:rFonts w:hint="eastAsia" w:ascii="宋体" w:hAnsi="宋体" w:cs="宋体"/>
                <w:b/>
                <w:color w:val="auto"/>
                <w:highlight w:val="none"/>
              </w:rPr>
            </w:pPr>
            <w:r>
              <w:rPr>
                <w:rFonts w:hint="eastAsia" w:ascii="宋体" w:hAnsi="宋体" w:cs="宋体"/>
                <w:b/>
                <w:color w:val="auto"/>
                <w:highlight w:val="none"/>
              </w:rPr>
              <w:t>一、深基坑工程</w:t>
            </w:r>
          </w:p>
        </w:tc>
      </w:tr>
      <w:tr w14:paraId="2168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5D2B2864">
            <w:pPr>
              <w:spacing w:line="360" w:lineRule="auto"/>
              <w:rPr>
                <w:rFonts w:hint="eastAsia" w:ascii="宋体" w:hAnsi="宋体" w:cs="宋体"/>
                <w:color w:val="auto"/>
                <w:highlight w:val="none"/>
              </w:rPr>
            </w:pPr>
            <w:r>
              <w:rPr>
                <w:rFonts w:hint="eastAsia" w:ascii="宋体" w:hAnsi="宋体" w:cs="宋体"/>
                <w:color w:val="auto"/>
                <w:highlight w:val="none"/>
              </w:rPr>
              <w:t>开挖深度超过5m（含5m）的基坑（槽）的土方开挖、支护、降水工程。</w:t>
            </w:r>
          </w:p>
        </w:tc>
        <w:tc>
          <w:tcPr>
            <w:tcW w:w="793" w:type="pct"/>
            <w:tcBorders>
              <w:top w:val="single" w:color="auto" w:sz="4" w:space="0"/>
              <w:left w:val="nil"/>
              <w:bottom w:val="single" w:color="auto" w:sz="4" w:space="0"/>
              <w:right w:val="single" w:color="auto" w:sz="4" w:space="0"/>
            </w:tcBorders>
            <w:vAlign w:val="center"/>
          </w:tcPr>
          <w:p w14:paraId="1F9E5B32">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5E343388">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4EF4B0AF">
            <w:pPr>
              <w:spacing w:line="360" w:lineRule="auto"/>
              <w:jc w:val="center"/>
              <w:rPr>
                <w:rFonts w:hint="eastAsia" w:ascii="宋体" w:hAnsi="宋体" w:cs="宋体"/>
                <w:color w:val="auto"/>
                <w:highlight w:val="none"/>
              </w:rPr>
            </w:pPr>
          </w:p>
        </w:tc>
      </w:tr>
      <w:tr w14:paraId="3678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68311303">
            <w:pPr>
              <w:spacing w:line="360" w:lineRule="auto"/>
              <w:rPr>
                <w:rFonts w:hint="eastAsia" w:ascii="宋体" w:hAnsi="宋体" w:cs="宋体"/>
                <w:color w:val="auto"/>
                <w:highlight w:val="none"/>
              </w:rPr>
            </w:pPr>
            <w:r>
              <w:rPr>
                <w:rFonts w:hint="eastAsia" w:ascii="宋体" w:hAnsi="宋体" w:cs="宋体"/>
                <w:b/>
                <w:color w:val="auto"/>
                <w:highlight w:val="none"/>
              </w:rPr>
              <w:t>二、模板工程及支撑体系</w:t>
            </w:r>
          </w:p>
        </w:tc>
      </w:tr>
      <w:tr w14:paraId="48D8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19FC1215">
            <w:pPr>
              <w:spacing w:line="360" w:lineRule="auto"/>
              <w:rPr>
                <w:rFonts w:hint="eastAsia" w:ascii="宋体" w:hAnsi="宋体" w:cs="宋体"/>
                <w:color w:val="auto"/>
                <w:highlight w:val="none"/>
              </w:rPr>
            </w:pPr>
            <w:r>
              <w:rPr>
                <w:rFonts w:hint="eastAsia" w:ascii="宋体" w:hAnsi="宋体" w:cs="宋体"/>
                <w:color w:val="auto"/>
                <w:highlight w:val="none"/>
              </w:rPr>
              <w:t>（一）各类工具式模板工程：包括滑模、爬模、飞模、隧道模等工程。</w:t>
            </w:r>
          </w:p>
        </w:tc>
        <w:tc>
          <w:tcPr>
            <w:tcW w:w="793" w:type="pct"/>
            <w:tcBorders>
              <w:top w:val="single" w:color="auto" w:sz="4" w:space="0"/>
              <w:left w:val="nil"/>
              <w:bottom w:val="single" w:color="auto" w:sz="4" w:space="0"/>
              <w:right w:val="single" w:color="auto" w:sz="4" w:space="0"/>
            </w:tcBorders>
            <w:vAlign w:val="center"/>
          </w:tcPr>
          <w:p w14:paraId="04C146A8">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6B629024">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0713E4F3">
            <w:pPr>
              <w:spacing w:line="360" w:lineRule="auto"/>
              <w:jc w:val="center"/>
              <w:rPr>
                <w:rFonts w:hint="eastAsia" w:ascii="宋体" w:hAnsi="宋体" w:cs="宋体"/>
                <w:color w:val="auto"/>
                <w:highlight w:val="none"/>
              </w:rPr>
            </w:pPr>
          </w:p>
        </w:tc>
      </w:tr>
      <w:tr w14:paraId="2679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5046A8F8">
            <w:pPr>
              <w:spacing w:line="360" w:lineRule="auto"/>
              <w:rPr>
                <w:rFonts w:hint="eastAsia" w:ascii="宋体" w:hAnsi="宋体" w:cs="宋体"/>
                <w:color w:val="auto"/>
                <w:highlight w:val="none"/>
              </w:rPr>
            </w:pPr>
            <w:r>
              <w:rPr>
                <w:rFonts w:hint="eastAsia" w:ascii="宋体" w:hAnsi="宋体" w:cs="宋体"/>
                <w:color w:val="auto"/>
                <w:highlight w:val="none"/>
              </w:rPr>
              <w:t>（二）混凝土模板支撑工程：搭设高度8m及以上，或搭设跨度18m及以上，或施工总荷载（设计值）15kN/m2及以上，或集中线荷载（设计值）20kN/m及以上。</w:t>
            </w:r>
          </w:p>
        </w:tc>
        <w:tc>
          <w:tcPr>
            <w:tcW w:w="793" w:type="pct"/>
            <w:tcBorders>
              <w:top w:val="single" w:color="auto" w:sz="4" w:space="0"/>
              <w:left w:val="nil"/>
              <w:bottom w:val="single" w:color="auto" w:sz="4" w:space="0"/>
              <w:right w:val="single" w:color="auto" w:sz="4" w:space="0"/>
            </w:tcBorders>
            <w:vAlign w:val="center"/>
          </w:tcPr>
          <w:p w14:paraId="46A2B034">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1155F0BF">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514918CF">
            <w:pPr>
              <w:spacing w:line="360" w:lineRule="auto"/>
              <w:jc w:val="center"/>
              <w:rPr>
                <w:rFonts w:hint="eastAsia" w:ascii="宋体" w:hAnsi="宋体" w:cs="宋体"/>
                <w:color w:val="auto"/>
                <w:highlight w:val="none"/>
              </w:rPr>
            </w:pPr>
          </w:p>
        </w:tc>
      </w:tr>
      <w:tr w14:paraId="682D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3845C2EE">
            <w:pPr>
              <w:spacing w:line="360" w:lineRule="auto"/>
              <w:rPr>
                <w:rFonts w:hint="eastAsia" w:ascii="宋体" w:hAnsi="宋体" w:cs="宋体"/>
                <w:color w:val="auto"/>
                <w:highlight w:val="none"/>
              </w:rPr>
            </w:pPr>
            <w:r>
              <w:rPr>
                <w:rFonts w:hint="eastAsia" w:ascii="宋体" w:hAnsi="宋体" w:cs="宋体"/>
                <w:color w:val="auto"/>
                <w:highlight w:val="none"/>
              </w:rPr>
              <w:t>（三）承重支撑体系：用于钢结构安装等满堂支撑体系，承受单点集中荷载7kN及以上。</w:t>
            </w:r>
          </w:p>
        </w:tc>
        <w:tc>
          <w:tcPr>
            <w:tcW w:w="793" w:type="pct"/>
            <w:tcBorders>
              <w:top w:val="single" w:color="auto" w:sz="4" w:space="0"/>
              <w:left w:val="nil"/>
              <w:bottom w:val="single" w:color="auto" w:sz="4" w:space="0"/>
              <w:right w:val="single" w:color="auto" w:sz="4" w:space="0"/>
            </w:tcBorders>
            <w:vAlign w:val="center"/>
          </w:tcPr>
          <w:p w14:paraId="742DB4B1">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47231D01">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11E772FF">
            <w:pPr>
              <w:spacing w:line="360" w:lineRule="auto"/>
              <w:jc w:val="center"/>
              <w:rPr>
                <w:rFonts w:hint="eastAsia" w:ascii="宋体" w:hAnsi="宋体" w:cs="宋体"/>
                <w:color w:val="auto"/>
                <w:highlight w:val="none"/>
              </w:rPr>
            </w:pPr>
          </w:p>
        </w:tc>
      </w:tr>
      <w:tr w14:paraId="4DF0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3884298D">
            <w:pPr>
              <w:spacing w:line="360" w:lineRule="auto"/>
              <w:rPr>
                <w:rFonts w:hint="eastAsia" w:ascii="宋体" w:hAnsi="宋体" w:cs="宋体"/>
                <w:color w:val="auto"/>
                <w:highlight w:val="none"/>
              </w:rPr>
            </w:pPr>
            <w:r>
              <w:rPr>
                <w:rFonts w:hint="eastAsia" w:ascii="宋体" w:hAnsi="宋体" w:cs="宋体"/>
                <w:b/>
                <w:color w:val="auto"/>
                <w:highlight w:val="none"/>
              </w:rPr>
              <w:t>三、起重吊装及起重机械安装拆卸工程</w:t>
            </w:r>
          </w:p>
        </w:tc>
      </w:tr>
      <w:tr w14:paraId="2749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2" w:type="pct"/>
            <w:tcBorders>
              <w:top w:val="single" w:color="auto" w:sz="4" w:space="0"/>
              <w:left w:val="single" w:color="auto" w:sz="4" w:space="0"/>
              <w:bottom w:val="single" w:color="auto" w:sz="4" w:space="0"/>
              <w:right w:val="single" w:color="auto" w:sz="4" w:space="0"/>
            </w:tcBorders>
            <w:vAlign w:val="center"/>
          </w:tcPr>
          <w:p w14:paraId="343C97B0">
            <w:pPr>
              <w:spacing w:line="360" w:lineRule="auto"/>
              <w:rPr>
                <w:rFonts w:hint="eastAsia" w:ascii="宋体" w:hAnsi="宋体" w:cs="宋体"/>
                <w:color w:val="auto"/>
                <w:highlight w:val="none"/>
              </w:rPr>
            </w:pPr>
            <w:r>
              <w:rPr>
                <w:rFonts w:hint="eastAsia" w:ascii="宋体" w:hAnsi="宋体" w:cs="宋体"/>
                <w:color w:val="auto"/>
                <w:highlight w:val="none"/>
              </w:rPr>
              <w:t>（一）采用非常规起重设备、方法，且单件起吊重量在100kN及以上的起重吊装工程。</w:t>
            </w:r>
          </w:p>
        </w:tc>
        <w:tc>
          <w:tcPr>
            <w:tcW w:w="793" w:type="pct"/>
            <w:tcBorders>
              <w:top w:val="single" w:color="auto" w:sz="4" w:space="0"/>
              <w:left w:val="nil"/>
              <w:bottom w:val="single" w:color="auto" w:sz="4" w:space="0"/>
              <w:right w:val="single" w:color="auto" w:sz="4" w:space="0"/>
            </w:tcBorders>
            <w:vAlign w:val="center"/>
          </w:tcPr>
          <w:p w14:paraId="45CE3344">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6F212775">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079E2E3C">
            <w:pPr>
              <w:spacing w:line="360" w:lineRule="auto"/>
              <w:jc w:val="center"/>
              <w:rPr>
                <w:rFonts w:hint="eastAsia" w:ascii="宋体" w:hAnsi="宋体" w:cs="宋体"/>
                <w:color w:val="auto"/>
                <w:highlight w:val="none"/>
              </w:rPr>
            </w:pPr>
          </w:p>
        </w:tc>
      </w:tr>
      <w:tr w14:paraId="01CF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51DC7D42">
            <w:pPr>
              <w:spacing w:line="360" w:lineRule="auto"/>
              <w:rPr>
                <w:rFonts w:hint="eastAsia" w:ascii="宋体" w:hAnsi="宋体" w:cs="宋体"/>
                <w:color w:val="auto"/>
                <w:highlight w:val="none"/>
              </w:rPr>
            </w:pPr>
            <w:r>
              <w:rPr>
                <w:rFonts w:hint="eastAsia" w:ascii="宋体" w:hAnsi="宋体" w:cs="宋体"/>
                <w:color w:val="auto"/>
                <w:highlight w:val="none"/>
              </w:rPr>
              <w:t>（二）起重量300kN及以上，或搭设总高度200m及以上，或搭设基础标高在200m及以上的起重机械安装和拆卸工程。</w:t>
            </w:r>
          </w:p>
        </w:tc>
        <w:tc>
          <w:tcPr>
            <w:tcW w:w="793" w:type="pct"/>
            <w:tcBorders>
              <w:top w:val="single" w:color="auto" w:sz="4" w:space="0"/>
              <w:left w:val="nil"/>
              <w:bottom w:val="single" w:color="auto" w:sz="4" w:space="0"/>
              <w:right w:val="single" w:color="auto" w:sz="4" w:space="0"/>
            </w:tcBorders>
            <w:vAlign w:val="center"/>
          </w:tcPr>
          <w:p w14:paraId="4A4E733C">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16C8109A">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40E6A784">
            <w:pPr>
              <w:spacing w:line="360" w:lineRule="auto"/>
              <w:jc w:val="center"/>
              <w:rPr>
                <w:rFonts w:hint="eastAsia" w:ascii="宋体" w:hAnsi="宋体" w:cs="宋体"/>
                <w:color w:val="auto"/>
                <w:highlight w:val="none"/>
              </w:rPr>
            </w:pPr>
          </w:p>
        </w:tc>
      </w:tr>
      <w:tr w14:paraId="1748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6652219A">
            <w:pPr>
              <w:spacing w:line="360" w:lineRule="auto"/>
              <w:rPr>
                <w:rFonts w:hint="eastAsia" w:ascii="宋体" w:hAnsi="宋体" w:cs="宋体"/>
                <w:b/>
                <w:color w:val="auto"/>
                <w:highlight w:val="none"/>
              </w:rPr>
            </w:pPr>
            <w:r>
              <w:rPr>
                <w:rFonts w:hint="eastAsia" w:ascii="宋体" w:hAnsi="宋体" w:cs="宋体"/>
                <w:b/>
                <w:color w:val="auto"/>
                <w:highlight w:val="none"/>
              </w:rPr>
              <w:t>四、脚手架工程</w:t>
            </w:r>
          </w:p>
        </w:tc>
      </w:tr>
      <w:tr w14:paraId="5040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168BC7B7">
            <w:pPr>
              <w:spacing w:line="360" w:lineRule="auto"/>
              <w:rPr>
                <w:rFonts w:hint="eastAsia" w:ascii="宋体" w:hAnsi="宋体" w:cs="宋体"/>
                <w:color w:val="auto"/>
                <w:highlight w:val="none"/>
              </w:rPr>
            </w:pPr>
            <w:r>
              <w:rPr>
                <w:rFonts w:hint="eastAsia" w:ascii="宋体" w:hAnsi="宋体" w:cs="宋体"/>
                <w:color w:val="auto"/>
                <w:highlight w:val="none"/>
              </w:rPr>
              <w:t>（一）搭设高度50m及以上的落地式钢管脚手架工程。</w:t>
            </w:r>
          </w:p>
        </w:tc>
        <w:tc>
          <w:tcPr>
            <w:tcW w:w="793" w:type="pct"/>
            <w:tcBorders>
              <w:top w:val="single" w:color="auto" w:sz="4" w:space="0"/>
              <w:left w:val="nil"/>
              <w:bottom w:val="single" w:color="auto" w:sz="4" w:space="0"/>
              <w:right w:val="single" w:color="auto" w:sz="4" w:space="0"/>
            </w:tcBorders>
            <w:vAlign w:val="center"/>
          </w:tcPr>
          <w:p w14:paraId="2C143626">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0F9A8C82">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38CB3040">
            <w:pPr>
              <w:spacing w:line="360" w:lineRule="auto"/>
              <w:jc w:val="center"/>
              <w:rPr>
                <w:rFonts w:hint="eastAsia" w:ascii="宋体" w:hAnsi="宋体" w:cs="宋体"/>
                <w:color w:val="auto"/>
                <w:highlight w:val="none"/>
              </w:rPr>
            </w:pPr>
          </w:p>
        </w:tc>
      </w:tr>
      <w:tr w14:paraId="1946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1117B1F0">
            <w:pPr>
              <w:spacing w:line="360" w:lineRule="auto"/>
              <w:rPr>
                <w:rFonts w:hint="eastAsia" w:ascii="宋体" w:hAnsi="宋体" w:cs="宋体"/>
                <w:color w:val="auto"/>
                <w:highlight w:val="none"/>
              </w:rPr>
            </w:pPr>
            <w:r>
              <w:rPr>
                <w:rFonts w:hint="eastAsia" w:ascii="宋体" w:hAnsi="宋体" w:cs="宋体"/>
                <w:color w:val="auto"/>
                <w:highlight w:val="none"/>
              </w:rPr>
              <w:t>（二）提升高度在150m及以上的附着式升降脚手架工程或附着式升降操作平台工程。</w:t>
            </w:r>
          </w:p>
        </w:tc>
        <w:tc>
          <w:tcPr>
            <w:tcW w:w="793" w:type="pct"/>
            <w:tcBorders>
              <w:top w:val="single" w:color="auto" w:sz="4" w:space="0"/>
              <w:left w:val="nil"/>
              <w:bottom w:val="single" w:color="auto" w:sz="4" w:space="0"/>
              <w:right w:val="single" w:color="auto" w:sz="4" w:space="0"/>
            </w:tcBorders>
            <w:vAlign w:val="center"/>
          </w:tcPr>
          <w:p w14:paraId="10314A1D">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196ADFE5">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6052DD42">
            <w:pPr>
              <w:spacing w:line="360" w:lineRule="auto"/>
              <w:jc w:val="center"/>
              <w:rPr>
                <w:rFonts w:hint="eastAsia" w:ascii="宋体" w:hAnsi="宋体" w:cs="宋体"/>
                <w:color w:val="auto"/>
                <w:highlight w:val="none"/>
              </w:rPr>
            </w:pPr>
          </w:p>
        </w:tc>
      </w:tr>
      <w:tr w14:paraId="6628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79ECBB6B">
            <w:pPr>
              <w:spacing w:line="360" w:lineRule="auto"/>
              <w:rPr>
                <w:rFonts w:hint="eastAsia" w:ascii="宋体" w:hAnsi="宋体" w:cs="宋体"/>
                <w:color w:val="auto"/>
                <w:highlight w:val="none"/>
              </w:rPr>
            </w:pPr>
            <w:r>
              <w:rPr>
                <w:rFonts w:hint="eastAsia" w:ascii="宋体" w:hAnsi="宋体" w:cs="宋体"/>
                <w:color w:val="auto"/>
                <w:highlight w:val="none"/>
              </w:rPr>
              <w:t>（三）分段架体搭设高度20m及以上的悬挑式脚手架工程。</w:t>
            </w:r>
          </w:p>
        </w:tc>
        <w:tc>
          <w:tcPr>
            <w:tcW w:w="793" w:type="pct"/>
            <w:tcBorders>
              <w:top w:val="single" w:color="auto" w:sz="4" w:space="0"/>
              <w:left w:val="nil"/>
              <w:bottom w:val="single" w:color="auto" w:sz="4" w:space="0"/>
              <w:right w:val="single" w:color="auto" w:sz="4" w:space="0"/>
            </w:tcBorders>
            <w:vAlign w:val="center"/>
          </w:tcPr>
          <w:p w14:paraId="2534A603">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1B2DABA8">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73E010AC">
            <w:pPr>
              <w:spacing w:line="360" w:lineRule="auto"/>
              <w:jc w:val="center"/>
              <w:rPr>
                <w:rFonts w:hint="eastAsia" w:ascii="宋体" w:hAnsi="宋体" w:cs="宋体"/>
                <w:color w:val="auto"/>
                <w:highlight w:val="none"/>
              </w:rPr>
            </w:pPr>
          </w:p>
        </w:tc>
      </w:tr>
      <w:tr w14:paraId="7C2C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1A74625A">
            <w:pPr>
              <w:spacing w:line="360" w:lineRule="auto"/>
              <w:rPr>
                <w:rFonts w:hint="eastAsia" w:ascii="宋体" w:hAnsi="宋体" w:cs="宋体"/>
                <w:b/>
                <w:color w:val="auto"/>
                <w:highlight w:val="none"/>
              </w:rPr>
            </w:pPr>
            <w:r>
              <w:rPr>
                <w:rFonts w:hint="eastAsia" w:ascii="宋体" w:hAnsi="宋体" w:cs="宋体"/>
                <w:b/>
                <w:color w:val="auto"/>
                <w:highlight w:val="none"/>
              </w:rPr>
              <w:t>五、拆除工程</w:t>
            </w:r>
          </w:p>
        </w:tc>
      </w:tr>
      <w:tr w14:paraId="5A69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20C36159">
            <w:pPr>
              <w:spacing w:line="360" w:lineRule="auto"/>
              <w:rPr>
                <w:rFonts w:hint="eastAsia" w:ascii="宋体" w:hAnsi="宋体" w:cs="宋体"/>
                <w:color w:val="auto"/>
                <w:highlight w:val="none"/>
              </w:rPr>
            </w:pPr>
            <w:r>
              <w:rPr>
                <w:rFonts w:hint="eastAsia" w:ascii="宋体" w:hAnsi="宋体" w:cs="宋体"/>
                <w:color w:val="auto"/>
                <w:highlight w:val="none"/>
              </w:rPr>
              <w:t>（一）码头、桥梁、高架、烟囱、水塔或拆除中容易引起有毒有害气（液）体或粉尘扩散、易燃易爆事故发生的特殊建、构筑物的拆除工程。</w:t>
            </w:r>
          </w:p>
        </w:tc>
        <w:tc>
          <w:tcPr>
            <w:tcW w:w="793" w:type="pct"/>
            <w:tcBorders>
              <w:top w:val="single" w:color="auto" w:sz="4" w:space="0"/>
              <w:left w:val="nil"/>
              <w:bottom w:val="single" w:color="auto" w:sz="4" w:space="0"/>
              <w:right w:val="single" w:color="auto" w:sz="4" w:space="0"/>
            </w:tcBorders>
            <w:vAlign w:val="center"/>
          </w:tcPr>
          <w:p w14:paraId="2500683B">
            <w:pPr>
              <w:spacing w:line="360" w:lineRule="auto"/>
              <w:jc w:val="center"/>
              <w:rPr>
                <w:rFonts w:hint="eastAsia" w:ascii="宋体" w:hAnsi="宋体" w:cs="宋体"/>
                <w:color w:val="auto"/>
                <w:highlight w:val="none"/>
              </w:rPr>
            </w:pPr>
            <w:r>
              <w:rPr>
                <w:rFonts w:hint="eastAsia" w:ascii="宋体" w:hAnsi="宋体" w:cs="宋体"/>
                <w:color w:val="auto"/>
                <w:highlight w:val="none"/>
                <w:lang w:val="en-US" w:eastAsia="zh-CN"/>
              </w:rPr>
              <w:t>√</w:t>
            </w:r>
          </w:p>
        </w:tc>
        <w:tc>
          <w:tcPr>
            <w:tcW w:w="793" w:type="pct"/>
            <w:tcBorders>
              <w:top w:val="single" w:color="auto" w:sz="4" w:space="0"/>
              <w:left w:val="nil"/>
              <w:bottom w:val="single" w:color="auto" w:sz="4" w:space="0"/>
              <w:right w:val="single" w:color="auto" w:sz="4" w:space="0"/>
            </w:tcBorders>
            <w:vAlign w:val="center"/>
          </w:tcPr>
          <w:p w14:paraId="48C7FD8E">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18873E42">
            <w:pPr>
              <w:spacing w:line="360" w:lineRule="auto"/>
              <w:jc w:val="center"/>
              <w:rPr>
                <w:rFonts w:hint="eastAsia" w:ascii="宋体" w:hAnsi="宋体" w:cs="宋体"/>
                <w:color w:val="auto"/>
                <w:highlight w:val="none"/>
              </w:rPr>
            </w:pPr>
          </w:p>
        </w:tc>
      </w:tr>
      <w:tr w14:paraId="7690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52D5A7D5">
            <w:pPr>
              <w:spacing w:line="360" w:lineRule="auto"/>
              <w:rPr>
                <w:rFonts w:hint="eastAsia" w:ascii="宋体" w:hAnsi="宋体" w:cs="宋体"/>
                <w:color w:val="auto"/>
                <w:highlight w:val="none"/>
              </w:rPr>
            </w:pPr>
            <w:r>
              <w:rPr>
                <w:rFonts w:hint="eastAsia" w:ascii="宋体" w:hAnsi="宋体" w:cs="宋体"/>
                <w:color w:val="auto"/>
                <w:highlight w:val="none"/>
              </w:rPr>
              <w:t>（二）文物保护建筑、优秀历史建筑或历史文化风貌区影响范围内的拆除工程。</w:t>
            </w:r>
          </w:p>
        </w:tc>
        <w:tc>
          <w:tcPr>
            <w:tcW w:w="793" w:type="pct"/>
            <w:tcBorders>
              <w:top w:val="single" w:color="auto" w:sz="4" w:space="0"/>
              <w:left w:val="nil"/>
              <w:bottom w:val="single" w:color="auto" w:sz="4" w:space="0"/>
              <w:right w:val="single" w:color="auto" w:sz="4" w:space="0"/>
            </w:tcBorders>
            <w:vAlign w:val="center"/>
          </w:tcPr>
          <w:p w14:paraId="6E632585">
            <w:pPr>
              <w:spacing w:line="360" w:lineRule="auto"/>
              <w:jc w:val="center"/>
              <w:rPr>
                <w:rFonts w:hint="eastAsia" w:ascii="宋体" w:hAnsi="宋体" w:cs="宋体"/>
                <w:b/>
                <w:color w:val="auto"/>
                <w:highlight w:val="none"/>
              </w:rPr>
            </w:pPr>
            <w:r>
              <w:rPr>
                <w:rFonts w:hint="eastAsia" w:ascii="宋体" w:hAnsi="宋体" w:cs="宋体"/>
                <w:color w:val="auto"/>
                <w:highlight w:val="none"/>
                <w:lang w:val="en-US" w:eastAsia="zh-CN"/>
              </w:rPr>
              <w:t>√</w:t>
            </w:r>
          </w:p>
        </w:tc>
        <w:tc>
          <w:tcPr>
            <w:tcW w:w="793" w:type="pct"/>
            <w:tcBorders>
              <w:top w:val="single" w:color="auto" w:sz="4" w:space="0"/>
              <w:left w:val="nil"/>
              <w:bottom w:val="single" w:color="auto" w:sz="4" w:space="0"/>
              <w:right w:val="single" w:color="auto" w:sz="4" w:space="0"/>
            </w:tcBorders>
            <w:vAlign w:val="center"/>
          </w:tcPr>
          <w:p w14:paraId="704C86C3">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2571DA1E">
            <w:pPr>
              <w:spacing w:line="360" w:lineRule="auto"/>
              <w:jc w:val="center"/>
              <w:rPr>
                <w:rFonts w:hint="eastAsia" w:ascii="宋体" w:hAnsi="宋体" w:cs="宋体"/>
                <w:color w:val="auto"/>
                <w:highlight w:val="none"/>
              </w:rPr>
            </w:pPr>
          </w:p>
        </w:tc>
      </w:tr>
      <w:tr w14:paraId="1030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58ACD42C">
            <w:pPr>
              <w:spacing w:line="360" w:lineRule="auto"/>
              <w:rPr>
                <w:rFonts w:hint="eastAsia" w:ascii="宋体" w:hAnsi="宋体" w:cs="宋体"/>
                <w:b/>
                <w:color w:val="auto"/>
                <w:highlight w:val="none"/>
              </w:rPr>
            </w:pPr>
            <w:r>
              <w:rPr>
                <w:rFonts w:hint="eastAsia" w:ascii="宋体" w:hAnsi="宋体" w:cs="宋体"/>
                <w:b/>
                <w:color w:val="auto"/>
                <w:highlight w:val="none"/>
              </w:rPr>
              <w:t>六、暗挖工程</w:t>
            </w:r>
          </w:p>
        </w:tc>
      </w:tr>
      <w:tr w14:paraId="0797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48F6C717">
            <w:pPr>
              <w:spacing w:line="360" w:lineRule="auto"/>
              <w:rPr>
                <w:rFonts w:hint="eastAsia" w:ascii="宋体" w:hAnsi="宋体" w:cs="宋体"/>
                <w:color w:val="auto"/>
                <w:highlight w:val="none"/>
              </w:rPr>
            </w:pPr>
            <w:r>
              <w:rPr>
                <w:rFonts w:hint="eastAsia" w:ascii="宋体" w:hAnsi="宋体" w:cs="宋体"/>
                <w:color w:val="auto"/>
                <w:highlight w:val="none"/>
              </w:rPr>
              <w:t>采用矿山法、盾构法、顶管法施工的隧道、洞室工程。</w:t>
            </w:r>
          </w:p>
        </w:tc>
        <w:tc>
          <w:tcPr>
            <w:tcW w:w="793" w:type="pct"/>
            <w:tcBorders>
              <w:top w:val="single" w:color="auto" w:sz="4" w:space="0"/>
              <w:left w:val="nil"/>
              <w:bottom w:val="single" w:color="auto" w:sz="4" w:space="0"/>
              <w:right w:val="single" w:color="auto" w:sz="4" w:space="0"/>
            </w:tcBorders>
            <w:vAlign w:val="center"/>
          </w:tcPr>
          <w:p w14:paraId="66E9DAE2">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0C0CF860">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3D964119">
            <w:pPr>
              <w:spacing w:line="360" w:lineRule="auto"/>
              <w:jc w:val="center"/>
              <w:rPr>
                <w:rFonts w:hint="eastAsia" w:ascii="宋体" w:hAnsi="宋体" w:cs="宋体"/>
                <w:color w:val="auto"/>
                <w:highlight w:val="none"/>
              </w:rPr>
            </w:pPr>
          </w:p>
        </w:tc>
      </w:tr>
      <w:tr w14:paraId="7457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481F8195">
            <w:pPr>
              <w:spacing w:line="360" w:lineRule="auto"/>
              <w:rPr>
                <w:rFonts w:hint="eastAsia" w:ascii="宋体" w:hAnsi="宋体" w:cs="宋体"/>
                <w:b/>
                <w:color w:val="auto"/>
                <w:highlight w:val="none"/>
              </w:rPr>
            </w:pPr>
            <w:r>
              <w:rPr>
                <w:rFonts w:hint="eastAsia" w:ascii="宋体" w:hAnsi="宋体" w:cs="宋体"/>
                <w:b/>
                <w:color w:val="auto"/>
                <w:highlight w:val="none"/>
              </w:rPr>
              <w:t>七、其它</w:t>
            </w:r>
          </w:p>
        </w:tc>
      </w:tr>
      <w:tr w14:paraId="52A6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177C6E87">
            <w:pPr>
              <w:spacing w:line="360" w:lineRule="auto"/>
              <w:rPr>
                <w:rFonts w:hint="eastAsia" w:ascii="宋体" w:hAnsi="宋体" w:cs="宋体"/>
                <w:color w:val="auto"/>
                <w:highlight w:val="none"/>
              </w:rPr>
            </w:pPr>
            <w:r>
              <w:rPr>
                <w:rFonts w:hint="eastAsia" w:ascii="宋体" w:hAnsi="宋体" w:cs="宋体"/>
                <w:color w:val="auto"/>
                <w:highlight w:val="none"/>
              </w:rPr>
              <w:t>（一）施工高度50m及以上的建筑幕墙安装工程。</w:t>
            </w:r>
          </w:p>
        </w:tc>
        <w:tc>
          <w:tcPr>
            <w:tcW w:w="793" w:type="pct"/>
            <w:tcBorders>
              <w:top w:val="single" w:color="auto" w:sz="4" w:space="0"/>
              <w:left w:val="nil"/>
              <w:bottom w:val="single" w:color="auto" w:sz="4" w:space="0"/>
              <w:right w:val="single" w:color="auto" w:sz="4" w:space="0"/>
            </w:tcBorders>
            <w:vAlign w:val="center"/>
          </w:tcPr>
          <w:p w14:paraId="2605DC7C">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2B8F6FC5">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432D7D66">
            <w:pPr>
              <w:spacing w:line="360" w:lineRule="auto"/>
              <w:jc w:val="center"/>
              <w:rPr>
                <w:rFonts w:hint="eastAsia" w:ascii="宋体" w:hAnsi="宋体" w:cs="宋体"/>
                <w:color w:val="auto"/>
                <w:highlight w:val="none"/>
              </w:rPr>
            </w:pPr>
          </w:p>
        </w:tc>
      </w:tr>
      <w:tr w14:paraId="2800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72E38056">
            <w:pPr>
              <w:spacing w:line="360" w:lineRule="auto"/>
              <w:rPr>
                <w:rFonts w:hint="eastAsia" w:ascii="宋体" w:hAnsi="宋体" w:cs="宋体"/>
                <w:color w:val="auto"/>
                <w:highlight w:val="none"/>
              </w:rPr>
            </w:pPr>
            <w:r>
              <w:rPr>
                <w:rFonts w:hint="eastAsia" w:ascii="宋体" w:hAnsi="宋体" w:cs="宋体"/>
                <w:color w:val="auto"/>
                <w:highlight w:val="none"/>
              </w:rPr>
              <w:t>（二）跨度36m及以上的钢结构安装工程，或跨度60m及以上的网架和索膜结构安装工程。</w:t>
            </w:r>
          </w:p>
        </w:tc>
        <w:tc>
          <w:tcPr>
            <w:tcW w:w="793" w:type="pct"/>
            <w:tcBorders>
              <w:top w:val="single" w:color="auto" w:sz="4" w:space="0"/>
              <w:left w:val="nil"/>
              <w:bottom w:val="single" w:color="auto" w:sz="4" w:space="0"/>
              <w:right w:val="single" w:color="auto" w:sz="4" w:space="0"/>
            </w:tcBorders>
            <w:vAlign w:val="center"/>
          </w:tcPr>
          <w:p w14:paraId="2916CB69">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5A40384A">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52B83DE8">
            <w:pPr>
              <w:spacing w:line="360" w:lineRule="auto"/>
              <w:jc w:val="center"/>
              <w:rPr>
                <w:rFonts w:hint="eastAsia" w:ascii="宋体" w:hAnsi="宋体" w:cs="宋体"/>
                <w:color w:val="auto"/>
                <w:highlight w:val="none"/>
              </w:rPr>
            </w:pPr>
          </w:p>
        </w:tc>
      </w:tr>
      <w:tr w14:paraId="0227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0815ADB2">
            <w:pPr>
              <w:spacing w:line="360" w:lineRule="auto"/>
              <w:rPr>
                <w:rFonts w:hint="eastAsia" w:ascii="宋体" w:hAnsi="宋体" w:cs="宋体"/>
                <w:color w:val="auto"/>
                <w:highlight w:val="none"/>
              </w:rPr>
            </w:pPr>
            <w:r>
              <w:rPr>
                <w:rFonts w:hint="eastAsia" w:ascii="宋体" w:hAnsi="宋体" w:cs="宋体"/>
                <w:color w:val="auto"/>
                <w:highlight w:val="none"/>
              </w:rPr>
              <w:t>（三）开挖深度16m及以上的人工挖孔桩工程。</w:t>
            </w:r>
          </w:p>
        </w:tc>
        <w:tc>
          <w:tcPr>
            <w:tcW w:w="793" w:type="pct"/>
            <w:tcBorders>
              <w:top w:val="single" w:color="auto" w:sz="4" w:space="0"/>
              <w:left w:val="nil"/>
              <w:bottom w:val="single" w:color="auto" w:sz="4" w:space="0"/>
              <w:right w:val="single" w:color="auto" w:sz="4" w:space="0"/>
            </w:tcBorders>
            <w:vAlign w:val="center"/>
          </w:tcPr>
          <w:p w14:paraId="3B381262">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47B28042">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2E5EA811">
            <w:pPr>
              <w:spacing w:line="360" w:lineRule="auto"/>
              <w:jc w:val="center"/>
              <w:rPr>
                <w:rFonts w:hint="eastAsia" w:ascii="宋体" w:hAnsi="宋体" w:cs="宋体"/>
                <w:color w:val="auto"/>
                <w:highlight w:val="none"/>
              </w:rPr>
            </w:pPr>
          </w:p>
        </w:tc>
      </w:tr>
      <w:tr w14:paraId="065B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2EECD07C">
            <w:pPr>
              <w:spacing w:line="360" w:lineRule="auto"/>
              <w:rPr>
                <w:rFonts w:hint="eastAsia" w:ascii="宋体" w:hAnsi="宋体" w:cs="宋体"/>
                <w:color w:val="auto"/>
                <w:highlight w:val="none"/>
              </w:rPr>
            </w:pPr>
            <w:r>
              <w:rPr>
                <w:rFonts w:hint="eastAsia" w:ascii="宋体" w:hAnsi="宋体" w:cs="宋体"/>
                <w:color w:val="auto"/>
                <w:highlight w:val="none"/>
              </w:rPr>
              <w:t>（四）水下作业工程。</w:t>
            </w:r>
          </w:p>
        </w:tc>
        <w:tc>
          <w:tcPr>
            <w:tcW w:w="793" w:type="pct"/>
            <w:tcBorders>
              <w:top w:val="single" w:color="auto" w:sz="4" w:space="0"/>
              <w:left w:val="nil"/>
              <w:bottom w:val="single" w:color="auto" w:sz="4" w:space="0"/>
              <w:right w:val="single" w:color="auto" w:sz="4" w:space="0"/>
            </w:tcBorders>
            <w:vAlign w:val="center"/>
          </w:tcPr>
          <w:p w14:paraId="0AFB3853">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14EED61C">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4381C2AF">
            <w:pPr>
              <w:spacing w:line="360" w:lineRule="auto"/>
              <w:jc w:val="center"/>
              <w:rPr>
                <w:rFonts w:hint="eastAsia" w:ascii="宋体" w:hAnsi="宋体" w:cs="宋体"/>
                <w:color w:val="auto"/>
                <w:highlight w:val="none"/>
              </w:rPr>
            </w:pPr>
          </w:p>
        </w:tc>
      </w:tr>
      <w:tr w14:paraId="12B7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3D315C00">
            <w:pPr>
              <w:spacing w:line="360" w:lineRule="auto"/>
              <w:rPr>
                <w:rFonts w:hint="eastAsia" w:ascii="宋体" w:hAnsi="宋体" w:cs="宋体"/>
                <w:color w:val="auto"/>
                <w:highlight w:val="none"/>
              </w:rPr>
            </w:pPr>
            <w:r>
              <w:rPr>
                <w:rFonts w:hint="eastAsia" w:ascii="宋体" w:hAnsi="宋体" w:cs="宋体"/>
                <w:color w:val="auto"/>
                <w:highlight w:val="none"/>
              </w:rPr>
              <w:t>（五）重量1000kN及以上的大型结构整体顶升、平移、转体等施工工艺。</w:t>
            </w:r>
          </w:p>
        </w:tc>
        <w:tc>
          <w:tcPr>
            <w:tcW w:w="793" w:type="pct"/>
            <w:tcBorders>
              <w:top w:val="single" w:color="auto" w:sz="4" w:space="0"/>
              <w:left w:val="nil"/>
              <w:bottom w:val="single" w:color="auto" w:sz="4" w:space="0"/>
              <w:right w:val="single" w:color="auto" w:sz="4" w:space="0"/>
            </w:tcBorders>
            <w:vAlign w:val="center"/>
          </w:tcPr>
          <w:p w14:paraId="500F9902">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57165AD9">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7B521945">
            <w:pPr>
              <w:spacing w:line="360" w:lineRule="auto"/>
              <w:jc w:val="center"/>
              <w:rPr>
                <w:rFonts w:hint="eastAsia" w:ascii="宋体" w:hAnsi="宋体" w:cs="宋体"/>
                <w:color w:val="auto"/>
                <w:highlight w:val="none"/>
              </w:rPr>
            </w:pPr>
          </w:p>
        </w:tc>
      </w:tr>
      <w:tr w14:paraId="627C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67859B08">
            <w:pPr>
              <w:spacing w:line="360" w:lineRule="auto"/>
              <w:rPr>
                <w:rFonts w:hint="eastAsia" w:ascii="宋体" w:hAnsi="宋体" w:cs="宋体"/>
                <w:color w:val="auto"/>
                <w:highlight w:val="none"/>
              </w:rPr>
            </w:pPr>
            <w:r>
              <w:rPr>
                <w:rFonts w:hint="eastAsia" w:ascii="宋体" w:hAnsi="宋体" w:cs="宋体"/>
                <w:color w:val="auto"/>
                <w:highlight w:val="none"/>
              </w:rPr>
              <w:t>（六）采用新技术、新工艺、新材料、新设备可能影响工程施工安全，尚无国家、行业及地方技术标准的分部分项工程。</w:t>
            </w:r>
          </w:p>
        </w:tc>
        <w:tc>
          <w:tcPr>
            <w:tcW w:w="793" w:type="pct"/>
            <w:tcBorders>
              <w:top w:val="single" w:color="auto" w:sz="4" w:space="0"/>
              <w:left w:val="nil"/>
              <w:bottom w:val="single" w:color="auto" w:sz="4" w:space="0"/>
              <w:right w:val="single" w:color="auto" w:sz="4" w:space="0"/>
            </w:tcBorders>
            <w:vAlign w:val="center"/>
          </w:tcPr>
          <w:p w14:paraId="110D4A1C">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67142796">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1AE21FF1">
            <w:pPr>
              <w:spacing w:line="360" w:lineRule="auto"/>
              <w:jc w:val="center"/>
              <w:rPr>
                <w:rFonts w:hint="eastAsia" w:ascii="宋体" w:hAnsi="宋体" w:cs="宋体"/>
                <w:color w:val="auto"/>
                <w:highlight w:val="none"/>
              </w:rPr>
            </w:pPr>
          </w:p>
        </w:tc>
      </w:tr>
    </w:tbl>
    <w:p w14:paraId="2C4A4F87">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p>
    <w:p w14:paraId="5453CF91">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投标人：</w:t>
      </w:r>
    </w:p>
    <w:p w14:paraId="3261521C">
      <w:pPr>
        <w:autoSpaceDE w:val="0"/>
        <w:autoSpaceDN w:val="0"/>
        <w:adjustRightInd w:val="0"/>
        <w:spacing w:line="360" w:lineRule="auto"/>
        <w:ind w:firstLine="691" w:firstLineChars="279"/>
        <w:rPr>
          <w:rFonts w:hint="eastAsia" w:ascii="宋体" w:hAnsi="宋体" w:cs="宋体"/>
          <w:bCs/>
          <w:color w:val="auto"/>
          <w:sz w:val="24"/>
          <w:szCs w:val="24"/>
          <w:highlight w:val="none"/>
        </w:rPr>
      </w:pPr>
      <w:r>
        <w:rPr>
          <w:rFonts w:hint="eastAsia" w:ascii="宋体" w:hAnsi="宋体" w:cs="宋体"/>
          <w:snapToGrid w:val="0"/>
          <w:color w:val="auto"/>
          <w:spacing w:val="4"/>
          <w:kern w:val="0"/>
          <w:sz w:val="24"/>
          <w:szCs w:val="24"/>
          <w:highlight w:val="none"/>
        </w:rPr>
        <w:t>日期：    年    月    日</w:t>
      </w:r>
    </w:p>
    <w:p w14:paraId="193909A5">
      <w:pPr>
        <w:spacing w:line="360" w:lineRule="auto"/>
        <w:ind w:right="-130" w:rightChars="-62"/>
        <w:rPr>
          <w:rFonts w:hint="eastAsia" w:ascii="宋体" w:hAnsi="宋体" w:cs="宋体"/>
          <w:color w:val="auto"/>
          <w:highlight w:val="none"/>
        </w:rPr>
      </w:pPr>
    </w:p>
    <w:p w14:paraId="000D0CB3">
      <w:pPr>
        <w:widowControl/>
        <w:spacing w:line="360" w:lineRule="auto"/>
        <w:jc w:val="left"/>
        <w:rPr>
          <w:rFonts w:hint="eastAsia" w:ascii="宋体" w:hAnsi="宋体" w:cs="宋体"/>
          <w:color w:val="auto"/>
          <w:highlight w:val="none"/>
        </w:rPr>
      </w:pPr>
      <w:r>
        <w:rPr>
          <w:rFonts w:hint="eastAsia" w:ascii="宋体" w:hAnsi="宋体" w:cs="宋体"/>
          <w:color w:val="auto"/>
          <w:highlight w:val="none"/>
        </w:rPr>
        <w:br w:type="page"/>
      </w:r>
    </w:p>
    <w:p w14:paraId="4DC1FE29">
      <w:pPr>
        <w:spacing w:line="360" w:lineRule="auto"/>
        <w:rPr>
          <w:rFonts w:hint="eastAsia" w:ascii="宋体" w:hAnsi="宋体" w:cs="宋体"/>
          <w:b/>
          <w:bCs/>
          <w:color w:val="auto"/>
          <w:sz w:val="27"/>
          <w:szCs w:val="27"/>
          <w:highlight w:val="none"/>
        </w:rPr>
      </w:pPr>
      <w:bookmarkStart w:id="262" w:name="_Toc58838603"/>
      <w:bookmarkStart w:id="263" w:name="_Toc60070631"/>
      <w:r>
        <w:rPr>
          <w:rFonts w:hint="eastAsia" w:ascii="宋体" w:hAnsi="宋体" w:cs="宋体"/>
          <w:b/>
          <w:bCs/>
          <w:color w:val="auto"/>
          <w:sz w:val="27"/>
          <w:szCs w:val="27"/>
          <w:highlight w:val="none"/>
        </w:rPr>
        <w:t>格式九：</w:t>
      </w:r>
      <w:bookmarkEnd w:id="262"/>
      <w:bookmarkEnd w:id="263"/>
    </w:p>
    <w:p w14:paraId="2C8852A4">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参与编制技术标投标文件人员名单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1606"/>
        <w:gridCol w:w="2752"/>
        <w:gridCol w:w="2638"/>
        <w:gridCol w:w="1588"/>
      </w:tblGrid>
      <w:tr w14:paraId="712A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1B21E13E">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投标单位名称</w:t>
            </w:r>
          </w:p>
        </w:tc>
      </w:tr>
      <w:tr w14:paraId="6DA2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2" w:type="pct"/>
            <w:tcBorders>
              <w:top w:val="single" w:color="auto" w:sz="4" w:space="0"/>
              <w:left w:val="single" w:color="auto" w:sz="4" w:space="0"/>
              <w:bottom w:val="single" w:color="auto" w:sz="4" w:space="0"/>
              <w:right w:val="single" w:color="auto" w:sz="4" w:space="0"/>
            </w:tcBorders>
            <w:vAlign w:val="center"/>
          </w:tcPr>
          <w:p w14:paraId="19078AF5">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806" w:type="pct"/>
            <w:tcBorders>
              <w:top w:val="single" w:color="auto" w:sz="4" w:space="0"/>
              <w:left w:val="single" w:color="auto" w:sz="4" w:space="0"/>
              <w:bottom w:val="single" w:color="auto" w:sz="4" w:space="0"/>
              <w:right w:val="single" w:color="auto" w:sz="4" w:space="0"/>
            </w:tcBorders>
            <w:vAlign w:val="center"/>
          </w:tcPr>
          <w:p w14:paraId="3B892B56">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381" w:type="pct"/>
            <w:tcBorders>
              <w:top w:val="single" w:color="auto" w:sz="4" w:space="0"/>
              <w:left w:val="single" w:color="auto" w:sz="4" w:space="0"/>
              <w:bottom w:val="single" w:color="auto" w:sz="4" w:space="0"/>
              <w:right w:val="single" w:color="auto" w:sz="4" w:space="0"/>
            </w:tcBorders>
            <w:vAlign w:val="center"/>
          </w:tcPr>
          <w:p w14:paraId="112807A4">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所承担工作</w:t>
            </w:r>
          </w:p>
        </w:tc>
        <w:tc>
          <w:tcPr>
            <w:tcW w:w="1324" w:type="pct"/>
            <w:tcBorders>
              <w:top w:val="single" w:color="auto" w:sz="4" w:space="0"/>
              <w:left w:val="single" w:color="auto" w:sz="4" w:space="0"/>
              <w:bottom w:val="single" w:color="auto" w:sz="4" w:space="0"/>
              <w:right w:val="single" w:color="auto" w:sz="4" w:space="0"/>
            </w:tcBorders>
            <w:vAlign w:val="center"/>
          </w:tcPr>
          <w:p w14:paraId="07F8CEF3">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795" w:type="pct"/>
            <w:tcBorders>
              <w:top w:val="single" w:color="auto" w:sz="4" w:space="0"/>
              <w:left w:val="single" w:color="auto" w:sz="4" w:space="0"/>
              <w:bottom w:val="single" w:color="auto" w:sz="4" w:space="0"/>
              <w:right w:val="single" w:color="auto" w:sz="4" w:space="0"/>
            </w:tcBorders>
            <w:vAlign w:val="center"/>
          </w:tcPr>
          <w:p w14:paraId="50B23BDD">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本人签名栏</w:t>
            </w:r>
          </w:p>
        </w:tc>
      </w:tr>
      <w:tr w14:paraId="11F1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2" w:type="pct"/>
            <w:tcBorders>
              <w:top w:val="single" w:color="auto" w:sz="4" w:space="0"/>
              <w:left w:val="single" w:color="auto" w:sz="4" w:space="0"/>
              <w:bottom w:val="single" w:color="auto" w:sz="4" w:space="0"/>
              <w:right w:val="single" w:color="auto" w:sz="4" w:space="0"/>
            </w:tcBorders>
            <w:vAlign w:val="center"/>
          </w:tcPr>
          <w:p w14:paraId="096B40A6">
            <w:pPr>
              <w:tabs>
                <w:tab w:val="left" w:pos="720"/>
              </w:tabs>
              <w:snapToGrid w:val="0"/>
              <w:spacing w:line="360" w:lineRule="auto"/>
              <w:jc w:val="center"/>
              <w:rPr>
                <w:rFonts w:hint="eastAsia"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253A6085">
            <w:pPr>
              <w:tabs>
                <w:tab w:val="left" w:pos="720"/>
              </w:tabs>
              <w:snapToGrid w:val="0"/>
              <w:spacing w:line="360" w:lineRule="auto"/>
              <w:jc w:val="center"/>
              <w:rPr>
                <w:rFonts w:hint="eastAsia" w:ascii="宋体" w:hAnsi="宋体" w:cs="宋体"/>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vAlign w:val="center"/>
          </w:tcPr>
          <w:p w14:paraId="11DC9A33">
            <w:pPr>
              <w:tabs>
                <w:tab w:val="left" w:pos="720"/>
              </w:tabs>
              <w:snapToGrid w:val="0"/>
              <w:spacing w:line="360" w:lineRule="auto"/>
              <w:jc w:val="center"/>
              <w:rPr>
                <w:rFonts w:hint="eastAsia" w:ascii="宋体" w:hAnsi="宋体" w:cs="宋体"/>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1B8BD72E">
            <w:pPr>
              <w:tabs>
                <w:tab w:val="left" w:pos="720"/>
              </w:tabs>
              <w:snapToGrid w:val="0"/>
              <w:spacing w:line="360" w:lineRule="auto"/>
              <w:jc w:val="center"/>
              <w:rPr>
                <w:rFonts w:hint="eastAsia" w:ascii="宋体" w:hAnsi="宋体" w:cs="宋体"/>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7A8CCE1D">
            <w:pPr>
              <w:tabs>
                <w:tab w:val="left" w:pos="720"/>
              </w:tabs>
              <w:snapToGrid w:val="0"/>
              <w:spacing w:line="360" w:lineRule="auto"/>
              <w:jc w:val="center"/>
              <w:rPr>
                <w:rFonts w:hint="eastAsia" w:ascii="宋体" w:hAnsi="宋体" w:cs="宋体"/>
                <w:color w:val="auto"/>
                <w:szCs w:val="21"/>
                <w:highlight w:val="none"/>
              </w:rPr>
            </w:pPr>
          </w:p>
        </w:tc>
      </w:tr>
      <w:tr w14:paraId="3FB4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2" w:type="pct"/>
            <w:tcBorders>
              <w:top w:val="single" w:color="auto" w:sz="4" w:space="0"/>
              <w:left w:val="single" w:color="auto" w:sz="4" w:space="0"/>
              <w:bottom w:val="single" w:color="auto" w:sz="4" w:space="0"/>
              <w:right w:val="single" w:color="auto" w:sz="4" w:space="0"/>
            </w:tcBorders>
            <w:vAlign w:val="center"/>
          </w:tcPr>
          <w:p w14:paraId="1FDA9A1F">
            <w:pPr>
              <w:tabs>
                <w:tab w:val="left" w:pos="720"/>
              </w:tabs>
              <w:snapToGrid w:val="0"/>
              <w:spacing w:line="360" w:lineRule="auto"/>
              <w:jc w:val="center"/>
              <w:rPr>
                <w:rFonts w:hint="eastAsia"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75593E61">
            <w:pPr>
              <w:tabs>
                <w:tab w:val="left" w:pos="720"/>
              </w:tabs>
              <w:snapToGrid w:val="0"/>
              <w:spacing w:line="360" w:lineRule="auto"/>
              <w:jc w:val="center"/>
              <w:rPr>
                <w:rFonts w:hint="eastAsia" w:ascii="宋体" w:hAnsi="宋体" w:cs="宋体"/>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vAlign w:val="center"/>
          </w:tcPr>
          <w:p w14:paraId="1373AE0B">
            <w:pPr>
              <w:tabs>
                <w:tab w:val="left" w:pos="720"/>
              </w:tabs>
              <w:snapToGrid w:val="0"/>
              <w:spacing w:line="360" w:lineRule="auto"/>
              <w:jc w:val="center"/>
              <w:rPr>
                <w:rFonts w:hint="eastAsia" w:ascii="宋体" w:hAnsi="宋体" w:cs="宋体"/>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3C7AC624">
            <w:pPr>
              <w:tabs>
                <w:tab w:val="left" w:pos="720"/>
              </w:tabs>
              <w:snapToGrid w:val="0"/>
              <w:spacing w:line="360" w:lineRule="auto"/>
              <w:jc w:val="center"/>
              <w:rPr>
                <w:rFonts w:hint="eastAsia" w:ascii="宋体" w:hAnsi="宋体" w:cs="宋体"/>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1574F84B">
            <w:pPr>
              <w:tabs>
                <w:tab w:val="left" w:pos="720"/>
              </w:tabs>
              <w:snapToGrid w:val="0"/>
              <w:spacing w:line="360" w:lineRule="auto"/>
              <w:jc w:val="center"/>
              <w:rPr>
                <w:rFonts w:hint="eastAsia" w:ascii="宋体" w:hAnsi="宋体" w:cs="宋体"/>
                <w:color w:val="auto"/>
                <w:szCs w:val="21"/>
                <w:highlight w:val="none"/>
              </w:rPr>
            </w:pPr>
          </w:p>
        </w:tc>
      </w:tr>
      <w:tr w14:paraId="0574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2" w:type="pct"/>
            <w:tcBorders>
              <w:top w:val="single" w:color="auto" w:sz="4" w:space="0"/>
              <w:left w:val="single" w:color="auto" w:sz="4" w:space="0"/>
              <w:bottom w:val="single" w:color="auto" w:sz="4" w:space="0"/>
              <w:right w:val="single" w:color="auto" w:sz="4" w:space="0"/>
            </w:tcBorders>
            <w:vAlign w:val="center"/>
          </w:tcPr>
          <w:p w14:paraId="405BEED7">
            <w:pPr>
              <w:tabs>
                <w:tab w:val="left" w:pos="720"/>
              </w:tabs>
              <w:snapToGrid w:val="0"/>
              <w:spacing w:line="360" w:lineRule="auto"/>
              <w:jc w:val="center"/>
              <w:rPr>
                <w:rFonts w:hint="eastAsia"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0E696596">
            <w:pPr>
              <w:tabs>
                <w:tab w:val="left" w:pos="720"/>
              </w:tabs>
              <w:snapToGrid w:val="0"/>
              <w:spacing w:line="360" w:lineRule="auto"/>
              <w:jc w:val="center"/>
              <w:rPr>
                <w:rFonts w:hint="eastAsia" w:ascii="宋体" w:hAnsi="宋体" w:cs="宋体"/>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vAlign w:val="center"/>
          </w:tcPr>
          <w:p w14:paraId="52E169FD">
            <w:pPr>
              <w:tabs>
                <w:tab w:val="left" w:pos="720"/>
              </w:tabs>
              <w:snapToGrid w:val="0"/>
              <w:spacing w:line="360" w:lineRule="auto"/>
              <w:jc w:val="center"/>
              <w:rPr>
                <w:rFonts w:hint="eastAsia" w:ascii="宋体" w:hAnsi="宋体" w:cs="宋体"/>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59936E15">
            <w:pPr>
              <w:tabs>
                <w:tab w:val="left" w:pos="720"/>
              </w:tabs>
              <w:snapToGrid w:val="0"/>
              <w:spacing w:line="360" w:lineRule="auto"/>
              <w:jc w:val="center"/>
              <w:rPr>
                <w:rFonts w:hint="eastAsia" w:ascii="宋体" w:hAnsi="宋体" w:cs="宋体"/>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518B1BBF">
            <w:pPr>
              <w:tabs>
                <w:tab w:val="left" w:pos="720"/>
              </w:tabs>
              <w:snapToGrid w:val="0"/>
              <w:spacing w:line="360" w:lineRule="auto"/>
              <w:jc w:val="center"/>
              <w:rPr>
                <w:rFonts w:hint="eastAsia" w:ascii="宋体" w:hAnsi="宋体" w:cs="宋体"/>
                <w:color w:val="auto"/>
                <w:szCs w:val="21"/>
                <w:highlight w:val="none"/>
              </w:rPr>
            </w:pPr>
          </w:p>
        </w:tc>
      </w:tr>
      <w:tr w14:paraId="3BB7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2" w:type="pct"/>
            <w:tcBorders>
              <w:top w:val="single" w:color="auto" w:sz="4" w:space="0"/>
              <w:left w:val="single" w:color="auto" w:sz="4" w:space="0"/>
              <w:bottom w:val="single" w:color="auto" w:sz="4" w:space="0"/>
              <w:right w:val="single" w:color="auto" w:sz="4" w:space="0"/>
            </w:tcBorders>
            <w:vAlign w:val="center"/>
          </w:tcPr>
          <w:p w14:paraId="2B84BC01">
            <w:pPr>
              <w:tabs>
                <w:tab w:val="left" w:pos="720"/>
              </w:tabs>
              <w:snapToGrid w:val="0"/>
              <w:spacing w:line="360" w:lineRule="auto"/>
              <w:jc w:val="center"/>
              <w:rPr>
                <w:rFonts w:hint="eastAsia"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6037F4D4">
            <w:pPr>
              <w:tabs>
                <w:tab w:val="left" w:pos="720"/>
              </w:tabs>
              <w:snapToGrid w:val="0"/>
              <w:spacing w:line="360" w:lineRule="auto"/>
              <w:jc w:val="center"/>
              <w:rPr>
                <w:rFonts w:hint="eastAsia" w:ascii="宋体" w:hAnsi="宋体" w:cs="宋体"/>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vAlign w:val="center"/>
          </w:tcPr>
          <w:p w14:paraId="06AE839D">
            <w:pPr>
              <w:tabs>
                <w:tab w:val="left" w:pos="720"/>
              </w:tabs>
              <w:snapToGrid w:val="0"/>
              <w:spacing w:line="360" w:lineRule="auto"/>
              <w:jc w:val="center"/>
              <w:rPr>
                <w:rFonts w:hint="eastAsia" w:ascii="宋体" w:hAnsi="宋体" w:cs="宋体"/>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74E4D307">
            <w:pPr>
              <w:tabs>
                <w:tab w:val="left" w:pos="720"/>
              </w:tabs>
              <w:snapToGrid w:val="0"/>
              <w:spacing w:line="360" w:lineRule="auto"/>
              <w:jc w:val="center"/>
              <w:rPr>
                <w:rFonts w:hint="eastAsia" w:ascii="宋体" w:hAnsi="宋体" w:cs="宋体"/>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1A4234C8">
            <w:pPr>
              <w:tabs>
                <w:tab w:val="left" w:pos="720"/>
              </w:tabs>
              <w:snapToGrid w:val="0"/>
              <w:spacing w:line="360" w:lineRule="auto"/>
              <w:jc w:val="center"/>
              <w:rPr>
                <w:rFonts w:hint="eastAsia" w:ascii="宋体" w:hAnsi="宋体" w:cs="宋体"/>
                <w:color w:val="auto"/>
                <w:szCs w:val="21"/>
                <w:highlight w:val="none"/>
              </w:rPr>
            </w:pPr>
          </w:p>
        </w:tc>
      </w:tr>
      <w:tr w14:paraId="5FEC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2" w:type="pct"/>
            <w:tcBorders>
              <w:top w:val="single" w:color="auto" w:sz="4" w:space="0"/>
              <w:left w:val="single" w:color="auto" w:sz="4" w:space="0"/>
              <w:bottom w:val="single" w:color="auto" w:sz="4" w:space="0"/>
              <w:right w:val="single" w:color="auto" w:sz="4" w:space="0"/>
            </w:tcBorders>
            <w:vAlign w:val="center"/>
          </w:tcPr>
          <w:p w14:paraId="16324966">
            <w:pPr>
              <w:tabs>
                <w:tab w:val="left" w:pos="720"/>
              </w:tabs>
              <w:snapToGrid w:val="0"/>
              <w:spacing w:line="360" w:lineRule="auto"/>
              <w:jc w:val="center"/>
              <w:rPr>
                <w:rFonts w:hint="eastAsia"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51F4EA48">
            <w:pPr>
              <w:tabs>
                <w:tab w:val="left" w:pos="720"/>
              </w:tabs>
              <w:snapToGrid w:val="0"/>
              <w:spacing w:line="360" w:lineRule="auto"/>
              <w:jc w:val="center"/>
              <w:rPr>
                <w:rFonts w:hint="eastAsia" w:ascii="宋体" w:hAnsi="宋体" w:cs="宋体"/>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vAlign w:val="center"/>
          </w:tcPr>
          <w:p w14:paraId="3E348B95">
            <w:pPr>
              <w:tabs>
                <w:tab w:val="left" w:pos="720"/>
              </w:tabs>
              <w:snapToGrid w:val="0"/>
              <w:spacing w:line="360" w:lineRule="auto"/>
              <w:jc w:val="center"/>
              <w:rPr>
                <w:rFonts w:hint="eastAsia" w:ascii="宋体" w:hAnsi="宋体" w:cs="宋体"/>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255A7350">
            <w:pPr>
              <w:tabs>
                <w:tab w:val="left" w:pos="720"/>
              </w:tabs>
              <w:snapToGrid w:val="0"/>
              <w:spacing w:line="360" w:lineRule="auto"/>
              <w:jc w:val="center"/>
              <w:rPr>
                <w:rFonts w:hint="eastAsia" w:ascii="宋体" w:hAnsi="宋体" w:cs="宋体"/>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44941598">
            <w:pPr>
              <w:tabs>
                <w:tab w:val="left" w:pos="720"/>
              </w:tabs>
              <w:snapToGrid w:val="0"/>
              <w:spacing w:line="360" w:lineRule="auto"/>
              <w:jc w:val="center"/>
              <w:rPr>
                <w:rFonts w:hint="eastAsia" w:ascii="宋体" w:hAnsi="宋体" w:cs="宋体"/>
                <w:color w:val="auto"/>
                <w:szCs w:val="21"/>
                <w:highlight w:val="none"/>
              </w:rPr>
            </w:pPr>
          </w:p>
        </w:tc>
      </w:tr>
      <w:tr w14:paraId="64EE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2" w:type="pct"/>
            <w:tcBorders>
              <w:top w:val="single" w:color="auto" w:sz="4" w:space="0"/>
              <w:left w:val="single" w:color="auto" w:sz="4" w:space="0"/>
              <w:bottom w:val="single" w:color="auto" w:sz="4" w:space="0"/>
              <w:right w:val="single" w:color="auto" w:sz="4" w:space="0"/>
            </w:tcBorders>
            <w:vAlign w:val="center"/>
          </w:tcPr>
          <w:p w14:paraId="7DF45C7B">
            <w:pPr>
              <w:tabs>
                <w:tab w:val="left" w:pos="720"/>
              </w:tabs>
              <w:snapToGrid w:val="0"/>
              <w:spacing w:line="360" w:lineRule="auto"/>
              <w:jc w:val="center"/>
              <w:rPr>
                <w:rFonts w:hint="eastAsia"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5E3159F5">
            <w:pPr>
              <w:tabs>
                <w:tab w:val="left" w:pos="720"/>
              </w:tabs>
              <w:snapToGrid w:val="0"/>
              <w:spacing w:line="360" w:lineRule="auto"/>
              <w:jc w:val="center"/>
              <w:rPr>
                <w:rFonts w:hint="eastAsia" w:ascii="宋体" w:hAnsi="宋体" w:cs="宋体"/>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vAlign w:val="center"/>
          </w:tcPr>
          <w:p w14:paraId="6AEBA5B8">
            <w:pPr>
              <w:tabs>
                <w:tab w:val="left" w:pos="720"/>
              </w:tabs>
              <w:snapToGrid w:val="0"/>
              <w:spacing w:line="360" w:lineRule="auto"/>
              <w:jc w:val="center"/>
              <w:rPr>
                <w:rFonts w:hint="eastAsia" w:ascii="宋体" w:hAnsi="宋体" w:cs="宋体"/>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5B56DA27">
            <w:pPr>
              <w:tabs>
                <w:tab w:val="left" w:pos="720"/>
              </w:tabs>
              <w:snapToGrid w:val="0"/>
              <w:spacing w:line="360" w:lineRule="auto"/>
              <w:jc w:val="center"/>
              <w:rPr>
                <w:rFonts w:hint="eastAsia" w:ascii="宋体" w:hAnsi="宋体" w:cs="宋体"/>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1D8ECBF6">
            <w:pPr>
              <w:tabs>
                <w:tab w:val="left" w:pos="720"/>
              </w:tabs>
              <w:snapToGrid w:val="0"/>
              <w:spacing w:line="360" w:lineRule="auto"/>
              <w:jc w:val="center"/>
              <w:rPr>
                <w:rFonts w:hint="eastAsia" w:ascii="宋体" w:hAnsi="宋体" w:cs="宋体"/>
                <w:color w:val="auto"/>
                <w:szCs w:val="21"/>
                <w:highlight w:val="none"/>
              </w:rPr>
            </w:pPr>
          </w:p>
        </w:tc>
      </w:tr>
      <w:tr w14:paraId="5FE0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2" w:type="pct"/>
            <w:tcBorders>
              <w:top w:val="single" w:color="auto" w:sz="4" w:space="0"/>
              <w:left w:val="single" w:color="auto" w:sz="4" w:space="0"/>
              <w:bottom w:val="single" w:color="auto" w:sz="4" w:space="0"/>
              <w:right w:val="single" w:color="auto" w:sz="4" w:space="0"/>
            </w:tcBorders>
            <w:vAlign w:val="center"/>
          </w:tcPr>
          <w:p w14:paraId="2F09E4BF">
            <w:pPr>
              <w:tabs>
                <w:tab w:val="left" w:pos="720"/>
              </w:tabs>
              <w:snapToGrid w:val="0"/>
              <w:spacing w:line="360" w:lineRule="auto"/>
              <w:jc w:val="center"/>
              <w:rPr>
                <w:rFonts w:hint="eastAsia"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2CD256C8">
            <w:pPr>
              <w:tabs>
                <w:tab w:val="left" w:pos="720"/>
              </w:tabs>
              <w:snapToGrid w:val="0"/>
              <w:spacing w:line="360" w:lineRule="auto"/>
              <w:jc w:val="center"/>
              <w:rPr>
                <w:rFonts w:hint="eastAsia" w:ascii="宋体" w:hAnsi="宋体" w:cs="宋体"/>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vAlign w:val="center"/>
          </w:tcPr>
          <w:p w14:paraId="7623F7E8">
            <w:pPr>
              <w:tabs>
                <w:tab w:val="left" w:pos="720"/>
              </w:tabs>
              <w:snapToGrid w:val="0"/>
              <w:spacing w:line="360" w:lineRule="auto"/>
              <w:jc w:val="center"/>
              <w:rPr>
                <w:rFonts w:hint="eastAsia" w:ascii="宋体" w:hAnsi="宋体" w:cs="宋体"/>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4CBBF4BC">
            <w:pPr>
              <w:tabs>
                <w:tab w:val="left" w:pos="720"/>
              </w:tabs>
              <w:snapToGrid w:val="0"/>
              <w:spacing w:line="360" w:lineRule="auto"/>
              <w:jc w:val="center"/>
              <w:rPr>
                <w:rFonts w:hint="eastAsia" w:ascii="宋体" w:hAnsi="宋体" w:cs="宋体"/>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6E74A825">
            <w:pPr>
              <w:tabs>
                <w:tab w:val="left" w:pos="720"/>
              </w:tabs>
              <w:snapToGrid w:val="0"/>
              <w:spacing w:line="360" w:lineRule="auto"/>
              <w:jc w:val="center"/>
              <w:rPr>
                <w:rFonts w:hint="eastAsia" w:ascii="宋体" w:hAnsi="宋体" w:cs="宋体"/>
                <w:color w:val="auto"/>
                <w:szCs w:val="21"/>
                <w:highlight w:val="none"/>
              </w:rPr>
            </w:pPr>
          </w:p>
        </w:tc>
      </w:tr>
      <w:tr w14:paraId="44AE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2" w:type="pct"/>
            <w:tcBorders>
              <w:top w:val="single" w:color="auto" w:sz="4" w:space="0"/>
              <w:left w:val="single" w:color="auto" w:sz="4" w:space="0"/>
              <w:bottom w:val="single" w:color="auto" w:sz="4" w:space="0"/>
              <w:right w:val="single" w:color="auto" w:sz="4" w:space="0"/>
            </w:tcBorders>
            <w:vAlign w:val="center"/>
          </w:tcPr>
          <w:p w14:paraId="50D61CD0">
            <w:pPr>
              <w:tabs>
                <w:tab w:val="left" w:pos="720"/>
              </w:tabs>
              <w:snapToGrid w:val="0"/>
              <w:spacing w:line="360" w:lineRule="auto"/>
              <w:jc w:val="center"/>
              <w:rPr>
                <w:rFonts w:hint="eastAsia"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4FF0A65C">
            <w:pPr>
              <w:tabs>
                <w:tab w:val="left" w:pos="720"/>
              </w:tabs>
              <w:snapToGrid w:val="0"/>
              <w:spacing w:line="360" w:lineRule="auto"/>
              <w:jc w:val="center"/>
              <w:rPr>
                <w:rFonts w:hint="eastAsia" w:ascii="宋体" w:hAnsi="宋体" w:cs="宋体"/>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vAlign w:val="center"/>
          </w:tcPr>
          <w:p w14:paraId="366FA002">
            <w:pPr>
              <w:tabs>
                <w:tab w:val="left" w:pos="720"/>
              </w:tabs>
              <w:snapToGrid w:val="0"/>
              <w:spacing w:line="360" w:lineRule="auto"/>
              <w:jc w:val="center"/>
              <w:rPr>
                <w:rFonts w:hint="eastAsia" w:ascii="宋体" w:hAnsi="宋体" w:cs="宋体"/>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6E5CFF96">
            <w:pPr>
              <w:tabs>
                <w:tab w:val="left" w:pos="720"/>
              </w:tabs>
              <w:snapToGrid w:val="0"/>
              <w:spacing w:line="360" w:lineRule="auto"/>
              <w:jc w:val="center"/>
              <w:rPr>
                <w:rFonts w:hint="eastAsia" w:ascii="宋体" w:hAnsi="宋体" w:cs="宋体"/>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614E9D6B">
            <w:pPr>
              <w:tabs>
                <w:tab w:val="left" w:pos="720"/>
              </w:tabs>
              <w:snapToGrid w:val="0"/>
              <w:spacing w:line="360" w:lineRule="auto"/>
              <w:jc w:val="center"/>
              <w:rPr>
                <w:rFonts w:hint="eastAsia" w:ascii="宋体" w:hAnsi="宋体" w:cs="宋体"/>
                <w:color w:val="auto"/>
                <w:szCs w:val="21"/>
                <w:highlight w:val="none"/>
              </w:rPr>
            </w:pPr>
          </w:p>
        </w:tc>
      </w:tr>
    </w:tbl>
    <w:p w14:paraId="04755E76">
      <w:pPr>
        <w:autoSpaceDE w:val="0"/>
        <w:autoSpaceDN w:val="0"/>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注：1、参与编制技术标书所有人员名单应包括如编制技术投标方案、负责清样校对、负责打印及复印等所有人员在内的人员名单。</w:t>
      </w:r>
    </w:p>
    <w:p w14:paraId="5038BD47">
      <w:pPr>
        <w:pStyle w:val="2"/>
        <w:rPr>
          <w:rFonts w:hint="eastAsia"/>
          <w:color w:val="auto"/>
          <w:highlight w:val="none"/>
        </w:rPr>
      </w:pPr>
      <w:r>
        <w:rPr>
          <w:rFonts w:hint="eastAsia"/>
          <w:color w:val="auto"/>
          <w:sz w:val="24"/>
          <w:szCs w:val="24"/>
          <w:highlight w:val="none"/>
        </w:rPr>
        <w:t>2、上述人员须为投标人正式员工，并须提供投标截止前近一个月(2025年</w:t>
      </w:r>
      <w:r>
        <w:rPr>
          <w:rFonts w:hint="eastAsia"/>
          <w:color w:val="auto"/>
          <w:sz w:val="24"/>
          <w:szCs w:val="24"/>
          <w:highlight w:val="none"/>
          <w:lang w:val="en-US" w:eastAsia="zh-CN"/>
        </w:rPr>
        <w:t>7</w:t>
      </w:r>
      <w:r>
        <w:rPr>
          <w:rFonts w:hint="eastAsia"/>
          <w:color w:val="auto"/>
          <w:sz w:val="24"/>
          <w:szCs w:val="24"/>
          <w:highlight w:val="none"/>
        </w:rPr>
        <w:t>月)有效社保证明资料扫描件。</w:t>
      </w:r>
    </w:p>
    <w:p w14:paraId="39FDA2C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55DE1A0E">
      <w:pPr>
        <w:pStyle w:val="12"/>
        <w:spacing w:line="360" w:lineRule="auto"/>
        <w:rPr>
          <w:rFonts w:hint="eastAsia" w:hAnsi="宋体" w:cs="宋体"/>
          <w:color w:val="auto"/>
          <w:highlight w:val="none"/>
        </w:rPr>
        <w:sectPr>
          <w:type w:val="continuous"/>
          <w:pgSz w:w="11906" w:h="16838"/>
          <w:pgMar w:top="1440" w:right="1080" w:bottom="1440" w:left="1080" w:header="850" w:footer="992" w:gutter="0"/>
          <w:cols w:space="0" w:num="1"/>
          <w:docGrid w:type="lines" w:linePitch="317" w:charSpace="0"/>
        </w:sectPr>
      </w:pPr>
    </w:p>
    <w:p w14:paraId="689E4F30">
      <w:pPr>
        <w:pStyle w:val="3"/>
        <w:spacing w:line="360" w:lineRule="auto"/>
        <w:rPr>
          <w:rFonts w:hint="eastAsia"/>
          <w:color w:val="auto"/>
          <w:highlight w:val="none"/>
        </w:rPr>
      </w:pPr>
      <w:bookmarkStart w:id="264" w:name="_Toc58838604"/>
      <w:bookmarkStart w:id="265" w:name="_Toc11517"/>
      <w:bookmarkStart w:id="266" w:name="_Toc4365"/>
      <w:bookmarkStart w:id="267" w:name="_Toc2430"/>
      <w:bookmarkStart w:id="268" w:name="_Toc26124"/>
      <w:bookmarkStart w:id="269" w:name="_Toc7624"/>
      <w:bookmarkStart w:id="270" w:name="_Toc19883"/>
      <w:bookmarkStart w:id="271" w:name="_Toc12275"/>
      <w:bookmarkStart w:id="272" w:name="_Toc3791"/>
      <w:bookmarkStart w:id="273" w:name="_Toc18221"/>
      <w:bookmarkStart w:id="274" w:name="_Toc31178"/>
      <w:bookmarkStart w:id="275" w:name="_Toc3150"/>
      <w:bookmarkStart w:id="276" w:name="_Toc29521"/>
      <w:bookmarkStart w:id="277" w:name="_Toc29236"/>
      <w:r>
        <w:rPr>
          <w:rFonts w:hint="eastAsia"/>
          <w:color w:val="auto"/>
          <w:highlight w:val="none"/>
        </w:rPr>
        <w:t>二、经济标投标文件格式</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724AA5FA">
      <w:pPr>
        <w:spacing w:line="360" w:lineRule="auto"/>
        <w:rPr>
          <w:rFonts w:hint="eastAsia" w:ascii="宋体" w:hAnsi="宋体" w:cs="宋体"/>
          <w:b/>
          <w:bCs/>
          <w:color w:val="auto"/>
          <w:sz w:val="27"/>
          <w:szCs w:val="27"/>
          <w:highlight w:val="none"/>
          <w:lang w:val="zh-CN"/>
        </w:rPr>
      </w:pPr>
      <w:bookmarkStart w:id="278" w:name="_Toc58838605"/>
      <w:bookmarkStart w:id="279" w:name="_Toc6493862"/>
      <w:bookmarkStart w:id="280" w:name="_Toc60070633"/>
      <w:r>
        <w:rPr>
          <w:rFonts w:hint="eastAsia" w:ascii="宋体" w:hAnsi="宋体" w:cs="宋体"/>
          <w:b/>
          <w:bCs/>
          <w:color w:val="auto"/>
          <w:sz w:val="27"/>
          <w:szCs w:val="27"/>
          <w:highlight w:val="none"/>
        </w:rPr>
        <w:t>格式十</w:t>
      </w:r>
      <w:bookmarkEnd w:id="278"/>
      <w:bookmarkEnd w:id="279"/>
      <w:r>
        <w:rPr>
          <w:rFonts w:hint="eastAsia" w:ascii="宋体" w:hAnsi="宋体" w:cs="宋体"/>
          <w:b/>
          <w:bCs/>
          <w:color w:val="auto"/>
          <w:sz w:val="27"/>
          <w:szCs w:val="27"/>
          <w:highlight w:val="none"/>
        </w:rPr>
        <w:t>：</w:t>
      </w:r>
      <w:bookmarkEnd w:id="280"/>
    </w:p>
    <w:p w14:paraId="1FEC4BBC">
      <w:pPr>
        <w:spacing w:line="360" w:lineRule="auto"/>
        <w:jc w:val="center"/>
        <w:rPr>
          <w:rFonts w:hint="eastAsia" w:ascii="宋体" w:hAnsi="宋体" w:cs="宋体"/>
          <w:b/>
          <w:color w:val="auto"/>
          <w:sz w:val="36"/>
          <w:szCs w:val="36"/>
          <w:highlight w:val="none"/>
        </w:rPr>
      </w:pPr>
      <w:bookmarkStart w:id="281" w:name="_Toc58838606"/>
      <w:r>
        <w:rPr>
          <w:rFonts w:hint="eastAsia" w:ascii="宋体" w:hAnsi="宋体" w:cs="宋体"/>
          <w:b/>
          <w:color w:val="auto"/>
          <w:sz w:val="36"/>
          <w:szCs w:val="36"/>
          <w:highlight w:val="none"/>
        </w:rPr>
        <w:t>广州建设工程施工招标投标书（经济标）</w:t>
      </w:r>
      <w:bookmarkEnd w:id="281"/>
    </w:p>
    <w:tbl>
      <w:tblPr>
        <w:tblStyle w:val="25"/>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6045"/>
      </w:tblGrid>
      <w:tr w14:paraId="1DFC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jc w:val="center"/>
        </w:trPr>
        <w:tc>
          <w:tcPr>
            <w:tcW w:w="3334" w:type="dxa"/>
            <w:tcBorders>
              <w:top w:val="single" w:color="auto" w:sz="4" w:space="0"/>
              <w:left w:val="single" w:color="auto" w:sz="4" w:space="0"/>
              <w:bottom w:val="single" w:color="auto" w:sz="4" w:space="0"/>
              <w:right w:val="single" w:color="auto" w:sz="4" w:space="0"/>
            </w:tcBorders>
            <w:vAlign w:val="center"/>
          </w:tcPr>
          <w:p w14:paraId="2CFDDEA7">
            <w:pPr>
              <w:autoSpaceDE w:val="0"/>
              <w:autoSpaceDN w:val="0"/>
              <w:adjustRightInd w:val="0"/>
              <w:spacing w:line="360" w:lineRule="auto"/>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6045" w:type="dxa"/>
            <w:tcBorders>
              <w:top w:val="single" w:color="auto" w:sz="4" w:space="0"/>
              <w:left w:val="single" w:color="auto" w:sz="4" w:space="0"/>
              <w:bottom w:val="single" w:color="auto" w:sz="4" w:space="0"/>
              <w:right w:val="single" w:color="auto" w:sz="4" w:space="0"/>
            </w:tcBorders>
            <w:vAlign w:val="center"/>
          </w:tcPr>
          <w:p w14:paraId="7D2C3D27">
            <w:pPr>
              <w:autoSpaceDE w:val="0"/>
              <w:autoSpaceDN w:val="0"/>
              <w:adjustRightInd w:val="0"/>
              <w:spacing w:line="360" w:lineRule="auto"/>
              <w:jc w:val="center"/>
              <w:rPr>
                <w:rFonts w:hint="eastAsia" w:ascii="宋体" w:hAnsi="宋体" w:cs="宋体"/>
                <w:bCs/>
                <w:color w:val="auto"/>
                <w:sz w:val="24"/>
                <w:szCs w:val="24"/>
                <w:highlight w:val="none"/>
                <w:lang w:val="zh-CN"/>
              </w:rPr>
            </w:pPr>
          </w:p>
        </w:tc>
      </w:tr>
      <w:tr w14:paraId="4AFC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334" w:type="dxa"/>
            <w:vMerge w:val="restart"/>
            <w:tcBorders>
              <w:top w:val="single" w:color="auto" w:sz="4" w:space="0"/>
              <w:left w:val="single" w:color="auto" w:sz="4" w:space="0"/>
              <w:bottom w:val="single" w:color="auto" w:sz="4" w:space="0"/>
              <w:right w:val="single" w:color="auto" w:sz="4" w:space="0"/>
            </w:tcBorders>
            <w:vAlign w:val="center"/>
          </w:tcPr>
          <w:p w14:paraId="65CCAD92">
            <w:pPr>
              <w:autoSpaceDE w:val="0"/>
              <w:autoSpaceDN w:val="0"/>
              <w:adjustRightInd w:val="0"/>
              <w:spacing w:line="360" w:lineRule="auto"/>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投标总报价（元）</w:t>
            </w:r>
          </w:p>
        </w:tc>
        <w:tc>
          <w:tcPr>
            <w:tcW w:w="6045" w:type="dxa"/>
            <w:tcBorders>
              <w:top w:val="single" w:color="auto" w:sz="4" w:space="0"/>
              <w:left w:val="single" w:color="auto" w:sz="4" w:space="0"/>
              <w:bottom w:val="single" w:color="auto" w:sz="4" w:space="0"/>
              <w:right w:val="single" w:color="auto" w:sz="4" w:space="0"/>
            </w:tcBorders>
            <w:vAlign w:val="center"/>
          </w:tcPr>
          <w:p w14:paraId="36DF8638">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大写：</w:t>
            </w:r>
            <w:r>
              <w:rPr>
                <w:rFonts w:hint="eastAsia" w:ascii="宋体" w:hAnsi="宋体" w:cs="宋体"/>
                <w:bCs/>
                <w:color w:val="auto"/>
                <w:sz w:val="24"/>
                <w:szCs w:val="24"/>
                <w:highlight w:val="none"/>
                <w:lang w:val="zh-CN"/>
              </w:rPr>
              <w:t xml:space="preserve"> </w:t>
            </w:r>
          </w:p>
        </w:tc>
      </w:tr>
      <w:tr w14:paraId="7315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34" w:type="dxa"/>
            <w:vMerge w:val="continue"/>
            <w:tcBorders>
              <w:top w:val="single" w:color="auto" w:sz="4" w:space="0"/>
              <w:left w:val="single" w:color="auto" w:sz="4" w:space="0"/>
              <w:bottom w:val="single" w:color="auto" w:sz="4" w:space="0"/>
              <w:right w:val="single" w:color="auto" w:sz="4" w:space="0"/>
            </w:tcBorders>
            <w:vAlign w:val="center"/>
          </w:tcPr>
          <w:p w14:paraId="2EBB829A">
            <w:pPr>
              <w:widowControl/>
              <w:spacing w:line="360" w:lineRule="auto"/>
              <w:jc w:val="left"/>
              <w:rPr>
                <w:rFonts w:hint="eastAsia" w:ascii="宋体" w:hAnsi="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14:paraId="53A02E2B">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小写：</w:t>
            </w:r>
            <w:r>
              <w:rPr>
                <w:rFonts w:hint="eastAsia" w:ascii="宋体" w:hAnsi="宋体" w:cs="宋体"/>
                <w:bCs/>
                <w:color w:val="auto"/>
                <w:sz w:val="24"/>
                <w:szCs w:val="24"/>
                <w:highlight w:val="none"/>
                <w:lang w:val="zh-CN"/>
              </w:rPr>
              <w:t xml:space="preserve"> </w:t>
            </w:r>
          </w:p>
        </w:tc>
      </w:tr>
      <w:tr w14:paraId="7E2D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334" w:type="dxa"/>
            <w:vMerge w:val="restart"/>
            <w:tcBorders>
              <w:top w:val="single" w:color="auto" w:sz="4" w:space="0"/>
              <w:left w:val="single" w:color="auto" w:sz="4" w:space="0"/>
              <w:bottom w:val="single" w:color="auto" w:sz="4" w:space="0"/>
              <w:right w:val="single" w:color="auto" w:sz="4" w:space="0"/>
            </w:tcBorders>
            <w:vAlign w:val="center"/>
          </w:tcPr>
          <w:p w14:paraId="1D278C29">
            <w:pPr>
              <w:autoSpaceDE w:val="0"/>
              <w:autoSpaceDN w:val="0"/>
              <w:adjustRightInd w:val="0"/>
              <w:spacing w:line="360" w:lineRule="auto"/>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其中：</w:t>
            </w:r>
            <w:r>
              <w:rPr>
                <w:rFonts w:hint="eastAsia" w:ascii="宋体" w:hAnsi="宋体" w:cs="宋体"/>
                <w:bCs/>
                <w:color w:val="auto"/>
                <w:sz w:val="24"/>
                <w:szCs w:val="24"/>
                <w:highlight w:val="none"/>
                <w:lang w:val="zh-CN"/>
              </w:rPr>
              <w:t>人工费</w:t>
            </w:r>
            <w:r>
              <w:rPr>
                <w:rFonts w:hint="eastAsia" w:ascii="宋体" w:hAnsi="宋体" w:cs="宋体"/>
                <w:color w:val="auto"/>
                <w:sz w:val="24"/>
                <w:szCs w:val="24"/>
                <w:highlight w:val="none"/>
                <w:lang w:val="zh-CN"/>
              </w:rPr>
              <w:t>（元）</w:t>
            </w:r>
          </w:p>
        </w:tc>
        <w:tc>
          <w:tcPr>
            <w:tcW w:w="6045" w:type="dxa"/>
            <w:tcBorders>
              <w:top w:val="single" w:color="auto" w:sz="4" w:space="0"/>
              <w:left w:val="single" w:color="auto" w:sz="4" w:space="0"/>
              <w:bottom w:val="single" w:color="auto" w:sz="4" w:space="0"/>
              <w:right w:val="single" w:color="auto" w:sz="4" w:space="0"/>
            </w:tcBorders>
            <w:vAlign w:val="center"/>
          </w:tcPr>
          <w:p w14:paraId="4AD6AEE3">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大写：</w:t>
            </w:r>
            <w:r>
              <w:rPr>
                <w:rFonts w:hint="eastAsia" w:ascii="宋体" w:hAnsi="宋体" w:cs="宋体"/>
                <w:bCs/>
                <w:color w:val="auto"/>
                <w:sz w:val="24"/>
                <w:szCs w:val="24"/>
                <w:highlight w:val="none"/>
                <w:lang w:val="zh-CN"/>
              </w:rPr>
              <w:t xml:space="preserve"> </w:t>
            </w:r>
          </w:p>
        </w:tc>
      </w:tr>
      <w:tr w14:paraId="323E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top w:val="single" w:color="auto" w:sz="4" w:space="0"/>
              <w:left w:val="single" w:color="auto" w:sz="4" w:space="0"/>
              <w:bottom w:val="single" w:color="auto" w:sz="4" w:space="0"/>
              <w:right w:val="single" w:color="auto" w:sz="4" w:space="0"/>
            </w:tcBorders>
            <w:vAlign w:val="center"/>
          </w:tcPr>
          <w:p w14:paraId="1EF8118A">
            <w:pPr>
              <w:widowControl/>
              <w:spacing w:line="360" w:lineRule="auto"/>
              <w:jc w:val="left"/>
              <w:rPr>
                <w:rFonts w:hint="eastAsia" w:ascii="宋体" w:hAnsi="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14:paraId="14494F7D">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小写：</w:t>
            </w:r>
            <w:r>
              <w:rPr>
                <w:rFonts w:hint="eastAsia" w:ascii="宋体" w:hAnsi="宋体" w:cs="宋体"/>
                <w:bCs/>
                <w:color w:val="auto"/>
                <w:sz w:val="24"/>
                <w:szCs w:val="24"/>
                <w:highlight w:val="none"/>
                <w:lang w:val="zh-CN"/>
              </w:rPr>
              <w:t xml:space="preserve"> </w:t>
            </w:r>
          </w:p>
        </w:tc>
      </w:tr>
      <w:tr w14:paraId="6ADF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top w:val="single" w:color="auto" w:sz="4" w:space="0"/>
              <w:left w:val="single" w:color="auto" w:sz="4" w:space="0"/>
              <w:bottom w:val="single" w:color="auto" w:sz="4" w:space="0"/>
              <w:right w:val="single" w:color="auto" w:sz="4" w:space="0"/>
            </w:tcBorders>
            <w:vAlign w:val="center"/>
          </w:tcPr>
          <w:p w14:paraId="0E663482">
            <w:pPr>
              <w:widowControl/>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其中：</w:t>
            </w:r>
            <w:r>
              <w:rPr>
                <w:rFonts w:hint="eastAsia" w:ascii="宋体" w:hAnsi="宋体" w:cs="宋体"/>
                <w:color w:val="auto"/>
                <w:sz w:val="24"/>
                <w:szCs w:val="24"/>
                <w:highlight w:val="none"/>
                <w:lang w:val="zh-CN"/>
              </w:rPr>
              <w:t>绿色施工安全防护措施费（元）</w:t>
            </w:r>
          </w:p>
        </w:tc>
        <w:tc>
          <w:tcPr>
            <w:tcW w:w="6045" w:type="dxa"/>
            <w:tcBorders>
              <w:top w:val="single" w:color="auto" w:sz="4" w:space="0"/>
              <w:left w:val="single" w:color="auto" w:sz="4" w:space="0"/>
              <w:bottom w:val="single" w:color="auto" w:sz="4" w:space="0"/>
              <w:right w:val="single" w:color="auto" w:sz="4" w:space="0"/>
            </w:tcBorders>
            <w:vAlign w:val="center"/>
          </w:tcPr>
          <w:p w14:paraId="4368CF11">
            <w:pPr>
              <w:autoSpaceDE w:val="0"/>
              <w:autoSpaceDN w:val="0"/>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大写：</w:t>
            </w:r>
            <w:r>
              <w:rPr>
                <w:rFonts w:hint="eastAsia" w:ascii="宋体" w:hAnsi="宋体" w:cs="宋体"/>
                <w:bCs/>
                <w:color w:val="auto"/>
                <w:sz w:val="24"/>
                <w:szCs w:val="24"/>
                <w:highlight w:val="none"/>
                <w:lang w:val="zh-CN"/>
              </w:rPr>
              <w:t xml:space="preserve"> </w:t>
            </w:r>
          </w:p>
        </w:tc>
      </w:tr>
      <w:tr w14:paraId="21EE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top w:val="single" w:color="auto" w:sz="4" w:space="0"/>
              <w:left w:val="single" w:color="auto" w:sz="4" w:space="0"/>
              <w:bottom w:val="single" w:color="auto" w:sz="4" w:space="0"/>
              <w:right w:val="single" w:color="auto" w:sz="4" w:space="0"/>
            </w:tcBorders>
            <w:vAlign w:val="center"/>
          </w:tcPr>
          <w:p w14:paraId="167F911E">
            <w:pPr>
              <w:widowControl/>
              <w:spacing w:line="360" w:lineRule="auto"/>
              <w:jc w:val="center"/>
              <w:rPr>
                <w:rFonts w:hint="eastAsia" w:ascii="宋体" w:hAnsi="宋体" w:cs="宋体"/>
                <w:bCs/>
                <w:color w:val="auto"/>
                <w:sz w:val="24"/>
                <w:szCs w:val="24"/>
                <w:highlight w:val="none"/>
                <w:lang w:val="zh-CN"/>
              </w:rPr>
              <w:pPrChange w:id="0" w:author="Y" w:date="2025-08-06T11:36:14Z">
                <w:pPr>
                  <w:widowControl/>
                  <w:spacing w:line="360" w:lineRule="auto"/>
                  <w:jc w:val="left"/>
                </w:pPr>
              </w:pPrChange>
            </w:pPr>
          </w:p>
        </w:tc>
        <w:tc>
          <w:tcPr>
            <w:tcW w:w="6045" w:type="dxa"/>
            <w:tcBorders>
              <w:top w:val="single" w:color="auto" w:sz="4" w:space="0"/>
              <w:left w:val="single" w:color="auto" w:sz="4" w:space="0"/>
              <w:bottom w:val="single" w:color="auto" w:sz="4" w:space="0"/>
              <w:right w:val="single" w:color="auto" w:sz="4" w:space="0"/>
            </w:tcBorders>
            <w:vAlign w:val="center"/>
          </w:tcPr>
          <w:p w14:paraId="1249AEAC">
            <w:pPr>
              <w:autoSpaceDE w:val="0"/>
              <w:autoSpaceDN w:val="0"/>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小写：</w:t>
            </w:r>
            <w:r>
              <w:rPr>
                <w:rFonts w:hint="eastAsia" w:ascii="宋体" w:hAnsi="宋体" w:cs="宋体"/>
                <w:bCs/>
                <w:color w:val="auto"/>
                <w:sz w:val="24"/>
                <w:szCs w:val="24"/>
                <w:highlight w:val="none"/>
                <w:lang w:val="zh-CN"/>
              </w:rPr>
              <w:t xml:space="preserve"> </w:t>
            </w:r>
          </w:p>
        </w:tc>
      </w:tr>
      <w:tr w14:paraId="35EC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top w:val="single" w:color="auto" w:sz="4" w:space="0"/>
              <w:left w:val="single" w:color="auto" w:sz="4" w:space="0"/>
              <w:bottom w:val="single" w:color="auto" w:sz="4" w:space="0"/>
              <w:right w:val="single" w:color="auto" w:sz="4" w:space="0"/>
            </w:tcBorders>
            <w:vAlign w:val="center"/>
          </w:tcPr>
          <w:p w14:paraId="7C0CF39E">
            <w:pPr>
              <w:widowControl/>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其中： 暂列金额（元）</w:t>
            </w:r>
          </w:p>
        </w:tc>
        <w:tc>
          <w:tcPr>
            <w:tcW w:w="6045" w:type="dxa"/>
            <w:tcBorders>
              <w:top w:val="single" w:color="auto" w:sz="4" w:space="0"/>
              <w:left w:val="single" w:color="auto" w:sz="4" w:space="0"/>
              <w:bottom w:val="single" w:color="auto" w:sz="4" w:space="0"/>
              <w:right w:val="single" w:color="auto" w:sz="4" w:space="0"/>
            </w:tcBorders>
            <w:vAlign w:val="center"/>
          </w:tcPr>
          <w:p w14:paraId="51A93511">
            <w:pPr>
              <w:widowControl/>
              <w:spacing w:line="360" w:lineRule="auto"/>
              <w:jc w:val="left"/>
              <w:rPr>
                <w:rFonts w:hint="eastAsia" w:ascii="宋体" w:hAnsi="宋体" w:cs="宋体"/>
                <w:color w:val="auto"/>
                <w:sz w:val="24"/>
                <w:szCs w:val="24"/>
                <w:highlight w:val="none"/>
              </w:rPr>
            </w:pPr>
            <w:r>
              <w:rPr>
                <w:rFonts w:hint="eastAsia" w:ascii="宋体" w:hAnsi="宋体" w:cs="宋体"/>
                <w:bCs/>
                <w:color w:val="auto"/>
                <w:sz w:val="24"/>
                <w:szCs w:val="24"/>
                <w:highlight w:val="none"/>
                <w:lang w:val="zh-CN"/>
              </w:rPr>
              <w:t xml:space="preserve">大写： </w:t>
            </w:r>
          </w:p>
        </w:tc>
      </w:tr>
      <w:tr w14:paraId="3235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top w:val="single" w:color="auto" w:sz="4" w:space="0"/>
              <w:left w:val="single" w:color="auto" w:sz="4" w:space="0"/>
              <w:bottom w:val="single" w:color="auto" w:sz="4" w:space="0"/>
              <w:right w:val="single" w:color="auto" w:sz="4" w:space="0"/>
            </w:tcBorders>
            <w:vAlign w:val="center"/>
          </w:tcPr>
          <w:p w14:paraId="5209BB28">
            <w:pPr>
              <w:widowControl/>
              <w:spacing w:line="360" w:lineRule="auto"/>
              <w:jc w:val="left"/>
              <w:rPr>
                <w:rFonts w:hint="eastAsia" w:ascii="宋体" w:hAnsi="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14:paraId="471D94F1">
            <w:pPr>
              <w:widowControl/>
              <w:spacing w:line="360" w:lineRule="auto"/>
              <w:jc w:val="left"/>
              <w:rPr>
                <w:rFonts w:hint="eastAsia" w:ascii="宋体" w:hAnsi="宋体" w:cs="宋体"/>
                <w:color w:val="auto"/>
                <w:sz w:val="24"/>
                <w:szCs w:val="24"/>
                <w:highlight w:val="none"/>
              </w:rPr>
            </w:pPr>
            <w:r>
              <w:rPr>
                <w:rFonts w:hint="eastAsia" w:ascii="宋体" w:hAnsi="宋体" w:cs="宋体"/>
                <w:bCs/>
                <w:color w:val="auto"/>
                <w:sz w:val="24"/>
                <w:szCs w:val="24"/>
                <w:highlight w:val="none"/>
                <w:lang w:val="zh-CN"/>
              </w:rPr>
              <w:t xml:space="preserve">小写： </w:t>
            </w:r>
          </w:p>
        </w:tc>
      </w:tr>
    </w:tbl>
    <w:p w14:paraId="674DCED1">
      <w:pPr>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br w:type="page"/>
      </w:r>
    </w:p>
    <w:p w14:paraId="63CF255A">
      <w:pPr>
        <w:spacing w:line="360" w:lineRule="auto"/>
        <w:rPr>
          <w:rFonts w:hint="eastAsia" w:ascii="宋体" w:hAnsi="宋体" w:cs="宋体"/>
          <w:bCs/>
          <w:color w:val="auto"/>
          <w:highlight w:val="none"/>
        </w:rPr>
      </w:pPr>
      <w:bookmarkStart w:id="282" w:name="_Toc6493863"/>
      <w:bookmarkStart w:id="283" w:name="_Toc58838607"/>
      <w:bookmarkStart w:id="284" w:name="_Toc60070634"/>
      <w:r>
        <w:rPr>
          <w:rFonts w:hint="eastAsia" w:ascii="宋体" w:hAnsi="宋体" w:cs="宋体"/>
          <w:b/>
          <w:bCs/>
          <w:color w:val="auto"/>
          <w:sz w:val="27"/>
          <w:szCs w:val="27"/>
          <w:highlight w:val="none"/>
        </w:rPr>
        <w:t>格式十</w:t>
      </w:r>
      <w:bookmarkEnd w:id="282"/>
      <w:bookmarkEnd w:id="283"/>
      <w:r>
        <w:rPr>
          <w:rFonts w:hint="eastAsia" w:ascii="宋体" w:hAnsi="宋体" w:cs="宋体"/>
          <w:b/>
          <w:bCs/>
          <w:color w:val="auto"/>
          <w:sz w:val="27"/>
          <w:szCs w:val="27"/>
          <w:highlight w:val="none"/>
        </w:rPr>
        <w:t>一：</w:t>
      </w:r>
      <w:bookmarkEnd w:id="284"/>
    </w:p>
    <w:p w14:paraId="647856F0">
      <w:pPr>
        <w:spacing w:line="360" w:lineRule="auto"/>
        <w:jc w:val="center"/>
        <w:rPr>
          <w:rFonts w:hint="eastAsia" w:ascii="宋体" w:hAnsi="宋体" w:cs="宋体"/>
          <w:b/>
          <w:color w:val="auto"/>
          <w:sz w:val="36"/>
          <w:szCs w:val="36"/>
          <w:highlight w:val="none"/>
        </w:rPr>
      </w:pPr>
      <w:bookmarkStart w:id="285" w:name="_Toc58838608"/>
      <w:r>
        <w:rPr>
          <w:rFonts w:hint="eastAsia" w:ascii="宋体" w:hAnsi="宋体" w:cs="宋体"/>
          <w:b/>
          <w:color w:val="auto"/>
          <w:sz w:val="36"/>
          <w:szCs w:val="36"/>
          <w:highlight w:val="none"/>
        </w:rPr>
        <w:t>参与编制经济标投标文件人员名单</w:t>
      </w:r>
      <w:bookmarkEnd w:id="285"/>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608"/>
        <w:gridCol w:w="2748"/>
        <w:gridCol w:w="2634"/>
        <w:gridCol w:w="1590"/>
      </w:tblGrid>
      <w:tr w14:paraId="1819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vAlign w:val="center"/>
          </w:tcPr>
          <w:p w14:paraId="6FAA4D9D">
            <w:pPr>
              <w:tabs>
                <w:tab w:val="left" w:pos="720"/>
              </w:tabs>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投标单位名称</w:t>
            </w:r>
          </w:p>
        </w:tc>
      </w:tr>
      <w:tr w14:paraId="287B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4" w:type="pct"/>
            <w:vAlign w:val="center"/>
          </w:tcPr>
          <w:p w14:paraId="5D4A26E1">
            <w:pPr>
              <w:tabs>
                <w:tab w:val="left" w:pos="720"/>
              </w:tabs>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p>
        </w:tc>
        <w:tc>
          <w:tcPr>
            <w:tcW w:w="807" w:type="pct"/>
            <w:vAlign w:val="center"/>
          </w:tcPr>
          <w:p w14:paraId="17C1D7AD">
            <w:pPr>
              <w:tabs>
                <w:tab w:val="left" w:pos="720"/>
              </w:tabs>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职务</w:t>
            </w:r>
          </w:p>
        </w:tc>
        <w:tc>
          <w:tcPr>
            <w:tcW w:w="1379" w:type="pct"/>
            <w:vAlign w:val="center"/>
          </w:tcPr>
          <w:p w14:paraId="66F5DAA0">
            <w:pPr>
              <w:tabs>
                <w:tab w:val="left" w:pos="720"/>
              </w:tabs>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所承担工作</w:t>
            </w:r>
          </w:p>
        </w:tc>
        <w:tc>
          <w:tcPr>
            <w:tcW w:w="1322" w:type="pct"/>
            <w:vAlign w:val="center"/>
          </w:tcPr>
          <w:p w14:paraId="3D07FD7E">
            <w:pPr>
              <w:tabs>
                <w:tab w:val="left" w:pos="720"/>
              </w:tabs>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p>
        </w:tc>
        <w:tc>
          <w:tcPr>
            <w:tcW w:w="797" w:type="pct"/>
            <w:vAlign w:val="center"/>
          </w:tcPr>
          <w:p w14:paraId="780B92C3">
            <w:pPr>
              <w:tabs>
                <w:tab w:val="left" w:pos="720"/>
              </w:tabs>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本人签名栏</w:t>
            </w:r>
          </w:p>
        </w:tc>
      </w:tr>
      <w:tr w14:paraId="1BF2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4" w:type="pct"/>
            <w:vAlign w:val="center"/>
          </w:tcPr>
          <w:p w14:paraId="4E01259C">
            <w:pPr>
              <w:tabs>
                <w:tab w:val="left" w:pos="720"/>
              </w:tabs>
              <w:snapToGrid w:val="0"/>
              <w:spacing w:line="360" w:lineRule="auto"/>
              <w:jc w:val="center"/>
              <w:rPr>
                <w:rFonts w:hint="eastAsia" w:ascii="宋体" w:hAnsi="宋体" w:cs="宋体"/>
                <w:color w:val="auto"/>
                <w:sz w:val="24"/>
                <w:szCs w:val="24"/>
                <w:highlight w:val="none"/>
              </w:rPr>
            </w:pPr>
          </w:p>
        </w:tc>
        <w:tc>
          <w:tcPr>
            <w:tcW w:w="807" w:type="pct"/>
            <w:vAlign w:val="center"/>
          </w:tcPr>
          <w:p w14:paraId="6BC1DA57">
            <w:pPr>
              <w:tabs>
                <w:tab w:val="left" w:pos="720"/>
              </w:tabs>
              <w:snapToGrid w:val="0"/>
              <w:spacing w:line="360" w:lineRule="auto"/>
              <w:jc w:val="center"/>
              <w:rPr>
                <w:rFonts w:hint="eastAsia" w:ascii="宋体" w:hAnsi="宋体" w:cs="宋体"/>
                <w:color w:val="auto"/>
                <w:sz w:val="24"/>
                <w:szCs w:val="24"/>
                <w:highlight w:val="none"/>
              </w:rPr>
            </w:pPr>
          </w:p>
        </w:tc>
        <w:tc>
          <w:tcPr>
            <w:tcW w:w="1379" w:type="pct"/>
            <w:vAlign w:val="center"/>
          </w:tcPr>
          <w:p w14:paraId="4FB90EBE">
            <w:pPr>
              <w:tabs>
                <w:tab w:val="left" w:pos="720"/>
              </w:tabs>
              <w:snapToGrid w:val="0"/>
              <w:spacing w:line="360" w:lineRule="auto"/>
              <w:jc w:val="center"/>
              <w:rPr>
                <w:rFonts w:hint="eastAsia" w:ascii="宋体" w:hAnsi="宋体" w:cs="宋体"/>
                <w:color w:val="auto"/>
                <w:sz w:val="24"/>
                <w:szCs w:val="24"/>
                <w:highlight w:val="none"/>
              </w:rPr>
            </w:pPr>
          </w:p>
        </w:tc>
        <w:tc>
          <w:tcPr>
            <w:tcW w:w="1322" w:type="pct"/>
            <w:vAlign w:val="center"/>
          </w:tcPr>
          <w:p w14:paraId="60C70BC0">
            <w:pPr>
              <w:tabs>
                <w:tab w:val="left" w:pos="720"/>
              </w:tabs>
              <w:snapToGrid w:val="0"/>
              <w:spacing w:line="360" w:lineRule="auto"/>
              <w:jc w:val="center"/>
              <w:rPr>
                <w:rFonts w:hint="eastAsia" w:ascii="宋体" w:hAnsi="宋体" w:cs="宋体"/>
                <w:color w:val="auto"/>
                <w:sz w:val="24"/>
                <w:szCs w:val="24"/>
                <w:highlight w:val="none"/>
              </w:rPr>
            </w:pPr>
          </w:p>
        </w:tc>
        <w:tc>
          <w:tcPr>
            <w:tcW w:w="797" w:type="pct"/>
            <w:vAlign w:val="center"/>
          </w:tcPr>
          <w:p w14:paraId="5FBB1942">
            <w:pPr>
              <w:tabs>
                <w:tab w:val="left" w:pos="720"/>
              </w:tabs>
              <w:snapToGrid w:val="0"/>
              <w:spacing w:line="360" w:lineRule="auto"/>
              <w:jc w:val="center"/>
              <w:rPr>
                <w:rFonts w:hint="eastAsia" w:ascii="宋体" w:hAnsi="宋体" w:cs="宋体"/>
                <w:color w:val="auto"/>
                <w:sz w:val="24"/>
                <w:szCs w:val="24"/>
                <w:highlight w:val="none"/>
              </w:rPr>
            </w:pPr>
          </w:p>
        </w:tc>
      </w:tr>
      <w:tr w14:paraId="7DF4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4" w:type="pct"/>
            <w:vAlign w:val="center"/>
          </w:tcPr>
          <w:p w14:paraId="5A70B5CC">
            <w:pPr>
              <w:tabs>
                <w:tab w:val="left" w:pos="720"/>
              </w:tabs>
              <w:snapToGrid w:val="0"/>
              <w:spacing w:line="360" w:lineRule="auto"/>
              <w:jc w:val="center"/>
              <w:rPr>
                <w:rFonts w:hint="eastAsia" w:ascii="宋体" w:hAnsi="宋体" w:cs="宋体"/>
                <w:color w:val="auto"/>
                <w:sz w:val="24"/>
                <w:szCs w:val="24"/>
                <w:highlight w:val="none"/>
              </w:rPr>
            </w:pPr>
          </w:p>
        </w:tc>
        <w:tc>
          <w:tcPr>
            <w:tcW w:w="807" w:type="pct"/>
            <w:vAlign w:val="center"/>
          </w:tcPr>
          <w:p w14:paraId="670F9B65">
            <w:pPr>
              <w:tabs>
                <w:tab w:val="left" w:pos="720"/>
              </w:tabs>
              <w:snapToGrid w:val="0"/>
              <w:spacing w:line="360" w:lineRule="auto"/>
              <w:jc w:val="center"/>
              <w:rPr>
                <w:rFonts w:hint="eastAsia" w:ascii="宋体" w:hAnsi="宋体" w:cs="宋体"/>
                <w:color w:val="auto"/>
                <w:sz w:val="24"/>
                <w:szCs w:val="24"/>
                <w:highlight w:val="none"/>
              </w:rPr>
            </w:pPr>
          </w:p>
        </w:tc>
        <w:tc>
          <w:tcPr>
            <w:tcW w:w="1379" w:type="pct"/>
            <w:vAlign w:val="center"/>
          </w:tcPr>
          <w:p w14:paraId="345C60F1">
            <w:pPr>
              <w:tabs>
                <w:tab w:val="left" w:pos="720"/>
              </w:tabs>
              <w:snapToGrid w:val="0"/>
              <w:spacing w:line="360" w:lineRule="auto"/>
              <w:jc w:val="center"/>
              <w:rPr>
                <w:rFonts w:hint="eastAsia" w:ascii="宋体" w:hAnsi="宋体" w:cs="宋体"/>
                <w:color w:val="auto"/>
                <w:sz w:val="24"/>
                <w:szCs w:val="24"/>
                <w:highlight w:val="none"/>
              </w:rPr>
            </w:pPr>
          </w:p>
        </w:tc>
        <w:tc>
          <w:tcPr>
            <w:tcW w:w="1322" w:type="pct"/>
            <w:vAlign w:val="center"/>
          </w:tcPr>
          <w:p w14:paraId="423E9A32">
            <w:pPr>
              <w:tabs>
                <w:tab w:val="left" w:pos="720"/>
              </w:tabs>
              <w:snapToGrid w:val="0"/>
              <w:spacing w:line="360" w:lineRule="auto"/>
              <w:jc w:val="center"/>
              <w:rPr>
                <w:rFonts w:hint="eastAsia" w:ascii="宋体" w:hAnsi="宋体" w:cs="宋体"/>
                <w:color w:val="auto"/>
                <w:sz w:val="24"/>
                <w:szCs w:val="24"/>
                <w:highlight w:val="none"/>
              </w:rPr>
            </w:pPr>
          </w:p>
        </w:tc>
        <w:tc>
          <w:tcPr>
            <w:tcW w:w="797" w:type="pct"/>
            <w:vAlign w:val="center"/>
          </w:tcPr>
          <w:p w14:paraId="173980D6">
            <w:pPr>
              <w:tabs>
                <w:tab w:val="left" w:pos="720"/>
              </w:tabs>
              <w:snapToGrid w:val="0"/>
              <w:spacing w:line="360" w:lineRule="auto"/>
              <w:jc w:val="center"/>
              <w:rPr>
                <w:rFonts w:hint="eastAsia" w:ascii="宋体" w:hAnsi="宋体" w:cs="宋体"/>
                <w:color w:val="auto"/>
                <w:sz w:val="24"/>
                <w:szCs w:val="24"/>
                <w:highlight w:val="none"/>
              </w:rPr>
            </w:pPr>
          </w:p>
        </w:tc>
      </w:tr>
      <w:tr w14:paraId="29C4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4" w:type="pct"/>
            <w:vAlign w:val="center"/>
          </w:tcPr>
          <w:p w14:paraId="03DF1633">
            <w:pPr>
              <w:tabs>
                <w:tab w:val="left" w:pos="720"/>
              </w:tabs>
              <w:snapToGrid w:val="0"/>
              <w:spacing w:line="360" w:lineRule="auto"/>
              <w:jc w:val="center"/>
              <w:rPr>
                <w:rFonts w:hint="eastAsia" w:ascii="宋体" w:hAnsi="宋体" w:cs="宋体"/>
                <w:color w:val="auto"/>
                <w:sz w:val="24"/>
                <w:szCs w:val="24"/>
                <w:highlight w:val="none"/>
              </w:rPr>
            </w:pPr>
          </w:p>
        </w:tc>
        <w:tc>
          <w:tcPr>
            <w:tcW w:w="807" w:type="pct"/>
            <w:vAlign w:val="center"/>
          </w:tcPr>
          <w:p w14:paraId="5822B0EE">
            <w:pPr>
              <w:tabs>
                <w:tab w:val="left" w:pos="720"/>
              </w:tabs>
              <w:snapToGrid w:val="0"/>
              <w:spacing w:line="360" w:lineRule="auto"/>
              <w:jc w:val="center"/>
              <w:rPr>
                <w:rFonts w:hint="eastAsia" w:ascii="宋体" w:hAnsi="宋体" w:cs="宋体"/>
                <w:color w:val="auto"/>
                <w:sz w:val="24"/>
                <w:szCs w:val="24"/>
                <w:highlight w:val="none"/>
              </w:rPr>
            </w:pPr>
          </w:p>
        </w:tc>
        <w:tc>
          <w:tcPr>
            <w:tcW w:w="1379" w:type="pct"/>
            <w:vAlign w:val="center"/>
          </w:tcPr>
          <w:p w14:paraId="5FC9F705">
            <w:pPr>
              <w:tabs>
                <w:tab w:val="left" w:pos="720"/>
              </w:tabs>
              <w:snapToGrid w:val="0"/>
              <w:spacing w:line="360" w:lineRule="auto"/>
              <w:jc w:val="center"/>
              <w:rPr>
                <w:rFonts w:hint="eastAsia" w:ascii="宋体" w:hAnsi="宋体" w:cs="宋体"/>
                <w:color w:val="auto"/>
                <w:sz w:val="24"/>
                <w:szCs w:val="24"/>
                <w:highlight w:val="none"/>
              </w:rPr>
            </w:pPr>
          </w:p>
        </w:tc>
        <w:tc>
          <w:tcPr>
            <w:tcW w:w="1322" w:type="pct"/>
            <w:vAlign w:val="center"/>
          </w:tcPr>
          <w:p w14:paraId="1C423AFF">
            <w:pPr>
              <w:tabs>
                <w:tab w:val="left" w:pos="720"/>
              </w:tabs>
              <w:snapToGrid w:val="0"/>
              <w:spacing w:line="360" w:lineRule="auto"/>
              <w:jc w:val="center"/>
              <w:rPr>
                <w:rFonts w:hint="eastAsia" w:ascii="宋体" w:hAnsi="宋体" w:cs="宋体"/>
                <w:color w:val="auto"/>
                <w:sz w:val="24"/>
                <w:szCs w:val="24"/>
                <w:highlight w:val="none"/>
              </w:rPr>
            </w:pPr>
          </w:p>
        </w:tc>
        <w:tc>
          <w:tcPr>
            <w:tcW w:w="797" w:type="pct"/>
            <w:vAlign w:val="center"/>
          </w:tcPr>
          <w:p w14:paraId="1AB1EB1C">
            <w:pPr>
              <w:tabs>
                <w:tab w:val="left" w:pos="720"/>
              </w:tabs>
              <w:snapToGrid w:val="0"/>
              <w:spacing w:line="360" w:lineRule="auto"/>
              <w:jc w:val="center"/>
              <w:rPr>
                <w:rFonts w:hint="eastAsia" w:ascii="宋体" w:hAnsi="宋体" w:cs="宋体"/>
                <w:color w:val="auto"/>
                <w:sz w:val="24"/>
                <w:szCs w:val="24"/>
                <w:highlight w:val="none"/>
              </w:rPr>
            </w:pPr>
          </w:p>
        </w:tc>
      </w:tr>
      <w:tr w14:paraId="1A1C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4" w:type="pct"/>
            <w:vAlign w:val="center"/>
          </w:tcPr>
          <w:p w14:paraId="336E97B1">
            <w:pPr>
              <w:tabs>
                <w:tab w:val="left" w:pos="720"/>
              </w:tabs>
              <w:snapToGrid w:val="0"/>
              <w:spacing w:line="360" w:lineRule="auto"/>
              <w:jc w:val="center"/>
              <w:rPr>
                <w:rFonts w:hint="eastAsia" w:ascii="宋体" w:hAnsi="宋体" w:cs="宋体"/>
                <w:color w:val="auto"/>
                <w:sz w:val="24"/>
                <w:szCs w:val="24"/>
                <w:highlight w:val="none"/>
              </w:rPr>
            </w:pPr>
          </w:p>
        </w:tc>
        <w:tc>
          <w:tcPr>
            <w:tcW w:w="807" w:type="pct"/>
            <w:vAlign w:val="center"/>
          </w:tcPr>
          <w:p w14:paraId="519058C3">
            <w:pPr>
              <w:tabs>
                <w:tab w:val="left" w:pos="720"/>
              </w:tabs>
              <w:snapToGrid w:val="0"/>
              <w:spacing w:line="360" w:lineRule="auto"/>
              <w:jc w:val="center"/>
              <w:rPr>
                <w:rFonts w:hint="eastAsia" w:ascii="宋体" w:hAnsi="宋体" w:cs="宋体"/>
                <w:color w:val="auto"/>
                <w:sz w:val="24"/>
                <w:szCs w:val="24"/>
                <w:highlight w:val="none"/>
              </w:rPr>
            </w:pPr>
          </w:p>
        </w:tc>
        <w:tc>
          <w:tcPr>
            <w:tcW w:w="1379" w:type="pct"/>
            <w:vAlign w:val="center"/>
          </w:tcPr>
          <w:p w14:paraId="4AC94DBD">
            <w:pPr>
              <w:tabs>
                <w:tab w:val="left" w:pos="720"/>
              </w:tabs>
              <w:snapToGrid w:val="0"/>
              <w:spacing w:line="360" w:lineRule="auto"/>
              <w:jc w:val="center"/>
              <w:rPr>
                <w:rFonts w:hint="eastAsia" w:ascii="宋体" w:hAnsi="宋体" w:cs="宋体"/>
                <w:color w:val="auto"/>
                <w:sz w:val="24"/>
                <w:szCs w:val="24"/>
                <w:highlight w:val="none"/>
              </w:rPr>
            </w:pPr>
          </w:p>
        </w:tc>
        <w:tc>
          <w:tcPr>
            <w:tcW w:w="1322" w:type="pct"/>
            <w:vAlign w:val="center"/>
          </w:tcPr>
          <w:p w14:paraId="205E1324">
            <w:pPr>
              <w:tabs>
                <w:tab w:val="left" w:pos="720"/>
              </w:tabs>
              <w:snapToGrid w:val="0"/>
              <w:spacing w:line="360" w:lineRule="auto"/>
              <w:jc w:val="center"/>
              <w:rPr>
                <w:rFonts w:hint="eastAsia" w:ascii="宋体" w:hAnsi="宋体" w:cs="宋体"/>
                <w:color w:val="auto"/>
                <w:sz w:val="24"/>
                <w:szCs w:val="24"/>
                <w:highlight w:val="none"/>
              </w:rPr>
            </w:pPr>
          </w:p>
        </w:tc>
        <w:tc>
          <w:tcPr>
            <w:tcW w:w="797" w:type="pct"/>
            <w:vAlign w:val="center"/>
          </w:tcPr>
          <w:p w14:paraId="65A3728B">
            <w:pPr>
              <w:tabs>
                <w:tab w:val="left" w:pos="720"/>
              </w:tabs>
              <w:snapToGrid w:val="0"/>
              <w:spacing w:line="360" w:lineRule="auto"/>
              <w:jc w:val="center"/>
              <w:rPr>
                <w:rFonts w:hint="eastAsia" w:ascii="宋体" w:hAnsi="宋体" w:cs="宋体"/>
                <w:color w:val="auto"/>
                <w:sz w:val="24"/>
                <w:szCs w:val="24"/>
                <w:highlight w:val="none"/>
              </w:rPr>
            </w:pPr>
          </w:p>
        </w:tc>
      </w:tr>
      <w:tr w14:paraId="1334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4" w:type="pct"/>
            <w:vAlign w:val="center"/>
          </w:tcPr>
          <w:p w14:paraId="1FE8E3F2">
            <w:pPr>
              <w:tabs>
                <w:tab w:val="left" w:pos="720"/>
              </w:tabs>
              <w:snapToGrid w:val="0"/>
              <w:spacing w:line="360" w:lineRule="auto"/>
              <w:jc w:val="center"/>
              <w:rPr>
                <w:rFonts w:hint="eastAsia" w:ascii="宋体" w:hAnsi="宋体" w:cs="宋体"/>
                <w:color w:val="auto"/>
                <w:sz w:val="24"/>
                <w:szCs w:val="24"/>
                <w:highlight w:val="none"/>
              </w:rPr>
            </w:pPr>
          </w:p>
        </w:tc>
        <w:tc>
          <w:tcPr>
            <w:tcW w:w="807" w:type="pct"/>
            <w:vAlign w:val="center"/>
          </w:tcPr>
          <w:p w14:paraId="16F5C40E">
            <w:pPr>
              <w:tabs>
                <w:tab w:val="left" w:pos="720"/>
              </w:tabs>
              <w:snapToGrid w:val="0"/>
              <w:spacing w:line="360" w:lineRule="auto"/>
              <w:jc w:val="center"/>
              <w:rPr>
                <w:rFonts w:hint="eastAsia" w:ascii="宋体" w:hAnsi="宋体" w:cs="宋体"/>
                <w:color w:val="auto"/>
                <w:sz w:val="24"/>
                <w:szCs w:val="24"/>
                <w:highlight w:val="none"/>
              </w:rPr>
            </w:pPr>
          </w:p>
        </w:tc>
        <w:tc>
          <w:tcPr>
            <w:tcW w:w="1379" w:type="pct"/>
            <w:vAlign w:val="center"/>
          </w:tcPr>
          <w:p w14:paraId="2BFE53B1">
            <w:pPr>
              <w:tabs>
                <w:tab w:val="left" w:pos="720"/>
              </w:tabs>
              <w:snapToGrid w:val="0"/>
              <w:spacing w:line="360" w:lineRule="auto"/>
              <w:jc w:val="center"/>
              <w:rPr>
                <w:rFonts w:hint="eastAsia" w:ascii="宋体" w:hAnsi="宋体" w:cs="宋体"/>
                <w:color w:val="auto"/>
                <w:sz w:val="24"/>
                <w:szCs w:val="24"/>
                <w:highlight w:val="none"/>
              </w:rPr>
            </w:pPr>
          </w:p>
        </w:tc>
        <w:tc>
          <w:tcPr>
            <w:tcW w:w="1322" w:type="pct"/>
            <w:vAlign w:val="center"/>
          </w:tcPr>
          <w:p w14:paraId="2A01E53A">
            <w:pPr>
              <w:tabs>
                <w:tab w:val="left" w:pos="720"/>
              </w:tabs>
              <w:snapToGrid w:val="0"/>
              <w:spacing w:line="360" w:lineRule="auto"/>
              <w:jc w:val="center"/>
              <w:rPr>
                <w:rFonts w:hint="eastAsia" w:ascii="宋体" w:hAnsi="宋体" w:cs="宋体"/>
                <w:color w:val="auto"/>
                <w:sz w:val="24"/>
                <w:szCs w:val="24"/>
                <w:highlight w:val="none"/>
              </w:rPr>
            </w:pPr>
          </w:p>
        </w:tc>
        <w:tc>
          <w:tcPr>
            <w:tcW w:w="797" w:type="pct"/>
            <w:vAlign w:val="center"/>
          </w:tcPr>
          <w:p w14:paraId="7E2E865D">
            <w:pPr>
              <w:tabs>
                <w:tab w:val="left" w:pos="720"/>
              </w:tabs>
              <w:snapToGrid w:val="0"/>
              <w:spacing w:line="360" w:lineRule="auto"/>
              <w:jc w:val="center"/>
              <w:rPr>
                <w:rFonts w:hint="eastAsia" w:ascii="宋体" w:hAnsi="宋体" w:cs="宋体"/>
                <w:color w:val="auto"/>
                <w:sz w:val="24"/>
                <w:szCs w:val="24"/>
                <w:highlight w:val="none"/>
              </w:rPr>
            </w:pPr>
          </w:p>
        </w:tc>
      </w:tr>
      <w:tr w14:paraId="77C9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4" w:type="pct"/>
            <w:vAlign w:val="center"/>
          </w:tcPr>
          <w:p w14:paraId="1DA80D29">
            <w:pPr>
              <w:tabs>
                <w:tab w:val="left" w:pos="720"/>
              </w:tabs>
              <w:snapToGrid w:val="0"/>
              <w:spacing w:line="360" w:lineRule="auto"/>
              <w:jc w:val="center"/>
              <w:rPr>
                <w:rFonts w:hint="eastAsia" w:ascii="宋体" w:hAnsi="宋体" w:cs="宋体"/>
                <w:color w:val="auto"/>
                <w:sz w:val="24"/>
                <w:szCs w:val="24"/>
                <w:highlight w:val="none"/>
              </w:rPr>
            </w:pPr>
          </w:p>
        </w:tc>
        <w:tc>
          <w:tcPr>
            <w:tcW w:w="807" w:type="pct"/>
            <w:vAlign w:val="center"/>
          </w:tcPr>
          <w:p w14:paraId="7C512D7E">
            <w:pPr>
              <w:tabs>
                <w:tab w:val="left" w:pos="720"/>
              </w:tabs>
              <w:snapToGrid w:val="0"/>
              <w:spacing w:line="360" w:lineRule="auto"/>
              <w:jc w:val="center"/>
              <w:rPr>
                <w:rFonts w:hint="eastAsia" w:ascii="宋体" w:hAnsi="宋体" w:cs="宋体"/>
                <w:color w:val="auto"/>
                <w:sz w:val="24"/>
                <w:szCs w:val="24"/>
                <w:highlight w:val="none"/>
              </w:rPr>
            </w:pPr>
          </w:p>
        </w:tc>
        <w:tc>
          <w:tcPr>
            <w:tcW w:w="1379" w:type="pct"/>
            <w:vAlign w:val="center"/>
          </w:tcPr>
          <w:p w14:paraId="1C1E72BA">
            <w:pPr>
              <w:tabs>
                <w:tab w:val="left" w:pos="720"/>
              </w:tabs>
              <w:snapToGrid w:val="0"/>
              <w:spacing w:line="360" w:lineRule="auto"/>
              <w:jc w:val="center"/>
              <w:rPr>
                <w:rFonts w:hint="eastAsia" w:ascii="宋体" w:hAnsi="宋体" w:cs="宋体"/>
                <w:color w:val="auto"/>
                <w:sz w:val="24"/>
                <w:szCs w:val="24"/>
                <w:highlight w:val="none"/>
              </w:rPr>
            </w:pPr>
          </w:p>
        </w:tc>
        <w:tc>
          <w:tcPr>
            <w:tcW w:w="1322" w:type="pct"/>
            <w:vAlign w:val="center"/>
          </w:tcPr>
          <w:p w14:paraId="1167F883">
            <w:pPr>
              <w:tabs>
                <w:tab w:val="left" w:pos="720"/>
              </w:tabs>
              <w:snapToGrid w:val="0"/>
              <w:spacing w:line="360" w:lineRule="auto"/>
              <w:jc w:val="center"/>
              <w:rPr>
                <w:rFonts w:hint="eastAsia" w:ascii="宋体" w:hAnsi="宋体" w:cs="宋体"/>
                <w:color w:val="auto"/>
                <w:sz w:val="24"/>
                <w:szCs w:val="24"/>
                <w:highlight w:val="none"/>
              </w:rPr>
            </w:pPr>
          </w:p>
        </w:tc>
        <w:tc>
          <w:tcPr>
            <w:tcW w:w="797" w:type="pct"/>
            <w:vAlign w:val="center"/>
          </w:tcPr>
          <w:p w14:paraId="3E3ECCBD">
            <w:pPr>
              <w:tabs>
                <w:tab w:val="left" w:pos="720"/>
              </w:tabs>
              <w:snapToGrid w:val="0"/>
              <w:spacing w:line="360" w:lineRule="auto"/>
              <w:jc w:val="center"/>
              <w:rPr>
                <w:rFonts w:hint="eastAsia" w:ascii="宋体" w:hAnsi="宋体" w:cs="宋体"/>
                <w:color w:val="auto"/>
                <w:sz w:val="24"/>
                <w:szCs w:val="24"/>
                <w:highlight w:val="none"/>
              </w:rPr>
            </w:pPr>
          </w:p>
        </w:tc>
      </w:tr>
      <w:tr w14:paraId="1FA2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4" w:type="pct"/>
            <w:vAlign w:val="center"/>
          </w:tcPr>
          <w:p w14:paraId="33003FB0">
            <w:pPr>
              <w:tabs>
                <w:tab w:val="left" w:pos="720"/>
              </w:tabs>
              <w:snapToGrid w:val="0"/>
              <w:spacing w:line="360" w:lineRule="auto"/>
              <w:jc w:val="center"/>
              <w:rPr>
                <w:rFonts w:hint="eastAsia" w:ascii="宋体" w:hAnsi="宋体" w:cs="宋体"/>
                <w:color w:val="auto"/>
                <w:sz w:val="24"/>
                <w:szCs w:val="24"/>
                <w:highlight w:val="none"/>
              </w:rPr>
            </w:pPr>
          </w:p>
        </w:tc>
        <w:tc>
          <w:tcPr>
            <w:tcW w:w="807" w:type="pct"/>
            <w:vAlign w:val="center"/>
          </w:tcPr>
          <w:p w14:paraId="4FF9F41A">
            <w:pPr>
              <w:tabs>
                <w:tab w:val="left" w:pos="720"/>
              </w:tabs>
              <w:snapToGrid w:val="0"/>
              <w:spacing w:line="360" w:lineRule="auto"/>
              <w:jc w:val="center"/>
              <w:rPr>
                <w:rFonts w:hint="eastAsia" w:ascii="宋体" w:hAnsi="宋体" w:cs="宋体"/>
                <w:color w:val="auto"/>
                <w:sz w:val="24"/>
                <w:szCs w:val="24"/>
                <w:highlight w:val="none"/>
              </w:rPr>
            </w:pPr>
          </w:p>
        </w:tc>
        <w:tc>
          <w:tcPr>
            <w:tcW w:w="1379" w:type="pct"/>
            <w:vAlign w:val="center"/>
          </w:tcPr>
          <w:p w14:paraId="5B9AE85B">
            <w:pPr>
              <w:tabs>
                <w:tab w:val="left" w:pos="720"/>
              </w:tabs>
              <w:snapToGrid w:val="0"/>
              <w:spacing w:line="360" w:lineRule="auto"/>
              <w:jc w:val="center"/>
              <w:rPr>
                <w:rFonts w:hint="eastAsia" w:ascii="宋体" w:hAnsi="宋体" w:cs="宋体"/>
                <w:color w:val="auto"/>
                <w:sz w:val="24"/>
                <w:szCs w:val="24"/>
                <w:highlight w:val="none"/>
              </w:rPr>
            </w:pPr>
          </w:p>
        </w:tc>
        <w:tc>
          <w:tcPr>
            <w:tcW w:w="1322" w:type="pct"/>
            <w:vAlign w:val="center"/>
          </w:tcPr>
          <w:p w14:paraId="7604DD30">
            <w:pPr>
              <w:tabs>
                <w:tab w:val="left" w:pos="720"/>
              </w:tabs>
              <w:snapToGrid w:val="0"/>
              <w:spacing w:line="360" w:lineRule="auto"/>
              <w:jc w:val="center"/>
              <w:rPr>
                <w:rFonts w:hint="eastAsia" w:ascii="宋体" w:hAnsi="宋体" w:cs="宋体"/>
                <w:color w:val="auto"/>
                <w:sz w:val="24"/>
                <w:szCs w:val="24"/>
                <w:highlight w:val="none"/>
              </w:rPr>
            </w:pPr>
          </w:p>
        </w:tc>
        <w:tc>
          <w:tcPr>
            <w:tcW w:w="797" w:type="pct"/>
            <w:vAlign w:val="center"/>
          </w:tcPr>
          <w:p w14:paraId="752E7B8E">
            <w:pPr>
              <w:tabs>
                <w:tab w:val="left" w:pos="720"/>
              </w:tabs>
              <w:snapToGrid w:val="0"/>
              <w:spacing w:line="360" w:lineRule="auto"/>
              <w:jc w:val="center"/>
              <w:rPr>
                <w:rFonts w:hint="eastAsia" w:ascii="宋体" w:hAnsi="宋体" w:cs="宋体"/>
                <w:color w:val="auto"/>
                <w:sz w:val="24"/>
                <w:szCs w:val="24"/>
                <w:highlight w:val="none"/>
              </w:rPr>
            </w:pPr>
          </w:p>
        </w:tc>
      </w:tr>
      <w:tr w14:paraId="21DA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4" w:type="pct"/>
            <w:vAlign w:val="center"/>
          </w:tcPr>
          <w:p w14:paraId="488F04DF">
            <w:pPr>
              <w:tabs>
                <w:tab w:val="left" w:pos="720"/>
              </w:tabs>
              <w:snapToGrid w:val="0"/>
              <w:spacing w:line="360" w:lineRule="auto"/>
              <w:jc w:val="center"/>
              <w:rPr>
                <w:rFonts w:hint="eastAsia" w:ascii="宋体" w:hAnsi="宋体" w:cs="宋体"/>
                <w:color w:val="auto"/>
                <w:sz w:val="24"/>
                <w:szCs w:val="24"/>
                <w:highlight w:val="none"/>
              </w:rPr>
            </w:pPr>
          </w:p>
        </w:tc>
        <w:tc>
          <w:tcPr>
            <w:tcW w:w="807" w:type="pct"/>
            <w:vAlign w:val="center"/>
          </w:tcPr>
          <w:p w14:paraId="3608E2F2">
            <w:pPr>
              <w:tabs>
                <w:tab w:val="left" w:pos="720"/>
              </w:tabs>
              <w:snapToGrid w:val="0"/>
              <w:spacing w:line="360" w:lineRule="auto"/>
              <w:jc w:val="center"/>
              <w:rPr>
                <w:rFonts w:hint="eastAsia" w:ascii="宋体" w:hAnsi="宋体" w:cs="宋体"/>
                <w:color w:val="auto"/>
                <w:sz w:val="24"/>
                <w:szCs w:val="24"/>
                <w:highlight w:val="none"/>
              </w:rPr>
            </w:pPr>
          </w:p>
        </w:tc>
        <w:tc>
          <w:tcPr>
            <w:tcW w:w="1379" w:type="pct"/>
            <w:vAlign w:val="center"/>
          </w:tcPr>
          <w:p w14:paraId="0492F0E9">
            <w:pPr>
              <w:tabs>
                <w:tab w:val="left" w:pos="720"/>
              </w:tabs>
              <w:snapToGrid w:val="0"/>
              <w:spacing w:line="360" w:lineRule="auto"/>
              <w:jc w:val="center"/>
              <w:rPr>
                <w:rFonts w:hint="eastAsia" w:ascii="宋体" w:hAnsi="宋体" w:cs="宋体"/>
                <w:color w:val="auto"/>
                <w:sz w:val="24"/>
                <w:szCs w:val="24"/>
                <w:highlight w:val="none"/>
              </w:rPr>
            </w:pPr>
          </w:p>
        </w:tc>
        <w:tc>
          <w:tcPr>
            <w:tcW w:w="1322" w:type="pct"/>
            <w:vAlign w:val="center"/>
          </w:tcPr>
          <w:p w14:paraId="1133B66F">
            <w:pPr>
              <w:tabs>
                <w:tab w:val="left" w:pos="720"/>
              </w:tabs>
              <w:snapToGrid w:val="0"/>
              <w:spacing w:line="360" w:lineRule="auto"/>
              <w:jc w:val="center"/>
              <w:rPr>
                <w:rFonts w:hint="eastAsia" w:ascii="宋体" w:hAnsi="宋体" w:cs="宋体"/>
                <w:color w:val="auto"/>
                <w:sz w:val="24"/>
                <w:szCs w:val="24"/>
                <w:highlight w:val="none"/>
              </w:rPr>
            </w:pPr>
          </w:p>
        </w:tc>
        <w:tc>
          <w:tcPr>
            <w:tcW w:w="797" w:type="pct"/>
            <w:vAlign w:val="center"/>
          </w:tcPr>
          <w:p w14:paraId="173851EF">
            <w:pPr>
              <w:tabs>
                <w:tab w:val="left" w:pos="720"/>
              </w:tabs>
              <w:snapToGrid w:val="0"/>
              <w:spacing w:line="360" w:lineRule="auto"/>
              <w:jc w:val="center"/>
              <w:rPr>
                <w:rFonts w:hint="eastAsia" w:ascii="宋体" w:hAnsi="宋体" w:cs="宋体"/>
                <w:color w:val="auto"/>
                <w:sz w:val="24"/>
                <w:szCs w:val="24"/>
                <w:highlight w:val="none"/>
              </w:rPr>
            </w:pPr>
          </w:p>
        </w:tc>
      </w:tr>
    </w:tbl>
    <w:p w14:paraId="73912558">
      <w:pPr>
        <w:tabs>
          <w:tab w:val="left" w:pos="720"/>
        </w:tabs>
        <w:snapToGrid w:val="0"/>
        <w:spacing w:line="360" w:lineRule="auto"/>
        <w:rPr>
          <w:rFonts w:hint="eastAsia" w:ascii="宋体" w:hAnsi="宋体" w:cs="宋体"/>
          <w:color w:val="auto"/>
          <w:sz w:val="24"/>
          <w:szCs w:val="24"/>
          <w:highlight w:val="none"/>
        </w:rPr>
      </w:pPr>
    </w:p>
    <w:p w14:paraId="5F2F925A">
      <w:pPr>
        <w:spacing w:line="360" w:lineRule="auto"/>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注：1、参与编制经济标书所有人员名单应包括如编制各种专业工程量清单投标报价、负责清样校对、负责打印及复印等所有人员在内的人员名单。</w:t>
      </w:r>
    </w:p>
    <w:p w14:paraId="7D80C133">
      <w:pPr>
        <w:widowControl/>
        <w:spacing w:line="360" w:lineRule="auto"/>
        <w:jc w:val="left"/>
        <w:rPr>
          <w:rFonts w:hint="eastAsia" w:ascii="宋体" w:hAnsi="宋体" w:cs="宋体"/>
          <w:b/>
          <w:color w:val="auto"/>
          <w:kern w:val="0"/>
          <w:sz w:val="24"/>
          <w:szCs w:val="24"/>
          <w:highlight w:val="none"/>
        </w:rPr>
      </w:pPr>
      <w:r>
        <w:rPr>
          <w:rFonts w:hint="eastAsia" w:ascii="宋体" w:hAnsi="宋体" w:cs="宋体"/>
          <w:color w:val="auto"/>
          <w:spacing w:val="4"/>
          <w:kern w:val="0"/>
          <w:sz w:val="24"/>
          <w:szCs w:val="24"/>
          <w:highlight w:val="none"/>
        </w:rPr>
        <w:t>2、上述人员须为投标人正式员工，并须提供投标截止前近一个月(2025年</w:t>
      </w:r>
      <w:r>
        <w:rPr>
          <w:rFonts w:hint="eastAsia" w:ascii="宋体" w:hAnsi="宋体" w:cs="宋体"/>
          <w:color w:val="auto"/>
          <w:spacing w:val="4"/>
          <w:kern w:val="0"/>
          <w:sz w:val="24"/>
          <w:szCs w:val="24"/>
          <w:highlight w:val="none"/>
          <w:lang w:val="en-US" w:eastAsia="zh-CN"/>
        </w:rPr>
        <w:t>7</w:t>
      </w:r>
      <w:r>
        <w:rPr>
          <w:rFonts w:hint="eastAsia" w:ascii="宋体" w:hAnsi="宋体" w:cs="宋体"/>
          <w:color w:val="auto"/>
          <w:spacing w:val="4"/>
          <w:kern w:val="0"/>
          <w:sz w:val="24"/>
          <w:szCs w:val="24"/>
          <w:highlight w:val="none"/>
        </w:rPr>
        <w:t>月)有效社保证明资料扫描件。</w:t>
      </w:r>
      <w:r>
        <w:rPr>
          <w:rFonts w:hint="eastAsia" w:ascii="宋体" w:hAnsi="宋体" w:cs="宋体"/>
          <w:color w:val="auto"/>
          <w:highlight w:val="none"/>
        </w:rPr>
        <w:br w:type="page"/>
      </w:r>
    </w:p>
    <w:p w14:paraId="6EE4BE60">
      <w:pPr>
        <w:spacing w:line="360" w:lineRule="auto"/>
        <w:rPr>
          <w:rFonts w:hint="eastAsia" w:ascii="宋体" w:hAnsi="宋体" w:cs="宋体"/>
          <w:b/>
          <w:bCs/>
          <w:color w:val="auto"/>
          <w:sz w:val="27"/>
          <w:szCs w:val="27"/>
          <w:highlight w:val="none"/>
        </w:rPr>
      </w:pPr>
      <w:bookmarkStart w:id="286" w:name="_Toc60070635"/>
      <w:r>
        <w:rPr>
          <w:rFonts w:hint="eastAsia" w:ascii="宋体" w:hAnsi="宋体" w:cs="宋体"/>
          <w:b/>
          <w:bCs/>
          <w:color w:val="auto"/>
          <w:sz w:val="27"/>
          <w:szCs w:val="27"/>
          <w:highlight w:val="none"/>
        </w:rPr>
        <w:t>格式</w:t>
      </w:r>
      <w:r>
        <w:rPr>
          <w:rFonts w:hint="eastAsia" w:ascii="宋体" w:hAnsi="宋体" w:cs="宋体"/>
          <w:b/>
          <w:bCs/>
          <w:snapToGrid w:val="0"/>
          <w:color w:val="auto"/>
          <w:sz w:val="27"/>
          <w:szCs w:val="27"/>
          <w:highlight w:val="none"/>
        </w:rPr>
        <w:t>十二</w:t>
      </w:r>
      <w:r>
        <w:rPr>
          <w:rFonts w:hint="eastAsia" w:ascii="宋体" w:hAnsi="宋体" w:cs="宋体"/>
          <w:b/>
          <w:bCs/>
          <w:color w:val="auto"/>
          <w:sz w:val="27"/>
          <w:szCs w:val="27"/>
          <w:highlight w:val="none"/>
        </w:rPr>
        <w:t>：</w:t>
      </w:r>
      <w:bookmarkEnd w:id="286"/>
    </w:p>
    <w:p w14:paraId="374BDEC8">
      <w:pPr>
        <w:pStyle w:val="23"/>
        <w:spacing w:after="0" w:line="360" w:lineRule="auto"/>
        <w:ind w:firstLine="0"/>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对投标文件编制的承诺</w:t>
      </w:r>
    </w:p>
    <w:p w14:paraId="69B646C0">
      <w:pPr>
        <w:pStyle w:val="23"/>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本公司授权</w:t>
      </w:r>
      <w:r>
        <w:rPr>
          <w:rFonts w:hint="eastAsia" w:ascii="宋体" w:hAnsi="宋体" w:eastAsia="宋体" w:cs="宋体"/>
          <w:color w:val="auto"/>
          <w:sz w:val="24"/>
          <w:szCs w:val="24"/>
          <w:highlight w:val="none"/>
          <w:u w:val="single"/>
        </w:rPr>
        <w:t xml:space="preserve">         （身份证号：               ）</w:t>
      </w:r>
      <w:r>
        <w:rPr>
          <w:rFonts w:hint="eastAsia" w:ascii="宋体" w:hAnsi="宋体" w:eastAsia="宋体" w:cs="宋体"/>
          <w:color w:val="auto"/>
          <w:sz w:val="24"/>
          <w:szCs w:val="24"/>
          <w:highlight w:val="none"/>
        </w:rPr>
        <w:t>负责对投标文件的编制及内容进行解释、说明，并承诺以下事项：</w:t>
      </w:r>
    </w:p>
    <w:p w14:paraId="0B42B3F8">
      <w:pPr>
        <w:pStyle w:val="23"/>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1.被授权人清楚投标文件编制的具体情况，包括技术方案文件、工程量清单、以及投标文件的加密打包的理解；</w:t>
      </w:r>
    </w:p>
    <w:p w14:paraId="20EA77E8">
      <w:pPr>
        <w:pStyle w:val="23"/>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2.在本项目开标至评标结束前，努力确保被授权人在项目评标所在地附近；</w:t>
      </w:r>
    </w:p>
    <w:p w14:paraId="3AA5C528">
      <w:pPr>
        <w:pStyle w:val="23"/>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3.从评标委员会要求澄清起二小时内，被授权人应如实地书面澄清。</w:t>
      </w:r>
    </w:p>
    <w:p w14:paraId="3A8B71DF">
      <w:pPr>
        <w:pStyle w:val="23"/>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如由于未遵守上述承诺内容之一导致无法进行澄清的，我公司认可和接受评标委员会作出的评审结论。                                 </w:t>
      </w:r>
    </w:p>
    <w:p w14:paraId="5C681F86">
      <w:pPr>
        <w:pStyle w:val="23"/>
        <w:spacing w:after="0" w:line="360" w:lineRule="auto"/>
        <w:ind w:firstLine="360" w:firstLineChars="150"/>
        <w:rPr>
          <w:rFonts w:hint="eastAsia" w:ascii="宋体" w:hAnsi="宋体" w:eastAsia="宋体" w:cs="宋体"/>
          <w:color w:val="auto"/>
          <w:sz w:val="24"/>
          <w:szCs w:val="24"/>
          <w:highlight w:val="none"/>
        </w:rPr>
      </w:pPr>
    </w:p>
    <w:p w14:paraId="08F64D1B">
      <w:pPr>
        <w:pStyle w:val="23"/>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附件：《投标文件编制情况》</w:t>
      </w:r>
    </w:p>
    <w:p w14:paraId="243F8604">
      <w:pPr>
        <w:spacing w:line="360" w:lineRule="auto"/>
        <w:ind w:right="90" w:firstLine="3240" w:firstLineChars="1350"/>
        <w:rPr>
          <w:rFonts w:hint="eastAsia" w:ascii="宋体" w:hAnsi="宋体" w:cs="宋体"/>
          <w:color w:val="auto"/>
          <w:sz w:val="24"/>
          <w:szCs w:val="24"/>
          <w:highlight w:val="none"/>
        </w:rPr>
      </w:pPr>
      <w:r>
        <w:rPr>
          <w:rFonts w:hint="eastAsia" w:ascii="宋体" w:hAnsi="宋体" w:cs="宋体"/>
          <w:color w:val="auto"/>
          <w:sz w:val="24"/>
          <w:szCs w:val="24"/>
          <w:highlight w:val="none"/>
        </w:rPr>
        <w:t>投 标 人：</w:t>
      </w:r>
    </w:p>
    <w:p w14:paraId="004F7123">
      <w:pPr>
        <w:spacing w:line="360" w:lineRule="auto"/>
        <w:ind w:right="90" w:firstLine="3240" w:firstLineChars="1350"/>
        <w:rPr>
          <w:rFonts w:hint="eastAsia" w:ascii="宋体" w:hAnsi="宋体" w:cs="宋体"/>
          <w:color w:val="auto"/>
          <w:sz w:val="24"/>
          <w:szCs w:val="24"/>
          <w:highlight w:val="none"/>
        </w:rPr>
      </w:pPr>
      <w:r>
        <w:rPr>
          <w:rFonts w:hint="eastAsia" w:ascii="宋体" w:hAnsi="宋体" w:cs="宋体"/>
          <w:color w:val="auto"/>
          <w:sz w:val="24"/>
          <w:szCs w:val="24"/>
          <w:highlight w:val="none"/>
        </w:rPr>
        <w:t>日    期：    年    月    日</w:t>
      </w:r>
    </w:p>
    <w:p w14:paraId="2B3244C8">
      <w:pPr>
        <w:pStyle w:val="23"/>
        <w:spacing w:after="0" w:line="360" w:lineRule="auto"/>
        <w:ind w:firstLine="0"/>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投标文件编制情况</w:t>
      </w:r>
    </w:p>
    <w:p w14:paraId="511C122B">
      <w:pPr>
        <w:pStyle w:val="23"/>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1.投标文件报价编制方式: □自行编制的，编制的负责人：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（盖造价工程师执业专用章或全国建设工程造价员章，执业单位应与投标人一致）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E937231">
      <w:pPr>
        <w:pStyle w:val="23"/>
        <w:spacing w:after="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□委托编制的，受委托单位，编制的负责人：</w:t>
      </w:r>
      <w:r>
        <w:rPr>
          <w:rFonts w:hint="eastAsia" w:ascii="宋体" w:hAnsi="宋体" w:eastAsia="宋体" w:cs="宋体"/>
          <w:b/>
          <w:bCs/>
          <w:color w:val="auto"/>
          <w:sz w:val="24"/>
          <w:szCs w:val="24"/>
          <w:highlight w:val="none"/>
          <w:u w:val="single"/>
        </w:rPr>
        <w:t xml:space="preserve"> （盖造价工程师执业专用章或全国建设工程造价员章，执业单位应与受委托单位一致）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2D122AE">
      <w:pPr>
        <w:pStyle w:val="23"/>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2.投标文件加密打包的电脑情况</w:t>
      </w:r>
    </w:p>
    <w:tbl>
      <w:tblPr>
        <w:tblStyle w:val="25"/>
        <w:tblW w:w="5000" w:type="pct"/>
        <w:tblInd w:w="0" w:type="dxa"/>
        <w:tblLayout w:type="autofit"/>
        <w:tblCellMar>
          <w:top w:w="0" w:type="dxa"/>
          <w:left w:w="108" w:type="dxa"/>
          <w:bottom w:w="0" w:type="dxa"/>
          <w:right w:w="108" w:type="dxa"/>
        </w:tblCellMar>
      </w:tblPr>
      <w:tblGrid>
        <w:gridCol w:w="9962"/>
      </w:tblGrid>
      <w:tr w14:paraId="14B4CBC2">
        <w:tblPrEx>
          <w:tblCellMar>
            <w:top w:w="0" w:type="dxa"/>
            <w:left w:w="108" w:type="dxa"/>
            <w:bottom w:w="0" w:type="dxa"/>
            <w:right w:w="108" w:type="dxa"/>
          </w:tblCellMar>
        </w:tblPrEx>
        <w:trPr>
          <w:trHeight w:val="2819" w:hRule="atLeast"/>
        </w:trPr>
        <w:tc>
          <w:tcPr>
            <w:tcW w:w="5000" w:type="pct"/>
          </w:tcPr>
          <w:p w14:paraId="184CB1D4">
            <w:pPr>
              <w:pStyle w:val="23"/>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投标文件加密打包的电脑  自有    □      外包    □   其他    □</w:t>
            </w:r>
          </w:p>
          <w:p w14:paraId="40AE85DA">
            <w:pPr>
              <w:pStyle w:val="23"/>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电脑类型</w:t>
            </w:r>
          </w:p>
          <w:p w14:paraId="62150099">
            <w:pPr>
              <w:pStyle w:val="23"/>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电脑所属单位</w:t>
            </w:r>
          </w:p>
          <w:p w14:paraId="4738791C">
            <w:pPr>
              <w:pStyle w:val="23"/>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电脑所在地址        （如××市××区(县) ××街（路）××号××大厦××房）</w:t>
            </w:r>
          </w:p>
        </w:tc>
      </w:tr>
    </w:tbl>
    <w:p w14:paraId="4941D25C">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279C136B">
      <w:pPr>
        <w:pStyle w:val="2"/>
        <w:jc w:val="center"/>
        <w:rPr>
          <w:rStyle w:val="40"/>
          <w:rFonts w:hint="eastAsia"/>
          <w:b w:val="0"/>
          <w:color w:val="auto"/>
          <w:highlight w:val="none"/>
        </w:rPr>
      </w:pPr>
      <w:bookmarkStart w:id="287" w:name="_Toc26234"/>
      <w:bookmarkStart w:id="288" w:name="_Toc3499"/>
      <w:bookmarkStart w:id="289" w:name="_Toc6715"/>
      <w:bookmarkStart w:id="290" w:name="_Toc7870"/>
      <w:bookmarkStart w:id="291" w:name="_Toc94"/>
      <w:bookmarkStart w:id="292" w:name="_Toc24951"/>
      <w:bookmarkStart w:id="293" w:name="_Toc23411"/>
      <w:bookmarkStart w:id="294" w:name="_Toc3891"/>
      <w:bookmarkStart w:id="295" w:name="_Toc29755"/>
      <w:bookmarkStart w:id="296" w:name="_Toc12427"/>
      <w:bookmarkStart w:id="297" w:name="_Toc29417"/>
      <w:bookmarkStart w:id="298" w:name="_Toc2272568"/>
      <w:bookmarkStart w:id="299" w:name="_Toc4304"/>
      <w:r>
        <w:rPr>
          <w:rFonts w:hint="eastAsia"/>
          <w:color w:val="auto"/>
          <w:highlight w:val="none"/>
        </w:rPr>
        <w:t>第五章 技术条件（工程建设标准）</w:t>
      </w:r>
      <w:bookmarkEnd w:id="287"/>
      <w:bookmarkEnd w:id="288"/>
      <w:bookmarkEnd w:id="289"/>
      <w:bookmarkEnd w:id="290"/>
      <w:bookmarkEnd w:id="291"/>
      <w:bookmarkEnd w:id="292"/>
      <w:bookmarkEnd w:id="293"/>
      <w:bookmarkEnd w:id="294"/>
      <w:bookmarkEnd w:id="295"/>
      <w:bookmarkEnd w:id="296"/>
      <w:bookmarkEnd w:id="297"/>
      <w:bookmarkEnd w:id="298"/>
      <w:bookmarkEnd w:id="299"/>
    </w:p>
    <w:p w14:paraId="103959DF">
      <w:pPr>
        <w:spacing w:line="360" w:lineRule="auto"/>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一.标准</w:t>
      </w:r>
    </w:p>
    <w:p w14:paraId="743D807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引用的国家及有关部委颁布的标准、规范、和规程。若施工时期建设主管部门颁布新的规范、标准，则按照新的规范、标准执行。</w:t>
      </w:r>
    </w:p>
    <w:p w14:paraId="122242DA">
      <w:pPr>
        <w:spacing w:line="360" w:lineRule="auto"/>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二、施工组织设计要点</w:t>
      </w:r>
    </w:p>
    <w:p w14:paraId="7E98F4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如果中标，中标人应按项目的进展需求，并在规定的时间内按要点要求，编制详细的施工组织设计，作为工程施工的指导性文件，向建设单位提交一式五份的《施工组织设计方案》，内容包括（不限于）以下：</w:t>
      </w:r>
    </w:p>
    <w:p w14:paraId="41C6757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（一）工程概况及特点</w:t>
      </w:r>
    </w:p>
    <w:p w14:paraId="172E981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 工程概况</w:t>
      </w:r>
    </w:p>
    <w:p w14:paraId="6E6AF05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工程简述，工程规模，工程承包范围，地质及地貌状况，自然环境，交通情况等。</w:t>
      </w:r>
    </w:p>
    <w:p w14:paraId="32D9963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 工程特点</w:t>
      </w:r>
    </w:p>
    <w:p w14:paraId="7A0452A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设计特点、工程特点、影响施工的主要和特殊环节分析等。</w:t>
      </w:r>
    </w:p>
    <w:p w14:paraId="72AEFB3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（二）施工现场组织机构</w:t>
      </w:r>
    </w:p>
    <w:p w14:paraId="469F85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2.1 组织机构关系图</w:t>
      </w:r>
    </w:p>
    <w:p w14:paraId="4B5E40A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2.2 工程主要负责人简介。</w:t>
      </w:r>
    </w:p>
    <w:p w14:paraId="0310487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（三）施工现场总平面布置图</w:t>
      </w:r>
    </w:p>
    <w:p w14:paraId="4BB925A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3.1 施工现场平面布置图</w:t>
      </w:r>
    </w:p>
    <w:p w14:paraId="489A320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14:paraId="24976BD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（四）施工方案</w:t>
      </w:r>
    </w:p>
    <w:p w14:paraId="168C0E3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4.1 施工准备</w:t>
      </w:r>
    </w:p>
    <w:p w14:paraId="1F6F06E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简要叙述施工技术资料、材料、通讯、施工场地的准备，施工机械、施工力量的配置，以及生活设施等的准备情况。主要施工机械设备表。</w:t>
      </w:r>
    </w:p>
    <w:p w14:paraId="644C0CA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4.2 施工工序总体安排</w:t>
      </w:r>
    </w:p>
    <w:p w14:paraId="72C0DE6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4.3 主要工序和特殊工序的施工方法和施工效率估计，潜在问题的分析。</w:t>
      </w:r>
    </w:p>
    <w:p w14:paraId="39AA177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4.4 工程成本的控制措施为控制成本，提高效益，拟采取的措施。</w:t>
      </w:r>
    </w:p>
    <w:p w14:paraId="210E18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（五）工期及施工进度计划</w:t>
      </w:r>
    </w:p>
    <w:p w14:paraId="1416FB8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5.1 工期规划及要求</w:t>
      </w:r>
    </w:p>
    <w:p w14:paraId="48D629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用横道图反映各主要施工过程的计划进度，深度达到全面、准确、清楚的描述工程实施过程，从中可衍生出各种施工资源计划及其过程管理信息。</w:t>
      </w:r>
    </w:p>
    <w:p w14:paraId="68250E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5.2 施工进度计划网络图</w:t>
      </w:r>
    </w:p>
    <w:p w14:paraId="36AAC0F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施工网络图应明确工程开工、竣工日期，工程施工的关键路线，并针对关键工序，提出确保工期拟采取的措施。</w:t>
      </w:r>
    </w:p>
    <w:p w14:paraId="7FBC055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5.3 施工资源（人力、材料、机具、场地及进场道路、公共关系）计划</w:t>
      </w:r>
    </w:p>
    <w:p w14:paraId="47199A9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5.4 施工进度计划分析</w:t>
      </w:r>
    </w:p>
    <w:p w14:paraId="41CEBA6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计划潜在问题，计划中的潜力及其开发途径等。</w:t>
      </w:r>
    </w:p>
    <w:p w14:paraId="1981BF6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5.5 计划控制</w:t>
      </w:r>
    </w:p>
    <w:p w14:paraId="6A7B07E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程序、方法及制度等。</w:t>
      </w:r>
    </w:p>
    <w:p w14:paraId="0295A43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（六）质量目标、质量保证体系及技术组织措施</w:t>
      </w:r>
    </w:p>
    <w:p w14:paraId="6EC184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6.1 质量目标</w:t>
      </w:r>
    </w:p>
    <w:p w14:paraId="4C16E5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本工程要求的质量目标：合格。</w:t>
      </w:r>
    </w:p>
    <w:p w14:paraId="5774F5D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用单位工程和分项工程合格率、优良品率表示，欲达到的工程质量等级。</w:t>
      </w:r>
    </w:p>
    <w:p w14:paraId="53950F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6.2 质量管理组织机构及主要职责</w:t>
      </w:r>
    </w:p>
    <w:p w14:paraId="7ADB146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用框图表示质量管理组织机构，并简要叙述各质量管理部门的主要职责。</w:t>
      </w:r>
    </w:p>
    <w:p w14:paraId="4B7748E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6.3 质量管理的措施</w:t>
      </w:r>
    </w:p>
    <w:p w14:paraId="04257F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简要叙述质量管理的措施和关键工序的质量控制。</w:t>
      </w:r>
    </w:p>
    <w:p w14:paraId="7758B83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6.4 质量管理及检验的标准</w:t>
      </w:r>
    </w:p>
    <w:p w14:paraId="0928816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执行的主要质量标准、规范。</w:t>
      </w:r>
    </w:p>
    <w:p w14:paraId="790FC0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6.5 质量保证技术措施</w:t>
      </w:r>
    </w:p>
    <w:p w14:paraId="16E1433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针对本工程特点，分析质量薄弱环节，拟将采取的技术措施。</w:t>
      </w:r>
    </w:p>
    <w:p w14:paraId="0BAF67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（七）安全目标、安全保证体系及技术组织措施</w:t>
      </w:r>
    </w:p>
    <w:p w14:paraId="27C78E0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7.1 安全管理目标</w:t>
      </w:r>
    </w:p>
    <w:p w14:paraId="6382972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7.2 安全管理组织机构及主要职责</w:t>
      </w:r>
    </w:p>
    <w:p w14:paraId="3F662DB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用框图表示安全管理组织机构，并简要叙述各安全管理部门及人员的主要职责。</w:t>
      </w:r>
    </w:p>
    <w:p w14:paraId="558C684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7.3 安全管理制度及办法</w:t>
      </w:r>
    </w:p>
    <w:p w14:paraId="6FDA40B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7.4 安全组织技术措施</w:t>
      </w:r>
    </w:p>
    <w:p w14:paraId="39758F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针对本工程特点，分析安全薄弱环节，拟将采取的技术措施。</w:t>
      </w:r>
    </w:p>
    <w:p w14:paraId="256631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7.5 重要施工方案和特殊施工工序的安全过程控制</w:t>
      </w:r>
    </w:p>
    <w:p w14:paraId="06DB62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7.6 严格执行《建筑施工安全检查标准》(JGJ59-2011)和省、市建设主管部门有关文明施工的规定。并按照甲方要求安排工作时间，在施工中尽量减少噪音，必要时采取有效的隔音措施，混凝土浇灌需连续不间断作业时，按有关规定申报夜间施工许可证。</w:t>
      </w:r>
    </w:p>
    <w:p w14:paraId="3D3487E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安全生产目标：杜绝本项目施工人员重大伤亡事故。</w:t>
      </w:r>
    </w:p>
    <w:p w14:paraId="194CFC0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文明施工目标：标准化管理。</w:t>
      </w:r>
    </w:p>
    <w:p w14:paraId="4896F4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（八）环境保护及文明施工</w:t>
      </w:r>
    </w:p>
    <w:p w14:paraId="02BE44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8.1 环境保护</w:t>
      </w:r>
    </w:p>
    <w:p w14:paraId="528FCDC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分析因施工可能引起的环境保护方面</w:t>
      </w:r>
      <w:r>
        <w:rPr>
          <w:rFonts w:hint="eastAsia" w:ascii="宋体" w:hAnsi="宋体" w:cs="宋体"/>
          <w:color w:val="auto"/>
          <w:sz w:val="24"/>
          <w:szCs w:val="24"/>
          <w:highlight w:val="none"/>
          <w:lang w:eastAsia="zh-CN" w:bidi="ar"/>
        </w:rPr>
        <w:t>、施工现场建筑垃圾源头减量</w:t>
      </w:r>
      <w:r>
        <w:rPr>
          <w:rFonts w:hint="eastAsia" w:ascii="宋体" w:hAnsi="宋体" w:eastAsia="宋体" w:cs="宋体"/>
          <w:color w:val="auto"/>
          <w:sz w:val="24"/>
          <w:szCs w:val="24"/>
          <w:highlight w:val="none"/>
          <w:lang w:bidi="ar"/>
        </w:rPr>
        <w:t>的问题。</w:t>
      </w:r>
    </w:p>
    <w:p w14:paraId="79E21EC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8.2 加强施工管理、严格保护环境</w:t>
      </w:r>
    </w:p>
    <w:p w14:paraId="47621FB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提出环境保护的目标及采取的具体措施。</w:t>
      </w:r>
    </w:p>
    <w:p w14:paraId="71BB86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8.3 文明施工的目标、组织机构和实施方案</w:t>
      </w:r>
    </w:p>
    <w:p w14:paraId="0AE4049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8.4 文明施工考核、管理办法</w:t>
      </w:r>
    </w:p>
    <w:p w14:paraId="4353CE7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（九）计划、统计和信息管理</w:t>
      </w:r>
    </w:p>
    <w:p w14:paraId="48A1E68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9.1 计划、统计报表的编制与传递；</w:t>
      </w:r>
    </w:p>
    <w:p w14:paraId="54528F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9.2 信息管理</w:t>
      </w:r>
    </w:p>
    <w:p w14:paraId="0747B0A1">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lang w:bidi="ar"/>
        </w:rPr>
        <w:t>提出信息管理的目标及拟将采取的措施。</w:t>
      </w:r>
    </w:p>
    <w:p w14:paraId="48B74BBF">
      <w:pPr>
        <w:ind w:firstLine="420" w:firstLineChars="200"/>
        <w:rPr>
          <w:rFonts w:hint="eastAsia" w:ascii="宋体" w:hAnsi="宋体" w:cs="宋体"/>
          <w:color w:val="auto"/>
          <w:szCs w:val="21"/>
          <w:highlight w:val="none"/>
        </w:rPr>
      </w:pPr>
    </w:p>
    <w:p w14:paraId="7CC42820">
      <w:pPr>
        <w:spacing w:line="360" w:lineRule="auto"/>
        <w:jc w:val="center"/>
        <w:rPr>
          <w:rFonts w:hint="eastAsia" w:ascii="宋体" w:hAnsi="宋体" w:cs="宋体"/>
          <w:color w:val="auto"/>
          <w:sz w:val="24"/>
          <w:szCs w:val="24"/>
          <w:highlight w:val="none"/>
        </w:rPr>
      </w:pPr>
      <w:r>
        <w:rPr>
          <w:rFonts w:hint="eastAsia"/>
          <w:color w:val="auto"/>
          <w:sz w:val="24"/>
          <w:szCs w:val="24"/>
          <w:highlight w:val="none"/>
        </w:rPr>
        <w:br w:type="page"/>
      </w:r>
    </w:p>
    <w:p w14:paraId="7AFA71CD">
      <w:pPr>
        <w:pStyle w:val="2"/>
        <w:jc w:val="center"/>
        <w:rPr>
          <w:rFonts w:hint="eastAsia"/>
          <w:color w:val="auto"/>
          <w:highlight w:val="none"/>
        </w:rPr>
      </w:pPr>
      <w:bookmarkStart w:id="300" w:name="_Toc17474"/>
      <w:bookmarkStart w:id="301" w:name="_Toc10597"/>
      <w:bookmarkStart w:id="302" w:name="_Toc20968"/>
      <w:bookmarkStart w:id="303" w:name="_Toc15274"/>
      <w:bookmarkStart w:id="304" w:name="_Toc2272570"/>
      <w:bookmarkStart w:id="305" w:name="_Toc26158"/>
      <w:bookmarkStart w:id="306" w:name="_Toc19678"/>
      <w:bookmarkStart w:id="307" w:name="_Toc27436"/>
      <w:bookmarkStart w:id="308" w:name="_Toc21758"/>
      <w:bookmarkStart w:id="309" w:name="_Toc10951"/>
      <w:bookmarkStart w:id="310" w:name="_Toc6338"/>
      <w:bookmarkStart w:id="311" w:name="_Toc20002"/>
      <w:bookmarkStart w:id="312" w:name="_Toc28947"/>
      <w:r>
        <w:rPr>
          <w:rFonts w:hint="eastAsia"/>
          <w:color w:val="auto"/>
          <w:highlight w:val="none"/>
        </w:rPr>
        <w:t>第</w:t>
      </w:r>
      <w:r>
        <w:rPr>
          <w:rFonts w:hint="eastAsia"/>
          <w:color w:val="auto"/>
          <w:highlight w:val="none"/>
          <w:lang w:val="en-US" w:eastAsia="zh-CN"/>
        </w:rPr>
        <w:t>六</w:t>
      </w:r>
      <w:r>
        <w:rPr>
          <w:rFonts w:hint="eastAsia"/>
          <w:color w:val="auto"/>
          <w:highlight w:val="none"/>
        </w:rPr>
        <w:t>章 工程量清单</w:t>
      </w:r>
      <w:bookmarkEnd w:id="300"/>
      <w:bookmarkEnd w:id="301"/>
      <w:bookmarkEnd w:id="302"/>
      <w:bookmarkEnd w:id="303"/>
      <w:bookmarkEnd w:id="304"/>
      <w:bookmarkEnd w:id="305"/>
      <w:bookmarkEnd w:id="306"/>
      <w:bookmarkEnd w:id="307"/>
      <w:bookmarkEnd w:id="308"/>
      <w:bookmarkEnd w:id="309"/>
      <w:bookmarkEnd w:id="310"/>
      <w:bookmarkEnd w:id="311"/>
      <w:bookmarkEnd w:id="312"/>
    </w:p>
    <w:p w14:paraId="73142147">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注：本章由招标人自行制定。</w:t>
      </w:r>
    </w:p>
    <w:p w14:paraId="53D54732">
      <w:pPr>
        <w:spacing w:line="360" w:lineRule="auto"/>
        <w:jc w:val="center"/>
        <w:rPr>
          <w:rFonts w:hint="eastAsia" w:ascii="宋体" w:hAnsi="宋体" w:cs="宋体"/>
          <w:color w:val="auto"/>
          <w:highlight w:val="none"/>
        </w:rPr>
      </w:pPr>
      <w:r>
        <w:rPr>
          <w:rFonts w:hint="eastAsia" w:ascii="宋体" w:hAnsi="宋体" w:cs="宋体"/>
          <w:color w:val="auto"/>
          <w:sz w:val="24"/>
          <w:szCs w:val="24"/>
          <w:highlight w:val="none"/>
        </w:rPr>
        <w:t>（另册）</w:t>
      </w:r>
    </w:p>
    <w:p w14:paraId="69DB6CFF">
      <w:pPr>
        <w:pStyle w:val="23"/>
        <w:spacing w:after="0" w:line="360" w:lineRule="auto"/>
        <w:ind w:left="-2" w:leftChars="-1" w:firstLine="960" w:firstLineChars="400"/>
        <w:rPr>
          <w:rFonts w:hint="eastAsia" w:ascii="宋体" w:hAnsi="宋体" w:eastAsia="宋体" w:cs="宋体"/>
          <w:color w:val="auto"/>
          <w:sz w:val="24"/>
          <w:highlight w:val="none"/>
        </w:rPr>
      </w:pPr>
    </w:p>
    <w:p w14:paraId="26C7B2C6">
      <w:pPr>
        <w:pStyle w:val="2"/>
        <w:jc w:val="center"/>
        <w:rPr>
          <w:rFonts w:hint="eastAsia"/>
          <w:color w:val="auto"/>
          <w:highlight w:val="none"/>
        </w:rPr>
      </w:pPr>
      <w:r>
        <w:rPr>
          <w:rFonts w:hint="eastAsia"/>
          <w:color w:val="auto"/>
          <w:sz w:val="24"/>
          <w:szCs w:val="24"/>
          <w:highlight w:val="none"/>
        </w:rPr>
        <w:br w:type="page"/>
      </w:r>
      <w:bookmarkStart w:id="313" w:name="_Toc2272571"/>
      <w:bookmarkStart w:id="314" w:name="_Toc10753"/>
      <w:bookmarkStart w:id="315" w:name="_Toc32020"/>
      <w:bookmarkStart w:id="316" w:name="_Toc23985"/>
      <w:bookmarkStart w:id="317" w:name="_Toc17841"/>
      <w:bookmarkStart w:id="318" w:name="_Toc3515"/>
      <w:bookmarkStart w:id="319" w:name="_Toc25055"/>
      <w:bookmarkStart w:id="320" w:name="_Toc8155"/>
      <w:bookmarkStart w:id="321" w:name="_Toc28098"/>
      <w:bookmarkStart w:id="322" w:name="_Toc26389"/>
      <w:bookmarkStart w:id="323" w:name="_Toc7467"/>
      <w:bookmarkStart w:id="324" w:name="_Toc22976"/>
      <w:bookmarkStart w:id="325" w:name="_Toc22151"/>
      <w:r>
        <w:rPr>
          <w:rFonts w:hint="eastAsia"/>
          <w:color w:val="auto"/>
          <w:highlight w:val="none"/>
        </w:rPr>
        <w:t>第</w:t>
      </w:r>
      <w:r>
        <w:rPr>
          <w:rFonts w:hint="eastAsia"/>
          <w:color w:val="auto"/>
          <w:highlight w:val="none"/>
          <w:lang w:val="en-US" w:eastAsia="zh-CN"/>
        </w:rPr>
        <w:t>七</w:t>
      </w:r>
      <w:r>
        <w:rPr>
          <w:rFonts w:hint="eastAsia"/>
          <w:color w:val="auto"/>
          <w:highlight w:val="none"/>
        </w:rPr>
        <w:t>章 最高投标限价</w:t>
      </w:r>
      <w:bookmarkEnd w:id="313"/>
      <w:bookmarkEnd w:id="314"/>
      <w:bookmarkEnd w:id="315"/>
      <w:bookmarkEnd w:id="316"/>
      <w:bookmarkEnd w:id="317"/>
      <w:bookmarkEnd w:id="318"/>
      <w:bookmarkEnd w:id="319"/>
      <w:bookmarkEnd w:id="320"/>
      <w:bookmarkEnd w:id="321"/>
      <w:bookmarkEnd w:id="322"/>
      <w:bookmarkEnd w:id="323"/>
      <w:bookmarkEnd w:id="324"/>
      <w:bookmarkEnd w:id="325"/>
    </w:p>
    <w:p w14:paraId="47EA2523">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14:paraId="7737DE2E">
      <w:pPr>
        <w:spacing w:line="360" w:lineRule="auto"/>
        <w:ind w:firstLine="48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另册</w:t>
      </w:r>
      <w:r>
        <w:rPr>
          <w:rFonts w:hint="eastAsia" w:ascii="宋体" w:hAnsi="宋体" w:cs="宋体"/>
          <w:color w:val="auto"/>
          <w:sz w:val="24"/>
          <w:szCs w:val="24"/>
          <w:highlight w:val="none"/>
        </w:rPr>
        <w:t>）。</w:t>
      </w:r>
    </w:p>
    <w:p w14:paraId="645F7C41">
      <w:pPr>
        <w:spacing w:line="360" w:lineRule="auto"/>
        <w:rPr>
          <w:rFonts w:hint="eastAsia" w:ascii="宋体" w:hAnsi="宋体" w:cs="宋体"/>
          <w:color w:val="auto"/>
          <w:highlight w:val="none"/>
        </w:rPr>
      </w:pPr>
    </w:p>
    <w:p w14:paraId="49A2BB2C">
      <w:pPr>
        <w:spacing w:line="360" w:lineRule="auto"/>
        <w:rPr>
          <w:rFonts w:hint="eastAsia" w:ascii="宋体" w:hAnsi="宋体" w:cs="宋体"/>
          <w:color w:val="auto"/>
          <w:highlight w:val="none"/>
        </w:rPr>
      </w:pPr>
    </w:p>
    <w:p w14:paraId="7BFE0E93">
      <w:pPr>
        <w:spacing w:line="360" w:lineRule="auto"/>
        <w:rPr>
          <w:rFonts w:hint="eastAsia" w:ascii="宋体" w:hAnsi="宋体" w:cs="宋体"/>
          <w:color w:val="auto"/>
          <w:highlight w:val="none"/>
        </w:rPr>
      </w:pPr>
    </w:p>
    <w:p w14:paraId="42975423">
      <w:pPr>
        <w:spacing w:line="360" w:lineRule="auto"/>
        <w:rPr>
          <w:rFonts w:hint="eastAsia" w:ascii="宋体" w:hAnsi="宋体" w:cs="宋体"/>
          <w:color w:val="auto"/>
          <w:highlight w:val="none"/>
        </w:rPr>
      </w:pPr>
    </w:p>
    <w:p w14:paraId="1156A638">
      <w:pPr>
        <w:spacing w:line="360" w:lineRule="auto"/>
        <w:rPr>
          <w:rFonts w:hint="eastAsia" w:ascii="宋体" w:hAnsi="宋体" w:cs="宋体"/>
          <w:color w:val="auto"/>
          <w:highlight w:val="none"/>
        </w:rPr>
      </w:pPr>
    </w:p>
    <w:p w14:paraId="0EFAE90C">
      <w:pPr>
        <w:spacing w:line="360" w:lineRule="auto"/>
        <w:rPr>
          <w:rFonts w:hint="eastAsia" w:ascii="宋体" w:hAnsi="宋体" w:cs="宋体"/>
          <w:color w:val="auto"/>
          <w:highlight w:val="none"/>
        </w:rPr>
      </w:pPr>
    </w:p>
    <w:p w14:paraId="636557A4">
      <w:pPr>
        <w:rPr>
          <w:rFonts w:hint="eastAsia" w:ascii="宋体" w:hAnsi="宋体" w:cs="宋体"/>
          <w:color w:val="auto"/>
          <w:highlight w:val="none"/>
        </w:rPr>
      </w:pPr>
    </w:p>
    <w:sectPr>
      <w:pgSz w:w="11906" w:h="16838"/>
      <w:pgMar w:top="1440" w:right="1080" w:bottom="1440" w:left="1080" w:header="850"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467A3">
    <w:pPr>
      <w:pStyle w:val="14"/>
      <w:jc w:val="center"/>
    </w:pPr>
    <w:r>
      <w:fldChar w:fldCharType="begin"/>
    </w:r>
    <w:r>
      <w:instrText xml:space="preserve"> PAGE   \* MERGEFORMAT </w:instrText>
    </w:r>
    <w:r>
      <w:fldChar w:fldCharType="separate"/>
    </w:r>
    <w:r>
      <w:rPr>
        <w:lang w:val="zh-CN"/>
      </w:rPr>
      <w:t>4</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87EFF">
    <w:pPr>
      <w:pStyle w:val="14"/>
      <w:ind w:firstLine="392"/>
      <w:rPr>
        <w:rStyle w:val="27"/>
      </w:rPr>
    </w:pPr>
    <w:r>
      <w:fldChar w:fldCharType="begin"/>
    </w:r>
    <w:r>
      <w:rPr>
        <w:rStyle w:val="27"/>
      </w:rPr>
      <w:instrText xml:space="preserve">PAGE  </w:instrText>
    </w:r>
    <w:r>
      <w:fldChar w:fldCharType="separate"/>
    </w:r>
    <w:r>
      <w:rPr>
        <w:rStyle w:val="27"/>
        <w:rFonts w:hint="eastAsia"/>
      </w:rPr>
      <w:t>一</w:t>
    </w:r>
    <w:r>
      <w:rPr>
        <w:rStyle w:val="27"/>
      </w:rPr>
      <w:t>–2</w:t>
    </w:r>
    <w:r>
      <w:fldChar w:fldCharType="end"/>
    </w:r>
  </w:p>
  <w:p w14:paraId="39B198C2">
    <w:pPr>
      <w:pStyle w:val="14"/>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4F312">
    <w:pPr>
      <w:pStyle w:val="14"/>
      <w:jc w:val="center"/>
    </w:pPr>
    <w:r>
      <w:fldChar w:fldCharType="begin"/>
    </w:r>
    <w:r>
      <w:instrText xml:space="preserve"> PAGE   \* MERGEFORMAT </w:instrText>
    </w:r>
    <w:r>
      <w:fldChar w:fldCharType="separate"/>
    </w:r>
    <w:r>
      <w:rPr>
        <w:lang w:val="zh-CN"/>
      </w:rPr>
      <w:t>55</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F60E3">
    <w:pPr>
      <w:pStyle w:val="14"/>
      <w:jc w:val="center"/>
    </w:pPr>
    <w:r>
      <w:fldChar w:fldCharType="begin"/>
    </w:r>
    <w:r>
      <w:instrText xml:space="preserve"> PAGE   \* MERGEFORMAT </w:instrText>
    </w:r>
    <w:r>
      <w:fldChar w:fldCharType="separate"/>
    </w:r>
    <w:r>
      <w:t>60</w:t>
    </w:r>
    <w:r>
      <w:fldChar w:fldCharType="end"/>
    </w:r>
  </w:p>
  <w:p w14:paraId="4889F5A6">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7B062">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FD50C">
    <w:pPr>
      <w:pStyle w:val="15"/>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5222B">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EF399"/>
    <w:multiLevelType w:val="singleLevel"/>
    <w:tmpl w:val="C51EF399"/>
    <w:lvl w:ilvl="0" w:tentative="0">
      <w:start w:val="1"/>
      <w:numFmt w:val="decimal"/>
      <w:suff w:val="nothing"/>
      <w:lvlText w:val="%1、"/>
      <w:lvlJc w:val="left"/>
    </w:lvl>
  </w:abstractNum>
  <w:abstractNum w:abstractNumId="1">
    <w:nsid w:val="00000003"/>
    <w:multiLevelType w:val="multilevel"/>
    <w:tmpl w:val="00000003"/>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3AD5465A"/>
    <w:multiLevelType w:val="multilevel"/>
    <w:tmpl w:val="3AD546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9721576"/>
    <w:multiLevelType w:val="multilevel"/>
    <w:tmpl w:val="79721576"/>
    <w:lvl w:ilvl="0" w:tentative="0">
      <w:start w:val="1"/>
      <w:numFmt w:val="chineseCounting"/>
      <w:suff w:val="nothing"/>
      <w:lvlText w:val="%1、"/>
      <w:lvlJc w:val="left"/>
      <w:pPr>
        <w:tabs>
          <w:tab w:val="left" w:pos="0"/>
        </w:tabs>
        <w:ind w:left="0" w:firstLine="0"/>
      </w:pPr>
      <w:rPr>
        <w:rFonts w:hint="eastAsia" w:ascii="黑体" w:hAnsi="黑体" w:eastAsia="黑体"/>
      </w:rPr>
    </w:lvl>
    <w:lvl w:ilvl="1" w:tentative="0">
      <w:start w:val="1"/>
      <w:numFmt w:val="chineseCounting"/>
      <w:suff w:val="nothing"/>
      <w:lvlText w:val="（%2）"/>
      <w:lvlJc w:val="left"/>
      <w:pPr>
        <w:tabs>
          <w:tab w:val="left" w:pos="0"/>
        </w:tabs>
        <w:ind w:left="0" w:firstLine="0"/>
      </w:pPr>
      <w:rPr>
        <w:rFonts w:hint="eastAsia" w:ascii="黑体" w:hAnsi="黑体" w:eastAsia="黑体"/>
      </w:rPr>
    </w:lvl>
    <w:lvl w:ilvl="2" w:tentative="0">
      <w:start w:val="1"/>
      <w:numFmt w:val="decimal"/>
      <w:suff w:val="nothing"/>
      <w:lvlText w:val="%3．"/>
      <w:lvlJc w:val="left"/>
      <w:pPr>
        <w:tabs>
          <w:tab w:val="left" w:pos="0"/>
        </w:tabs>
        <w:ind w:left="0" w:firstLine="400"/>
      </w:pPr>
      <w:rPr>
        <w:rFonts w:hint="eastAsia" w:ascii="黑体" w:hAnsi="黑体" w:eastAsia="黑体"/>
      </w:rPr>
    </w:lvl>
    <w:lvl w:ilvl="3" w:tentative="0">
      <w:start w:val="1"/>
      <w:numFmt w:val="decimal"/>
      <w:pStyle w:val="5"/>
      <w:suff w:val="nothing"/>
      <w:lvlText w:val="%4、"/>
      <w:lvlJc w:val="left"/>
      <w:pPr>
        <w:tabs>
          <w:tab w:val="left" w:pos="0"/>
        </w:tabs>
        <w:ind w:left="0" w:firstLine="0"/>
      </w:pPr>
      <w:rPr>
        <w:rFonts w:hint="eastAsia" w:ascii="黑体" w:hAnsi="黑体" w:eastAsia="黑体"/>
      </w:rPr>
    </w:lvl>
    <w:lvl w:ilvl="4" w:tentative="0">
      <w:start w:val="1"/>
      <w:numFmt w:val="decimalFullWidth"/>
      <w:suff w:val="nothing"/>
      <w:lvlText w:val="（%5）"/>
      <w:lvlJc w:val="left"/>
      <w:pPr>
        <w:tabs>
          <w:tab w:val="left" w:pos="0"/>
        </w:tabs>
        <w:ind w:left="0" w:firstLine="0"/>
      </w:pPr>
      <w:rPr>
        <w:rFonts w:hint="eastAsia" w:ascii="黑体" w:hAnsi="黑体" w:eastAsia="黑体" w:cs="宋体"/>
        <w:szCs w:val="24"/>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
    <w15:presenceInfo w15:providerId="WPS Office" w15:userId="4079785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lNDk0ZDBlOGQ2OWUzZDc3ZjY2OGFlYTAxYjI1Y2YifQ=="/>
  </w:docVars>
  <w:rsids>
    <w:rsidRoot w:val="3DA02742"/>
    <w:rsid w:val="001A5E64"/>
    <w:rsid w:val="00215802"/>
    <w:rsid w:val="0033508E"/>
    <w:rsid w:val="0040367D"/>
    <w:rsid w:val="004409FE"/>
    <w:rsid w:val="00491DC5"/>
    <w:rsid w:val="00541695"/>
    <w:rsid w:val="005D327A"/>
    <w:rsid w:val="005E3C66"/>
    <w:rsid w:val="00614395"/>
    <w:rsid w:val="006B2979"/>
    <w:rsid w:val="006D3516"/>
    <w:rsid w:val="00744087"/>
    <w:rsid w:val="00876001"/>
    <w:rsid w:val="009B5629"/>
    <w:rsid w:val="009F33C9"/>
    <w:rsid w:val="00A521FA"/>
    <w:rsid w:val="00A634A6"/>
    <w:rsid w:val="00AE41B5"/>
    <w:rsid w:val="00B14691"/>
    <w:rsid w:val="00BE3B83"/>
    <w:rsid w:val="00BF2A64"/>
    <w:rsid w:val="00C1756B"/>
    <w:rsid w:val="00D10712"/>
    <w:rsid w:val="00D11168"/>
    <w:rsid w:val="00D56987"/>
    <w:rsid w:val="00DC4775"/>
    <w:rsid w:val="00EA6A7C"/>
    <w:rsid w:val="00ED717E"/>
    <w:rsid w:val="00FB5C53"/>
    <w:rsid w:val="00FF27BB"/>
    <w:rsid w:val="014A2125"/>
    <w:rsid w:val="030376E3"/>
    <w:rsid w:val="035B7FC2"/>
    <w:rsid w:val="050667B6"/>
    <w:rsid w:val="088E3EF3"/>
    <w:rsid w:val="094445B2"/>
    <w:rsid w:val="0A41489C"/>
    <w:rsid w:val="0B0D4A25"/>
    <w:rsid w:val="0BE91440"/>
    <w:rsid w:val="0C5C518F"/>
    <w:rsid w:val="0C5E0B8C"/>
    <w:rsid w:val="0E8D2557"/>
    <w:rsid w:val="0F3D2815"/>
    <w:rsid w:val="0F7756E1"/>
    <w:rsid w:val="0FE004AD"/>
    <w:rsid w:val="10B1077E"/>
    <w:rsid w:val="138B5016"/>
    <w:rsid w:val="139F4F79"/>
    <w:rsid w:val="14376A61"/>
    <w:rsid w:val="145558C5"/>
    <w:rsid w:val="1478468F"/>
    <w:rsid w:val="158E10A8"/>
    <w:rsid w:val="15913A24"/>
    <w:rsid w:val="15F97218"/>
    <w:rsid w:val="17620A24"/>
    <w:rsid w:val="198F4904"/>
    <w:rsid w:val="19F811CC"/>
    <w:rsid w:val="1B281F85"/>
    <w:rsid w:val="1B373F76"/>
    <w:rsid w:val="1CC70F05"/>
    <w:rsid w:val="1D8C05DD"/>
    <w:rsid w:val="1E356C86"/>
    <w:rsid w:val="1EF117D0"/>
    <w:rsid w:val="200E0021"/>
    <w:rsid w:val="211B7EC1"/>
    <w:rsid w:val="21921F06"/>
    <w:rsid w:val="219226BE"/>
    <w:rsid w:val="220A3BAC"/>
    <w:rsid w:val="22B67E76"/>
    <w:rsid w:val="2324431D"/>
    <w:rsid w:val="237F64BA"/>
    <w:rsid w:val="23F1286B"/>
    <w:rsid w:val="245C48BC"/>
    <w:rsid w:val="25756F59"/>
    <w:rsid w:val="261F21D6"/>
    <w:rsid w:val="26965756"/>
    <w:rsid w:val="27146BD2"/>
    <w:rsid w:val="29C76AD3"/>
    <w:rsid w:val="2DAB3064"/>
    <w:rsid w:val="2EC13268"/>
    <w:rsid w:val="2F953A19"/>
    <w:rsid w:val="30635FE0"/>
    <w:rsid w:val="31302729"/>
    <w:rsid w:val="31A742A2"/>
    <w:rsid w:val="33F3338D"/>
    <w:rsid w:val="34C54EA2"/>
    <w:rsid w:val="34E6283D"/>
    <w:rsid w:val="35892636"/>
    <w:rsid w:val="35DF46E5"/>
    <w:rsid w:val="37B95D33"/>
    <w:rsid w:val="37E62C43"/>
    <w:rsid w:val="38713B78"/>
    <w:rsid w:val="39640903"/>
    <w:rsid w:val="3A3000B7"/>
    <w:rsid w:val="3CA51EB9"/>
    <w:rsid w:val="3D271561"/>
    <w:rsid w:val="3D5173AE"/>
    <w:rsid w:val="3D791D75"/>
    <w:rsid w:val="3DA02742"/>
    <w:rsid w:val="3F8C5D8F"/>
    <w:rsid w:val="418D7CAF"/>
    <w:rsid w:val="43A30E51"/>
    <w:rsid w:val="43D1290A"/>
    <w:rsid w:val="44766939"/>
    <w:rsid w:val="44A829AD"/>
    <w:rsid w:val="44D46DC0"/>
    <w:rsid w:val="45B45068"/>
    <w:rsid w:val="488137FF"/>
    <w:rsid w:val="493D00FA"/>
    <w:rsid w:val="49B8776F"/>
    <w:rsid w:val="49F27628"/>
    <w:rsid w:val="4B051674"/>
    <w:rsid w:val="4BCE5CCF"/>
    <w:rsid w:val="4C2A6C76"/>
    <w:rsid w:val="4C3677AE"/>
    <w:rsid w:val="4D34632C"/>
    <w:rsid w:val="4F383CE4"/>
    <w:rsid w:val="50D94BAC"/>
    <w:rsid w:val="51AB479B"/>
    <w:rsid w:val="536F26B6"/>
    <w:rsid w:val="53DC014C"/>
    <w:rsid w:val="545F717E"/>
    <w:rsid w:val="54B24092"/>
    <w:rsid w:val="54B91935"/>
    <w:rsid w:val="55A0015A"/>
    <w:rsid w:val="57233ED3"/>
    <w:rsid w:val="584D0443"/>
    <w:rsid w:val="58907EC3"/>
    <w:rsid w:val="58DE2BCD"/>
    <w:rsid w:val="59D56ED0"/>
    <w:rsid w:val="5BEA5EBF"/>
    <w:rsid w:val="5E685A72"/>
    <w:rsid w:val="5F680952"/>
    <w:rsid w:val="5FB97304"/>
    <w:rsid w:val="60F30906"/>
    <w:rsid w:val="617B293F"/>
    <w:rsid w:val="63B079EF"/>
    <w:rsid w:val="65291781"/>
    <w:rsid w:val="65393821"/>
    <w:rsid w:val="66293A88"/>
    <w:rsid w:val="66F46F2C"/>
    <w:rsid w:val="66FB20ED"/>
    <w:rsid w:val="673D643A"/>
    <w:rsid w:val="6988073E"/>
    <w:rsid w:val="699102C2"/>
    <w:rsid w:val="69A03AE0"/>
    <w:rsid w:val="6B1C3BBC"/>
    <w:rsid w:val="6B8A074D"/>
    <w:rsid w:val="6B964E9E"/>
    <w:rsid w:val="6BB45CBE"/>
    <w:rsid w:val="6BB84FEE"/>
    <w:rsid w:val="6D2F397F"/>
    <w:rsid w:val="6D3B6D3C"/>
    <w:rsid w:val="6D512242"/>
    <w:rsid w:val="6DB50A44"/>
    <w:rsid w:val="6EA20EA4"/>
    <w:rsid w:val="6EC10D02"/>
    <w:rsid w:val="6F9445E6"/>
    <w:rsid w:val="707A3B12"/>
    <w:rsid w:val="717B7633"/>
    <w:rsid w:val="71F23C7C"/>
    <w:rsid w:val="7305654D"/>
    <w:rsid w:val="73C05A2C"/>
    <w:rsid w:val="74A259E7"/>
    <w:rsid w:val="76747072"/>
    <w:rsid w:val="767F74F6"/>
    <w:rsid w:val="78144158"/>
    <w:rsid w:val="785A227F"/>
    <w:rsid w:val="794C55EF"/>
    <w:rsid w:val="7A1926E2"/>
    <w:rsid w:val="7C021428"/>
    <w:rsid w:val="7CAC1E67"/>
    <w:rsid w:val="7D146F72"/>
    <w:rsid w:val="7E920914"/>
    <w:rsid w:val="7E953F59"/>
    <w:rsid w:val="7F0A5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after="120" w:line="360" w:lineRule="auto"/>
      <w:outlineLvl w:val="0"/>
    </w:pPr>
    <w:rPr>
      <w:rFonts w:ascii="宋体" w:hAnsi="宋体" w:cs="宋体"/>
      <w:kern w:val="44"/>
      <w:sz w:val="28"/>
      <w:szCs w:val="28"/>
    </w:rPr>
  </w:style>
  <w:style w:type="paragraph" w:styleId="3">
    <w:name w:val="heading 2"/>
    <w:basedOn w:val="1"/>
    <w:next w:val="1"/>
    <w:link w:val="32"/>
    <w:autoRedefine/>
    <w:qFormat/>
    <w:uiPriority w:val="0"/>
    <w:pPr>
      <w:keepNext/>
      <w:keepLines/>
      <w:tabs>
        <w:tab w:val="right" w:leader="dot" w:pos="9060"/>
      </w:tabs>
      <w:spacing w:before="120" w:after="120" w:line="415" w:lineRule="auto"/>
      <w:jc w:val="center"/>
      <w:outlineLvl w:val="1"/>
    </w:pPr>
    <w:rPr>
      <w:rFonts w:ascii="宋体" w:hAnsi="宋体" w:cs="宋体"/>
      <w:b/>
      <w:kern w:val="0"/>
      <w:sz w:val="24"/>
      <w:szCs w:val="24"/>
    </w:rPr>
  </w:style>
  <w:style w:type="paragraph" w:styleId="4">
    <w:name w:val="heading 3"/>
    <w:basedOn w:val="1"/>
    <w:next w:val="1"/>
    <w:qFormat/>
    <w:uiPriority w:val="0"/>
    <w:pPr>
      <w:widowControl/>
      <w:jc w:val="left"/>
      <w:outlineLvl w:val="2"/>
    </w:pPr>
    <w:rPr>
      <w:rFonts w:ascii="宋体" w:hAnsi="宋体"/>
      <w:kern w:val="0"/>
      <w:sz w:val="27"/>
      <w:szCs w:val="27"/>
    </w:rPr>
  </w:style>
  <w:style w:type="paragraph" w:styleId="5">
    <w:name w:val="heading 4"/>
    <w:basedOn w:val="1"/>
    <w:next w:val="1"/>
    <w:semiHidden/>
    <w:unhideWhenUsed/>
    <w:qFormat/>
    <w:uiPriority w:val="9"/>
    <w:pPr>
      <w:keepNext/>
      <w:keepLines/>
      <w:numPr>
        <w:ilvl w:val="3"/>
        <w:numId w:val="1"/>
      </w:numPr>
      <w:spacing w:line="360" w:lineRule="auto"/>
      <w:ind w:firstLine="690" w:firstLineChars="229"/>
      <w:outlineLvl w:val="3"/>
    </w:pPr>
    <w:rPr>
      <w:rFonts w:ascii="宋体" w:hAnsi="宋体" w:eastAsia="黑体" w:cs="宋体"/>
      <w:snapToGrid w:val="0"/>
      <w:color w:val="00B050"/>
      <w:kern w:val="0"/>
      <w:sz w:val="24"/>
      <w:lang w:eastAsia="en-US"/>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rFonts w:ascii="Times New Roman" w:hAnsi="Times New Roman" w:cstheme="minorBidi"/>
    </w:rPr>
  </w:style>
  <w:style w:type="paragraph" w:styleId="7">
    <w:name w:val="annotation text"/>
    <w:basedOn w:val="1"/>
    <w:link w:val="48"/>
    <w:qFormat/>
    <w:uiPriority w:val="0"/>
    <w:pPr>
      <w:spacing w:line="360" w:lineRule="auto"/>
      <w:ind w:firstLine="523" w:firstLineChars="218"/>
      <w:jc w:val="left"/>
    </w:pPr>
    <w:rPr>
      <w:rFonts w:ascii="宋体" w:hAnsi="宋体"/>
      <w:sz w:val="24"/>
      <w:szCs w:val="24"/>
    </w:rPr>
  </w:style>
  <w:style w:type="paragraph" w:styleId="8">
    <w:name w:val="Body Text"/>
    <w:basedOn w:val="1"/>
    <w:qFormat/>
    <w:uiPriority w:val="99"/>
    <w:pPr>
      <w:spacing w:after="120"/>
    </w:pPr>
    <w:rPr>
      <w:rFonts w:ascii="Times New Roman" w:hAnsi="Times New Roman"/>
      <w:szCs w:val="20"/>
    </w:rPr>
  </w:style>
  <w:style w:type="paragraph" w:styleId="9">
    <w:name w:val="Body Text Indent"/>
    <w:basedOn w:val="1"/>
    <w:next w:val="10"/>
    <w:qFormat/>
    <w:uiPriority w:val="0"/>
    <w:pPr>
      <w:ind w:firstLine="570"/>
    </w:pPr>
    <w:rPr>
      <w:rFonts w:ascii="Times New Roman" w:hAnsi="Times New Roman"/>
      <w:sz w:val="28"/>
      <w:szCs w:val="20"/>
    </w:rPr>
  </w:style>
  <w:style w:type="paragraph" w:styleId="10">
    <w:name w:val="envelope return"/>
    <w:basedOn w:val="1"/>
    <w:autoRedefine/>
    <w:qFormat/>
    <w:uiPriority w:val="0"/>
    <w:pPr>
      <w:snapToGrid w:val="0"/>
    </w:pPr>
    <w:rPr>
      <w:rFonts w:ascii="Arial" w:hAnsi="Arial"/>
      <w:szCs w:val="24"/>
    </w:rPr>
  </w:style>
  <w:style w:type="paragraph" w:styleId="11">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2">
    <w:name w:val="Plain Text"/>
    <w:basedOn w:val="1"/>
    <w:next w:val="1"/>
    <w:qFormat/>
    <w:uiPriority w:val="0"/>
    <w:rPr>
      <w:rFonts w:ascii="宋体" w:hAnsi="Courier New"/>
      <w:szCs w:val="20"/>
    </w:rPr>
  </w:style>
  <w:style w:type="paragraph" w:styleId="13">
    <w:name w:val="Date"/>
    <w:basedOn w:val="1"/>
    <w:next w:val="1"/>
    <w:qFormat/>
    <w:uiPriority w:val="0"/>
    <w:rPr>
      <w:rFonts w:ascii="Times New Roman" w:hAnsi="Times New Roman"/>
      <w:szCs w:val="20"/>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7">
    <w:name w:val="Subtitle"/>
    <w:basedOn w:val="1"/>
    <w:next w:val="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18">
    <w:name w:val="Body Text Indent 3"/>
    <w:basedOn w:val="1"/>
    <w:qFormat/>
    <w:uiPriority w:val="0"/>
    <w:pPr>
      <w:spacing w:after="120"/>
      <w:ind w:left="420" w:leftChars="200"/>
    </w:pPr>
    <w:rPr>
      <w:rFonts w:ascii="Times New Roman" w:hAnsi="Times New Roman"/>
      <w:sz w:val="16"/>
      <w:szCs w:val="16"/>
    </w:rPr>
  </w:style>
  <w:style w:type="paragraph" w:styleId="19">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1">
    <w:name w:val="Title"/>
    <w:basedOn w:val="1"/>
    <w:qFormat/>
    <w:uiPriority w:val="0"/>
    <w:pPr>
      <w:spacing w:before="120" w:after="60"/>
      <w:jc w:val="center"/>
    </w:pPr>
    <w:rPr>
      <w:rFonts w:ascii="Arial" w:hAnsi="Arial"/>
      <w:b/>
      <w:sz w:val="44"/>
      <w:szCs w:val="20"/>
    </w:rPr>
  </w:style>
  <w:style w:type="paragraph" w:styleId="22">
    <w:name w:val="annotation subject"/>
    <w:basedOn w:val="7"/>
    <w:next w:val="7"/>
    <w:link w:val="49"/>
    <w:qFormat/>
    <w:uiPriority w:val="0"/>
    <w:pPr>
      <w:spacing w:line="240" w:lineRule="auto"/>
      <w:ind w:firstLine="0" w:firstLineChars="0"/>
    </w:pPr>
    <w:rPr>
      <w:rFonts w:ascii="Calibri" w:hAnsi="Calibri"/>
      <w:b/>
      <w:bCs/>
      <w:sz w:val="21"/>
      <w:szCs w:val="22"/>
    </w:rPr>
  </w:style>
  <w:style w:type="paragraph" w:styleId="23">
    <w:name w:val="Body Text First Indent"/>
    <w:basedOn w:val="8"/>
    <w:autoRedefine/>
    <w:qFormat/>
    <w:uiPriority w:val="0"/>
    <w:pPr>
      <w:ind w:firstLine="420"/>
    </w:pPr>
    <w:rPr>
      <w:rFonts w:asciiTheme="minorHAnsi" w:hAnsiTheme="minorHAnsi" w:eastAsiaTheme="minorEastAsia" w:cstheme="minorBidi"/>
      <w:szCs w:val="22"/>
    </w:rPr>
  </w:style>
  <w:style w:type="paragraph" w:styleId="24">
    <w:name w:val="Body Text First Indent 2"/>
    <w:basedOn w:val="9"/>
    <w:qFormat/>
    <w:uiPriority w:val="0"/>
    <w:pPr>
      <w:spacing w:after="120"/>
      <w:ind w:left="200" w:leftChars="200" w:firstLine="200" w:firstLineChars="200"/>
    </w:pPr>
    <w:rPr>
      <w:rFonts w:ascii="Calibri" w:hAnsi="Calibri"/>
      <w:color w:val="0D0D0D"/>
      <w:sz w:val="21"/>
      <w:szCs w:val="24"/>
      <w:lang w:eastAsia="en-US"/>
    </w:rPr>
  </w:style>
  <w:style w:type="character" w:styleId="27">
    <w:name w:val="page number"/>
    <w:basedOn w:val="26"/>
    <w:qFormat/>
    <w:uiPriority w:val="0"/>
    <w:rPr>
      <w:rFonts w:cs="Times New Roman"/>
    </w:rPr>
  </w:style>
  <w:style w:type="character" w:styleId="28">
    <w:name w:val="Hyperlink"/>
    <w:qFormat/>
    <w:uiPriority w:val="99"/>
    <w:rPr>
      <w:color w:val="0000FF"/>
      <w:u w:val="single"/>
    </w:rPr>
  </w:style>
  <w:style w:type="character" w:styleId="29">
    <w:name w:val="annotation reference"/>
    <w:basedOn w:val="26"/>
    <w:qFormat/>
    <w:uiPriority w:val="0"/>
    <w:rPr>
      <w:sz w:val="21"/>
      <w:szCs w:val="21"/>
    </w:rPr>
  </w:style>
  <w:style w:type="character" w:customStyle="1" w:styleId="30">
    <w:name w:val="font11"/>
    <w:basedOn w:val="26"/>
    <w:qFormat/>
    <w:uiPriority w:val="0"/>
    <w:rPr>
      <w:rFonts w:hint="eastAsia" w:ascii="宋体" w:hAnsi="宋体" w:eastAsia="宋体"/>
      <w:color w:val="000000"/>
      <w:sz w:val="24"/>
      <w:szCs w:val="24"/>
      <w:u w:val="single"/>
    </w:rPr>
  </w:style>
  <w:style w:type="paragraph" w:customStyle="1" w:styleId="31">
    <w:name w:val="正文 New New"/>
    <w:qFormat/>
    <w:uiPriority w:val="0"/>
    <w:pPr>
      <w:widowControl w:val="0"/>
      <w:jc w:val="both"/>
    </w:pPr>
    <w:rPr>
      <w:rFonts w:ascii="Times New Roman" w:hAnsi="Times New Roman" w:eastAsia="楷体_GB2312" w:cs="Times New Roman"/>
      <w:lang w:val="en-US" w:eastAsia="zh-CN" w:bidi="ar-SA"/>
    </w:rPr>
  </w:style>
  <w:style w:type="character" w:customStyle="1" w:styleId="32">
    <w:name w:val="标题 2 字符"/>
    <w:basedOn w:val="26"/>
    <w:link w:val="3"/>
    <w:autoRedefine/>
    <w:qFormat/>
    <w:uiPriority w:val="0"/>
    <w:rPr>
      <w:rFonts w:ascii="宋体" w:hAnsi="宋体" w:cs="宋体"/>
      <w:b/>
      <w:kern w:val="0"/>
      <w:sz w:val="24"/>
      <w:szCs w:val="24"/>
    </w:rPr>
  </w:style>
  <w:style w:type="paragraph" w:customStyle="1" w:styleId="33">
    <w:name w:val="样式 宋体 四号 首行缩进:  2 字符"/>
    <w:basedOn w:val="1"/>
    <w:autoRedefine/>
    <w:qFormat/>
    <w:uiPriority w:val="0"/>
    <w:pPr>
      <w:widowControl/>
    </w:pPr>
    <w:rPr>
      <w:rFonts w:ascii="Times New Roman" w:hAnsi="Times New Roman" w:cs="宋体"/>
      <w:color w:val="000000"/>
      <w:kern w:val="0"/>
      <w:szCs w:val="20"/>
    </w:rPr>
  </w:style>
  <w:style w:type="paragraph" w:styleId="34">
    <w:name w:val="No Spacing"/>
    <w:basedOn w:val="1"/>
    <w:autoRedefine/>
    <w:qFormat/>
    <w:uiPriority w:val="0"/>
    <w:rPr>
      <w:rFonts w:asciiTheme="minorHAnsi" w:hAnsiTheme="minorHAnsi" w:eastAsiaTheme="minorEastAsia" w:cstheme="minorBidi"/>
      <w:sz w:val="22"/>
    </w:rPr>
  </w:style>
  <w:style w:type="paragraph" w:customStyle="1" w:styleId="35">
    <w:name w:val="正文 New New New New New New New New New New New New New New New New New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36">
    <w:name w:val="正文文本缩进 New New"/>
    <w:basedOn w:val="1"/>
    <w:autoRedefine/>
    <w:qFormat/>
    <w:uiPriority w:val="0"/>
    <w:pPr>
      <w:spacing w:after="120"/>
      <w:ind w:left="420" w:leftChars="200"/>
    </w:pPr>
    <w:rPr>
      <w:rFonts w:ascii="Times New Roman" w:eastAsia="楷体_GB2312"/>
      <w:szCs w:val="20"/>
    </w:rPr>
  </w:style>
  <w:style w:type="paragraph" w:customStyle="1" w:styleId="37">
    <w:name w:val="表头"/>
    <w:basedOn w:val="1"/>
    <w:qFormat/>
    <w:uiPriority w:val="0"/>
    <w:pPr>
      <w:spacing w:line="360" w:lineRule="auto"/>
      <w:jc w:val="center"/>
    </w:pPr>
    <w:rPr>
      <w:rFonts w:ascii="黑体" w:hAnsi="Times New Roman" w:eastAsia="黑体"/>
      <w:kern w:val="0"/>
      <w:sz w:val="24"/>
      <w:szCs w:val="20"/>
    </w:rPr>
  </w:style>
  <w:style w:type="paragraph" w:customStyle="1" w:styleId="38">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39">
    <w:name w:val="文一"/>
    <w:basedOn w:val="1"/>
    <w:qFormat/>
    <w:uiPriority w:val="0"/>
    <w:pPr>
      <w:topLinePunct/>
      <w:adjustRightInd w:val="0"/>
      <w:snapToGrid w:val="0"/>
      <w:spacing w:line="360" w:lineRule="auto"/>
      <w:ind w:firstLine="200" w:firstLineChars="200"/>
    </w:pPr>
    <w:rPr>
      <w:rFonts w:ascii="宋体" w:hAnsi="宋体" w:eastAsiaTheme="minorEastAsia" w:cstheme="minorBidi"/>
      <w:spacing w:val="4"/>
      <w:sz w:val="24"/>
      <w:szCs w:val="24"/>
    </w:rPr>
  </w:style>
  <w:style w:type="character" w:customStyle="1" w:styleId="40">
    <w:name w:val="标题 1 字符1"/>
    <w:basedOn w:val="26"/>
    <w:autoRedefine/>
    <w:qFormat/>
    <w:uiPriority w:val="0"/>
    <w:rPr>
      <w:rFonts w:ascii="宋体" w:hAnsi="宋体" w:eastAsia="宋体" w:cs="宋体"/>
      <w:b/>
      <w:kern w:val="44"/>
      <w:sz w:val="28"/>
      <w:szCs w:val="28"/>
    </w:rPr>
  </w:style>
  <w:style w:type="paragraph" w:customStyle="1" w:styleId="41">
    <w:name w:val="样式 宋体 行距: 1.5 倍行距"/>
    <w:basedOn w:val="1"/>
    <w:autoRedefine/>
    <w:qFormat/>
    <w:uiPriority w:val="99"/>
    <w:pPr>
      <w:spacing w:line="360" w:lineRule="auto"/>
    </w:pPr>
    <w:rPr>
      <w:bCs/>
      <w:sz w:val="24"/>
    </w:rPr>
  </w:style>
  <w:style w:type="character" w:customStyle="1" w:styleId="42">
    <w:name w:val="font21"/>
    <w:basedOn w:val="26"/>
    <w:qFormat/>
    <w:uiPriority w:val="0"/>
    <w:rPr>
      <w:rFonts w:hint="eastAsia" w:ascii="宋体" w:hAnsi="宋体" w:eastAsia="宋体" w:cs="宋体"/>
      <w:b/>
      <w:bCs/>
      <w:color w:val="000000"/>
      <w:sz w:val="36"/>
      <w:szCs w:val="36"/>
      <w:u w:val="none"/>
    </w:rPr>
  </w:style>
  <w:style w:type="character" w:customStyle="1" w:styleId="43">
    <w:name w:val="font41"/>
    <w:basedOn w:val="26"/>
    <w:qFormat/>
    <w:uiPriority w:val="0"/>
    <w:rPr>
      <w:rFonts w:hint="eastAsia" w:ascii="宋体" w:hAnsi="宋体" w:eastAsia="宋体" w:cs="宋体"/>
      <w:color w:val="000000"/>
      <w:sz w:val="36"/>
      <w:szCs w:val="36"/>
      <w:u w:val="none"/>
    </w:rPr>
  </w:style>
  <w:style w:type="character" w:customStyle="1" w:styleId="44">
    <w:name w:val="font51"/>
    <w:basedOn w:val="26"/>
    <w:qFormat/>
    <w:uiPriority w:val="0"/>
    <w:rPr>
      <w:rFonts w:hint="eastAsia" w:ascii="宋体" w:hAnsi="宋体" w:eastAsia="宋体" w:cs="宋体"/>
      <w:color w:val="FF0000"/>
      <w:sz w:val="36"/>
      <w:szCs w:val="36"/>
      <w:u w:val="none"/>
    </w:rPr>
  </w:style>
  <w:style w:type="character" w:customStyle="1" w:styleId="45">
    <w:name w:val="NormalCharacter"/>
    <w:qFormat/>
    <w:uiPriority w:val="0"/>
  </w:style>
  <w:style w:type="paragraph" w:customStyle="1" w:styleId="46">
    <w:name w:val="样式1-正文"/>
    <w:basedOn w:val="1"/>
    <w:qFormat/>
    <w:uiPriority w:val="0"/>
    <w:pPr>
      <w:autoSpaceDE w:val="0"/>
      <w:autoSpaceDN w:val="0"/>
      <w:adjustRightInd w:val="0"/>
      <w:spacing w:line="360" w:lineRule="auto"/>
      <w:ind w:firstLine="600" w:firstLineChars="200"/>
      <w:jc w:val="left"/>
    </w:pPr>
    <w:rPr>
      <w:rFonts w:eastAsia="仿宋_GB2312"/>
      <w:color w:val="000000"/>
      <w:kern w:val="0"/>
      <w:szCs w:val="32"/>
    </w:rPr>
  </w:style>
  <w:style w:type="paragraph" w:customStyle="1" w:styleId="47">
    <w:name w:val="修订1"/>
    <w:hidden/>
    <w:unhideWhenUsed/>
    <w:qFormat/>
    <w:uiPriority w:val="99"/>
    <w:rPr>
      <w:rFonts w:ascii="Calibri" w:hAnsi="Calibri" w:eastAsia="宋体" w:cs="Times New Roman"/>
      <w:kern w:val="2"/>
      <w:sz w:val="21"/>
      <w:szCs w:val="22"/>
      <w:lang w:val="en-US" w:eastAsia="zh-CN" w:bidi="ar-SA"/>
    </w:rPr>
  </w:style>
  <w:style w:type="character" w:customStyle="1" w:styleId="48">
    <w:name w:val="批注文字 字符"/>
    <w:basedOn w:val="26"/>
    <w:link w:val="7"/>
    <w:qFormat/>
    <w:uiPriority w:val="0"/>
    <w:rPr>
      <w:rFonts w:ascii="宋体" w:hAnsi="宋体"/>
      <w:kern w:val="2"/>
      <w:sz w:val="24"/>
      <w:szCs w:val="24"/>
    </w:rPr>
  </w:style>
  <w:style w:type="character" w:customStyle="1" w:styleId="49">
    <w:name w:val="批注主题 字符"/>
    <w:basedOn w:val="48"/>
    <w:link w:val="22"/>
    <w:qFormat/>
    <w:uiPriority w:val="0"/>
    <w:rPr>
      <w:rFonts w:ascii="Calibri" w:hAnsi="Calibri"/>
      <w:b/>
      <w:bCs/>
      <w:kern w:val="2"/>
      <w:sz w:val="21"/>
      <w:szCs w:val="22"/>
    </w:rPr>
  </w:style>
  <w:style w:type="paragraph" w:customStyle="1" w:styleId="50">
    <w:name w:val="修订2"/>
    <w:hidden/>
    <w:unhideWhenUsed/>
    <w:qFormat/>
    <w:uiPriority w:val="99"/>
    <w:rPr>
      <w:rFonts w:ascii="Calibri" w:hAnsi="Calibri" w:eastAsia="宋体" w:cs="Times New Roman"/>
      <w:kern w:val="2"/>
      <w:sz w:val="21"/>
      <w:szCs w:val="22"/>
      <w:lang w:val="en-US" w:eastAsia="zh-CN" w:bidi="ar-SA"/>
    </w:rPr>
  </w:style>
  <w:style w:type="paragraph" w:customStyle="1" w:styleId="51">
    <w:name w:val="修订3"/>
    <w:hidden/>
    <w:unhideWhenUsed/>
    <w:qFormat/>
    <w:uiPriority w:val="99"/>
    <w:rPr>
      <w:rFonts w:ascii="Calibri" w:hAnsi="Calibri" w:eastAsia="宋体" w:cs="Times New Roman"/>
      <w:kern w:val="2"/>
      <w:sz w:val="21"/>
      <w:szCs w:val="22"/>
      <w:lang w:val="en-US" w:eastAsia="zh-CN" w:bidi="ar-SA"/>
    </w:rPr>
  </w:style>
  <w:style w:type="paragraph" w:customStyle="1" w:styleId="52">
    <w:name w:val="Revision"/>
    <w:hidden/>
    <w:unhideWhenUsed/>
    <w:qFormat/>
    <w:uiPriority w:val="99"/>
    <w:rPr>
      <w:rFonts w:ascii="Calibri" w:hAnsi="Calibri" w:eastAsia="宋体" w:cs="Times New Roman"/>
      <w:kern w:val="2"/>
      <w:sz w:val="21"/>
      <w:szCs w:val="22"/>
      <w:lang w:val="en-US" w:eastAsia="zh-CN" w:bidi="ar-SA"/>
    </w:rPr>
  </w:style>
  <w:style w:type="paragraph" w:customStyle="1" w:styleId="53">
    <w:name w:val="_Style 3"/>
    <w:basedOn w:val="1"/>
    <w:next w:val="18"/>
    <w:autoRedefine/>
    <w:qFormat/>
    <w:uiPriority w:val="1"/>
    <w:pPr>
      <w:spacing w:line="360" w:lineRule="auto"/>
      <w:jc w:val="center"/>
    </w:pPr>
    <w:rPr>
      <w:szCs w:val="20"/>
    </w:rPr>
  </w:style>
  <w:style w:type="paragraph" w:customStyle="1" w:styleId="54">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正文缩进 New"/>
    <w:basedOn w:val="35"/>
    <w:qFormat/>
    <w:uiPriority w:val="0"/>
    <w:pPr>
      <w:ind w:firstLine="420"/>
    </w:pPr>
    <w:rPr>
      <w:rFonts w:ascii="Times New Roman" w:hAnsi="Times New Roman" w:cs="Times New Roman"/>
      <w:snapToGrid/>
      <w:kern w:val="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118</Pages>
  <Words>1948</Words>
  <Characters>2044</Characters>
  <Lines>540</Lines>
  <Paragraphs>152</Paragraphs>
  <TotalTime>0</TotalTime>
  <ScaleCrop>false</ScaleCrop>
  <LinksUpToDate>false</LinksUpToDate>
  <CharactersWithSpaces>2200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2025-04-08T09:00:00Z</dcterms:created>
  <dc:creator>佚名</dc:creator>
  <cp:lastModifiedBy>Y</cp:lastModifiedBy>
  <cp:lastPrinted>2025-04-08T03:06:00Z</cp:lastPrinted>
  <dcterms:modified xsi:type="dcterms:W3CDTF">2025-08-06T03:37:53Z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83845B140B5E4DFCB317395E6C2BF9EC_13</vt:lpwstr>
  </property>
  <property fmtid="{D5CDD505-2E9C-101B-9397-08002B2CF9AE}" pid="4" name="KSOTemplateDocerSaveRecord">
    <vt:lpwstr>eyJoZGlkIjoiYjE3N2VhZTA2OWIwNjliNTc2OGM5MzY4NWRlZDQ4NjAiLCJ1c2VySWQiOiIzNDA4NjUyMjAifQ==</vt:lpwstr>
  </property>
</Properties>
</file>