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z w:val="32"/>
          <w:szCs w:val="32"/>
          <w:highlight w:val="none"/>
        </w:rPr>
      </w:pPr>
    </w:p>
    <w:p>
      <w:pPr>
        <w:widowControl/>
        <w:jc w:val="left"/>
        <w:rPr>
          <w:rFonts w:hint="eastAsia"/>
          <w:color w:val="auto"/>
          <w:sz w:val="36"/>
          <w:highlight w:val="none"/>
          <w:u w:val="single"/>
          <w:lang w:eastAsia="zh-CN"/>
        </w:rPr>
      </w:pPr>
    </w:p>
    <w:p>
      <w:pPr>
        <w:widowControl/>
        <w:jc w:val="left"/>
        <w:rPr>
          <w:rFonts w:hint="eastAsia"/>
          <w:color w:val="auto"/>
          <w:sz w:val="36"/>
          <w:highlight w:val="none"/>
          <w:u w:val="single"/>
          <w:lang w:eastAsia="zh-CN"/>
        </w:rPr>
      </w:pPr>
    </w:p>
    <w:p>
      <w:pPr>
        <w:widowControl/>
        <w:jc w:val="center"/>
        <w:rPr>
          <w:rFonts w:hint="eastAsia"/>
          <w:b/>
          <w:bCs/>
          <w:color w:val="auto"/>
          <w:sz w:val="52"/>
          <w:szCs w:val="52"/>
          <w:highlight w:val="none"/>
          <w:u w:val="single"/>
          <w:lang w:eastAsia="zh-CN"/>
        </w:rPr>
      </w:pPr>
      <w:r>
        <w:rPr>
          <w:rFonts w:hint="eastAsia"/>
          <w:b/>
          <w:bCs/>
          <w:color w:val="auto"/>
          <w:sz w:val="52"/>
          <w:szCs w:val="52"/>
          <w:highlight w:val="none"/>
          <w:u w:val="single"/>
          <w:lang w:eastAsia="zh-CN"/>
        </w:rPr>
        <w:t>珠江·琶醍啤酒文化创意园区改造升级项目酒店商业综合体基坑支护和土方</w:t>
      </w:r>
    </w:p>
    <w:p>
      <w:pPr>
        <w:widowControl/>
        <w:jc w:val="center"/>
        <w:rPr>
          <w:rFonts w:ascii="宋体"/>
          <w:b/>
          <w:bCs/>
          <w:color w:val="auto"/>
          <w:spacing w:val="40"/>
          <w:sz w:val="52"/>
          <w:szCs w:val="52"/>
          <w:highlight w:val="none"/>
        </w:rPr>
      </w:pPr>
      <w:r>
        <w:rPr>
          <w:rFonts w:hint="eastAsia"/>
          <w:b/>
          <w:bCs/>
          <w:color w:val="auto"/>
          <w:sz w:val="52"/>
          <w:szCs w:val="52"/>
          <w:highlight w:val="none"/>
          <w:u w:val="single"/>
          <w:lang w:eastAsia="zh-CN"/>
        </w:rPr>
        <w:t>开挖工程施工</w:t>
      </w:r>
    </w:p>
    <w:p>
      <w:pPr>
        <w:spacing w:line="360" w:lineRule="auto"/>
        <w:jc w:val="both"/>
        <w:rPr>
          <w:rFonts w:hint="eastAsia" w:eastAsia="楷体_GB2312"/>
          <w:b/>
          <w:bCs/>
          <w:color w:val="auto"/>
          <w:spacing w:val="26"/>
          <w:sz w:val="110"/>
          <w:szCs w:val="110"/>
          <w:highlight w:val="none"/>
        </w:rPr>
      </w:pPr>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lang w:eastAsia="zh-CN"/>
        </w:rPr>
        <w:t>广州珠江啤酒股份有限公司</w:t>
      </w:r>
      <w:r>
        <w:rPr>
          <w:color w:val="auto"/>
          <w:sz w:val="30"/>
          <w:szCs w:val="30"/>
          <w:highlight w:val="none"/>
          <w:u w:val="single"/>
        </w:rPr>
        <w:t xml:space="preserve"> </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2"/>
          <w:szCs w:val="32"/>
          <w:highlight w:val="none"/>
          <w:u w:val="single"/>
          <w:lang w:eastAsia="zh-CN"/>
        </w:rPr>
        <w:t>广州市国际工程咨询有限公司</w:t>
      </w:r>
      <w:r>
        <w:rPr>
          <w:color w:val="auto"/>
          <w:sz w:val="30"/>
          <w:szCs w:val="30"/>
          <w:highlight w:val="none"/>
          <w:u w:val="single"/>
        </w:rPr>
        <w:t xml:space="preserve">  </w:t>
      </w:r>
    </w:p>
    <w:p>
      <w:pPr>
        <w:spacing w:line="360" w:lineRule="auto"/>
        <w:ind w:firstLine="945"/>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none"/>
        </w:rPr>
        <w:t>日       期：</w:t>
      </w:r>
      <w:r>
        <w:rPr>
          <w:rFonts w:hint="eastAsia" w:ascii="宋体" w:hAnsi="宋体" w:cs="宋体"/>
          <w:color w:val="auto"/>
          <w:sz w:val="32"/>
          <w:szCs w:val="32"/>
          <w:highlight w:val="none"/>
          <w:u w:val="single"/>
          <w:lang w:val="en-US" w:eastAsia="zh-CN"/>
        </w:rPr>
        <w:t>2025</w:t>
      </w:r>
      <w:r>
        <w:rPr>
          <w:rFonts w:hint="eastAsia" w:ascii="宋体" w:hAnsi="宋体" w:cs="宋体"/>
          <w:color w:val="auto"/>
          <w:sz w:val="32"/>
          <w:szCs w:val="32"/>
          <w:highlight w:val="none"/>
          <w:u w:val="single"/>
        </w:rPr>
        <w:t xml:space="preserve"> 年 </w:t>
      </w:r>
      <w:r>
        <w:rPr>
          <w:rFonts w:hint="eastAsia" w:ascii="宋体" w:hAnsi="宋体" w:cs="宋体"/>
          <w:color w:val="auto"/>
          <w:sz w:val="32"/>
          <w:szCs w:val="32"/>
          <w:highlight w:val="none"/>
          <w:u w:val="single"/>
          <w:lang w:val="en-US" w:eastAsia="zh-CN"/>
        </w:rPr>
        <w:t xml:space="preserve">8 </w:t>
      </w:r>
      <w:r>
        <w:rPr>
          <w:rFonts w:hint="eastAsia" w:ascii="宋体" w:hAnsi="宋体" w:cs="宋体"/>
          <w:color w:val="auto"/>
          <w:sz w:val="32"/>
          <w:szCs w:val="32"/>
          <w:highlight w:val="none"/>
          <w:u w:val="single"/>
        </w:rPr>
        <w:t>月</w:t>
      </w:r>
    </w:p>
    <w:p>
      <w:pPr>
        <w:rPr>
          <w:rStyle w:val="27"/>
          <w:b/>
          <w:bCs/>
          <w:color w:val="auto"/>
          <w:highlight w:val="none"/>
        </w:rPr>
      </w:pPr>
      <w:r>
        <w:rPr>
          <w:rStyle w:val="27"/>
          <w:b/>
          <w:bCs/>
          <w:color w:val="auto"/>
          <w:highlight w:val="none"/>
        </w:rPr>
        <w:br w:type="page"/>
      </w:r>
    </w:p>
    <w:p>
      <w:pPr>
        <w:jc w:val="center"/>
        <w:rPr>
          <w:rFonts w:hint="eastAsia" w:ascii="宋体" w:hAnsi="宋体"/>
          <w:b/>
          <w:caps/>
          <w:color w:val="auto"/>
          <w:kern w:val="0"/>
          <w:highlight w:val="none"/>
        </w:rPr>
      </w:pPr>
      <w:r>
        <w:rPr>
          <w:rStyle w:val="27"/>
          <w:rFonts w:hint="eastAsia"/>
          <w:b/>
          <w:bCs/>
          <w:color w:val="auto"/>
          <w:sz w:val="28"/>
          <w:szCs w:val="28"/>
          <w:highlight w:val="none"/>
          <w:u w:val="none"/>
        </w:rPr>
        <w:t>目  录</w:t>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27"/>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27"/>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9"/>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27"/>
          <w:color w:val="auto"/>
          <w:highlight w:val="none"/>
        </w:rPr>
        <w:t>二、投标须知修改表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0</w:t>
      </w:r>
    </w:p>
    <w:p>
      <w:pPr>
        <w:pStyle w:val="19"/>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27"/>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27"/>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27"/>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27"/>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27"/>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27"/>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27"/>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9"/>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27"/>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9"/>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27"/>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27"/>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27"/>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27"/>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27"/>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27"/>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18"/>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27"/>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3"/>
        <w:rPr>
          <w:color w:val="auto"/>
          <w:highlight w:val="none"/>
        </w:rPr>
      </w:pPr>
      <w:r>
        <w:rPr>
          <w:color w:val="auto"/>
          <w:highlight w:val="none"/>
        </w:rPr>
        <w:fldChar w:fldCharType="end"/>
      </w:r>
      <w:bookmarkStart w:id="0" w:name="_Toc2272545"/>
      <w:bookmarkStart w:id="1" w:name="_Toc21525489"/>
    </w:p>
    <w:p>
      <w:pPr>
        <w:rPr>
          <w:color w:val="auto"/>
          <w:highlight w:val="none"/>
        </w:rPr>
      </w:pPr>
      <w:r>
        <w:rPr>
          <w:color w:val="auto"/>
          <w:highlight w:val="none"/>
        </w:rPr>
        <w:br w:type="page"/>
      </w:r>
    </w:p>
    <w:p>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7"/>
        <w:rPr>
          <w:color w:val="auto"/>
          <w:highlight w:val="none"/>
        </w:rPr>
      </w:pPr>
      <w:bookmarkStart w:id="2" w:name="_Toc21525490"/>
      <w:bookmarkStart w:id="3" w:name="_Toc2272546"/>
      <w:r>
        <w:rPr>
          <w:rFonts w:hint="eastAsia"/>
          <w:color w:val="auto"/>
          <w:highlight w:val="none"/>
        </w:rPr>
        <w:t>一、投标须知前附表</w:t>
      </w:r>
      <w:bookmarkEnd w:id="2"/>
      <w:bookmarkEnd w:id="3"/>
    </w:p>
    <w:p>
      <w:pPr>
        <w:pStyle w:val="9"/>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5"/>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广州珠江啤酒股份有限公司</w:t>
            </w:r>
          </w:p>
          <w:p>
            <w:pPr>
              <w:rPr>
                <w:rFonts w:hint="eastAsia" w:ascii="宋体" w:hAnsi="宋体"/>
                <w:color w:val="auto"/>
                <w:szCs w:val="21"/>
                <w:highlight w:val="none"/>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广州市国际工程咨询有限公司</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设计单位：</w:t>
            </w:r>
            <w:r>
              <w:rPr>
                <w:rFonts w:hint="eastAsia" w:ascii="宋体" w:hAnsi="宋体"/>
                <w:color w:val="auto"/>
                <w:szCs w:val="21"/>
                <w:highlight w:val="none"/>
                <w:u w:val="single"/>
                <w:lang w:val="en-US" w:eastAsia="zh-CN"/>
              </w:rPr>
              <w:t xml:space="preserve">广州市设计院集团有限公司  </w:t>
            </w:r>
          </w:p>
          <w:p>
            <w:pPr>
              <w:rPr>
                <w:rFonts w:hint="eastAsia"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p>
          <w:p>
            <w:pPr>
              <w:rPr>
                <w:color w:val="auto"/>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olor w:val="auto"/>
                <w:szCs w:val="21"/>
                <w:highlight w:val="none"/>
                <w:u w:val="single"/>
                <w:lang w:eastAsia="zh-CN"/>
              </w:rPr>
              <w:t>珠江·琶醍啤酒文化创意园区改造升级项目酒店商业综合体基坑支护和土方开挖工程施工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olor w:val="auto"/>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olor w:val="auto"/>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u w:val="single"/>
              </w:rPr>
              <w:t>承包人按施工图纸、合同条件和规范及标准要求，对承包范围内的工程采取包工、包料、</w:t>
            </w:r>
            <w:bookmarkStart w:id="62" w:name="_GoBack"/>
            <w:bookmarkEnd w:id="62"/>
            <w:r>
              <w:rPr>
                <w:rFonts w:hint="eastAsia" w:ascii="宋体" w:hAnsi="宋体" w:cs="宋体"/>
                <w:color w:val="auto"/>
                <w:szCs w:val="21"/>
                <w:highlight w:val="none"/>
                <w:u w:val="single"/>
              </w:rPr>
              <w:t>包工期、包质量、包安全生产、包文明施工、包验收、包保修，以工程量清单项目固定单价合同。</w:t>
            </w:r>
            <w:r>
              <w:rPr>
                <w:rFonts w:hint="eastAsia" w:ascii="宋体" w:hAnsi="宋体" w:cs="宋体"/>
                <w:b/>
                <w:bCs/>
                <w:color w:val="auto"/>
                <w:szCs w:val="21"/>
                <w:highlight w:val="none"/>
                <w:u w:val="single"/>
              </w:rPr>
              <w:t>具体要求按施工合同。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工程质量符合《工程施工质量验收规范》合格标准及国家、行业及地方相关施工验收规范合格标准，一次性验收合格。</w:t>
            </w:r>
          </w:p>
          <w:p>
            <w:pPr>
              <w:rPr>
                <w:rFonts w:hint="eastAsia" w:ascii="宋体" w:hAnsi="宋体" w:cs="宋体"/>
                <w:color w:val="auto"/>
                <w:highlight w:val="none"/>
              </w:rPr>
            </w:pPr>
            <w:r>
              <w:rPr>
                <w:rFonts w:hint="eastAsia" w:ascii="宋体" w:hAnsi="宋体" w:cs="宋体"/>
                <w:b/>
                <w:bCs/>
                <w:color w:val="auto"/>
                <w:szCs w:val="21"/>
                <w:highlight w:val="none"/>
                <w:u w:val="single"/>
              </w:rPr>
              <w:t>其他质量要求详见施工合同。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s="宋体"/>
                <w:color w:val="auto"/>
                <w:szCs w:val="21"/>
                <w:highlight w:val="none"/>
                <w:u w:val="single"/>
                <w:shd w:val="clear" w:color="auto" w:fill="FFFFFF"/>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color w:val="auto"/>
                <w:highlight w:val="none"/>
              </w:rPr>
              <w:t>计划开工日期：</w:t>
            </w:r>
            <w:r>
              <w:rPr>
                <w:rFonts w:hint="eastAsia"/>
                <w:color w:val="auto"/>
                <w:highlight w:val="none"/>
                <w:u w:val="single"/>
              </w:rPr>
              <w:t>202</w:t>
            </w:r>
            <w:r>
              <w:rPr>
                <w:rFonts w:hint="eastAsia"/>
                <w:color w:val="auto"/>
                <w:highlight w:val="none"/>
                <w:u w:val="single"/>
                <w:lang w:val="en-US" w:eastAsia="zh-CN"/>
              </w:rPr>
              <w:t>5年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w:t>
            </w:r>
            <w:r>
              <w:rPr>
                <w:rFonts w:hint="eastAsia"/>
                <w:color w:val="auto"/>
                <w:highlight w:val="none"/>
              </w:rPr>
              <w:t>，计划竣工</w:t>
            </w:r>
            <w:r>
              <w:rPr>
                <w:rFonts w:hint="eastAsia"/>
                <w:color w:val="auto"/>
                <w:highlight w:val="none"/>
                <w:u w:val="single"/>
              </w:rPr>
              <w:t>验收</w:t>
            </w:r>
            <w:r>
              <w:rPr>
                <w:rFonts w:hint="eastAsia"/>
                <w:color w:val="auto"/>
                <w:highlight w:val="none"/>
              </w:rPr>
              <w:t>日期：</w:t>
            </w:r>
            <w:r>
              <w:rPr>
                <w:rFonts w:hint="eastAsia"/>
                <w:color w:val="auto"/>
                <w:highlight w:val="none"/>
                <w:u w:val="single"/>
              </w:rPr>
              <w:t>202</w:t>
            </w:r>
            <w:r>
              <w:rPr>
                <w:rFonts w:hint="eastAsia"/>
                <w:color w:val="auto"/>
                <w:highlight w:val="none"/>
                <w:u w:val="single"/>
                <w:lang w:val="en-US" w:eastAsia="zh-CN"/>
              </w:rPr>
              <w:t>7</w:t>
            </w:r>
            <w:r>
              <w:rPr>
                <w:rFonts w:hint="eastAsia"/>
                <w:color w:val="auto"/>
                <w:highlight w:val="none"/>
                <w:u w:val="single"/>
                <w:lang w:val="en-US" w:eastAsia="zh-CN"/>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5</w:t>
            </w:r>
            <w:r>
              <w:rPr>
                <w:rFonts w:hint="eastAsia"/>
                <w:color w:val="auto"/>
                <w:highlight w:val="none"/>
                <w:u w:val="single"/>
              </w:rPr>
              <w:t>日</w:t>
            </w:r>
            <w:r>
              <w:rPr>
                <w:rFonts w:hint="eastAsia"/>
                <w:color w:val="auto"/>
                <w:highlight w:val="none"/>
              </w:rPr>
              <w:t>。施工总工期：</w:t>
            </w:r>
            <w:r>
              <w:rPr>
                <w:rFonts w:hint="eastAsia"/>
                <w:color w:val="auto"/>
                <w:highlight w:val="none"/>
                <w:lang w:val="en-US" w:eastAsia="zh-CN"/>
              </w:rPr>
              <w:t>448</w:t>
            </w:r>
            <w:r>
              <w:rPr>
                <w:rFonts w:hint="eastAsia"/>
                <w:color w:val="auto"/>
                <w:highlight w:val="none"/>
                <w:u w:val="single"/>
              </w:rPr>
              <w:t>日历天</w:t>
            </w:r>
            <w:r>
              <w:rPr>
                <w:rFonts w:hint="eastAsia"/>
                <w:color w:val="auto"/>
                <w:highlight w:val="none"/>
              </w:rPr>
              <w:t>。具体以招标人发出的开工令为准。</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u w:val="single"/>
                <w:lang w:eastAsia="zh-CN"/>
              </w:rPr>
            </w:pPr>
            <w:r>
              <w:rPr>
                <w:rFonts w:hint="eastAsia" w:ascii="宋体" w:hAnsi="宋体" w:cs="宋体"/>
                <w:color w:val="auto"/>
                <w:szCs w:val="21"/>
                <w:highlight w:val="none"/>
                <w:u w:val="single"/>
                <w:shd w:val="clear" w:color="auto" w:fill="FFFFFF"/>
              </w:rPr>
              <w:t>国有企业自筹资金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120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en-US" w:eastAsia="zh-CN"/>
              </w:rPr>
              <w:t>伍</w:t>
            </w:r>
            <w:r>
              <w:rPr>
                <w:rFonts w:hint="eastAsia" w:ascii="宋体" w:hAnsi="宋体" w:eastAsia="宋体" w:cs="宋体"/>
                <w:color w:val="auto"/>
                <w:szCs w:val="21"/>
                <w:highlight w:val="none"/>
              </w:rPr>
              <w:t>拾万元整），缴纳时间在递交投标文件截止时间之前。</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投标保证金有效期：与投标有效期一致。</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投标保证金可采用现金、支票、汇票、信用证、保函、保险等能够实现保证目的的方式，须在递交投标文件截止时间前完成缴纳。</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如采用现金或者支票形式提交的，投标保证金从投标人基本账户递交，由广州交易集团有限公司代收。具体操作要求详见广州公共资源交易中心有关指引，递交事宜请自行咨询交易中心；请各投标人在投标文件递交截止时间前按上述金额递交至广州交易集团有限公司，到账情况以开标时广州公共资源交易中心数据库查询的信息为准。</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保证金如采用投标保函或投标保证保险或汇票或信用证或银行保函或专业担保公司担保等保证担保的形式提交的，该证明文件原件在开标前不强制要求提交（如果在开标前递交原件，在递交投标文件备用光盘的同时单独密封递交至开标室），由中标候选人在中标候选人公示前提交并在网上公示，其扫描件需附在投标文件中并加盖投标人电子印章。格式可自定，该证明文件应包含载明的内容：本招标项目的名称、投标保证金金额、投标保证金有效期，抬头为“广州珠江啤酒股份有限公司”。</w:t>
            </w:r>
          </w:p>
          <w:p>
            <w:pPr>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3、如采用电子保函方式提交投标保证金，详见广州公共资源交易中心操作指引。</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2.鼓励招标人对简单小额项目不要求提供投标担保，对中小企业投标人免除投标担保。</w:t>
            </w:r>
          </w:p>
          <w:p>
            <w:pPr>
              <w:rPr>
                <w:color w:val="auto"/>
                <w:highlight w:val="none"/>
              </w:rPr>
            </w:pPr>
            <w:r>
              <w:rPr>
                <w:rFonts w:hint="eastAsia" w:ascii="宋体" w:hAnsi="宋体" w:eastAsia="宋体" w:cs="宋体"/>
                <w:color w:val="auto"/>
                <w:szCs w:val="21"/>
                <w:highlight w:val="none"/>
              </w:rPr>
              <w:t xml:space="preserve">   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s="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kern w:val="2"/>
                <w:sz w:val="21"/>
                <w:szCs w:val="21"/>
                <w:highlight w:val="none"/>
                <w:shd w:val="clear" w:color="auto" w:fill="FFFFFF"/>
                <w:lang w:val="en-US" w:eastAsia="zh-CN"/>
              </w:rPr>
              <w:t>招标人不集中组织，由投标人自行踏勘。</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疑问提交时间：</w:t>
            </w:r>
            <w:r>
              <w:rPr>
                <w:rFonts w:hint="eastAsia" w:ascii="宋体" w:hAnsi="宋体" w:cs="宋体"/>
                <w:color w:val="auto"/>
                <w:szCs w:val="21"/>
                <w:highlight w:val="none"/>
                <w:u w:val="single"/>
                <w:lang w:bidi="ar"/>
              </w:rPr>
              <w:t>在递交投标文件截止日期前18日</w:t>
            </w:r>
            <w:r>
              <w:rPr>
                <w:rFonts w:hint="eastAsia" w:ascii="宋体" w:hAnsi="宋体"/>
                <w:color w:val="auto"/>
                <w:szCs w:val="21"/>
                <w:highlight w:val="none"/>
              </w:rPr>
              <w:t>前；</w:t>
            </w:r>
          </w:p>
          <w:p>
            <w:pPr>
              <w:rPr>
                <w:rFonts w:hint="eastAsia"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 w:val="21"/>
                <w:szCs w:val="21"/>
                <w:highlight w:val="none"/>
              </w:rPr>
              <w:t>交易平台</w:t>
            </w:r>
            <w:r>
              <w:rPr>
                <w:rFonts w:hint="eastAsia" w:ascii="宋体" w:hAnsi="宋体"/>
                <w:color w:val="auto"/>
                <w:szCs w:val="21"/>
                <w:highlight w:val="none"/>
              </w:rPr>
              <w:t>提交。</w:t>
            </w:r>
          </w:p>
          <w:p>
            <w:pPr>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 xml:space="preserve">广州交易集团有限公司（广州公共资源交易中心）网站http://www.gzggzy.cn）最新发布的指引。 </w:t>
            </w:r>
            <w:r>
              <w:rPr>
                <w:rFonts w:hint="eastAsia" w:ascii="宋体" w:hAnsi="宋体"/>
                <w:color w:val="auto"/>
                <w:szCs w:val="21"/>
                <w:highlight w:val="none"/>
              </w:rPr>
              <w:t xml:space="preserve">   </w:t>
            </w:r>
          </w:p>
          <w:p>
            <w:pPr>
              <w:rPr>
                <w:rFonts w:hint="eastAsia" w:ascii="宋体" w:hAnsi="宋体"/>
                <w:color w:val="auto"/>
                <w:szCs w:val="21"/>
                <w:highlight w:val="none"/>
              </w:rPr>
            </w:pP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p>
            <w:pPr>
              <w:rPr>
                <w:rFonts w:hint="eastAsia" w:ascii="宋体" w:hAnsi="宋体"/>
                <w:strike/>
                <w:color w:val="auto"/>
                <w:szCs w:val="21"/>
                <w:highlight w:val="none"/>
              </w:rPr>
            </w:pPr>
            <w:r>
              <w:rPr>
                <w:rFonts w:hint="eastAsia" w:ascii="宋体" w:eastAsia="宋体" w:cs="宋体"/>
                <w:b/>
                <w:bCs/>
                <w:color w:val="auto"/>
                <w:szCs w:val="21"/>
                <w:highlight w:val="none"/>
                <w:u w:val="single"/>
              </w:rPr>
              <w:t>具体时间以广州交易集团有限公司（广州公共资源交易中心）网站项目查询的为准。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rPr>
                <w:rFonts w:hint="eastAsia"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广州交易集团有限公司（广州公共资源交易中心）第  开标室（广州市天河区天润路333号）</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广州交易集团有限公司（广州公共资源交易中心）网站（http://www.gzggzy.cn/）服务指南栏目</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rPr>
                <w:rFonts w:hint="eastAsia"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广州交易集团有限公司（广州公共资源交易中心）第  开标室（广州市天河区天润路333号）</w:t>
            </w:r>
            <w:r>
              <w:rPr>
                <w:rFonts w:hint="eastAsia" w:ascii="宋体" w:hAnsi="宋体" w:cs="宋体"/>
                <w:color w:val="auto"/>
                <w:highlight w:val="none"/>
              </w:rPr>
              <w:t>。</w:t>
            </w:r>
            <w:r>
              <w:rPr>
                <w:rFonts w:hint="eastAsia" w:ascii="宋体" w:hAnsi="宋体" w:cs="宋体"/>
                <w:color w:val="auto"/>
                <w:highlight w:val="none"/>
                <w:u w:val="single"/>
              </w:rPr>
              <w:t>注：投标人递交</w:t>
            </w:r>
            <w:r>
              <w:rPr>
                <w:rFonts w:hint="eastAsia" w:ascii="宋体" w:hAnsi="宋体" w:cs="宋体"/>
                <w:color w:val="auto"/>
                <w:szCs w:val="21"/>
                <w:highlight w:val="none"/>
                <w:u w:val="single"/>
              </w:rPr>
              <w:t>投标文件备用光盘时应附上法定代表人证明书及法定代表人授权委托书（授权代表递交时出具)，并出示本人身份证原件。</w:t>
            </w:r>
            <w:r>
              <w:rPr>
                <w:rFonts w:hint="eastAsia" w:ascii="宋体" w:hAnsi="宋体" w:cs="宋体"/>
                <w:color w:val="auto"/>
                <w:highlight w:val="none"/>
              </w:rPr>
              <w:t>（建议安排在投标文件截止时间前15分钟至投标文件截止</w:t>
            </w:r>
            <w:r>
              <w:rPr>
                <w:rFonts w:hint="eastAsia" w:ascii="宋体" w:hAnsi="宋体" w:cs="宋体"/>
                <w:color w:val="auto"/>
                <w:szCs w:val="21"/>
                <w:highlight w:val="none"/>
              </w:rPr>
              <w:t>时间）</w:t>
            </w:r>
          </w:p>
          <w:p>
            <w:pPr>
              <w:pStyle w:val="14"/>
              <w:rPr>
                <w:rFonts w:hint="eastAsia" w:hAnsi="宋体" w:cs="宋体"/>
                <w:b/>
                <w:bCs/>
                <w:color w:val="auto"/>
                <w:highlight w:val="none"/>
              </w:rPr>
            </w:pPr>
            <w:r>
              <w:rPr>
                <w:rFonts w:hint="eastAsia" w:hAnsi="宋体" w:cs="宋体"/>
                <w:b/>
                <w:bCs/>
                <w:color w:val="auto"/>
                <w:highlight w:val="none"/>
              </w:rPr>
              <w:t>3、投标人应在投标文件递交截止时间前通过广州交易集团有限公司（广州公共资源交易中心）电子招标投标交易平台递交电子投标文件。</w:t>
            </w:r>
          </w:p>
          <w:p>
            <w:pPr>
              <w:rPr>
                <w:rFonts w:hint="eastAsia" w:ascii="宋体" w:hAnsi="宋体" w:cs="宋体"/>
                <w:color w:val="auto"/>
                <w:highlight w:val="none"/>
              </w:rPr>
            </w:pPr>
            <w:r>
              <w:rPr>
                <w:rFonts w:hint="eastAsia" w:ascii="宋体" w:hAnsi="宋体" w:cs="宋体"/>
                <w:color w:val="auto"/>
                <w:szCs w:val="21"/>
                <w:highlight w:val="none"/>
              </w:rPr>
              <w:t>上述时间</w:t>
            </w:r>
            <w:r>
              <w:rPr>
                <w:rFonts w:hint="eastAsia" w:ascii="宋体" w:hAnsi="宋体" w:cs="宋体"/>
                <w:color w:val="auto"/>
                <w:highlight w:val="none"/>
              </w:rPr>
              <w:t>及地点是否有改变，请密切留意补充公告和招标答疑纪要的相关信息。</w:t>
            </w:r>
          </w:p>
          <w:p>
            <w:pPr>
              <w:widowControl/>
              <w:jc w:val="left"/>
              <w:rPr>
                <w:rFonts w:hint="eastAsia" w:ascii="宋体" w:hAnsi="宋体"/>
                <w:color w:val="auto"/>
                <w:szCs w:val="21"/>
                <w:highlight w:val="none"/>
              </w:rPr>
            </w:pPr>
            <w:r>
              <w:rPr>
                <w:rFonts w:hint="eastAsia" w:hAnsi="宋体" w:cs="宋体"/>
                <w:b/>
                <w:bCs/>
                <w:color w:val="auto"/>
                <w:szCs w:val="21"/>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七 </w:t>
            </w:r>
            <w:r>
              <w:rPr>
                <w:rFonts w:hint="eastAsia" w:ascii="宋体" w:hAnsi="宋体"/>
                <w:color w:val="auto"/>
                <w:szCs w:val="21"/>
                <w:highlight w:val="none"/>
              </w:rPr>
              <w:t>；（适合综合评分法四，技术标与经济标同时开启）；</w:t>
            </w:r>
            <w:r>
              <w:rPr>
                <w:rFonts w:hint="eastAsia" w:ascii="宋体" w:hAnsi="宋体"/>
                <w:b/>
                <w:bCs/>
                <w:color w:val="auto"/>
                <w:szCs w:val="21"/>
                <w:highlight w:val="none"/>
              </w:rPr>
              <w:t>投标人总得分（1</w:t>
            </w:r>
            <w:r>
              <w:rPr>
                <w:rFonts w:ascii="宋体" w:hAnsi="宋体"/>
                <w:b/>
                <w:bCs/>
                <w:color w:val="auto"/>
                <w:szCs w:val="21"/>
                <w:highlight w:val="none"/>
              </w:rPr>
              <w:t>00</w:t>
            </w:r>
            <w:r>
              <w:rPr>
                <w:rFonts w:hint="eastAsia" w:ascii="宋体" w:hAnsi="宋体"/>
                <w:b/>
                <w:bCs/>
                <w:color w:val="auto"/>
                <w:szCs w:val="21"/>
                <w:highlight w:val="none"/>
              </w:rPr>
              <w:t>分）=技术得分（1</w:t>
            </w:r>
            <w:r>
              <w:rPr>
                <w:rFonts w:ascii="宋体" w:hAnsi="宋体"/>
                <w:b/>
                <w:bCs/>
                <w:color w:val="auto"/>
                <w:szCs w:val="21"/>
                <w:highlight w:val="none"/>
              </w:rPr>
              <w:t>00</w:t>
            </w:r>
            <w:r>
              <w:rPr>
                <w:rFonts w:hint="eastAsia" w:ascii="宋体" w:hAnsi="宋体"/>
                <w:b/>
                <w:bCs/>
                <w:color w:val="auto"/>
                <w:szCs w:val="21"/>
                <w:highlight w:val="none"/>
              </w:rPr>
              <w:t>分）×技术得分权重（40%）＋经济得分（1</w:t>
            </w:r>
            <w:r>
              <w:rPr>
                <w:rFonts w:ascii="宋体" w:hAnsi="宋体"/>
                <w:b/>
                <w:bCs/>
                <w:color w:val="auto"/>
                <w:szCs w:val="21"/>
                <w:highlight w:val="none"/>
              </w:rPr>
              <w:t>00</w:t>
            </w:r>
            <w:r>
              <w:rPr>
                <w:rFonts w:hint="eastAsia" w:ascii="宋体" w:hAnsi="宋体"/>
                <w:b/>
                <w:bCs/>
                <w:color w:val="auto"/>
                <w:szCs w:val="21"/>
                <w:highlight w:val="none"/>
              </w:rPr>
              <w:t>分）×经济得分权重（60%）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spacing w:after="0"/>
              <w:rPr>
                <w:rFonts w:hint="eastAsia" w:ascii="宋体" w:hAnsi="宋体"/>
                <w:color w:val="auto"/>
                <w:highlight w:val="none"/>
              </w:rPr>
            </w:pPr>
            <w:r>
              <w:rPr>
                <w:rFonts w:hint="eastAsia" w:ascii="宋体" w:hAnsi="宋体"/>
                <w:color w:val="auto"/>
                <w:highlight w:val="none"/>
              </w:rPr>
              <w:t>方式一：中标人提供的履约保证金为中标价款的</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s="宋体"/>
                <w:color w:val="auto"/>
                <w:kern w:val="2"/>
                <w:sz w:val="21"/>
                <w:szCs w:val="22"/>
                <w:highlight w:val="none"/>
                <w:lang w:val="en-US" w:eastAsia="zh-CN"/>
              </w:rPr>
              <w:t>履约保证金的形式：转账或银行保函或保证保险或担保保函。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shd w:val="clear" w:color="auto" w:fill="FFFFFF"/>
              </w:rPr>
              <w:t>本项目最高投标限价为人民币</w:t>
            </w:r>
            <w:r>
              <w:rPr>
                <w:rFonts w:hint="eastAsia" w:ascii="宋体" w:hAnsi="宋体" w:cs="宋体"/>
                <w:color w:val="auto"/>
                <w:szCs w:val="21"/>
                <w:highlight w:val="none"/>
                <w:u w:val="single"/>
                <w:shd w:val="clear" w:color="auto" w:fill="FFFFFF"/>
              </w:rPr>
              <w:t>85411470.35</w:t>
            </w:r>
            <w:r>
              <w:rPr>
                <w:rFonts w:hint="eastAsia" w:ascii="宋体" w:hAnsi="宋体" w:eastAsia="宋体" w:cs="宋体"/>
                <w:b w:val="0"/>
                <w:color w:val="auto"/>
                <w:szCs w:val="21"/>
                <w:highlight w:val="none"/>
                <w:u w:val="none"/>
                <w:shd w:val="clear" w:color="auto" w:fill="FFFFFF"/>
                <w:lang w:val="en-US" w:eastAsia="zh-CN"/>
              </w:rPr>
              <w:t>元</w:t>
            </w:r>
            <w:r>
              <w:rPr>
                <w:rFonts w:hint="eastAsia" w:ascii="宋体" w:hAnsi="宋体" w:eastAsia="宋体" w:cs="宋体"/>
                <w:color w:val="auto"/>
                <w:szCs w:val="21"/>
                <w:highlight w:val="none"/>
                <w:shd w:val="clear" w:color="auto" w:fill="FFFFFF"/>
              </w:rPr>
              <w:t>（含</w:t>
            </w:r>
            <w:r>
              <w:rPr>
                <w:rFonts w:hint="eastAsia" w:ascii="宋体" w:hAnsi="宋体" w:cs="宋体"/>
                <w:color w:val="auto"/>
                <w:szCs w:val="21"/>
                <w:highlight w:val="none"/>
                <w:shd w:val="clear" w:color="auto" w:fill="FFFFFF"/>
              </w:rPr>
              <w:t>税）。</w:t>
            </w:r>
            <w:r>
              <w:rPr>
                <w:rFonts w:hint="eastAsia" w:ascii="宋体" w:hAnsi="宋体" w:cs="宋体"/>
                <w:color w:val="auto"/>
                <w:szCs w:val="21"/>
                <w:highlight w:val="none"/>
                <w:u w:val="single"/>
                <w:shd w:val="clear" w:color="auto" w:fill="FFFFFF"/>
              </w:rPr>
              <w:t>投标总价超过最高投标限价的，投标文件将被拒绝。</w:t>
            </w:r>
            <w:r>
              <w:rPr>
                <w:rFonts w:hint="eastAsia" w:ascii="宋体" w:hAnsi="宋体" w:cs="宋体"/>
                <w:color w:val="auto"/>
                <w:szCs w:val="21"/>
                <w:highlight w:val="none"/>
                <w:u w:val="single"/>
                <w:shd w:val="clear" w:color="auto" w:fill="FFFFFF"/>
                <w:lang w:val="en-US" w:eastAsia="zh-CN"/>
              </w:rPr>
              <w:t>投标人</w:t>
            </w:r>
            <w:r>
              <w:rPr>
                <w:rFonts w:hint="eastAsia" w:ascii="宋体" w:hAnsi="宋体" w:cs="宋体"/>
                <w:color w:val="auto"/>
                <w:szCs w:val="21"/>
                <w:highlight w:val="none"/>
                <w:u w:val="single"/>
                <w:shd w:val="clear" w:color="auto" w:fill="FFFFFF"/>
              </w:rPr>
              <w:t>若投标报价中某一清单综合单价（仅包括分部分项工程清单综合单价）高于招标控制价同一清单综合单价的15%，视为不平衡报价，在合同签订前及合同执行期间，</w:t>
            </w:r>
            <w:r>
              <w:rPr>
                <w:rFonts w:hint="eastAsia" w:ascii="宋体" w:hAnsi="宋体" w:cs="宋体"/>
                <w:color w:val="auto"/>
                <w:szCs w:val="21"/>
                <w:highlight w:val="none"/>
                <w:u w:val="single"/>
                <w:shd w:val="clear" w:color="auto" w:fill="FFFFFF"/>
                <w:lang w:val="en-US" w:eastAsia="zh-CN"/>
              </w:rPr>
              <w:t>招标人</w:t>
            </w:r>
            <w:r>
              <w:rPr>
                <w:rFonts w:hint="eastAsia" w:ascii="宋体" w:hAnsi="宋体" w:cs="宋体"/>
                <w:color w:val="auto"/>
                <w:szCs w:val="21"/>
                <w:highlight w:val="none"/>
                <w:u w:val="single"/>
                <w:shd w:val="clear" w:color="auto" w:fill="FFFFFF"/>
              </w:rPr>
              <w:t>有权将中标报价中上述的综合单价调整为按该清单项目的招标控制价综合单价的115%计算。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color w:val="auto"/>
                <w:szCs w:val="21"/>
                <w:highlight w:val="none"/>
              </w:rPr>
            </w:pPr>
            <w:r>
              <w:rPr>
                <w:rFonts w:hint="eastAsia" w:ascii="宋体" w:hAnsi="宋体"/>
                <w:color w:val="auto"/>
                <w:szCs w:val="21"/>
                <w:highlight w:val="none"/>
              </w:rPr>
              <w:t>本项目绿色施工安全防护措施费总金额为</w:t>
            </w:r>
            <w:r>
              <w:rPr>
                <w:rFonts w:hint="eastAsia" w:ascii="宋体" w:hAnsi="宋体"/>
                <w:color w:val="auto"/>
                <w:szCs w:val="21"/>
                <w:highlight w:val="none"/>
                <w:u w:val="single"/>
              </w:rPr>
              <w:t>6445574.96</w:t>
            </w:r>
            <w:r>
              <w:rPr>
                <w:rFonts w:hint="eastAsia" w:ascii="宋体" w:hAnsi="宋体"/>
                <w:color w:val="auto"/>
                <w:szCs w:val="21"/>
                <w:highlight w:val="none"/>
              </w:rPr>
              <w:t>元，暂列金额为</w:t>
            </w:r>
            <w:r>
              <w:rPr>
                <w:rFonts w:hint="eastAsia" w:ascii="宋体" w:hAnsi="宋体"/>
                <w:color w:val="auto"/>
                <w:szCs w:val="21"/>
                <w:highlight w:val="none"/>
                <w:u w:val="single"/>
              </w:rPr>
              <w:t>8859486.08</w:t>
            </w:r>
            <w:r>
              <w:rPr>
                <w:rFonts w:hint="eastAsia" w:ascii="宋体" w:hAnsi="宋体"/>
                <w:color w:val="auto"/>
                <w:szCs w:val="21"/>
                <w:highlight w:val="none"/>
              </w:rPr>
              <w:t>元，专业工程暂估价为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元。具体内容以《最高投标限价公布函》为准。具体内容以《最高投标限价公布函》为准。</w:t>
            </w:r>
          </w:p>
          <w:p>
            <w:pPr>
              <w:jc w:val="left"/>
              <w:rPr>
                <w:rFonts w:hint="eastAsia" w:ascii="宋体" w:hAnsi="宋体"/>
                <w:color w:val="auto"/>
                <w:szCs w:val="21"/>
                <w:highlight w:val="none"/>
              </w:rPr>
            </w:pPr>
            <w:r>
              <w:rPr>
                <w:rFonts w:hint="eastAsia" w:ascii="宋体" w:hAnsi="宋体"/>
                <w:color w:val="auto"/>
                <w:szCs w:val="21"/>
                <w:highlight w:val="none"/>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在开标前从[0,100]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0"/>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rPr>
              <w:t>78578552.72</w:t>
            </w:r>
            <w:r>
              <w:rPr>
                <w:rFonts w:hint="eastAsia" w:ascii="宋体" w:hAnsi="宋体"/>
                <w:color w:val="auto"/>
                <w:szCs w:val="21"/>
                <w:highlight w:val="none"/>
                <w:u w:val="single"/>
              </w:rPr>
              <w:t>元（最高投标限价的</w:t>
            </w:r>
            <w:r>
              <w:rPr>
                <w:rFonts w:hint="eastAsia" w:ascii="宋体" w:hAnsi="宋体"/>
                <w:color w:val="auto"/>
                <w:szCs w:val="21"/>
                <w:highlight w:val="none"/>
                <w:u w:val="single"/>
                <w:lang w:val="en-US" w:eastAsia="zh-CN"/>
              </w:rPr>
              <w:t>92</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,含税</w:t>
            </w:r>
            <w:r>
              <w:rPr>
                <w:rFonts w:hint="eastAsia" w:ascii="宋体" w:hAnsi="宋体"/>
                <w:color w:val="auto"/>
                <w:szCs w:val="21"/>
                <w:highlight w:val="none"/>
                <w:u w:val="singl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0"/>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r>
              <w:rPr>
                <w:rFonts w:hint="eastAsia" w:ascii="宋体" w:hAnsi="宋体"/>
                <w:color w:val="auto"/>
                <w:szCs w:val="21"/>
                <w:highlight w:val="none"/>
                <w:lang w:eastAsia="zh-CN"/>
              </w:rPr>
              <w:t>）</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highlight w:val="non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s="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pPr>
              <w:spacing w:line="276" w:lineRule="auto"/>
              <w:ind w:left="62" w:right="62"/>
              <w:rPr>
                <w:rStyle w:val="35"/>
                <w:rFonts w:hint="eastAsia" w:ascii="宋体" w:hAnsi="宋体"/>
                <w:color w:val="auto"/>
                <w:kern w:val="0"/>
                <w:szCs w:val="21"/>
                <w:highlight w:val="none"/>
                <w:lang w:val="zh-CN"/>
              </w:rPr>
            </w:pPr>
            <w:r>
              <w:rPr>
                <w:rFonts w:hint="eastAsia" w:ascii="宋体" w:hAnsi="宋体" w:cs="宋体"/>
                <w:color w:val="auto"/>
                <w:szCs w:val="21"/>
                <w:highlight w:val="none"/>
                <w:lang w:val="zh-CN"/>
              </w:rPr>
              <w:t>□</w:t>
            </w:r>
            <w:r>
              <w:rPr>
                <w:rStyle w:val="35"/>
                <w:rFonts w:ascii="宋体" w:hAnsi="宋体"/>
                <w:color w:val="auto"/>
                <w:kern w:val="0"/>
                <w:szCs w:val="21"/>
                <w:highlight w:val="none"/>
                <w:lang w:val="zh-CN"/>
              </w:rPr>
              <w:t>允许：</w:t>
            </w:r>
          </w:p>
          <w:p>
            <w:pPr>
              <w:spacing w:line="276" w:lineRule="auto"/>
              <w:ind w:left="62" w:right="62"/>
              <w:rPr>
                <w:rStyle w:val="35"/>
                <w:color w:val="auto"/>
                <w:highlight w:val="none"/>
              </w:rPr>
            </w:pPr>
            <w:r>
              <w:rPr>
                <w:rStyle w:val="35"/>
                <w:color w:val="auto"/>
                <w:highlight w:val="none"/>
              </w:rPr>
              <w:t>分包内容要求：</w:t>
            </w:r>
            <w:r>
              <w:rPr>
                <w:rStyle w:val="35"/>
                <w:rFonts w:hint="eastAsia"/>
                <w:color w:val="auto"/>
                <w:highlight w:val="none"/>
              </w:rPr>
              <w:t>/</w:t>
            </w:r>
          </w:p>
          <w:p>
            <w:pPr>
              <w:spacing w:line="276" w:lineRule="auto"/>
              <w:ind w:left="62" w:right="62"/>
              <w:rPr>
                <w:rStyle w:val="35"/>
                <w:color w:val="auto"/>
                <w:highlight w:val="none"/>
              </w:rPr>
            </w:pPr>
            <w:r>
              <w:rPr>
                <w:rStyle w:val="35"/>
                <w:color w:val="auto"/>
                <w:highlight w:val="none"/>
              </w:rPr>
              <w:t xml:space="preserve">    对分包人的资质要求：</w:t>
            </w:r>
            <w:r>
              <w:rPr>
                <w:rStyle w:val="35"/>
                <w:rFonts w:hint="eastAsia"/>
                <w:color w:val="auto"/>
                <w:highlight w:val="none"/>
                <w:u w:val="single"/>
              </w:rPr>
              <w:t>/</w:t>
            </w:r>
            <w:r>
              <w:rPr>
                <w:rStyle w:val="35"/>
                <w:color w:val="auto"/>
                <w:highlight w:val="none"/>
                <w:u w:val="single"/>
              </w:rPr>
              <w:t>。</w:t>
            </w:r>
          </w:p>
          <w:p>
            <w:pPr>
              <w:rPr>
                <w:rFonts w:hint="eastAsia" w:ascii="宋体" w:hAnsi="宋体"/>
                <w:color w:val="auto"/>
                <w:kern w:val="0"/>
                <w:szCs w:val="21"/>
                <w:highlight w:val="none"/>
                <w:lang w:val="zh-CN"/>
              </w:rPr>
            </w:pPr>
            <w:r>
              <w:rPr>
                <w:rStyle w:val="35"/>
                <w:color w:val="auto"/>
                <w:highlight w:val="none"/>
              </w:rPr>
              <w:t xml:space="preserve">    对分包人的其他要求：</w:t>
            </w:r>
            <w:r>
              <w:rPr>
                <w:rStyle w:val="35"/>
                <w:rFonts w:hint="eastAsia"/>
                <w:color w:val="auto"/>
                <w:highlight w:val="none"/>
                <w:u w:val="single"/>
              </w:rPr>
              <w:t>/</w:t>
            </w:r>
            <w:r>
              <w:rPr>
                <w:rStyle w:val="35"/>
                <w:color w:val="auto"/>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u w:val="single"/>
              </w:rPr>
              <w:t>http://www.gzggzy.cn/</w:t>
            </w:r>
            <w:r>
              <w:rPr>
                <w:rStyle w:val="35"/>
                <w:rFonts w:hint="eastAsia" w:ascii="宋体" w:hAnsi="宋体"/>
                <w:color w:val="auto"/>
                <w:szCs w:val="21"/>
                <w:highlight w:val="none"/>
                <w:u w:val="single"/>
              </w:rPr>
              <w:t>）网站发布的最新指引</w:t>
            </w:r>
            <w:r>
              <w:rPr>
                <w:rFonts w:hint="eastAsia" w:ascii="宋体" w:hAnsi="宋体"/>
                <w:color w:val="auto"/>
                <w:sz w:val="24"/>
                <w:szCs w:val="24"/>
                <w:highlight w:val="none"/>
                <w:u w:val="single"/>
              </w:rPr>
              <w:t xml:space="preserve"> </w:t>
            </w:r>
            <w:r>
              <w:rPr>
                <w:rFonts w:hint="eastAsia" w:ascii="宋体" w:hAnsi="宋体" w:cs="Courier New"/>
                <w:color w:val="auto"/>
                <w:szCs w:val="21"/>
                <w:highlight w:val="none"/>
              </w:rPr>
              <w:t xml:space="preserve">。  </w:t>
            </w:r>
          </w:p>
          <w:p>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Courier New"/>
                <w:color w:val="auto"/>
                <w:szCs w:val="21"/>
                <w:highlight w:val="none"/>
              </w:rPr>
            </w:pPr>
            <w:r>
              <w:rPr>
                <w:rFonts w:hint="eastAsia" w:ascii="宋体" w:hAnsi="宋体" w:cs="Courier New"/>
                <w:color w:val="auto"/>
                <w:szCs w:val="21"/>
                <w:highlight w:val="none"/>
              </w:rPr>
              <w:t>3、补救方案</w:t>
            </w:r>
          </w:p>
          <w:p>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p>
        </w:tc>
        <w:tc>
          <w:tcPr>
            <w:tcW w:w="5857" w:type="dxa"/>
            <w:tcBorders>
              <w:top w:val="single" w:color="auto" w:sz="4" w:space="0"/>
              <w:left w:val="single" w:color="auto" w:sz="4" w:space="0"/>
              <w:bottom w:val="single" w:color="auto" w:sz="4" w:space="0"/>
              <w:right w:val="double" w:color="auto" w:sz="4" w:space="0"/>
            </w:tcBorders>
            <w:vAlign w:val="center"/>
          </w:tcPr>
          <w:p>
            <w:pPr>
              <w:pStyle w:val="5"/>
              <w:tabs>
                <w:tab w:val="left" w:pos="7380"/>
              </w:tabs>
              <w:spacing w:after="0" w:line="360" w:lineRule="exact"/>
              <w:ind w:firstLine="0"/>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内容：招标人对中标人参与“百千万工程”的具体要求</w:t>
            </w:r>
          </w:p>
          <w:p>
            <w:pPr>
              <w:pStyle w:val="5"/>
              <w:tabs>
                <w:tab w:val="left" w:pos="7380"/>
              </w:tabs>
              <w:spacing w:after="0" w:line="360" w:lineRule="exact"/>
              <w:ind w:firstLine="0"/>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说明与要求：</w:t>
            </w:r>
          </w:p>
          <w:p>
            <w:pPr>
              <w:spacing w:line="360" w:lineRule="exact"/>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w:t>
            </w:r>
            <w:r>
              <w:rPr>
                <w:rStyle w:val="24"/>
                <w:rFonts w:hint="eastAsia" w:ascii="宋体" w:hAnsi="宋体" w:cs="宋体"/>
                <w:color w:val="auto"/>
                <w:szCs w:val="21"/>
                <w:highlight w:val="none"/>
                <w:lang w:val="zh-CN"/>
              </w:rPr>
              <w:t>具体要求在中标后按照投标承诺和招标人的要求执行</w:t>
            </w:r>
            <w:r>
              <w:rPr>
                <w:rFonts w:hint="eastAsia" w:ascii="宋体" w:hAnsi="宋体" w:cs="宋体"/>
                <w:color w:val="auto"/>
                <w:kern w:val="2"/>
                <w:sz w:val="21"/>
                <w:szCs w:val="21"/>
                <w:highlight w:val="none"/>
                <w:lang w:val="zh-CN"/>
              </w:rPr>
              <w:t>。</w:t>
            </w:r>
          </w:p>
          <w:p>
            <w:pPr>
              <w:rPr>
                <w:rFonts w:hint="eastAsia" w:ascii="宋体" w:hAnsi="宋体" w:cs="Courier New"/>
                <w:color w:val="auto"/>
                <w:szCs w:val="21"/>
                <w:highlight w:val="none"/>
              </w:rPr>
            </w:pPr>
            <w:r>
              <w:rPr>
                <w:rFonts w:hint="eastAsia" w:ascii="宋体" w:hAnsi="宋体" w:cs="宋体"/>
                <w:color w:val="auto"/>
                <w:kern w:val="2"/>
                <w:sz w:val="21"/>
                <w:szCs w:val="21"/>
                <w:highlight w:val="none"/>
                <w:lang w:val="zh-CN"/>
              </w:rPr>
              <w:t>□具体要求：（由招标人填写）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38</w:t>
            </w:r>
          </w:p>
        </w:tc>
        <w:tc>
          <w:tcPr>
            <w:tcW w:w="981" w:type="dxa"/>
            <w:tcBorders>
              <w:top w:val="single" w:color="auto" w:sz="4" w:space="0"/>
              <w:left w:val="single" w:color="auto" w:sz="4" w:space="0"/>
              <w:bottom w:val="double" w:color="auto" w:sz="4" w:space="0"/>
              <w:right w:val="single" w:color="auto" w:sz="4" w:space="0"/>
            </w:tcBorders>
            <w:vAlign w:val="center"/>
          </w:tcPr>
          <w:p>
            <w:pPr>
              <w:wordWrap w:val="0"/>
              <w:jc w:val="center"/>
              <w:rPr>
                <w:rFonts w:hint="eastAsia" w:ascii="宋体" w:hAnsi="宋体"/>
                <w:color w:val="auto"/>
                <w:highlight w:val="none"/>
              </w:rPr>
            </w:pPr>
            <w:r>
              <w:rPr>
                <w:rFonts w:hint="eastAsia" w:ascii="宋体" w:hAnsi="宋体" w:cs="宋体"/>
                <w:color w:val="auto"/>
                <w:szCs w:val="21"/>
                <w:highlight w:val="none"/>
              </w:rPr>
              <w:t>增加</w:t>
            </w:r>
          </w:p>
        </w:tc>
        <w:tc>
          <w:tcPr>
            <w:tcW w:w="1810" w:type="dxa"/>
            <w:tcBorders>
              <w:top w:val="single" w:color="auto" w:sz="4" w:space="0"/>
              <w:left w:val="single" w:color="auto" w:sz="4" w:space="0"/>
              <w:bottom w:val="double" w:color="auto" w:sz="4" w:space="0"/>
              <w:right w:val="single" w:color="auto" w:sz="4" w:space="0"/>
            </w:tcBorders>
            <w:vAlign w:val="center"/>
          </w:tcPr>
          <w:p>
            <w:pPr>
              <w:wordWrap w:val="0"/>
              <w:jc w:val="center"/>
              <w:rPr>
                <w:rFonts w:hint="eastAsia" w:ascii="宋体" w:hAnsi="宋体"/>
                <w:color w:val="auto"/>
                <w:highlight w:val="none"/>
              </w:rPr>
            </w:pPr>
            <w:r>
              <w:rPr>
                <w:rFonts w:hint="eastAsia" w:ascii="宋体" w:hAnsi="宋体" w:cs="宋体"/>
                <w:bCs/>
                <w:color w:val="auto"/>
                <w:highlight w:val="none"/>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pPr>
              <w:adjustRightInd w:val="0"/>
              <w:snapToGri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标人按《广州市发展改革委转发省发展改革委关于规范公共资源交易服务收费及有关问题的通知》（穗发改〔2017〕811号）文件的规定，向广州公共资源交易中心缴纳交易服务费，其费用包含在中标人投标报价中，招标人不另行支付。</w:t>
            </w:r>
          </w:p>
          <w:p>
            <w:pPr>
              <w:wordWrap w:val="0"/>
              <w:adjustRightInd w:val="0"/>
              <w:snapToGrid w:val="0"/>
              <w:spacing w:line="360" w:lineRule="exact"/>
              <w:rPr>
                <w:rFonts w:hint="eastAsia" w:ascii="宋体" w:hAnsi="宋体" w:cs="宋体"/>
                <w:color w:val="auto"/>
                <w:kern w:val="0"/>
                <w:sz w:val="22"/>
                <w:highlight w:val="none"/>
                <w:lang w:val="zh-CN"/>
              </w:rPr>
            </w:pPr>
            <w:r>
              <w:rPr>
                <w:rFonts w:hint="eastAsia" w:ascii="宋体" w:hAnsi="宋体" w:eastAsia="宋体" w:cs="宋体"/>
                <w:color w:val="auto"/>
                <w:szCs w:val="21"/>
                <w:highlight w:val="none"/>
              </w:rPr>
              <w:t>2、招标代理费由中标人在领取中标通知书之前一次性支付给招标代理机构。招标代理费按照《国家计委关于印发&lt;招标代理服务收费管理暂行办法&gt;的通知》(计价格〔2002〕1980号)</w:t>
            </w:r>
            <w:r>
              <w:rPr>
                <w:rFonts w:hint="eastAsia" w:ascii="宋体" w:hAnsi="宋体" w:eastAsia="宋体" w:cs="宋体"/>
                <w:b w:val="0"/>
                <w:color w:val="auto"/>
                <w:kern w:val="2"/>
                <w:sz w:val="21"/>
                <w:szCs w:val="21"/>
                <w:highlight w:val="none"/>
                <w:u w:val="single"/>
              </w:rPr>
              <w:t>收费标准</w:t>
            </w:r>
            <w:r>
              <w:rPr>
                <w:rFonts w:hint="eastAsia" w:ascii="宋体" w:hAnsi="宋体" w:eastAsia="宋体" w:cs="宋体"/>
                <w:b w:val="0"/>
                <w:color w:val="auto"/>
                <w:kern w:val="2"/>
                <w:sz w:val="21"/>
                <w:szCs w:val="21"/>
                <w:highlight w:val="none"/>
                <w:u w:val="single"/>
                <w:lang w:val="en-US" w:eastAsia="zh-CN"/>
              </w:rPr>
              <w:t>下浮（75%）</w:t>
            </w:r>
            <w:r>
              <w:rPr>
                <w:rFonts w:hint="eastAsia" w:ascii="宋体" w:hAnsi="宋体" w:eastAsia="宋体" w:cs="宋体"/>
                <w:b w:val="0"/>
                <w:color w:val="auto"/>
                <w:kern w:val="2"/>
                <w:sz w:val="21"/>
                <w:szCs w:val="21"/>
                <w:highlight w:val="none"/>
                <w:u w:val="single"/>
              </w:rPr>
              <w:t>计算</w:t>
            </w:r>
            <w:r>
              <w:rPr>
                <w:rFonts w:hint="eastAsia" w:ascii="宋体" w:hAnsi="宋体" w:eastAsia="宋体" w:cs="宋体"/>
                <w:color w:val="auto"/>
                <w:szCs w:val="21"/>
                <w:highlight w:val="none"/>
              </w:rPr>
              <w:t>，按中标价作为结算基价，计算本项目招标代理费。招标代理费已包含在中标人的投标报价中，</w:t>
            </w:r>
            <w:r>
              <w:rPr>
                <w:rFonts w:hint="eastAsia" w:ascii="宋体" w:hAnsi="宋体" w:eastAsia="宋体" w:cs="宋体"/>
                <w:color w:val="auto"/>
                <w:szCs w:val="21"/>
                <w:highlight w:val="none"/>
                <w:lang w:val="zh-CN"/>
              </w:rPr>
              <w:t>招标人不另行支付。</w:t>
            </w:r>
          </w:p>
        </w:tc>
      </w:tr>
    </w:tbl>
    <w:p>
      <w:pPr>
        <w:spacing w:line="480" w:lineRule="auto"/>
        <w:outlineLvl w:val="1"/>
        <w:rPr>
          <w:rStyle w:val="35"/>
          <w:rFonts w:hint="eastAsia" w:ascii="宋体" w:hAnsi="宋体"/>
          <w:b/>
          <w:color w:val="auto"/>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r>
        <w:rPr>
          <w:color w:val="auto"/>
          <w:highlight w:val="none"/>
        </w:rPr>
        <w:br w:type="page"/>
      </w:r>
      <w:bookmarkStart w:id="4" w:name="_Toc185324316"/>
      <w:r>
        <w:rPr>
          <w:rFonts w:hint="eastAsia" w:ascii="Arial" w:hAnsi="Arial" w:eastAsia="宋体" w:cs="Times New Roman"/>
          <w:b/>
          <w:color w:val="auto"/>
          <w:kern w:val="2"/>
          <w:sz w:val="24"/>
          <w:szCs w:val="24"/>
          <w:highlight w:val="none"/>
          <w:lang w:val="en-US" w:eastAsia="zh-CN" w:bidi="ar-SA"/>
        </w:rPr>
        <w:t>二、投标须知修改表</w:t>
      </w:r>
      <w:bookmarkEnd w:id="4"/>
    </w:p>
    <w:p>
      <w:pPr>
        <w:pStyle w:val="38"/>
        <w:spacing w:line="360" w:lineRule="auto"/>
        <w:rPr>
          <w:rStyle w:val="35"/>
          <w:rFonts w:hint="eastAsia" w:ascii="宋体" w:hAnsi="宋体"/>
          <w:b/>
          <w:color w:val="auto"/>
          <w:sz w:val="21"/>
          <w:szCs w:val="21"/>
          <w:highlight w:val="none"/>
        </w:rPr>
      </w:pPr>
      <w:r>
        <w:rPr>
          <w:rStyle w:val="35"/>
          <w:rFonts w:ascii="宋体" w:hAnsi="宋体"/>
          <w:b/>
          <w:color w:val="auto"/>
          <w:sz w:val="21"/>
          <w:szCs w:val="21"/>
          <w:highlight w:val="none"/>
        </w:rPr>
        <w:t>声明：</w:t>
      </w:r>
      <w:r>
        <w:rPr>
          <w:rStyle w:val="35"/>
          <w:rFonts w:hint="eastAsia" w:ascii="宋体" w:hAnsi="宋体"/>
          <w:b/>
          <w:color w:val="auto"/>
          <w:sz w:val="21"/>
          <w:szCs w:val="21"/>
          <w:highlight w:val="none"/>
        </w:rPr>
        <w:t>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条款号：8.1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hint="eastAsia" w:ascii="宋体" w:hAnsi="宋体"/>
          <w:b/>
          <w:color w:val="auto"/>
          <w:szCs w:val="21"/>
          <w:highlight w:val="none"/>
        </w:rPr>
        <w:t>：</w:t>
      </w:r>
      <w:r>
        <w:rPr>
          <w:rStyle w:val="35"/>
          <w:rFonts w:ascii="宋体" w:hAnsi="宋体"/>
          <w:color w:val="auto"/>
          <w:szCs w:val="21"/>
          <w:highlight w:val="none"/>
        </w:rPr>
        <w:t>8.1投标人若对招标文件（包括招标图纸）中有疑问，可以书面形式通过</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交易平台提交给招标人或招标代理人，提交形式见本须知前附表第16项。</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u w:val="single"/>
        </w:rPr>
        <w:t>招标答疑采用网上答疑方式进行。投标人若对招标文件（包括招标图纸、工程量清单、招标控制价、合同条款）有疑问的，可在规定的时间内通过广州公共资源交易中心网站提问区域将问题提交给招标人或招标代理人，提交问题时一律不得署名。网上答疑的操作指南为：登陆广州公共资源交易中心网站（http://www.gzggzy.cn）→进入“我是投标人”→进入“新建设工程交易平台”→进入“我的投标”→通过项目编号或项目名称找到所需的项目→在上述的答疑时间内点击“答疑提问”→“新建问题”→无记名或匿名提出问题。</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条款号：8.2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8.2招标答疑会会议纪要将在提交投标文件截止时间15日前在</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 “项目答疑纪要”专区公开发布。答疑纪要一经在</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交易平台发布，视作已发放给所有投标人。</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8.2招标答疑会会议纪要将在提交投标文件截止时间15日前在</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交易平台“项目答疑纪要”专区公开发布。答疑纪要一经在</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交易平台发布，视作已发放给所有投标人。</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8.3答疑会会议纪要为招标文件的一部分。</w:t>
      </w:r>
    </w:p>
    <w:p>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为招标文件的一部分。</w:t>
      </w:r>
    </w:p>
    <w:p>
      <w:pPr>
        <w:pStyle w:val="5"/>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条款号：8.4</w:t>
      </w:r>
      <w:r>
        <w:rPr>
          <w:rFonts w:hint="eastAsia" w:ascii="宋体" w:hAnsi="宋体" w:cs="宋体"/>
          <w:color w:val="auto"/>
          <w:szCs w:val="21"/>
          <w:highlight w:val="none"/>
        </w:rPr>
        <w:t xml:space="preserve">                  </w:t>
      </w:r>
      <w:r>
        <w:rPr>
          <w:rFonts w:hint="eastAsia" w:ascii="宋体" w:hAnsi="宋体" w:cs="宋体"/>
          <w:b/>
          <w:color w:val="auto"/>
          <w:szCs w:val="21"/>
          <w:highlight w:val="none"/>
        </w:rPr>
        <w:t>修改类型：修改</w:t>
      </w:r>
    </w:p>
    <w:p>
      <w:pPr>
        <w:pStyle w:val="5"/>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条款号：9.2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9.2招标文件的澄清或修改将在</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交易平台“项目答疑纪要”专区公开发布。答疑纪要一经在</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交易平台发布，视作已发放给所有投标人，以</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交易平台上网发布时间作为送达时间。</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9.2招标文件的澄清或修改将在</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交易平台“项目答疑纪要”专区公开发布。答疑纪要一经在</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交易平台发布，视作已发放给所有投标人，以</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交易平台上网发布时间作为送达时间。</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条款号：9.4          修改类型：修改</w:t>
      </w:r>
    </w:p>
    <w:p>
      <w:pP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bCs/>
          <w:color w:val="auto"/>
          <w:szCs w:val="21"/>
          <w:highlight w:val="none"/>
        </w:rPr>
        <w:t>现文：</w:t>
      </w:r>
      <w:r>
        <w:rPr>
          <w:rStyle w:val="35"/>
          <w:rFonts w:ascii="宋体" w:hAnsi="宋体"/>
          <w:color w:val="auto"/>
          <w:szCs w:val="21"/>
          <w:highlight w:val="none"/>
        </w:rPr>
        <w:t>9.4</w:t>
      </w:r>
      <w:r>
        <w:rPr>
          <w:rStyle w:val="35"/>
          <w:rFonts w:ascii="宋体" w:hAnsi="宋体"/>
          <w:color w:val="auto"/>
          <w:szCs w:val="21"/>
          <w:highlight w:val="none"/>
          <w:u w:val="single"/>
        </w:rPr>
        <w:t>招标文件的澄清或修改将在</w:t>
      </w:r>
      <w:r>
        <w:rPr>
          <w:rStyle w:val="35"/>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u w:val="single"/>
        </w:rPr>
        <w:t>交易平台“项目答疑纪要”专区公开发布。</w:t>
      </w:r>
      <w:r>
        <w:rPr>
          <w:rStyle w:val="35"/>
          <w:rFonts w:ascii="宋体" w:hAnsi="宋体"/>
          <w:color w:val="auto"/>
          <w:szCs w:val="21"/>
          <w:highlight w:val="none"/>
        </w:rPr>
        <w:t>当招标文件的澄清、修改、补充等在同一内容的表述不一致时，以最后发出的文件为准。</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条款号：11.2          修改类型：修改</w:t>
      </w:r>
    </w:p>
    <w:p>
      <w:pPr>
        <w:spacing w:line="360" w:lineRule="auto"/>
        <w:ind w:firstLine="422" w:firstLineChars="200"/>
        <w:rPr>
          <w:rStyle w:val="35"/>
          <w:rFonts w:hint="eastAsia" w:ascii="宋体" w:hAnsi="宋体"/>
          <w:bCs/>
          <w:color w:val="auto"/>
          <w:szCs w:val="21"/>
          <w:highlight w:val="none"/>
        </w:rPr>
      </w:pPr>
      <w:r>
        <w:rPr>
          <w:rStyle w:val="35"/>
          <w:rFonts w:ascii="宋体" w:hAnsi="宋体"/>
          <w:b/>
          <w:color w:val="auto"/>
          <w:szCs w:val="21"/>
          <w:highlight w:val="none"/>
        </w:rPr>
        <w:t>原文：</w:t>
      </w:r>
      <w:r>
        <w:rPr>
          <w:rStyle w:val="35"/>
          <w:rFonts w:ascii="宋体" w:hAnsi="宋体"/>
          <w:bCs/>
          <w:color w:val="auto"/>
          <w:szCs w:val="21"/>
          <w:highlight w:val="none"/>
        </w:rPr>
        <w:t>11.2投标文件技术标部分主要包括下列内容</w:t>
      </w:r>
      <w:r>
        <w:rPr>
          <w:rStyle w:val="35"/>
          <w:rFonts w:hint="eastAsia" w:ascii="宋体" w:hAnsi="宋体"/>
          <w:bCs/>
          <w:color w:val="auto"/>
          <w:szCs w:val="21"/>
          <w:highlight w:val="none"/>
        </w:rPr>
        <w:t>：</w:t>
      </w:r>
    </w:p>
    <w:p>
      <w:pPr>
        <w:spacing w:line="360" w:lineRule="auto"/>
        <w:ind w:firstLine="420" w:firstLineChars="200"/>
        <w:rPr>
          <w:rStyle w:val="35"/>
          <w:rFonts w:hint="eastAsia" w:ascii="宋体" w:hAnsi="宋体"/>
          <w:bCs/>
          <w:color w:val="auto"/>
          <w:szCs w:val="21"/>
          <w:highlight w:val="none"/>
        </w:rPr>
      </w:pPr>
      <w:r>
        <w:rPr>
          <w:rStyle w:val="35"/>
          <w:rFonts w:ascii="宋体" w:hAnsi="宋体"/>
          <w:bCs/>
          <w:color w:val="auto"/>
          <w:szCs w:val="21"/>
          <w:highlight w:val="none"/>
        </w:rPr>
        <w:t>11.2.1 技术投标文件</w:t>
      </w:r>
      <w:r>
        <w:rPr>
          <w:rStyle w:val="35"/>
          <w:rFonts w:ascii="宋体" w:hAnsi="宋体"/>
          <w:color w:val="auto"/>
          <w:szCs w:val="21"/>
          <w:highlight w:val="none"/>
        </w:rPr>
        <w:t>(按招标文件的要求填写)</w:t>
      </w:r>
      <w:r>
        <w:rPr>
          <w:rStyle w:val="35"/>
          <w:rFonts w:ascii="宋体" w:hAnsi="宋体"/>
          <w:bCs/>
          <w:color w:val="auto"/>
          <w:szCs w:val="21"/>
          <w:highlight w:val="none"/>
        </w:rPr>
        <w:t>；</w:t>
      </w:r>
    </w:p>
    <w:p>
      <w:pPr>
        <w:spacing w:line="360" w:lineRule="auto"/>
        <w:ind w:firstLine="420" w:firstLineChars="200"/>
        <w:rPr>
          <w:rStyle w:val="35"/>
          <w:rFonts w:hint="eastAsia" w:ascii="宋体" w:hAnsi="宋体"/>
          <w:bCs/>
          <w:color w:val="auto"/>
          <w:szCs w:val="21"/>
          <w:highlight w:val="none"/>
        </w:rPr>
      </w:pPr>
      <w:r>
        <w:rPr>
          <w:rStyle w:val="35"/>
          <w:rFonts w:ascii="宋体" w:hAnsi="宋体"/>
          <w:bCs/>
          <w:color w:val="auto"/>
          <w:szCs w:val="21"/>
          <w:highlight w:val="none"/>
        </w:rPr>
        <w:t>11.2.2 资格审查文件：</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（1）投标人声明；</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（2）法定代表人证明书、法定代表人签字或盖章的本投标文件授权委托证明书；</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（3）企业营业执照扫描件或电子证照；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（4）企业资质证书扫描件或电子证照；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（5）建筑施工企业安全生产许可证扫描件或电子证照；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（6）项目负责人（按网上投标登记时选择拟投入本项目的项目负责人）；</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（7）专职安全员（按网上投标登记时选择拟投入本项目的专职安全员）；</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（8）拟委托技术负责人的相关证书、资料（具体要求由招标人明确）；</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 xml:space="preserve">（9）拟委派项目负责人的有效期内的建造师注册证书扫描件或电子证书； </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（10）项目负责人在有效期内的安全生产考核合格证书（B类）或建筑施工企业项目负责人安全生产考核合格证书扫描件或电子证书；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（11）专职安全员须具有在有效期内的安全生产考核合格证书（C类）或建筑施工企业专职安全生产管理人员安全生产考核合格证书扫描件或电子证书；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（12）用于资格审查的业绩（设置业绩要求时选择此项，投标人</w:t>
      </w:r>
      <w:r>
        <w:rPr>
          <w:rFonts w:hint="eastAsia" w:ascii="宋体" w:hAnsi="宋体"/>
          <w:color w:val="auto"/>
          <w:szCs w:val="21"/>
          <w:highlight w:val="none"/>
        </w:rPr>
        <w:t>须提供类似工程业绩的项目名称及项目编号，具体格式由招标人自定</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（13）资格审查前，投标人须在广州市住房和城乡建设局建立企业信用档案，拟担任本工程项目负责人、专职安全员须是本企业信用档案中的在册人员；</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olor w:val="auto"/>
          <w:szCs w:val="21"/>
          <w:highlight w:val="none"/>
        </w:rPr>
        <w:t>联合体工作协议应明确约定各方拟承担的工作和责任</w:t>
      </w:r>
      <w:r>
        <w:rPr>
          <w:rFonts w:hint="eastAsia" w:ascii="宋体" w:hAnsi="宋体"/>
          <w:bCs/>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注：1.相关电子证书按规定需打印后手写本人签名的，应按照规定手写本人签名后再扫描提交。</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Fonts w:hint="eastAsia" w:ascii="宋体" w:hAnsi="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ascii="宋体" w:hAnsi="宋体"/>
          <w:color w:val="auto"/>
          <w:szCs w:val="21"/>
          <w:highlight w:val="none"/>
        </w:rPr>
        <w:t>11.2.3项目管理机构配备。</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（1）投标人应列出该项目工程的施工组织机构构成和画出机构框架图及其负责人；</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（2）投标人应详细列出该施工组织机构中主要成员的名单、简历资料、职务职称和在本项目中拟担任的职务等资料，并附上有关证明材料扫描件；</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Fonts w:hint="eastAsia" w:ascii="宋体" w:hAnsi="宋体"/>
          <w:color w:val="auto"/>
          <w:szCs w:val="21"/>
          <w:highlight w:val="none"/>
        </w:rPr>
        <w:t>（3）其他辅助说明资料。</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ascii="宋体" w:hAnsi="宋体"/>
          <w:color w:val="auto"/>
          <w:szCs w:val="21"/>
          <w:highlight w:val="none"/>
        </w:rPr>
        <w:t>11.2.4投标人在广州市可使用适合本工程的机械设备（附：机械设备为自有或租赁的说明；及承诺机械设备如属于租赁的，其租赁是不属于重复租赁）。</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rPr>
      </w:pPr>
      <w:r>
        <w:rPr>
          <w:rStyle w:val="35"/>
          <w:rFonts w:ascii="宋体" w:hAnsi="宋体"/>
          <w:color w:val="auto"/>
          <w:szCs w:val="21"/>
          <w:highlight w:val="none"/>
        </w:rPr>
        <w:t>11.2.5</w:t>
      </w:r>
      <w:r>
        <w:rPr>
          <w:rStyle w:val="35"/>
          <w:rFonts w:hint="eastAsia" w:ascii="宋体" w:hAnsi="宋体"/>
          <w:color w:val="auto"/>
          <w:szCs w:val="21"/>
          <w:highlight w:val="none"/>
        </w:rPr>
        <w:t>施工组织设计或施工方案。</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rPr>
      </w:pPr>
      <w:r>
        <w:rPr>
          <w:rStyle w:val="35"/>
          <w:rFonts w:hint="eastAsia" w:ascii="宋体" w:hAnsi="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hint="eastAsia" w:ascii="宋体" w:hAnsi="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ascii="宋体" w:hAnsi="宋体"/>
          <w:color w:val="auto"/>
          <w:szCs w:val="21"/>
          <w:highlight w:val="none"/>
        </w:rPr>
        <w:t>11.2.6按照</w:t>
      </w:r>
      <w:r>
        <w:rPr>
          <w:rStyle w:val="35"/>
          <w:rFonts w:ascii="宋体" w:hAnsi="宋体"/>
          <w:bCs/>
          <w:color w:val="auto"/>
          <w:szCs w:val="21"/>
          <w:highlight w:val="none"/>
        </w:rPr>
        <w:t>招标文件要求</w:t>
      </w:r>
      <w:r>
        <w:rPr>
          <w:rStyle w:val="35"/>
          <w:rFonts w:ascii="宋体" w:hAnsi="宋体"/>
          <w:color w:val="auto"/>
          <w:szCs w:val="21"/>
          <w:highlight w:val="none"/>
        </w:rPr>
        <w:t>填写的《参与编制技术标投标文件人员名单》。</w:t>
      </w:r>
    </w:p>
    <w:p>
      <w:pPr>
        <w:keepNext w:val="0"/>
        <w:keepLines w:val="0"/>
        <w:pageBreakBefore w:val="0"/>
        <w:widowControl w:val="0"/>
        <w:kinsoku/>
        <w:wordWrap/>
        <w:overflowPunct/>
        <w:topLinePunct w:val="0"/>
        <w:autoSpaceDE/>
        <w:autoSpaceDN/>
        <w:bidi w:val="0"/>
        <w:adjustRightInd/>
        <w:snapToGrid/>
        <w:spacing w:line="426" w:lineRule="exact"/>
        <w:ind w:firstLine="422" w:firstLineChars="200"/>
        <w:textAlignment w:val="auto"/>
        <w:rPr>
          <w:rStyle w:val="35"/>
          <w:rFonts w:hint="eastAsia" w:ascii="宋体" w:hAnsi="宋体"/>
          <w:bCs/>
          <w:color w:val="auto"/>
          <w:szCs w:val="21"/>
          <w:highlight w:val="none"/>
        </w:rPr>
      </w:pPr>
      <w:r>
        <w:rPr>
          <w:rStyle w:val="35"/>
          <w:rFonts w:ascii="宋体" w:hAnsi="宋体"/>
          <w:b/>
          <w:color w:val="auto"/>
          <w:szCs w:val="21"/>
          <w:highlight w:val="none"/>
        </w:rPr>
        <w:t>现文：</w:t>
      </w:r>
      <w:r>
        <w:rPr>
          <w:rStyle w:val="35"/>
          <w:rFonts w:ascii="宋体" w:hAnsi="宋体"/>
          <w:bCs/>
          <w:color w:val="auto"/>
          <w:szCs w:val="21"/>
          <w:highlight w:val="none"/>
        </w:rPr>
        <w:t>11.2投标文件技术标部分主要包括下列内容:</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ascii="宋体" w:hAnsi="宋体"/>
          <w:bCs/>
          <w:color w:val="auto"/>
          <w:szCs w:val="21"/>
          <w:highlight w:val="none"/>
        </w:rPr>
        <w:t>11.2.1 技术投标文件</w:t>
      </w:r>
      <w:r>
        <w:rPr>
          <w:rStyle w:val="35"/>
          <w:rFonts w:ascii="宋体" w:hAnsi="宋体"/>
          <w:color w:val="auto"/>
          <w:szCs w:val="21"/>
          <w:highlight w:val="none"/>
        </w:rPr>
        <w:t>(按招标文件的要求填写)</w:t>
      </w:r>
      <w:r>
        <w:rPr>
          <w:rStyle w:val="35"/>
          <w:rFonts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u w:val="single"/>
        </w:rPr>
      </w:pPr>
      <w:r>
        <w:rPr>
          <w:rStyle w:val="35"/>
          <w:rFonts w:ascii="宋体" w:hAnsi="宋体"/>
          <w:bCs/>
          <w:color w:val="auto"/>
          <w:szCs w:val="21"/>
          <w:highlight w:val="none"/>
          <w:u w:val="single"/>
        </w:rPr>
        <w:t>（1）广州建设工程施工招标投标书</w:t>
      </w:r>
      <w:r>
        <w:rPr>
          <w:rStyle w:val="35"/>
          <w:rFonts w:hint="eastAsia" w:ascii="宋体" w:hAnsi="宋体"/>
          <w:color w:val="auto"/>
          <w:highlight w:val="none"/>
          <w:u w:val="single"/>
        </w:rPr>
        <w:t>（按招标文件第四章技术标投标文件格式）</w:t>
      </w:r>
      <w:r>
        <w:rPr>
          <w:rStyle w:val="35"/>
          <w:rFonts w:ascii="宋体" w:hAnsi="宋体"/>
          <w:bCs/>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bCs/>
          <w:color w:val="auto"/>
          <w:szCs w:val="21"/>
          <w:highlight w:val="none"/>
        </w:rPr>
      </w:pPr>
      <w:r>
        <w:rPr>
          <w:rStyle w:val="35"/>
          <w:rFonts w:ascii="宋体" w:hAnsi="宋体"/>
          <w:bCs/>
          <w:color w:val="auto"/>
          <w:szCs w:val="21"/>
          <w:highlight w:val="none"/>
        </w:rPr>
        <w:t>11.2.2 资格审查文件：</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highlight w:val="none"/>
        </w:rPr>
      </w:pPr>
      <w:r>
        <w:rPr>
          <w:rStyle w:val="35"/>
          <w:rFonts w:ascii="宋体" w:hAnsi="宋体"/>
          <w:bCs/>
          <w:color w:val="auto"/>
          <w:szCs w:val="21"/>
          <w:highlight w:val="none"/>
        </w:rPr>
        <w:t>（1）投标人声</w:t>
      </w:r>
      <w:r>
        <w:rPr>
          <w:rStyle w:val="35"/>
          <w:rFonts w:ascii="宋体" w:hAnsi="宋体"/>
          <w:color w:val="auto"/>
          <w:highlight w:val="none"/>
        </w:rPr>
        <w:t>明</w:t>
      </w:r>
      <w:r>
        <w:rPr>
          <w:rStyle w:val="35"/>
          <w:rFonts w:hint="eastAsia" w:ascii="宋体" w:hAnsi="宋体"/>
          <w:color w:val="auto"/>
          <w:highlight w:val="none"/>
          <w:u w:val="single"/>
        </w:rPr>
        <w:t>（按招标公告附件</w:t>
      </w:r>
      <w:r>
        <w:rPr>
          <w:rStyle w:val="35"/>
          <w:rFonts w:hint="eastAsia" w:ascii="宋体" w:hAnsi="宋体"/>
          <w:color w:val="auto"/>
          <w:highlight w:val="none"/>
          <w:u w:val="single"/>
          <w:lang w:val="en-US" w:eastAsia="zh-CN"/>
        </w:rPr>
        <w:t>一</w:t>
      </w:r>
      <w:r>
        <w:rPr>
          <w:rStyle w:val="35"/>
          <w:rFonts w:hint="eastAsia" w:ascii="宋体" w:hAnsi="宋体"/>
          <w:color w:val="auto"/>
          <w:highlight w:val="none"/>
          <w:u w:val="single"/>
        </w:rPr>
        <w:t>的格式及内容提交）</w:t>
      </w:r>
      <w:r>
        <w:rPr>
          <w:rStyle w:val="35"/>
          <w:rFonts w:ascii="宋体" w:hAnsi="宋体"/>
          <w:color w:val="auto"/>
          <w:highlight w:val="none"/>
          <w:u w:val="single"/>
        </w:rPr>
        <w:t>；</w:t>
      </w:r>
      <w:r>
        <w:rPr>
          <w:rStyle w:val="35"/>
          <w:rFonts w:ascii="宋体" w:hAnsi="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highlight w:val="none"/>
        </w:rPr>
      </w:pPr>
      <w:r>
        <w:rPr>
          <w:rStyle w:val="35"/>
          <w:rFonts w:ascii="宋体" w:hAnsi="宋体"/>
          <w:color w:val="auto"/>
          <w:highlight w:val="none"/>
        </w:rPr>
        <w:t>（2）法定代表人证明书、法定代表人签字或盖章的本投标文件授权委托证明书；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（3）企业营业执照扫描件或电子证照；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（4）企业资质证书扫描件或电子证照；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（5）建筑施工企业安全生产许可证扫描件或电子证照；</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（6）项目负责人（按网上投标登记时选择拟投标的项目负责人）；</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（7）专职安全员（按网上投标登记时选择拟投标的专职安全员）；</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拟委派技术负责人的职称证书扫描件；</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bCs/>
          <w:color w:val="auto"/>
          <w:szCs w:val="21"/>
          <w:highlight w:val="none"/>
        </w:rPr>
        <w:t>（9）拟委派项目负责人的有效期内的建造师注册证书扫描件或电子证书；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（10）项目负责人在有效期内的安全生产考核合格证书（B类）或建筑施工企业项目负责人安全生产考核合格证书扫描件或电子证书；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（11）专职安全员须具有在有效期内的安全生产考核合格证书（C类）或建筑施工企业专职安全生产管理人员安全生产考核合格证书（C3类）扫描件或电子证书；</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（12）</w:t>
      </w:r>
      <w:r>
        <w:rPr>
          <w:rFonts w:hint="eastAsia" w:ascii="宋体" w:hAnsi="宋体"/>
          <w:bCs/>
          <w:color w:val="auto"/>
          <w:highlight w:val="none"/>
        </w:rPr>
        <w:t>资格审查前，投标人须在广州市住房和城乡建设局建立企业信用档案，拟担任本工程项目负责人、专职安全员须是本企业信用档案中的在册人员</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u w:val="single"/>
        </w:rPr>
      </w:pPr>
      <w:r>
        <w:rPr>
          <w:rFonts w:hint="eastAsia" w:ascii="宋体" w:hAnsi="宋体"/>
          <w:color w:val="auto"/>
          <w:highlight w:val="none"/>
        </w:rPr>
        <w:t>（13）</w:t>
      </w:r>
      <w:r>
        <w:rPr>
          <w:rFonts w:hint="eastAsia" w:ascii="宋体" w:hAnsi="宋体"/>
          <w:color w:val="auto"/>
          <w:highlight w:val="none"/>
          <w:u w:val="single"/>
        </w:rPr>
        <w:t>投标人认为应提交的其他资料。</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注：1.相关电子证书按规定需打印后手写本人签名的，应按照规定手写本人签名后再扫描提交。</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u w:val="single"/>
        </w:rPr>
      </w:pPr>
      <w:r>
        <w:rPr>
          <w:rFonts w:hint="eastAsia" w:ascii="宋体" w:hAnsi="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u w:val="single"/>
        </w:rPr>
      </w:pPr>
      <w:r>
        <w:rPr>
          <w:rStyle w:val="35"/>
          <w:rFonts w:ascii="宋体" w:hAnsi="宋体"/>
          <w:color w:val="auto"/>
          <w:szCs w:val="21"/>
          <w:highlight w:val="none"/>
          <w:u w:val="single"/>
        </w:rPr>
        <w:t>11.2.3</w:t>
      </w:r>
      <w:r>
        <w:rPr>
          <w:rStyle w:val="35"/>
          <w:rFonts w:hint="eastAsia" w:ascii="宋体" w:hAnsi="宋体"/>
          <w:color w:val="auto"/>
          <w:szCs w:val="21"/>
          <w:highlight w:val="none"/>
          <w:u w:val="single"/>
        </w:rPr>
        <w:t>按照招标文件要求填写的《参与编制技术标投标文件人员名单》（格式按招标文件第四章技术标投标文件格式）；</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u w:val="single"/>
        </w:rPr>
      </w:pPr>
      <w:r>
        <w:rPr>
          <w:rStyle w:val="35"/>
          <w:rFonts w:hint="eastAsia" w:ascii="宋体" w:hAnsi="宋体"/>
          <w:color w:val="auto"/>
          <w:szCs w:val="21"/>
          <w:highlight w:val="none"/>
          <w:u w:val="single"/>
        </w:rPr>
        <w:t>11.2.</w:t>
      </w:r>
      <w:r>
        <w:rPr>
          <w:rStyle w:val="35"/>
          <w:rFonts w:ascii="宋体" w:hAnsi="宋体"/>
          <w:color w:val="auto"/>
          <w:szCs w:val="21"/>
          <w:highlight w:val="none"/>
          <w:u w:val="single"/>
        </w:rPr>
        <w:t>4</w:t>
      </w:r>
      <w:r>
        <w:rPr>
          <w:rStyle w:val="35"/>
          <w:rFonts w:hint="eastAsia" w:ascii="宋体" w:hAnsi="宋体"/>
          <w:color w:val="auto"/>
          <w:szCs w:val="21"/>
          <w:highlight w:val="none"/>
          <w:u w:val="single"/>
        </w:rPr>
        <w:t>项目管理机构配备。</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u w:val="single"/>
        </w:rPr>
      </w:pPr>
      <w:r>
        <w:rPr>
          <w:rStyle w:val="35"/>
          <w:rFonts w:hint="eastAsia" w:ascii="宋体" w:hAnsi="宋体"/>
          <w:color w:val="auto"/>
          <w:szCs w:val="21"/>
          <w:highlight w:val="none"/>
          <w:u w:val="single"/>
        </w:rPr>
        <w:t>（1）投标人应列出该项目工程的施工组织机构构成和画出机构框架图及其负责人；</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35"/>
          <w:rFonts w:hint="eastAsia" w:ascii="宋体" w:hAnsi="宋体"/>
          <w:color w:val="auto"/>
          <w:szCs w:val="21"/>
          <w:highlight w:val="none"/>
          <w:u w:val="single"/>
        </w:rPr>
      </w:pPr>
      <w:r>
        <w:rPr>
          <w:rStyle w:val="35"/>
          <w:rFonts w:hint="eastAsia" w:ascii="宋体" w:hAnsi="宋体"/>
          <w:color w:val="auto"/>
          <w:szCs w:val="21"/>
          <w:highlight w:val="none"/>
          <w:u w:val="single"/>
        </w:rPr>
        <w:t>（2）投标人应详细列出该施工组织机构中主要成员的名单、职务职称和在本项目中拟担任的职务等资料，并附上有关证明材料扫描件及其他辅助说明资料；</w:t>
      </w:r>
    </w:p>
    <w:p>
      <w:pPr>
        <w:spacing w:line="360" w:lineRule="auto"/>
        <w:ind w:firstLine="420" w:firstLineChars="200"/>
        <w:rPr>
          <w:rFonts w:hint="eastAsia" w:ascii="宋体" w:hAnsi="宋体"/>
          <w:color w:val="auto"/>
          <w:highlight w:val="none"/>
          <w:u w:val="single"/>
        </w:rPr>
      </w:pPr>
      <w:r>
        <w:rPr>
          <w:rStyle w:val="35"/>
          <w:rFonts w:ascii="宋体" w:hAnsi="宋体"/>
          <w:color w:val="auto"/>
          <w:szCs w:val="21"/>
          <w:highlight w:val="none"/>
          <w:u w:val="single"/>
        </w:rPr>
        <w:t>11.2.5</w:t>
      </w:r>
      <w:r>
        <w:rPr>
          <w:rFonts w:hint="eastAsia" w:ascii="宋体" w:hAnsi="宋体"/>
          <w:color w:val="auto"/>
          <w:highlight w:val="none"/>
          <w:u w:val="single"/>
        </w:rPr>
        <w:t>按照招标文件《技术标详细审查评分标准》提供的证明材料（如有）；投标人在编制施工组织设计或施工方案时应按照招标人提出的施工现场建筑垃圾源头减量的具体要求以及建筑垃圾综合利用产品的使用要求提供相应措施。</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u w:val="single"/>
        </w:rPr>
        <w:t>11.2.6《危险性较大的分部分项工程清单及超过一定规模的危险性较大的分部分项工程清单》。</w:t>
      </w:r>
    </w:p>
    <w:p>
      <w:pPr>
        <w:pBdr>
          <w:bottom w:val="single" w:color="000000" w:sz="6" w:space="1"/>
        </w:pBdr>
        <w:spacing w:line="360" w:lineRule="auto"/>
        <w:ind w:firstLine="420" w:firstLineChars="200"/>
        <w:rPr>
          <w:rFonts w:hint="eastAsia" w:ascii="宋体" w:hAnsi="宋体"/>
          <w:color w:val="auto"/>
          <w:highlight w:val="none"/>
        </w:rPr>
      </w:pPr>
      <w:r>
        <w:rPr>
          <w:rStyle w:val="35"/>
          <w:rFonts w:hint="eastAsia" w:ascii="宋体" w:hAnsi="宋体"/>
          <w:color w:val="auto"/>
          <w:szCs w:val="21"/>
          <w:highlight w:val="none"/>
          <w:u w:val="single"/>
        </w:rPr>
        <w:t>11.2.7其他投</w:t>
      </w:r>
      <w:r>
        <w:rPr>
          <w:rFonts w:hint="eastAsia" w:ascii="宋体" w:hAnsi="宋体"/>
          <w:color w:val="auto"/>
          <w:highlight w:val="none"/>
          <w:u w:val="single"/>
        </w:rPr>
        <w:t>标人认为应该提供的资料。</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条款号：11.3.2</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（2）总说明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（14）计日工表；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pPr>
        <w:keepNext w:val="0"/>
        <w:keepLines w:val="0"/>
        <w:pageBreakBefore w:val="0"/>
        <w:widowControl w:val="0"/>
        <w:pBdr>
          <w:bottom w:val="single" w:color="000000" w:sz="6" w:space="1"/>
        </w:pBdr>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Cs/>
          <w:color w:val="auto"/>
          <w:szCs w:val="21"/>
          <w:highlight w:val="none"/>
        </w:rPr>
      </w:pPr>
      <w:r>
        <w:rPr>
          <w:rFonts w:hint="eastAsia" w:ascii="宋体" w:hAnsi="宋体" w:cs="宋体"/>
          <w:b/>
          <w:color w:val="auto"/>
          <w:szCs w:val="21"/>
          <w:highlight w:val="none"/>
        </w:rPr>
        <w:t>现文：</w:t>
      </w:r>
      <w:bookmarkStart w:id="5" w:name="OLE_LINK1"/>
    </w:p>
    <w:p>
      <w:pPr>
        <w:keepNext w:val="0"/>
        <w:keepLines w:val="0"/>
        <w:pageBreakBefore w:val="0"/>
        <w:widowControl w:val="0"/>
        <w:pBdr>
          <w:bottom w:val="single" w:color="000000" w:sz="6" w:space="1"/>
        </w:pBdr>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11.3.</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 xml:space="preserve"> </w:t>
      </w:r>
      <w:r>
        <w:rPr>
          <w:rFonts w:hint="eastAsia" w:ascii="宋体" w:eastAsia="宋体" w:cs="宋体"/>
          <w:bCs/>
          <w:color w:val="auto"/>
          <w:szCs w:val="21"/>
          <w:highlight w:val="none"/>
        </w:rPr>
        <w:t>投标总价。</w:t>
      </w:r>
      <w:r>
        <w:rPr>
          <w:rFonts w:hint="eastAsia" w:ascii="宋体" w:hAnsi="宋体" w:cs="宋体"/>
          <w:bCs/>
          <w:color w:val="auto"/>
          <w:szCs w:val="21"/>
          <w:highlight w:val="none"/>
        </w:rPr>
        <w:t>。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等，结合企业成本、市场价格以及招标文件中载明的风险内容和范围等编制（具体内容详见第七章工程量清单）。投标人按照广州交易集团有限公司（广州公共资源交易中心）交易平台关于全流程电子化项目的相关指引，采用招标人发布的最新版电子招标文件中工程量清单相应的组成及格式等要求，通过广州交易集团有限公司（广州公共资源交易中心）交易平台的投标文件管理软件制作生成的电子投标文件工程量清单的组成及格式，视作符合招标文件要求。</w:t>
      </w:r>
    </w:p>
    <w:bookmarkEnd w:id="5"/>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11.3.3按照招标文件要求填写的《参与编制经济标投标文件人员名单》。</w:t>
      </w:r>
    </w:p>
    <w:p>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11.3.3按照招标文件要求填写的《参与编制经济标投标文件人员名单》、《对投标文件编制的承诺》（按招标文件第四章经济标投标文件格式）。</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修改类型：增加</w:t>
      </w:r>
    </w:p>
    <w:p>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11.3.5其他投标人认为应该提供的资料。</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w:t>
      </w:r>
      <w:r>
        <w:rPr>
          <w:rFonts w:ascii="宋体" w:hAnsi="宋体"/>
          <w:b/>
          <w:color w:val="auto"/>
          <w:szCs w:val="21"/>
          <w:highlight w:val="none"/>
        </w:rPr>
        <w:t xml:space="preserve">2.2          </w:t>
      </w:r>
      <w:r>
        <w:rPr>
          <w:rFonts w:hint="eastAsia" w:ascii="宋体" w:hAnsi="宋体"/>
          <w:b/>
          <w:color w:val="auto"/>
          <w:szCs w:val="21"/>
          <w:highlight w:val="none"/>
        </w:rPr>
        <w:t>修改类型：</w:t>
      </w:r>
      <w:r>
        <w:rPr>
          <w:rStyle w:val="35"/>
          <w:rFonts w:ascii="宋体" w:hAnsi="宋体"/>
          <w:b/>
          <w:color w:val="auto"/>
          <w:szCs w:val="21"/>
          <w:highlight w:val="none"/>
        </w:rPr>
        <w:t>修改</w:t>
      </w:r>
    </w:p>
    <w:p>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原文：</w:t>
      </w:r>
      <w:r>
        <w:rPr>
          <w:rFonts w:ascii="宋体" w:hAnsi="宋体"/>
          <w:bCs/>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Cs/>
          <w:color w:val="auto"/>
          <w:szCs w:val="21"/>
          <w:highlight w:val="none"/>
        </w:rPr>
        <w:t>。</w:t>
      </w:r>
    </w:p>
    <w:p>
      <w:pPr>
        <w:pBdr>
          <w:bottom w:val="single" w:color="auto" w:sz="6" w:space="1"/>
        </w:pBdr>
        <w:tabs>
          <w:tab w:val="left" w:pos="6329"/>
        </w:tabs>
        <w:spacing w:line="360" w:lineRule="auto"/>
        <w:ind w:firstLine="420" w:firstLineChars="200"/>
        <w:rPr>
          <w:rFonts w:hint="eastAsia" w:ascii="宋体" w:hAnsi="宋体"/>
          <w:color w:val="auto"/>
          <w:highlight w:val="none"/>
        </w:rPr>
      </w:pPr>
      <w:r>
        <w:rPr>
          <w:rFonts w:hint="eastAsia" w:ascii="宋体" w:hAnsi="宋体"/>
          <w:color w:val="auto"/>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tabs>
          <w:tab w:val="left" w:pos="6329"/>
        </w:tabs>
        <w:spacing w:line="360" w:lineRule="auto"/>
        <w:ind w:firstLine="422" w:firstLineChars="200"/>
        <w:rPr>
          <w:rFonts w:hint="eastAsia" w:ascii="宋体" w:hAnsi="宋体" w:cs="宋体"/>
          <w:color w:val="auto"/>
          <w:szCs w:val="21"/>
          <w:highlight w:val="none"/>
          <w:u w:val="single"/>
        </w:rPr>
      </w:pPr>
      <w:r>
        <w:rPr>
          <w:rFonts w:hint="eastAsia" w:ascii="宋体" w:hAnsi="宋体"/>
          <w:b/>
          <w:color w:val="auto"/>
          <w:szCs w:val="21"/>
          <w:highlight w:val="none"/>
        </w:rPr>
        <w:t>现文：</w:t>
      </w:r>
      <w:r>
        <w:rPr>
          <w:rFonts w:hint="eastAsia" w:ascii="宋体" w:hAnsi="宋体" w:cs="宋体"/>
          <w:color w:val="auto"/>
          <w:szCs w:val="21"/>
          <w:highlight w:val="none"/>
        </w:rPr>
        <w:t>1</w:t>
      </w:r>
      <w:r>
        <w:rPr>
          <w:rFonts w:ascii="宋体" w:hAnsi="宋体" w:cs="宋体"/>
          <w:color w:val="auto"/>
          <w:szCs w:val="21"/>
          <w:highlight w:val="none"/>
        </w:rPr>
        <w:t xml:space="preserve">2.2 </w:t>
      </w:r>
      <w:r>
        <w:rPr>
          <w:rFonts w:hint="eastAsia" w:ascii="宋体" w:hAnsi="宋体" w:cs="宋体"/>
          <w:color w:val="auto"/>
          <w:szCs w:val="21"/>
          <w:highlight w:val="none"/>
        </w:rPr>
        <w:t>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w:t>
      </w:r>
      <w:r>
        <w:rPr>
          <w:rFonts w:hint="eastAsia" w:ascii="宋体" w:hAnsi="宋体"/>
          <w:color w:val="auto"/>
          <w:szCs w:val="21"/>
          <w:highlight w:val="none"/>
          <w:u w:val="single"/>
        </w:rPr>
        <w:t>应加盖个人电子印章或在线下完成后扫描上传</w:t>
      </w:r>
      <w:r>
        <w:rPr>
          <w:rFonts w:hint="eastAsia" w:ascii="宋体" w:hAnsi="宋体" w:cs="宋体"/>
          <w:color w:val="auto"/>
          <w:szCs w:val="21"/>
          <w:highlight w:val="none"/>
        </w:rPr>
        <w:t>。按照广州公共资源交易中心交易平台关于全流程电子化项目的相关指南进行操作。详见：</w:t>
      </w:r>
      <w:r>
        <w:rPr>
          <w:rFonts w:hint="eastAsia" w:ascii="宋体" w:hAnsi="宋体" w:cs="宋体"/>
          <w:color w:val="auto"/>
          <w:szCs w:val="21"/>
          <w:highlight w:val="none"/>
          <w:u w:val="single"/>
        </w:rPr>
        <w:t>广州公共资源交易中心网站最新指引。</w:t>
      </w:r>
    </w:p>
    <w:p>
      <w:pPr>
        <w:pBdr>
          <w:bottom w:val="single" w:color="auto" w:sz="6" w:space="1"/>
        </w:pBdr>
        <w:tabs>
          <w:tab w:val="left" w:pos="6329"/>
        </w:tabs>
        <w:spacing w:line="360" w:lineRule="auto"/>
        <w:ind w:firstLine="420" w:firstLineChars="200"/>
        <w:rPr>
          <w:rFonts w:hint="eastAsia" w:ascii="宋体" w:hAnsi="宋体"/>
          <w:color w:val="auto"/>
          <w:highlight w:val="none"/>
        </w:rPr>
      </w:pPr>
      <w:r>
        <w:rPr>
          <w:rFonts w:hint="eastAsia" w:ascii="宋体" w:hAnsi="宋体"/>
          <w:color w:val="auto"/>
          <w:highlight w:val="none"/>
        </w:rPr>
        <w:t>注释：投标文件电子文档需要投标人单位盖章的材料，投标人加盖电子印章即可，不得将投标人未对电子文档加盖实物印章作为否决投标的情形。</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 xml:space="preserve">条款号：12.3          </w:t>
      </w:r>
      <w:r>
        <w:rPr>
          <w:rStyle w:val="35"/>
          <w:rFonts w:hint="eastAsia" w:ascii="宋体" w:hAnsi="宋体"/>
          <w:b/>
          <w:color w:val="auto"/>
          <w:szCs w:val="21"/>
          <w:highlight w:val="none"/>
        </w:rPr>
        <w:t>修</w:t>
      </w:r>
      <w:r>
        <w:rPr>
          <w:rStyle w:val="35"/>
          <w:rFonts w:ascii="宋体" w:hAnsi="宋体"/>
          <w:b/>
          <w:color w:val="auto"/>
          <w:szCs w:val="21"/>
          <w:highlight w:val="none"/>
        </w:rPr>
        <w:t>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12.3</w:t>
      </w:r>
      <w:r>
        <w:rPr>
          <w:rStyle w:val="35"/>
          <w:rFonts w:ascii="宋体" w:hAnsi="宋体"/>
          <w:bCs/>
          <w:color w:val="auto"/>
          <w:szCs w:val="21"/>
          <w:highlight w:val="none"/>
        </w:rPr>
        <w:t>投标文件应按</w:t>
      </w:r>
      <w:r>
        <w:rPr>
          <w:rStyle w:val="35"/>
          <w:rFonts w:ascii="宋体" w:hAnsi="宋体"/>
          <w:color w:val="auto"/>
          <w:szCs w:val="21"/>
          <w:highlight w:val="none"/>
        </w:rPr>
        <w:t>照交易平台关于全流程电子化项目的相关指南进行编制，详见：</w:t>
      </w:r>
      <w:r>
        <w:rPr>
          <w:rStyle w:val="35"/>
          <w:rFonts w:ascii="宋体" w:hAnsi="宋体"/>
          <w:color w:val="auto"/>
          <w:szCs w:val="21"/>
          <w:highlight w:val="none"/>
          <w:u w:val="single"/>
        </w:rPr>
        <w:t xml:space="preserve">            </w:t>
      </w:r>
      <w:r>
        <w:rPr>
          <w:rStyle w:val="35"/>
          <w:rFonts w:ascii="宋体" w:hAnsi="宋体"/>
          <w:color w:val="auto"/>
          <w:szCs w:val="21"/>
          <w:highlight w:val="none"/>
        </w:rPr>
        <w:t>。</w:t>
      </w:r>
    </w:p>
    <w:p>
      <w:pPr>
        <w:pBdr>
          <w:bottom w:val="single" w:color="000000" w:sz="6" w:space="1"/>
        </w:pBdr>
        <w:spacing w:line="360" w:lineRule="auto"/>
        <w:ind w:firstLine="422" w:firstLineChars="200"/>
        <w:rPr>
          <w:rFonts w:hint="eastAsia" w:ascii="宋体" w:hAnsi="宋体" w:cs="宋体"/>
          <w:color w:val="auto"/>
          <w:highlight w:val="none"/>
        </w:rPr>
      </w:pPr>
      <w:r>
        <w:rPr>
          <w:rStyle w:val="35"/>
          <w:rFonts w:ascii="宋体" w:hAnsi="宋体"/>
          <w:b/>
          <w:color w:val="auto"/>
          <w:szCs w:val="21"/>
          <w:highlight w:val="none"/>
        </w:rPr>
        <w:t>现文：</w:t>
      </w:r>
      <w:r>
        <w:rPr>
          <w:rStyle w:val="35"/>
          <w:rFonts w:ascii="宋体" w:hAnsi="宋体"/>
          <w:color w:val="auto"/>
          <w:szCs w:val="21"/>
          <w:highlight w:val="none"/>
        </w:rPr>
        <w:t xml:space="preserve">12.3 </w:t>
      </w:r>
      <w:r>
        <w:rPr>
          <w:rStyle w:val="35"/>
          <w:rFonts w:ascii="宋体" w:hAnsi="宋体"/>
          <w:bCs/>
          <w:color w:val="auto"/>
          <w:szCs w:val="21"/>
          <w:highlight w:val="none"/>
        </w:rPr>
        <w:t>投标文件应按</w:t>
      </w:r>
      <w:r>
        <w:rPr>
          <w:rStyle w:val="35"/>
          <w:rFonts w:ascii="宋体" w:hAnsi="宋体"/>
          <w:color w:val="auto"/>
          <w:szCs w:val="21"/>
          <w:highlight w:val="none"/>
        </w:rPr>
        <w:t>照交易平台关于全流程电子化项目的相关指南进</w:t>
      </w:r>
      <w:r>
        <w:rPr>
          <w:rFonts w:ascii="宋体" w:hAnsi="宋体" w:cs="宋体"/>
          <w:color w:val="auto"/>
          <w:highlight w:val="none"/>
        </w:rPr>
        <w:t>行编制，详见：</w:t>
      </w:r>
      <w:r>
        <w:rPr>
          <w:rFonts w:hint="eastAsia" w:ascii="宋体" w:hAnsi="宋体" w:cs="宋体"/>
          <w:color w:val="auto"/>
          <w:highlight w:val="none"/>
          <w:u w:val="single"/>
        </w:rPr>
        <w:t>广州公共资源交易中心网站最新指引</w:t>
      </w:r>
      <w:r>
        <w:rPr>
          <w:rFonts w:ascii="宋体" w:hAnsi="宋体" w:cs="宋体"/>
          <w:color w:val="auto"/>
          <w:highlight w:val="none"/>
          <w:u w:val="single"/>
        </w:rPr>
        <w:t>。</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条款号：13.1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13.1本工程的投标报价采用投标须知前附表第12项所规定的方式。投标报价（含单价及总价）精确到“分”。</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13.1本工程的投标报价采用投标须知前附表第12项所规定的方式。投标报价（含单价及总价）精确到“分”。</w:t>
      </w:r>
      <w:r>
        <w:rPr>
          <w:rStyle w:val="35"/>
          <w:rFonts w:ascii="宋体" w:hAnsi="宋体"/>
          <w:color w:val="auto"/>
          <w:szCs w:val="21"/>
          <w:highlight w:val="none"/>
          <w:u w:val="single"/>
        </w:rPr>
        <w:t>投标文件中的大写金额和小写金额不一致的，以大写金额为准。</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条款号：13.3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13.3</w:t>
      </w:r>
      <w:r>
        <w:rPr>
          <w:rStyle w:val="35"/>
          <w:rFonts w:hint="eastAsia" w:ascii="宋体" w:hAnsi="宋体"/>
          <w:color w:val="auto"/>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13.3</w:t>
      </w:r>
      <w:r>
        <w:rPr>
          <w:rFonts w:hint="eastAsia" w:ascii="宋体" w:hAnsi="宋体" w:cs="宋体"/>
          <w:color w:val="auto"/>
          <w:szCs w:val="21"/>
          <w:highlight w:val="none"/>
        </w:rPr>
        <w:t>投标人的投标报价，应是按照投标须知前附表第8项的工期要求，在投标须知前附表第3项的建设地点，完成投标须知前附表第7项的招标范围内已由招标</w:t>
      </w:r>
      <w:r>
        <w:rPr>
          <w:rStyle w:val="35"/>
          <w:rFonts w:hint="eastAsia" w:ascii="宋体" w:hAnsi="宋体"/>
          <w:color w:val="auto"/>
          <w:highlight w:val="none"/>
        </w:rPr>
        <w:t>人</w:t>
      </w:r>
      <w:r>
        <w:rPr>
          <w:rStyle w:val="35"/>
          <w:rFonts w:hint="eastAsia" w:ascii="宋体" w:hAnsi="宋体"/>
          <w:color w:val="auto"/>
          <w:highlight w:val="none"/>
          <w:u w:val="single"/>
        </w:rPr>
        <w:t>提供的招标图纸（包括有关于本项目招标的相关资料）及</w:t>
      </w:r>
      <w:r>
        <w:rPr>
          <w:rStyle w:val="35"/>
          <w:rFonts w:hint="eastAsia" w:ascii="宋体" w:hAnsi="宋体"/>
          <w:color w:val="auto"/>
          <w:highlight w:val="none"/>
        </w:rPr>
        <w:t>制定的工程量清单列明工作的全部费用，包括但不限于完成工作的成本、利润、税金、技术措施费、大型机械进出场费、风险费以及政策性</w:t>
      </w:r>
      <w:r>
        <w:rPr>
          <w:rFonts w:hint="eastAsia" w:ascii="宋体" w:hAnsi="宋体" w:cs="宋体"/>
          <w:color w:val="auto"/>
          <w:szCs w:val="21"/>
          <w:highlight w:val="none"/>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条款号：13.4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13.4</w:t>
      </w:r>
      <w:r>
        <w:rPr>
          <w:rStyle w:val="35"/>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13.4</w:t>
      </w:r>
      <w:r>
        <w:rPr>
          <w:rStyle w:val="35"/>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w:t>
      </w:r>
      <w:r>
        <w:rPr>
          <w:rFonts w:hint="eastAsia" w:ascii="宋体" w:hAnsi="宋体" w:cs="宋体"/>
          <w:color w:val="auto"/>
          <w:szCs w:val="21"/>
          <w:highlight w:val="none"/>
          <w:u w:val="single"/>
        </w:rPr>
        <w:t>。</w:t>
      </w:r>
      <w:r>
        <w:rPr>
          <w:rStyle w:val="35"/>
          <w:rFonts w:hint="eastAsia" w:ascii="宋体" w:hAnsi="宋体"/>
          <w:color w:val="auto"/>
          <w:szCs w:val="21"/>
          <w:highlight w:val="none"/>
        </w:rPr>
        <w:t>因应计算的实际工程量与招标工程量清单出现偏差或因工程变更等原因导致的工程量偏差，引起相关措施项目相应发生变化时，</w:t>
      </w:r>
      <w:r>
        <w:rPr>
          <w:rStyle w:val="35"/>
          <w:rFonts w:hint="eastAsia" w:ascii="宋体" w:hAnsi="宋体"/>
          <w:bCs/>
          <w:color w:val="auto"/>
          <w:szCs w:val="21"/>
          <w:highlight w:val="none"/>
          <w:u w:val="single"/>
        </w:rPr>
        <w:t>变更结算方式按施工合同条款相关规定执行。</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条款号：13.5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bCs/>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20" w:firstLineChars="200"/>
        <w:rPr>
          <w:rStyle w:val="35"/>
          <w:rFonts w:hint="eastAsia" w:ascii="宋体" w:hAnsi="宋体"/>
          <w:b/>
          <w:color w:val="auto"/>
          <w:szCs w:val="21"/>
          <w:highlight w:val="none"/>
        </w:rPr>
      </w:pPr>
      <w:r>
        <w:rPr>
          <w:rStyle w:val="35"/>
          <w:rFonts w:ascii="宋体" w:hAnsi="宋体"/>
          <w:bCs/>
          <w:color w:val="auto"/>
          <w:szCs w:val="21"/>
          <w:highlight w:val="none"/>
        </w:rPr>
        <w:t>13.5.1中标的投标文件工程量清单中已有相同项目的适用综合单价，则沿用；</w:t>
      </w:r>
    </w:p>
    <w:p>
      <w:pPr>
        <w:spacing w:line="360" w:lineRule="auto"/>
        <w:ind w:firstLine="420" w:firstLineChars="200"/>
        <w:rPr>
          <w:rStyle w:val="35"/>
          <w:rFonts w:hint="eastAsia" w:ascii="宋体" w:hAnsi="宋体"/>
          <w:b/>
          <w:color w:val="auto"/>
          <w:szCs w:val="21"/>
          <w:highlight w:val="none"/>
        </w:rPr>
      </w:pPr>
      <w:r>
        <w:rPr>
          <w:rStyle w:val="35"/>
          <w:rFonts w:ascii="宋体" w:hAnsi="宋体"/>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r>
        <w:rPr>
          <w:rStyle w:val="35"/>
          <w:rFonts w:hint="eastAsia" w:ascii="宋体" w:hAnsi="宋体"/>
          <w:bCs/>
          <w:color w:val="auto"/>
          <w:szCs w:val="21"/>
          <w:highlight w:val="none"/>
        </w:rPr>
        <w:t>；</w:t>
      </w:r>
    </w:p>
    <w:p>
      <w:pPr>
        <w:spacing w:line="360" w:lineRule="auto"/>
        <w:ind w:firstLine="420" w:firstLineChars="200"/>
        <w:rPr>
          <w:rStyle w:val="35"/>
          <w:rFonts w:hint="eastAsia" w:ascii="宋体" w:hAnsi="宋体"/>
          <w:bCs/>
          <w:color w:val="auto"/>
          <w:szCs w:val="21"/>
          <w:highlight w:val="none"/>
        </w:rPr>
      </w:pPr>
      <w:r>
        <w:rPr>
          <w:rStyle w:val="35"/>
          <w:rFonts w:ascii="宋体" w:hAnsi="宋体"/>
          <w:bCs/>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r>
        <w:rPr>
          <w:rStyle w:val="35"/>
          <w:rFonts w:hint="eastAsia" w:ascii="宋体" w:hAnsi="宋体"/>
          <w:bCs/>
          <w:color w:val="auto"/>
          <w:szCs w:val="21"/>
          <w:highlight w:val="none"/>
        </w:rPr>
        <w:t>；</w:t>
      </w:r>
    </w:p>
    <w:p>
      <w:pPr>
        <w:spacing w:line="360" w:lineRule="auto"/>
        <w:ind w:firstLine="420" w:firstLineChars="200"/>
        <w:rPr>
          <w:rStyle w:val="35"/>
          <w:rFonts w:hint="eastAsia" w:ascii="宋体" w:hAnsi="宋体"/>
          <w:b/>
          <w:color w:val="auto"/>
          <w:szCs w:val="21"/>
          <w:highlight w:val="none"/>
        </w:rPr>
      </w:pPr>
      <w:r>
        <w:rPr>
          <w:rStyle w:val="35"/>
          <w:rFonts w:ascii="宋体" w:hAnsi="宋体"/>
          <w:bCs/>
          <w:color w:val="auto"/>
          <w:szCs w:val="21"/>
          <w:highlight w:val="none"/>
        </w:rPr>
        <w:t>13.5.4 如相关定额没有相应子目的，其计价方式由招标人在本招标文件第三章中另行规定。未规定的，中标后双方协商约定。</w:t>
      </w:r>
    </w:p>
    <w:p>
      <w:pPr>
        <w:pBdr>
          <w:bottom w:val="single" w:color="000000" w:sz="6" w:space="1"/>
        </w:pBdr>
        <w:spacing w:line="360" w:lineRule="auto"/>
        <w:ind w:firstLine="422" w:firstLineChars="200"/>
        <w:rPr>
          <w:rStyle w:val="35"/>
          <w:rFonts w:hint="eastAsia" w:ascii="宋体" w:hAnsi="宋体"/>
          <w:bCs/>
          <w:color w:val="auto"/>
          <w:szCs w:val="21"/>
          <w:highlight w:val="none"/>
          <w:u w:val="single"/>
        </w:rPr>
      </w:pPr>
      <w:r>
        <w:rPr>
          <w:rStyle w:val="35"/>
          <w:rFonts w:ascii="宋体" w:hAnsi="宋体"/>
          <w:b/>
          <w:color w:val="auto"/>
          <w:szCs w:val="21"/>
          <w:highlight w:val="none"/>
        </w:rPr>
        <w:t>现文：</w:t>
      </w:r>
      <w:r>
        <w:rPr>
          <w:rStyle w:val="35"/>
          <w:rFonts w:hint="eastAsia" w:ascii="宋体" w:hAnsi="宋体"/>
          <w:bCs/>
          <w:color w:val="auto"/>
          <w:szCs w:val="21"/>
          <w:highlight w:val="none"/>
          <w:u w:val="single"/>
        </w:rPr>
        <w:t>13.5 变更结算方式按招标文件及施工合同条款相关规定执行。</w:t>
      </w:r>
    </w:p>
    <w:p>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条款号：15.2</w:t>
      </w:r>
      <w:r>
        <w:rPr>
          <w:rStyle w:val="35"/>
          <w:rFonts w:ascii="宋体" w:hAnsi="宋体"/>
          <w:b/>
          <w:color w:val="auto"/>
          <w:szCs w:val="21"/>
          <w:highlight w:val="none"/>
        </w:rPr>
        <w:t xml:space="preserve">          </w:t>
      </w:r>
      <w:r>
        <w:rPr>
          <w:rFonts w:hint="eastAsia" w:ascii="宋体" w:hAnsi="宋体" w:cs="宋体"/>
          <w:b/>
          <w:color w:val="auto"/>
          <w:szCs w:val="21"/>
          <w:highlight w:val="none"/>
        </w:rPr>
        <w:t>修改类型：修改</w:t>
      </w:r>
    </w:p>
    <w:p>
      <w:pPr>
        <w:spacing w:line="440" w:lineRule="exact"/>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原文：15.2</w:t>
      </w:r>
      <w:r>
        <w:rPr>
          <w:rFonts w:hint="eastAsia" w:ascii="宋体" w:hAnsi="宋体" w:cs="宋体"/>
          <w:bCs/>
          <w:color w:val="auto"/>
          <w:szCs w:val="21"/>
          <w:highlight w:val="none"/>
        </w:rPr>
        <w:t xml:space="preserve">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cs="宋体"/>
          <w:color w:val="auto"/>
          <w:szCs w:val="21"/>
          <w:highlight w:val="none"/>
        </w:rPr>
        <w:t>。</w:t>
      </w:r>
    </w:p>
    <w:p>
      <w:pPr>
        <w:pBdr>
          <w:bottom w:val="single" w:color="000000" w:sz="6" w:space="1"/>
        </w:pBdr>
        <w:spacing w:line="360" w:lineRule="auto"/>
        <w:ind w:firstLine="422" w:firstLineChars="200"/>
        <w:rPr>
          <w:rStyle w:val="35"/>
          <w:rFonts w:hint="eastAsia" w:ascii="宋体" w:hAnsi="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kern w:val="0"/>
          <w:szCs w:val="21"/>
          <w:highlight w:val="none"/>
        </w:rPr>
        <w:t xml:space="preserve">15.2 </w:t>
      </w:r>
      <w:r>
        <w:rPr>
          <w:rFonts w:hint="eastAsia" w:ascii="宋体" w:hAnsi="宋体" w:cs="宋体"/>
          <w:color w:val="auto"/>
          <w:kern w:val="0"/>
          <w:szCs w:val="21"/>
          <w:highlight w:val="none"/>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hint="eastAsia" w:ascii="宋体" w:hAnsi="宋体" w:cs="宋体"/>
          <w:color w:val="auto"/>
          <w:szCs w:val="21"/>
          <w:highlight w:val="none"/>
        </w:rPr>
        <w:t>。</w:t>
      </w:r>
    </w:p>
    <w:p>
      <w:pPr>
        <w:pBdr>
          <w:top w:val="single" w:color="auto" w:sz="4" w:space="1"/>
        </w:pBdr>
        <w:spacing w:line="360" w:lineRule="auto"/>
        <w:ind w:firstLine="413" w:firstLineChars="196"/>
        <w:rPr>
          <w:rFonts w:hint="eastAsia" w:ascii="宋体" w:hAnsi="宋体" w:eastAsia="宋体" w:cs="宋体"/>
          <w:b/>
          <w:color w:val="auto"/>
          <w:sz w:val="21"/>
          <w:szCs w:val="21"/>
          <w:highlight w:val="none"/>
        </w:rPr>
      </w:pPr>
      <w:r>
        <w:rPr>
          <w:rStyle w:val="35"/>
          <w:rFonts w:hint="eastAsia" w:ascii="宋体" w:hAnsi="宋体" w:cs="宋体"/>
          <w:b/>
          <w:bCs/>
          <w:color w:val="auto"/>
          <w:sz w:val="21"/>
          <w:szCs w:val="21"/>
          <w:highlight w:val="none"/>
        </w:rPr>
        <w:t>条款号</w:t>
      </w:r>
      <w:r>
        <w:rPr>
          <w:rStyle w:val="35"/>
          <w:rFonts w:hint="eastAsia" w:ascii="宋体" w:hAnsi="宋体" w:cs="宋体"/>
          <w:color w:val="auto"/>
          <w:sz w:val="21"/>
          <w:szCs w:val="21"/>
          <w:highlight w:val="none"/>
        </w:rPr>
        <w:t>：</w:t>
      </w:r>
      <w:r>
        <w:rPr>
          <w:rStyle w:val="35"/>
          <w:rFonts w:hint="eastAsia" w:ascii="宋体" w:hAnsi="宋体" w:cs="宋体"/>
          <w:b/>
          <w:color w:val="auto"/>
          <w:sz w:val="21"/>
          <w:szCs w:val="21"/>
          <w:highlight w:val="none"/>
        </w:rPr>
        <w:t>16.1.3</w:t>
      </w:r>
      <w:r>
        <w:rPr>
          <w:rStyle w:val="35"/>
          <w:rFonts w:hint="eastAsia" w:ascii="宋体" w:hAnsi="宋体" w:cs="宋体"/>
          <w:color w:val="auto"/>
          <w:sz w:val="21"/>
          <w:szCs w:val="21"/>
          <w:highlight w:val="none"/>
        </w:rPr>
        <w:t xml:space="preserve">   </w:t>
      </w:r>
      <w:r>
        <w:rPr>
          <w:rFonts w:hint="eastAsia" w:ascii="宋体" w:hAnsi="宋体" w:eastAsia="宋体" w:cs="宋体"/>
          <w:b/>
          <w:color w:val="auto"/>
          <w:sz w:val="21"/>
          <w:szCs w:val="21"/>
          <w:highlight w:val="none"/>
        </w:rPr>
        <w:t xml:space="preserve">          修改类型：修改</w:t>
      </w:r>
    </w:p>
    <w:p>
      <w:pPr>
        <w:spacing w:line="440" w:lineRule="exact"/>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16.1.3采用电子形式的保函、担保或保证保险提交投标保证金的，应在招标文件中明确电子递交途径。</w:t>
      </w:r>
    </w:p>
    <w:p>
      <w:pPr>
        <w:pBdr>
          <w:bottom w:val="single" w:color="auto" w:sz="6" w:space="1"/>
        </w:pBdr>
        <w:spacing w:line="360" w:lineRule="auto"/>
        <w:ind w:firstLine="498" w:firstLineChars="23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16.1.3 采用电子形式的保函、担保或保证保险提交投标保证金的</w:t>
      </w:r>
      <w:r>
        <w:rPr>
          <w:rFonts w:hint="eastAsia" w:ascii="宋体" w:hAnsi="宋体" w:eastAsia="宋体" w:cs="宋体"/>
          <w:color w:val="auto"/>
          <w:sz w:val="21"/>
          <w:szCs w:val="21"/>
          <w:highlight w:val="none"/>
          <w:u w:val="single"/>
        </w:rPr>
        <w:t>，具体操作请自行咨询广州公共资源交易中心。</w:t>
      </w:r>
    </w:p>
    <w:p>
      <w:pPr>
        <w:spacing w:line="360" w:lineRule="auto"/>
        <w:ind w:firstLine="472" w:firstLineChars="224"/>
        <w:rPr>
          <w:rStyle w:val="35"/>
          <w:rFonts w:hint="eastAsia" w:ascii="宋体" w:hAnsi="宋体" w:cs="宋体"/>
          <w:b/>
          <w:color w:val="auto"/>
          <w:sz w:val="21"/>
          <w:szCs w:val="21"/>
          <w:highlight w:val="none"/>
        </w:rPr>
      </w:pPr>
      <w:r>
        <w:rPr>
          <w:rStyle w:val="35"/>
          <w:rFonts w:hint="eastAsia" w:ascii="宋体" w:hAnsi="宋体" w:cs="宋体"/>
          <w:b/>
          <w:color w:val="auto"/>
          <w:sz w:val="21"/>
          <w:szCs w:val="21"/>
          <w:highlight w:val="none"/>
        </w:rPr>
        <w:t>条款号：16.4          修改类型：修改</w:t>
      </w:r>
    </w:p>
    <w:p>
      <w:pPr>
        <w:spacing w:line="360" w:lineRule="auto"/>
        <w:ind w:firstLine="472" w:firstLineChars="224"/>
        <w:rPr>
          <w:rStyle w:val="35"/>
          <w:rFonts w:hint="eastAsia" w:ascii="宋体" w:hAnsi="宋体" w:cs="宋体"/>
          <w:b/>
          <w:color w:val="auto"/>
          <w:sz w:val="21"/>
          <w:szCs w:val="21"/>
          <w:highlight w:val="none"/>
        </w:rPr>
      </w:pPr>
      <w:r>
        <w:rPr>
          <w:rStyle w:val="35"/>
          <w:rFonts w:hint="eastAsia" w:ascii="宋体" w:hAnsi="宋体" w:cs="宋体"/>
          <w:b/>
          <w:color w:val="auto"/>
          <w:sz w:val="21"/>
          <w:szCs w:val="21"/>
          <w:highlight w:val="none"/>
        </w:rPr>
        <w:t>原文：</w:t>
      </w:r>
      <w:r>
        <w:rPr>
          <w:rStyle w:val="35"/>
          <w:rFonts w:hint="eastAsia" w:ascii="宋体" w:hAnsi="宋体" w:cs="宋体"/>
          <w:b/>
          <w:color w:val="auto"/>
          <w:sz w:val="21"/>
          <w:szCs w:val="21"/>
          <w:highlight w:val="none"/>
          <w:lang w:val="en-US"/>
        </w:rPr>
        <w:t>16.4</w:t>
      </w:r>
      <w:r>
        <w:rPr>
          <w:rStyle w:val="35"/>
          <w:rFonts w:hint="eastAsia" w:ascii="宋体" w:hAnsi="宋体" w:cs="宋体"/>
          <w:color w:val="auto"/>
          <w:sz w:val="21"/>
          <w:szCs w:val="21"/>
          <w:highlight w:val="none"/>
        </w:rPr>
        <w:t>如有下列情况之一的，招标人可以不予退还投标保证金（是否退还投标保证金由招标人在招标文件中规定）：</w:t>
      </w:r>
    </w:p>
    <w:p>
      <w:pPr>
        <w:pBdr>
          <w:bottom w:val="single" w:color="000000" w:sz="6" w:space="1"/>
        </w:pBdr>
        <w:spacing w:line="360" w:lineRule="auto"/>
        <w:ind w:firstLine="527" w:firstLineChars="250"/>
        <w:rPr>
          <w:rStyle w:val="35"/>
          <w:rFonts w:hint="eastAsia" w:ascii="宋体" w:hAnsi="宋体" w:cs="宋体"/>
          <w:color w:val="auto"/>
          <w:sz w:val="21"/>
          <w:szCs w:val="21"/>
          <w:highlight w:val="none"/>
        </w:rPr>
      </w:pPr>
      <w:r>
        <w:rPr>
          <w:rStyle w:val="35"/>
          <w:rFonts w:hint="eastAsia" w:ascii="宋体" w:hAnsi="宋体" w:cs="宋体"/>
          <w:b/>
          <w:color w:val="auto"/>
          <w:sz w:val="21"/>
          <w:szCs w:val="21"/>
          <w:highlight w:val="none"/>
        </w:rPr>
        <w:t>现文：</w:t>
      </w:r>
      <w:r>
        <w:rPr>
          <w:rStyle w:val="35"/>
          <w:rFonts w:hint="eastAsia" w:ascii="宋体" w:hAnsi="宋体" w:cs="宋体"/>
          <w:b/>
          <w:color w:val="auto"/>
          <w:sz w:val="21"/>
          <w:szCs w:val="21"/>
          <w:highlight w:val="none"/>
          <w:lang w:val="en-US"/>
        </w:rPr>
        <w:t>16.4</w:t>
      </w:r>
      <w:r>
        <w:rPr>
          <w:rStyle w:val="35"/>
          <w:rFonts w:hint="eastAsia" w:ascii="宋体" w:hAnsi="宋体" w:cs="宋体"/>
          <w:color w:val="auto"/>
          <w:sz w:val="21"/>
          <w:szCs w:val="21"/>
          <w:highlight w:val="none"/>
        </w:rPr>
        <w:t>如有下列情况之一的，招标人不予退还投标保证金：</w:t>
      </w:r>
    </w:p>
    <w:p>
      <w:pPr>
        <w:spacing w:line="360" w:lineRule="auto"/>
        <w:ind w:firstLine="472" w:firstLineChars="224"/>
        <w:rPr>
          <w:rStyle w:val="35"/>
          <w:rFonts w:hint="eastAsia" w:ascii="宋体" w:hAnsi="宋体" w:cs="宋体"/>
          <w:b/>
          <w:color w:val="auto"/>
          <w:sz w:val="21"/>
          <w:szCs w:val="21"/>
          <w:highlight w:val="none"/>
        </w:rPr>
      </w:pPr>
      <w:r>
        <w:rPr>
          <w:rStyle w:val="35"/>
          <w:rFonts w:hint="eastAsia" w:ascii="宋体" w:hAnsi="宋体" w:cs="宋体"/>
          <w:b/>
          <w:color w:val="auto"/>
          <w:sz w:val="21"/>
          <w:szCs w:val="21"/>
          <w:highlight w:val="none"/>
        </w:rPr>
        <w:t>条款号：16.5            修改类型：修改</w:t>
      </w:r>
    </w:p>
    <w:p>
      <w:pPr>
        <w:spacing w:line="360" w:lineRule="auto"/>
        <w:ind w:firstLine="472" w:firstLineChars="224"/>
        <w:rPr>
          <w:rStyle w:val="35"/>
          <w:rFonts w:hint="eastAsia" w:ascii="宋体" w:hAnsi="宋体" w:cs="宋体"/>
          <w:color w:val="auto"/>
          <w:sz w:val="21"/>
          <w:szCs w:val="21"/>
          <w:highlight w:val="none"/>
        </w:rPr>
      </w:pPr>
      <w:r>
        <w:rPr>
          <w:rStyle w:val="35"/>
          <w:rFonts w:hint="eastAsia" w:ascii="宋体" w:hAnsi="宋体" w:cs="宋体"/>
          <w:b/>
          <w:color w:val="auto"/>
          <w:sz w:val="21"/>
          <w:szCs w:val="21"/>
          <w:highlight w:val="none"/>
        </w:rPr>
        <w:t>原文：</w:t>
      </w:r>
      <w:r>
        <w:rPr>
          <w:rStyle w:val="35"/>
          <w:rFonts w:hint="eastAsia" w:ascii="宋体" w:hAnsi="宋体" w:cs="宋体"/>
          <w:color w:val="auto"/>
          <w:sz w:val="21"/>
          <w:szCs w:val="21"/>
          <w:highlight w:val="none"/>
        </w:rPr>
        <w:t>16.5投标人如存在下列情况之一的，将被拒绝在一定时期内参与招标人后续工程投标（拒绝时限需在招标文件中明确）：</w:t>
      </w:r>
    </w:p>
    <w:p>
      <w:pPr>
        <w:spacing w:line="360" w:lineRule="auto"/>
        <w:ind w:firstLine="470" w:firstLineChars="224"/>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16.5.1投标人存在16.4条款所列情形且投标人提交的保函、担保或保证保险无法兑付的；</w:t>
      </w:r>
    </w:p>
    <w:p>
      <w:pPr>
        <w:spacing w:line="360" w:lineRule="auto"/>
        <w:ind w:firstLine="470" w:firstLineChars="224"/>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0" w:firstLineChars="224"/>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16.5.3按招标文件要求免于提供投标保证金的投标人存在16.4条款所列情形，且未按招标人要求补交投标保证金的；</w:t>
      </w:r>
    </w:p>
    <w:p>
      <w:pPr>
        <w:spacing w:line="360" w:lineRule="auto"/>
        <w:ind w:firstLine="470" w:firstLineChars="224"/>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16.5.3按招标文件要求免于提供投标保证金的投标人存在16.4条款所列情形的。</w:t>
      </w:r>
    </w:p>
    <w:p>
      <w:pPr>
        <w:spacing w:line="360" w:lineRule="auto"/>
        <w:ind w:firstLine="470" w:firstLineChars="224"/>
        <w:rPr>
          <w:rStyle w:val="35"/>
          <w:rFonts w:hint="eastAsia" w:ascii="宋体" w:hAnsi="宋体" w:cs="宋体"/>
          <w:b/>
          <w:color w:val="auto"/>
          <w:sz w:val="21"/>
          <w:szCs w:val="21"/>
          <w:highlight w:val="none"/>
        </w:rPr>
      </w:pPr>
      <w:r>
        <w:rPr>
          <w:rStyle w:val="35"/>
          <w:rFonts w:hint="eastAsia" w:ascii="宋体" w:hAnsi="宋体" w:cs="宋体"/>
          <w:color w:val="auto"/>
          <w:sz w:val="21"/>
          <w:szCs w:val="21"/>
          <w:highlight w:val="none"/>
        </w:rPr>
        <w:t>注：16.5.3款由招标人二选一，需在招标文件中明确。</w:t>
      </w:r>
    </w:p>
    <w:p>
      <w:pPr>
        <w:pBdr>
          <w:bottom w:val="single" w:color="000000" w:sz="6" w:space="1"/>
        </w:pBdr>
        <w:spacing w:line="360" w:lineRule="auto"/>
        <w:ind w:firstLine="527" w:firstLineChars="250"/>
        <w:rPr>
          <w:rStyle w:val="35"/>
          <w:rFonts w:hint="eastAsia" w:ascii="宋体" w:hAnsi="宋体" w:cs="宋体"/>
          <w:color w:val="auto"/>
          <w:sz w:val="21"/>
          <w:szCs w:val="21"/>
          <w:highlight w:val="none"/>
        </w:rPr>
      </w:pPr>
      <w:r>
        <w:rPr>
          <w:rStyle w:val="35"/>
          <w:rFonts w:hint="eastAsia" w:ascii="宋体" w:hAnsi="宋体" w:cs="宋体"/>
          <w:b/>
          <w:color w:val="auto"/>
          <w:sz w:val="21"/>
          <w:szCs w:val="21"/>
          <w:highlight w:val="none"/>
        </w:rPr>
        <w:t>现文：</w:t>
      </w:r>
      <w:r>
        <w:rPr>
          <w:rStyle w:val="35"/>
          <w:rFonts w:hint="eastAsia" w:ascii="宋体" w:hAnsi="宋体" w:cs="宋体"/>
          <w:color w:val="auto"/>
          <w:sz w:val="21"/>
          <w:szCs w:val="21"/>
          <w:highlight w:val="none"/>
        </w:rPr>
        <w:t>16.5投标人如存在下列情况之一的，将被拒绝在</w:t>
      </w:r>
      <w:r>
        <w:rPr>
          <w:rStyle w:val="35"/>
          <w:rFonts w:hint="eastAsia" w:ascii="宋体" w:hAnsi="宋体" w:cs="宋体"/>
          <w:color w:val="auto"/>
          <w:sz w:val="21"/>
          <w:szCs w:val="21"/>
          <w:highlight w:val="none"/>
          <w:u w:val="single"/>
        </w:rPr>
        <w:t>一年</w:t>
      </w:r>
      <w:r>
        <w:rPr>
          <w:rStyle w:val="35"/>
          <w:rFonts w:hint="eastAsia" w:ascii="宋体" w:hAnsi="宋体" w:cs="宋体"/>
          <w:color w:val="auto"/>
          <w:sz w:val="21"/>
          <w:szCs w:val="21"/>
          <w:highlight w:val="none"/>
        </w:rPr>
        <w:t>内参与招标人后续工程投标：</w:t>
      </w:r>
    </w:p>
    <w:p>
      <w:pPr>
        <w:pBdr>
          <w:bottom w:val="single" w:color="000000" w:sz="6" w:space="1"/>
        </w:pBdr>
        <w:spacing w:line="360" w:lineRule="auto"/>
        <w:ind w:firstLine="525" w:firstLineChars="250"/>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16.5.1投标人存在16.4条款所列情形且投标人提交的保函、担保或保证保险无法兑付的；</w:t>
      </w:r>
    </w:p>
    <w:p>
      <w:pPr>
        <w:pBdr>
          <w:bottom w:val="single" w:color="000000" w:sz="6" w:space="1"/>
        </w:pBdr>
        <w:spacing w:line="360" w:lineRule="auto"/>
        <w:ind w:firstLine="525" w:firstLineChars="250"/>
        <w:rPr>
          <w:rStyle w:val="35"/>
          <w:rFonts w:hint="eastAsia" w:ascii="宋体" w:hAnsi="宋体" w:cs="宋体"/>
          <w:color w:val="auto"/>
          <w:sz w:val="21"/>
          <w:szCs w:val="21"/>
          <w:highlight w:val="none"/>
        </w:rPr>
      </w:pPr>
      <w:r>
        <w:rPr>
          <w:rStyle w:val="35"/>
          <w:rFonts w:hint="eastAsia" w:ascii="宋体" w:hAnsi="宋体" w:cs="宋体"/>
          <w:color w:val="auto"/>
          <w:sz w:val="21"/>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条款号：17.1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17.1投标人应采用单位数字证书，按招标文件要求在相应位置加盖电子印章。投标文件中需个人签字或盖章的，</w:t>
      </w:r>
      <w:r>
        <w:rPr>
          <w:rStyle w:val="35"/>
          <w:rFonts w:hint="eastAsia" w:ascii="宋体" w:hAnsi="宋体"/>
          <w:color w:val="auto"/>
          <w:szCs w:val="21"/>
          <w:highlight w:val="none"/>
        </w:rPr>
        <w:t>应加盖个人电子印章或在线下完成后扫描上传</w:t>
      </w:r>
      <w:r>
        <w:rPr>
          <w:rStyle w:val="35"/>
          <w:rFonts w:ascii="宋体" w:hAnsi="宋体"/>
          <w:color w:val="auto"/>
          <w:szCs w:val="21"/>
          <w:highlight w:val="none"/>
        </w:rPr>
        <w:t>。按照</w:t>
      </w:r>
      <w:r>
        <w:rPr>
          <w:rStyle w:val="35"/>
          <w:rFonts w:hint="eastAsia" w:ascii="宋体" w:hAnsi="宋体"/>
          <w:color w:val="auto"/>
          <w:highlight w:val="none"/>
          <w:u w:val="single"/>
        </w:rPr>
        <w:t>广州交易集团有限公司（广州公共资源交易中心）</w:t>
      </w:r>
      <w:r>
        <w:rPr>
          <w:rStyle w:val="35"/>
          <w:rFonts w:ascii="宋体" w:hAnsi="宋体"/>
          <w:color w:val="auto"/>
          <w:szCs w:val="21"/>
          <w:highlight w:val="none"/>
        </w:rPr>
        <w:t>交易平台关于全流程电子化项目的相关指南进行操作。详见：</w:t>
      </w:r>
      <w:r>
        <w:rPr>
          <w:rStyle w:val="35"/>
          <w:rFonts w:hint="eastAsia" w:ascii="宋体" w:hAnsi="宋体"/>
          <w:color w:val="auto"/>
          <w:highlight w:val="none"/>
          <w:u w:val="single"/>
        </w:rPr>
        <w:t>广州公共资源交易中心网站最新指引</w:t>
      </w:r>
      <w:r>
        <w:rPr>
          <w:rStyle w:val="35"/>
          <w:rFonts w:ascii="宋体" w:hAnsi="宋体"/>
          <w:color w:val="auto"/>
          <w:szCs w:val="21"/>
          <w:highlight w:val="none"/>
          <w:u w:val="single"/>
        </w:rPr>
        <w:t>。</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条款号：18.1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18.1</w:t>
      </w:r>
      <w:r>
        <w:rPr>
          <w:rStyle w:val="35"/>
          <w:rFonts w:ascii="宋体" w:hAnsi="宋体"/>
          <w:bCs/>
          <w:color w:val="auto"/>
          <w:szCs w:val="21"/>
          <w:highlight w:val="none"/>
        </w:rPr>
        <w:t>递交的电子投标文件（不含备用光盘）必须进行加密。按照交易平台关于</w:t>
      </w:r>
      <w:r>
        <w:rPr>
          <w:rStyle w:val="35"/>
          <w:rFonts w:ascii="宋体" w:hAnsi="宋体"/>
          <w:color w:val="auto"/>
          <w:szCs w:val="21"/>
          <w:highlight w:val="none"/>
        </w:rPr>
        <w:t>全流程电子化项目的相关指南进行操作。详见：</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18.1</w:t>
      </w:r>
      <w:r>
        <w:rPr>
          <w:rStyle w:val="35"/>
          <w:rFonts w:ascii="宋体" w:hAnsi="宋体"/>
          <w:bCs/>
          <w:color w:val="auto"/>
          <w:szCs w:val="21"/>
          <w:highlight w:val="none"/>
        </w:rPr>
        <w:t>递交的电子投标文件（不含备用光盘）必须进行加密。按照</w:t>
      </w:r>
      <w:r>
        <w:rPr>
          <w:rStyle w:val="35"/>
          <w:rFonts w:hint="eastAsia" w:ascii="宋体" w:hAnsi="宋体"/>
          <w:color w:val="auto"/>
          <w:highlight w:val="none"/>
          <w:u w:val="single"/>
        </w:rPr>
        <w:t>广州交易集团有限公司（广州公共资源交易中心）</w:t>
      </w:r>
      <w:r>
        <w:rPr>
          <w:rStyle w:val="35"/>
          <w:rFonts w:ascii="宋体" w:hAnsi="宋体"/>
          <w:bCs/>
          <w:color w:val="auto"/>
          <w:szCs w:val="21"/>
          <w:highlight w:val="none"/>
        </w:rPr>
        <w:t>交易平台关于</w:t>
      </w:r>
      <w:r>
        <w:rPr>
          <w:rStyle w:val="35"/>
          <w:rFonts w:ascii="宋体" w:hAnsi="宋体"/>
          <w:color w:val="auto"/>
          <w:szCs w:val="21"/>
          <w:highlight w:val="none"/>
        </w:rPr>
        <w:t>全流程电子化项目的相关指南进行操作。详见：</w:t>
      </w:r>
      <w:r>
        <w:rPr>
          <w:rStyle w:val="35"/>
          <w:rFonts w:hint="eastAsia" w:ascii="宋体" w:hAnsi="宋体"/>
          <w:color w:val="auto"/>
          <w:highlight w:val="none"/>
          <w:u w:val="single"/>
        </w:rPr>
        <w:t>广州公共资源交易中心网站最新指引</w:t>
      </w:r>
      <w:r>
        <w:rPr>
          <w:rStyle w:val="35"/>
          <w:rFonts w:ascii="宋体" w:hAnsi="宋体"/>
          <w:color w:val="auto"/>
          <w:szCs w:val="21"/>
          <w:highlight w:val="none"/>
          <w:u w:val="single"/>
        </w:rPr>
        <w:t>。</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条款号：18.2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18.2</w:t>
      </w:r>
      <w:r>
        <w:rPr>
          <w:rStyle w:val="35"/>
          <w:rFonts w:ascii="宋体" w:hAnsi="宋体"/>
          <w:bCs/>
          <w:color w:val="auto"/>
          <w:szCs w:val="21"/>
          <w:highlight w:val="none"/>
        </w:rPr>
        <w:t>未按要求加密的投标文件，</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w:t>
      </w:r>
      <w:r>
        <w:rPr>
          <w:rStyle w:val="35"/>
          <w:rFonts w:ascii="宋体" w:hAnsi="宋体"/>
          <w:bCs/>
          <w:color w:val="auto"/>
          <w:szCs w:val="21"/>
          <w:highlight w:val="none"/>
        </w:rPr>
        <w:t>将予以拒收。</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18.2</w:t>
      </w:r>
      <w:r>
        <w:rPr>
          <w:rStyle w:val="35"/>
          <w:rFonts w:ascii="宋体" w:hAnsi="宋体"/>
          <w:bCs/>
          <w:color w:val="auto"/>
          <w:szCs w:val="21"/>
          <w:highlight w:val="none"/>
        </w:rPr>
        <w:t>未按要求加密的投标文件，</w:t>
      </w:r>
      <w:r>
        <w:rPr>
          <w:rStyle w:val="35"/>
          <w:rFonts w:ascii="宋体" w:hAnsi="宋体"/>
          <w:bCs/>
          <w:color w:val="auto"/>
          <w:szCs w:val="21"/>
          <w:highlight w:val="none"/>
          <w:u w:val="single"/>
        </w:rPr>
        <w:t>广州公共资源交易中心</w:t>
      </w:r>
      <w:r>
        <w:rPr>
          <w:rStyle w:val="35"/>
          <w:rFonts w:ascii="宋体" w:hAnsi="宋体"/>
          <w:bCs/>
          <w:color w:val="auto"/>
          <w:szCs w:val="21"/>
          <w:highlight w:val="none"/>
        </w:rPr>
        <w:t>交易平</w:t>
      </w:r>
      <w:r>
        <w:rPr>
          <w:rStyle w:val="35"/>
          <w:rFonts w:ascii="宋体" w:hAnsi="宋体"/>
          <w:color w:val="auto"/>
          <w:szCs w:val="21"/>
          <w:highlight w:val="none"/>
        </w:rPr>
        <w:t>台</w:t>
      </w:r>
      <w:r>
        <w:rPr>
          <w:rStyle w:val="35"/>
          <w:rFonts w:ascii="宋体" w:hAnsi="宋体"/>
          <w:bCs/>
          <w:color w:val="auto"/>
          <w:szCs w:val="21"/>
          <w:highlight w:val="none"/>
        </w:rPr>
        <w:t>将予以拒收。</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条款号：19.1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19.1</w:t>
      </w:r>
      <w:r>
        <w:rPr>
          <w:rStyle w:val="35"/>
          <w:rFonts w:ascii="宋体" w:hAnsi="宋体"/>
          <w:bCs/>
          <w:color w:val="auto"/>
          <w:szCs w:val="21"/>
          <w:highlight w:val="none"/>
        </w:rPr>
        <w:t>投标人通过</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交易平台递交电子投标文件。</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19.1</w:t>
      </w:r>
      <w:r>
        <w:rPr>
          <w:rStyle w:val="35"/>
          <w:rFonts w:ascii="宋体" w:hAnsi="宋体"/>
          <w:bCs/>
          <w:color w:val="auto"/>
          <w:szCs w:val="21"/>
          <w:highlight w:val="none"/>
        </w:rPr>
        <w:t>投标人通过</w:t>
      </w:r>
      <w:r>
        <w:rPr>
          <w:rStyle w:val="35"/>
          <w:rFonts w:hint="eastAsia" w:ascii="宋体" w:hAnsi="宋体"/>
          <w:color w:val="auto"/>
          <w:highlight w:val="none"/>
          <w:u w:val="single"/>
        </w:rPr>
        <w:t>广州交易集团有限公司（广州公共资源交易中心）</w:t>
      </w:r>
      <w:r>
        <w:rPr>
          <w:rStyle w:val="35"/>
          <w:rFonts w:ascii="宋体" w:hAnsi="宋体"/>
          <w:bCs/>
          <w:color w:val="auto"/>
          <w:szCs w:val="21"/>
          <w:highlight w:val="none"/>
        </w:rPr>
        <w:t>交易平</w:t>
      </w:r>
      <w:r>
        <w:rPr>
          <w:rStyle w:val="35"/>
          <w:rFonts w:ascii="宋体" w:hAnsi="宋体"/>
          <w:color w:val="auto"/>
          <w:szCs w:val="21"/>
          <w:highlight w:val="none"/>
        </w:rPr>
        <w:t>台递交电子投标文件。</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条款号：19.2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19.2</w:t>
      </w:r>
      <w:r>
        <w:rPr>
          <w:rStyle w:val="35"/>
          <w:rFonts w:ascii="宋体" w:hAnsi="宋体"/>
          <w:bCs/>
          <w:color w:val="auto"/>
          <w:szCs w:val="21"/>
          <w:highlight w:val="none"/>
        </w:rPr>
        <w:t>投标人完成电子</w:t>
      </w:r>
      <w:r>
        <w:rPr>
          <w:rStyle w:val="35"/>
          <w:rFonts w:ascii="宋体" w:hAnsi="宋体"/>
          <w:color w:val="auto"/>
          <w:szCs w:val="21"/>
          <w:highlight w:val="none"/>
        </w:rPr>
        <w:t>投标文件</w:t>
      </w:r>
      <w:r>
        <w:rPr>
          <w:rStyle w:val="35"/>
          <w:rFonts w:ascii="宋体" w:hAnsi="宋体"/>
          <w:bCs/>
          <w:color w:val="auto"/>
          <w:szCs w:val="21"/>
          <w:highlight w:val="none"/>
        </w:rPr>
        <w:t>上传后，</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交易平台即时向投标人发出递交回执通知。递交时间以递交回执通知载明的传输完成时间为准。</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19.2</w:t>
      </w:r>
      <w:r>
        <w:rPr>
          <w:rStyle w:val="35"/>
          <w:rFonts w:ascii="宋体" w:hAnsi="宋体"/>
          <w:bCs/>
          <w:color w:val="auto"/>
          <w:szCs w:val="21"/>
          <w:highlight w:val="none"/>
        </w:rPr>
        <w:t>投标人完成电子</w:t>
      </w:r>
      <w:r>
        <w:rPr>
          <w:rStyle w:val="35"/>
          <w:rFonts w:ascii="宋体" w:hAnsi="宋体"/>
          <w:color w:val="auto"/>
          <w:szCs w:val="21"/>
          <w:highlight w:val="none"/>
        </w:rPr>
        <w:t>投标文件</w:t>
      </w:r>
      <w:r>
        <w:rPr>
          <w:rStyle w:val="35"/>
          <w:rFonts w:ascii="宋体" w:hAnsi="宋体"/>
          <w:bCs/>
          <w:color w:val="auto"/>
          <w:szCs w:val="21"/>
          <w:highlight w:val="none"/>
        </w:rPr>
        <w:t>上传后，</w:t>
      </w:r>
      <w:r>
        <w:rPr>
          <w:rStyle w:val="35"/>
          <w:rFonts w:hint="eastAsia" w:ascii="宋体" w:hAnsi="宋体"/>
          <w:color w:val="auto"/>
          <w:highlight w:val="none"/>
          <w:u w:val="single"/>
        </w:rPr>
        <w:t>广州交易集团有限公司（广州公共资源交易中心）</w:t>
      </w:r>
      <w:r>
        <w:rPr>
          <w:rStyle w:val="35"/>
          <w:rFonts w:ascii="宋体" w:hAnsi="宋体"/>
          <w:color w:val="auto"/>
          <w:szCs w:val="21"/>
          <w:highlight w:val="none"/>
        </w:rPr>
        <w:t>交易平台即时向投标人发出递交回执通知。递交时间以递交回执通知载明的传输完成时间为准。</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条款号：19.3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bCs/>
          <w:color w:val="auto"/>
          <w:szCs w:val="21"/>
          <w:highlight w:val="none"/>
        </w:rPr>
        <w:t>逾期送达的电子投标文件，</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交易平台将予以拒收。</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bCs/>
          <w:color w:val="auto"/>
          <w:szCs w:val="21"/>
          <w:highlight w:val="none"/>
        </w:rPr>
        <w:t>逾期送达的电子投标文件，</w:t>
      </w:r>
      <w:r>
        <w:rPr>
          <w:rStyle w:val="35"/>
          <w:rFonts w:hint="eastAsia" w:ascii="宋体" w:hAnsi="宋体"/>
          <w:color w:val="auto"/>
          <w:highlight w:val="none"/>
          <w:u w:val="single"/>
        </w:rPr>
        <w:t>广州交易集团有限公司（广州公共资源交易中心）</w:t>
      </w:r>
      <w:r>
        <w:rPr>
          <w:rStyle w:val="35"/>
          <w:rFonts w:ascii="宋体" w:hAnsi="宋体"/>
          <w:color w:val="auto"/>
          <w:szCs w:val="21"/>
          <w:highlight w:val="none"/>
        </w:rPr>
        <w:t>交易平台将予以拒收。</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条款号：19.5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19.5如技术标和经济标先后分别开启，</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交易平台将按招标文件规定的时间分别开启技术标和经济标。</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19.5如技术标和经济标</w:t>
      </w:r>
      <w:r>
        <w:rPr>
          <w:rStyle w:val="35"/>
          <w:rFonts w:hint="eastAsia" w:ascii="宋体" w:hAnsi="宋体"/>
          <w:color w:val="auto"/>
          <w:szCs w:val="21"/>
          <w:highlight w:val="none"/>
        </w:rPr>
        <w:t>同时</w:t>
      </w:r>
      <w:r>
        <w:rPr>
          <w:rStyle w:val="35"/>
          <w:rFonts w:ascii="宋体" w:hAnsi="宋体"/>
          <w:color w:val="auto"/>
          <w:szCs w:val="21"/>
          <w:highlight w:val="none"/>
        </w:rPr>
        <w:t>开启，</w:t>
      </w:r>
      <w:r>
        <w:rPr>
          <w:rStyle w:val="35"/>
          <w:rFonts w:hint="eastAsia" w:ascii="宋体" w:hAnsi="宋体"/>
          <w:color w:val="auto"/>
          <w:highlight w:val="none"/>
          <w:u w:val="single"/>
        </w:rPr>
        <w:t>广州交易集团有限公司（广州公共资源交易中心）</w:t>
      </w:r>
      <w:r>
        <w:rPr>
          <w:rStyle w:val="35"/>
          <w:rFonts w:ascii="宋体" w:hAnsi="宋体"/>
          <w:color w:val="auto"/>
          <w:szCs w:val="21"/>
          <w:highlight w:val="none"/>
        </w:rPr>
        <w:t>交易平台将按招标文件规定的时间</w:t>
      </w:r>
      <w:r>
        <w:rPr>
          <w:rStyle w:val="35"/>
          <w:rFonts w:hint="eastAsia" w:ascii="宋体" w:hAnsi="宋体"/>
          <w:color w:val="auto"/>
          <w:szCs w:val="21"/>
          <w:highlight w:val="none"/>
        </w:rPr>
        <w:t>同时</w:t>
      </w:r>
      <w:r>
        <w:rPr>
          <w:rStyle w:val="35"/>
          <w:rFonts w:ascii="宋体" w:hAnsi="宋体"/>
          <w:color w:val="auto"/>
          <w:szCs w:val="21"/>
          <w:highlight w:val="none"/>
        </w:rPr>
        <w:t>开启技术标和经济标。</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条款号：20.3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u w:val="single"/>
        </w:rPr>
        <w:t>20.3到投标截止时间止，招标人收到的投标文件少于3家的，招标人将重新组织招标。</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条款号：21.1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21.1本须知前附表第17项规定的投标截止时间</w:t>
      </w:r>
      <w:r>
        <w:rPr>
          <w:rStyle w:val="35"/>
          <w:rFonts w:ascii="宋体" w:hAnsi="宋体"/>
          <w:bCs/>
          <w:color w:val="auto"/>
          <w:szCs w:val="21"/>
          <w:highlight w:val="none"/>
        </w:rPr>
        <w:t>后送达的电子投标文件，</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交易平台将予以拒收。</w:t>
      </w:r>
    </w:p>
    <w:p>
      <w:pPr>
        <w:pBdr>
          <w:bottom w:val="single" w:color="000000" w:sz="6" w:space="1"/>
        </w:pBdr>
        <w:spacing w:line="360" w:lineRule="auto"/>
        <w:ind w:firstLine="422" w:firstLineChars="200"/>
        <w:rPr>
          <w:rStyle w:val="35"/>
          <w:rFonts w:hint="eastAsia" w:ascii="宋体" w:hAnsi="宋体"/>
          <w:bCs/>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21.1本须知前附表第17项规定的投标截止时间</w:t>
      </w:r>
      <w:r>
        <w:rPr>
          <w:rStyle w:val="35"/>
          <w:rFonts w:ascii="宋体" w:hAnsi="宋体"/>
          <w:bCs/>
          <w:color w:val="auto"/>
          <w:szCs w:val="21"/>
          <w:highlight w:val="none"/>
        </w:rPr>
        <w:t>后送达的电子投标文件，</w:t>
      </w:r>
      <w:r>
        <w:rPr>
          <w:rStyle w:val="35"/>
          <w:rFonts w:hint="eastAsia" w:ascii="宋体" w:hAnsi="宋体"/>
          <w:color w:val="auto"/>
          <w:highlight w:val="none"/>
          <w:u w:val="single"/>
        </w:rPr>
        <w:t>广州交易集团有限公司（广州公共资源交易中心）</w:t>
      </w:r>
      <w:r>
        <w:rPr>
          <w:rStyle w:val="35"/>
          <w:rFonts w:ascii="宋体" w:hAnsi="宋体"/>
          <w:bCs/>
          <w:color w:val="auto"/>
          <w:szCs w:val="21"/>
          <w:highlight w:val="none"/>
        </w:rPr>
        <w:t>交易平台将予以拒收。</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条款号：27.1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27.1</w:t>
      </w:r>
      <w:r>
        <w:rPr>
          <w:rStyle w:val="35"/>
          <w:rFonts w:hint="eastAsia" w:ascii="宋体" w:hAnsi="宋体"/>
          <w:color w:val="auto"/>
          <w:szCs w:val="21"/>
          <w:highlight w:val="none"/>
        </w:rPr>
        <w:t>招标人将在</w:t>
      </w:r>
      <w:r>
        <w:rPr>
          <w:rStyle w:val="35"/>
          <w:rFonts w:hint="eastAsia" w:ascii="宋体" w:hAnsi="宋体"/>
          <w:color w:val="auto"/>
          <w:szCs w:val="21"/>
          <w:highlight w:val="none"/>
          <w:u w:val="single"/>
        </w:rPr>
        <w:t xml:space="preserve">    </w:t>
      </w:r>
      <w:r>
        <w:rPr>
          <w:rStyle w:val="35"/>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27.1招标人将在</w:t>
      </w:r>
      <w:r>
        <w:rPr>
          <w:rStyle w:val="35"/>
          <w:rFonts w:hint="eastAsia" w:ascii="宋体" w:hAnsi="宋体"/>
          <w:color w:val="auto"/>
          <w:highlight w:val="none"/>
          <w:u w:val="single"/>
        </w:rPr>
        <w:t>广州交易集团有限公司（广州公共资源交易中心）</w:t>
      </w:r>
      <w:r>
        <w:rPr>
          <w:rStyle w:val="35"/>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条款号：27.4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交易平台和广东省招标投标监管网公开。</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w:t>
      </w:r>
      <w:r>
        <w:rPr>
          <w:rFonts w:ascii="宋体" w:hAnsi="宋体"/>
          <w:color w:val="auto"/>
          <w:szCs w:val="21"/>
          <w:highlight w:val="none"/>
        </w:rPr>
        <w:t>在</w:t>
      </w:r>
      <w:r>
        <w:rPr>
          <w:rStyle w:val="35"/>
          <w:rFonts w:hint="eastAsia" w:ascii="宋体" w:hAnsi="宋体"/>
          <w:color w:val="auto"/>
          <w:highlight w:val="none"/>
          <w:u w:val="single"/>
        </w:rPr>
        <w:t>广州交易集团有限公司（广州公共资源交易中心）</w:t>
      </w:r>
      <w:r>
        <w:rPr>
          <w:rFonts w:ascii="宋体" w:hAnsi="宋体"/>
          <w:color w:val="auto"/>
          <w:szCs w:val="21"/>
          <w:highlight w:val="none"/>
        </w:rPr>
        <w:t>交易平台和广东省招标投标监管网公开。</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条款号：31.1          修改类型：增加</w:t>
      </w:r>
    </w:p>
    <w:p>
      <w:pPr>
        <w:pBdr>
          <w:bottom w:val="single" w:color="000000" w:sz="6" w:space="1"/>
        </w:pBdr>
        <w:spacing w:line="360" w:lineRule="auto"/>
        <w:ind w:firstLine="422" w:firstLineChars="200"/>
        <w:rPr>
          <w:rFonts w:hint="eastAsia" w:ascii="宋体" w:hAnsi="宋体"/>
          <w:bCs/>
          <w:color w:val="auto"/>
          <w:szCs w:val="21"/>
          <w:highlight w:val="none"/>
          <w:u w:val="single"/>
        </w:rPr>
      </w:pPr>
      <w:r>
        <w:rPr>
          <w:rStyle w:val="35"/>
          <w:rFonts w:ascii="宋体" w:hAnsi="宋体"/>
          <w:b/>
          <w:color w:val="auto"/>
          <w:szCs w:val="21"/>
          <w:highlight w:val="none"/>
        </w:rPr>
        <w:t>现文：</w:t>
      </w:r>
    </w:p>
    <w:p>
      <w:pPr>
        <w:pBdr>
          <w:bottom w:val="single" w:color="000000" w:sz="6" w:space="1"/>
        </w:pBd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w:t>
      </w:r>
      <w:r>
        <w:rPr>
          <w:rStyle w:val="35"/>
          <w:rFonts w:hint="eastAsia" w:ascii="宋体" w:hAnsi="宋体" w:cs="宋体"/>
          <w:color w:val="auto"/>
          <w:sz w:val="21"/>
          <w:szCs w:val="21"/>
          <w:highlight w:val="none"/>
          <w:u w:val="single"/>
        </w:rPr>
        <w:t>中标人应根据政府有关规定，向广州公共资源交易中心交纳交易服务费。</w:t>
      </w:r>
    </w:p>
    <w:p>
      <w:pPr>
        <w:pBdr>
          <w:bottom w:val="single" w:color="000000" w:sz="6" w:space="1"/>
        </w:pBdr>
        <w:spacing w:line="360" w:lineRule="auto"/>
        <w:ind w:firstLine="420" w:firstLineChars="200"/>
        <w:rPr>
          <w:rStyle w:val="35"/>
          <w:rFonts w:hint="eastAsia" w:ascii="宋体" w:hAnsi="宋体"/>
          <w:color w:val="auto"/>
          <w:szCs w:val="21"/>
          <w:highlight w:val="none"/>
          <w:u w:val="single"/>
        </w:rPr>
      </w:pPr>
      <w:r>
        <w:rPr>
          <w:rFonts w:hint="eastAsia" w:ascii="宋体" w:hAnsi="宋体"/>
          <w:bCs/>
          <w:color w:val="auto"/>
          <w:szCs w:val="21"/>
          <w:highlight w:val="none"/>
          <w:u w:val="single"/>
        </w:rPr>
        <w:t>2、招标代理费由中标人在领取中标通知书之前一次性支付给招标代理机构。招标代理费参考《国家计委关于印发&lt;招标代理服务收费管理暂行办法&gt;的通知》(计价格〔2002〕1980号)收费标准，按中标价作为结算基价下浮（75%）计算本项目招标代理费。招标代理费已包含在中标人的投标报价中，招标人不另行支付。</w:t>
      </w:r>
    </w:p>
    <w:p>
      <w:pPr>
        <w:wordWrap w:val="0"/>
        <w:spacing w:line="360" w:lineRule="auto"/>
        <w:ind w:firstLine="472" w:firstLineChars="224"/>
        <w:rPr>
          <w:rStyle w:val="35"/>
          <w:rFonts w:hint="eastAsia" w:ascii="宋体" w:hAnsi="宋体" w:cs="宋体"/>
          <w:b/>
          <w:color w:val="auto"/>
          <w:sz w:val="21"/>
          <w:szCs w:val="21"/>
          <w:highlight w:val="none"/>
        </w:rPr>
      </w:pPr>
      <w:r>
        <w:rPr>
          <w:rStyle w:val="35"/>
          <w:rFonts w:hint="eastAsia" w:ascii="宋体" w:hAnsi="宋体" w:cs="宋体"/>
          <w:b/>
          <w:color w:val="auto"/>
          <w:sz w:val="21"/>
          <w:szCs w:val="21"/>
          <w:highlight w:val="none"/>
        </w:rPr>
        <w:t>条款号：32.3            修改类型：修改</w:t>
      </w:r>
    </w:p>
    <w:p>
      <w:pPr>
        <w:spacing w:line="480" w:lineRule="auto"/>
        <w:ind w:firstLine="472" w:firstLineChars="224"/>
        <w:rPr>
          <w:rFonts w:hint="eastAsia" w:ascii="宋体" w:hAnsi="宋体" w:eastAsia="宋体" w:cs="宋体"/>
          <w:color w:val="auto"/>
          <w:sz w:val="21"/>
          <w:szCs w:val="21"/>
          <w:highlight w:val="none"/>
        </w:rPr>
      </w:pPr>
      <w:r>
        <w:rPr>
          <w:rStyle w:val="35"/>
          <w:rFonts w:hint="eastAsia" w:ascii="宋体" w:hAnsi="宋体" w:cs="宋体"/>
          <w:b/>
          <w:color w:val="auto"/>
          <w:sz w:val="21"/>
          <w:szCs w:val="21"/>
          <w:highlight w:val="none"/>
        </w:rPr>
        <w:t>原文：</w:t>
      </w:r>
      <w:r>
        <w:rPr>
          <w:rStyle w:val="35"/>
          <w:rFonts w:hint="eastAsia" w:ascii="宋体" w:hAnsi="宋体" w:cs="宋体"/>
          <w:b/>
          <w:color w:val="auto"/>
          <w:sz w:val="21"/>
          <w:szCs w:val="21"/>
          <w:highlight w:val="none"/>
          <w:lang w:val="en-US"/>
        </w:rPr>
        <w:t>32.3</w:t>
      </w:r>
      <w:r>
        <w:rPr>
          <w:rFonts w:hint="eastAsia" w:ascii="宋体" w:hAnsi="宋体" w:eastAsia="宋体" w:cs="宋体"/>
          <w:color w:val="auto"/>
          <w:sz w:val="21"/>
          <w:szCs w:val="21"/>
          <w:highlight w:val="none"/>
        </w:rPr>
        <w:t>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13" w:firstLineChars="196"/>
        <w:rPr>
          <w:rStyle w:val="35"/>
          <w:rFonts w:hint="eastAsia" w:ascii="宋体" w:hAnsi="宋体" w:cs="宋体"/>
          <w:color w:val="auto"/>
          <w:sz w:val="21"/>
          <w:szCs w:val="21"/>
          <w:highlight w:val="none"/>
          <w:u w:val="single"/>
        </w:rPr>
      </w:pPr>
      <w:r>
        <w:rPr>
          <w:rStyle w:val="35"/>
          <w:rFonts w:hint="eastAsia" w:ascii="宋体" w:hAnsi="宋体" w:cs="宋体"/>
          <w:b/>
          <w:color w:val="auto"/>
          <w:sz w:val="21"/>
          <w:szCs w:val="21"/>
          <w:highlight w:val="none"/>
        </w:rPr>
        <w:t>现文：</w:t>
      </w:r>
      <w:r>
        <w:rPr>
          <w:rStyle w:val="35"/>
          <w:rFonts w:hint="eastAsia" w:ascii="宋体" w:hAnsi="宋体" w:cs="宋体"/>
          <w:b/>
          <w:color w:val="auto"/>
          <w:sz w:val="21"/>
          <w:szCs w:val="21"/>
          <w:highlight w:val="none"/>
          <w:lang w:val="en-US"/>
        </w:rPr>
        <w:t>32.3</w:t>
      </w:r>
      <w:r>
        <w:rPr>
          <w:rFonts w:hint="eastAsia" w:ascii="宋体" w:hAnsi="宋体" w:eastAsia="宋体" w:cs="宋体"/>
          <w:bCs/>
          <w:color w:val="auto"/>
          <w:sz w:val="21"/>
          <w:szCs w:val="21"/>
          <w:highlight w:val="none"/>
        </w:rPr>
        <w:t>投标人如在本项目中存在串通投标、弄虚作假</w:t>
      </w:r>
      <w:r>
        <w:rPr>
          <w:rFonts w:hint="eastAsia" w:ascii="宋体" w:hAnsi="宋体" w:eastAsia="宋体" w:cs="宋体"/>
          <w:bCs/>
          <w:color w:val="auto"/>
          <w:sz w:val="21"/>
          <w:szCs w:val="21"/>
          <w:highlight w:val="none"/>
          <w:u w:val="single"/>
        </w:rPr>
        <w:t>骗取中标</w:t>
      </w:r>
      <w:r>
        <w:rPr>
          <w:rFonts w:hint="eastAsia" w:ascii="宋体" w:hAnsi="宋体" w:eastAsia="宋体" w:cs="宋体"/>
          <w:bCs/>
          <w:color w:val="auto"/>
          <w:sz w:val="21"/>
          <w:szCs w:val="21"/>
          <w:highlight w:val="none"/>
        </w:rPr>
        <w:t>、行贿情形的，中标无效，行政监督部门将对其违法行为进行政处罚。</w:t>
      </w:r>
      <w:r>
        <w:rPr>
          <w:rFonts w:hint="eastAsia" w:ascii="宋体" w:hAnsi="宋体" w:eastAsia="宋体" w:cs="宋体"/>
          <w:bCs/>
          <w:color w:val="auto"/>
          <w:sz w:val="21"/>
          <w:szCs w:val="21"/>
          <w:highlight w:val="none"/>
          <w:u w:val="single"/>
        </w:rPr>
        <w:t>该投标人将被招标人列入黑名单并限制其参与招标人后续项目的投标。</w:t>
      </w:r>
    </w:p>
    <w:p>
      <w:pPr>
        <w:spacing w:line="360" w:lineRule="auto"/>
        <w:ind w:firstLine="211" w:firstLineChars="100"/>
        <w:rPr>
          <w:rStyle w:val="35"/>
          <w:rFonts w:hint="eastAsia" w:ascii="宋体" w:hAnsi="宋体"/>
          <w:b/>
          <w:color w:val="auto"/>
          <w:szCs w:val="21"/>
          <w:highlight w:val="none"/>
        </w:rPr>
      </w:pPr>
      <w:r>
        <w:rPr>
          <w:rStyle w:val="35"/>
          <w:rFonts w:ascii="宋体" w:hAnsi="宋体"/>
          <w:b/>
          <w:color w:val="auto"/>
          <w:szCs w:val="21"/>
          <w:highlight w:val="none"/>
        </w:rPr>
        <w:t>注：以上修改，仅限于本范本中有可供选择条款的情形。</w:t>
      </w:r>
    </w:p>
    <w:p>
      <w:pPr>
        <w:spacing w:line="360" w:lineRule="auto"/>
        <w:rPr>
          <w:rStyle w:val="35"/>
          <w:rFonts w:hint="eastAsia" w:ascii="宋体" w:hAnsi="宋体"/>
          <w:color w:val="auto"/>
          <w:szCs w:val="21"/>
          <w:highlight w:val="none"/>
        </w:rPr>
      </w:pPr>
      <w:r>
        <w:rPr>
          <w:rStyle w:val="35"/>
          <w:rFonts w:ascii="宋体" w:hAnsi="宋体"/>
          <w:b/>
          <w:color w:val="auto"/>
          <w:szCs w:val="21"/>
          <w:highlight w:val="none"/>
        </w:rPr>
        <w:t>（以下无正文）</w:t>
      </w:r>
    </w:p>
    <w:p>
      <w:pPr>
        <w:spacing w:line="360" w:lineRule="auto"/>
        <w:rPr>
          <w:color w:val="auto"/>
          <w:highlight w:val="none"/>
        </w:rPr>
      </w:pPr>
    </w:p>
    <w:p>
      <w:pPr>
        <w:pStyle w:val="7"/>
        <w:rPr>
          <w:color w:val="auto"/>
          <w:highlight w:val="none"/>
        </w:rPr>
      </w:pPr>
      <w:r>
        <w:rPr>
          <w:color w:val="auto"/>
          <w:highlight w:val="none"/>
        </w:rPr>
        <w:br w:type="page"/>
      </w:r>
      <w:bookmarkStart w:id="6" w:name="_Toc21525492"/>
      <w:bookmarkStart w:id="7" w:name="_Toc2272548"/>
      <w:r>
        <w:rPr>
          <w:rFonts w:hint="eastAsia"/>
          <w:color w:val="auto"/>
          <w:highlight w:val="none"/>
        </w:rPr>
        <w:t>三、投标须知通用条款</w:t>
      </w:r>
      <w:bookmarkEnd w:id="6"/>
      <w:bookmarkEnd w:id="7"/>
    </w:p>
    <w:p>
      <w:pPr>
        <w:pStyle w:val="8"/>
        <w:spacing w:before="156" w:after="156"/>
        <w:rPr>
          <w:rFonts w:hint="eastAsia"/>
          <w:color w:val="auto"/>
          <w:highlight w:val="none"/>
        </w:rPr>
      </w:pPr>
      <w:bookmarkStart w:id="8" w:name="_Toc21525493"/>
      <w:bookmarkStart w:id="9" w:name="_Toc2272549"/>
      <w:r>
        <w:rPr>
          <w:rFonts w:hint="eastAsia"/>
          <w:color w:val="auto"/>
          <w:highlight w:val="none"/>
        </w:rPr>
        <w:t>（一）总则</w:t>
      </w:r>
      <w:bookmarkEnd w:id="8"/>
      <w:bookmarkEnd w:id="9"/>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8"/>
        <w:spacing w:before="156" w:after="156"/>
        <w:rPr>
          <w:rFonts w:hint="eastAsia"/>
          <w:color w:val="auto"/>
          <w:highlight w:val="none"/>
        </w:rPr>
      </w:pPr>
      <w:bookmarkStart w:id="10" w:name="_Toc2272550"/>
      <w:bookmarkStart w:id="11" w:name="_Toc21525494"/>
      <w:r>
        <w:rPr>
          <w:rFonts w:hint="eastAsia"/>
          <w:color w:val="auto"/>
          <w:highlight w:val="none"/>
        </w:rPr>
        <w:t>（二）招标文件</w:t>
      </w:r>
      <w:bookmarkEnd w:id="10"/>
      <w:bookmarkEnd w:id="11"/>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pPr>
        <w:pStyle w:val="5"/>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rFonts w:hint="eastAsia"/>
          <w:color w:val="auto"/>
          <w:highlight w:val="none"/>
        </w:rPr>
      </w:pPr>
      <w:bookmarkStart w:id="12" w:name="_Toc2272551"/>
      <w:bookmarkStart w:id="13" w:name="_Toc21525495"/>
      <w:r>
        <w:rPr>
          <w:rFonts w:hint="eastAsia"/>
          <w:color w:val="auto"/>
          <w:highlight w:val="none"/>
        </w:rPr>
        <w:t>（三）投标文件的编制</w:t>
      </w:r>
      <w:bookmarkEnd w:id="12"/>
      <w:bookmarkEnd w:id="13"/>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w:t>
      </w:r>
      <w:r>
        <w:rPr>
          <w:rFonts w:hint="eastAsia" w:ascii="宋体" w:hAnsi="宋体"/>
          <w:b/>
          <w:bCs/>
          <w:color w:val="auto"/>
          <w:sz w:val="24"/>
          <w:highlight w:val="none"/>
          <w:lang w:val="en-US"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pPr>
        <w:pStyle w:val="5"/>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w:t>
      </w:r>
      <w:r>
        <w:rPr>
          <w:rFonts w:hint="eastAsia" w:ascii="宋体" w:hAnsi="宋体"/>
          <w:b/>
          <w:bCs/>
          <w:color w:val="auto"/>
          <w:sz w:val="24"/>
          <w:highlight w:val="none"/>
          <w:lang w:val="en-US"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8"/>
        <w:spacing w:before="156" w:after="156"/>
        <w:rPr>
          <w:rFonts w:hint="eastAsia"/>
          <w:color w:val="auto"/>
          <w:highlight w:val="none"/>
        </w:rPr>
      </w:pPr>
      <w:bookmarkStart w:id="14" w:name="_Toc21525496"/>
      <w:bookmarkStart w:id="15" w:name="_Toc2272552"/>
      <w:r>
        <w:rPr>
          <w:rFonts w:hint="eastAsia"/>
          <w:color w:val="auto"/>
          <w:highlight w:val="none"/>
        </w:rPr>
        <w:t>（四）投标文件的提交</w:t>
      </w:r>
      <w:bookmarkEnd w:id="14"/>
      <w:bookmarkEnd w:id="15"/>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8"/>
        <w:spacing w:before="156" w:after="156"/>
        <w:rPr>
          <w:rFonts w:hint="eastAsia"/>
          <w:color w:val="auto"/>
          <w:highlight w:val="none"/>
        </w:rPr>
      </w:pPr>
      <w:bookmarkStart w:id="16" w:name="_Toc2272553"/>
      <w:bookmarkStart w:id="17" w:name="_Toc21525497"/>
      <w:r>
        <w:rPr>
          <w:rFonts w:hint="eastAsia"/>
          <w:color w:val="auto"/>
          <w:highlight w:val="none"/>
        </w:rPr>
        <w:t>（五）开标、评标、定标及合同签定</w:t>
      </w:r>
      <w:bookmarkEnd w:id="16"/>
      <w:bookmarkEnd w:id="17"/>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b/>
          <w:bCs/>
          <w:color w:val="auto"/>
          <w:sz w:val="24"/>
          <w:highlight w:val="none"/>
        </w:rPr>
        <w:t>工程进度款支付应不低于已完成工程价款的80%，招标人支付工程款时，中标人应按规定开具发票。质量保证金不超过工程价款总额3%。当年开工、当年不能竣工的新开工项目可以采用过程结算。</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spacing w:after="0" w:line="480" w:lineRule="auto"/>
        <w:ind w:firstLine="537" w:firstLineChars="224"/>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rPr>
          <w:color w:val="auto"/>
          <w:highlight w:val="none"/>
        </w:rPr>
      </w:pPr>
      <w:bookmarkStart w:id="18" w:name="_Toc2272554"/>
      <w:bookmarkStart w:id="19" w:name="_Toc21525498"/>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18"/>
      <w:bookmarkEnd w:id="19"/>
    </w:p>
    <w:p>
      <w:pPr>
        <w:pStyle w:val="7"/>
        <w:rPr>
          <w:color w:val="auto"/>
          <w:highlight w:val="none"/>
        </w:rPr>
      </w:pPr>
      <w:bookmarkStart w:id="20" w:name="_Toc2272555"/>
      <w:bookmarkStart w:id="21" w:name="_Toc21525499"/>
      <w:r>
        <w:rPr>
          <w:rFonts w:hint="eastAsia"/>
          <w:color w:val="auto"/>
          <w:sz w:val="28"/>
          <w:szCs w:val="28"/>
          <w:highlight w:val="none"/>
        </w:rPr>
        <w:t>一、</w:t>
      </w:r>
      <w:r>
        <w:rPr>
          <w:rFonts w:hint="eastAsia"/>
          <w:color w:val="auto"/>
          <w:highlight w:val="none"/>
        </w:rPr>
        <w:t>开标、评标及定标办法修改表</w:t>
      </w:r>
      <w:bookmarkEnd w:id="20"/>
      <w:bookmarkEnd w:id="21"/>
    </w:p>
    <w:p>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27"/>
          <w:b/>
          <w:color w:val="auto"/>
          <w:szCs w:val="21"/>
          <w:highlight w:val="none"/>
          <w:u w:val="none"/>
        </w:rPr>
        <w:t>http://zfcj.gz.gov.cn/</w:t>
      </w:r>
      <w:r>
        <w:rPr>
          <w:rStyle w:val="27"/>
          <w:rFonts w:hint="eastAsia"/>
          <w:b/>
          <w:color w:val="auto"/>
          <w:szCs w:val="21"/>
          <w:highlight w:val="none"/>
          <w:u w:val="none"/>
        </w:rPr>
        <w:t>）下载GZZB2018-3</w:t>
      </w:r>
      <w:r>
        <w:rPr>
          <w:rStyle w:val="27"/>
          <w:rFonts w:hint="eastAsia"/>
          <w:b/>
          <w:color w:val="auto"/>
          <w:szCs w:val="21"/>
          <w:highlight w:val="none"/>
          <w:u w:val="none"/>
        </w:rPr>
        <w:fldChar w:fldCharType="end"/>
      </w:r>
      <w:r>
        <w:rPr>
          <w:rFonts w:hint="eastAsia"/>
          <w:b/>
          <w:color w:val="auto"/>
          <w:szCs w:val="21"/>
          <w:highlight w:val="none"/>
        </w:rPr>
        <w:t>范本查阅。</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w:t>
      </w:r>
      <w:r>
        <w:rPr>
          <w:rStyle w:val="35"/>
          <w:rFonts w:ascii="宋体" w:hAnsi="宋体"/>
          <w:color w:val="auto"/>
          <w:szCs w:val="21"/>
          <w:highlight w:val="none"/>
        </w:rPr>
        <w:t>36.1</w:t>
      </w:r>
      <w:r>
        <w:rPr>
          <w:rStyle w:val="35"/>
          <w:rFonts w:ascii="宋体" w:hAnsi="宋体"/>
          <w:b/>
          <w:color w:val="auto"/>
          <w:szCs w:val="21"/>
          <w:highlight w:val="none"/>
        </w:rPr>
        <w:t xml:space="preserve">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Style w:val="35"/>
          <w:rFonts w:ascii="宋体" w:hAnsi="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w:t>
      </w:r>
      <w:r>
        <w:rPr>
          <w:rStyle w:val="35"/>
          <w:rFonts w:ascii="宋体" w:hAnsi="宋体"/>
          <w:color w:val="auto"/>
          <w:szCs w:val="21"/>
          <w:highlight w:val="none"/>
        </w:rPr>
        <w:t>36.3</w:t>
      </w:r>
      <w:r>
        <w:rPr>
          <w:rStyle w:val="35"/>
          <w:rFonts w:ascii="宋体" w:hAnsi="宋体"/>
          <w:b/>
          <w:color w:val="auto"/>
          <w:szCs w:val="21"/>
          <w:highlight w:val="none"/>
        </w:rPr>
        <w:t xml:space="preserve">          修改类型：删除</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36.4</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36.4若递交投标文件的投标人不足3家，则重新组织招标。</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条款号：36.5.1          修改类型：修改</w:t>
      </w:r>
    </w:p>
    <w:p>
      <w:pP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36.5.1</w:t>
      </w:r>
      <w:r>
        <w:rPr>
          <w:rFonts w:hint="eastAsia" w:ascii="宋体" w:hAnsi="宋体"/>
          <w:color w:val="auto"/>
          <w:szCs w:val="21"/>
          <w:highlight w:val="none"/>
        </w:rPr>
        <w:t>在投标截止时间后一个小时内，投标人通过</w:t>
      </w:r>
      <w:r>
        <w:rPr>
          <w:rFonts w:ascii="宋体" w:hAnsi="宋体"/>
          <w:color w:val="auto"/>
          <w:szCs w:val="21"/>
          <w:highlight w:val="none"/>
          <w:u w:val="single"/>
        </w:rPr>
        <w:t xml:space="preserve">        </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36.5.1在投标截止时间后</w:t>
      </w:r>
      <w:r>
        <w:rPr>
          <w:rStyle w:val="35"/>
          <w:rFonts w:hint="eastAsia" w:ascii="宋体" w:hAnsi="宋体"/>
          <w:color w:val="auto"/>
          <w:szCs w:val="21"/>
          <w:highlight w:val="none"/>
        </w:rPr>
        <w:t>一个</w:t>
      </w:r>
      <w:r>
        <w:rPr>
          <w:rStyle w:val="35"/>
          <w:rFonts w:ascii="宋体" w:hAnsi="宋体"/>
          <w:color w:val="auto"/>
          <w:szCs w:val="21"/>
          <w:highlight w:val="none"/>
        </w:rPr>
        <w:t>小时内，投标人通过</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36.5.3</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36.5.3投标人代表、招标人代表、监标人、记录人等有关人员在开标记录上签字确认；若有关人员不签字的，不影响开标程序；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条款号：37.4             修改类型：修改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37.4 评标结束后，评标委员会递交评标报告并依法推荐中标候选人。</w:t>
      </w:r>
    </w:p>
    <w:p>
      <w:pPr>
        <w:pBdr>
          <w:bottom w:val="single" w:color="auto" w:sz="6" w:space="1"/>
        </w:pBdr>
        <w:spacing w:line="40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37.4</w:t>
      </w:r>
      <w:r>
        <w:rPr>
          <w:rFonts w:hint="eastAsia" w:ascii="宋体" w:hAnsi="宋体" w:cs="宋体"/>
          <w:bCs/>
          <w:color w:val="auto"/>
          <w:szCs w:val="21"/>
          <w:highlight w:val="none"/>
          <w:u w:val="single"/>
        </w:rPr>
        <w:t>评标工作开始前，招标人应当向评标委员会提供评标所需的信息，包括招标项目的范围性质、特殊性、需求目标和实施要点，以及招标文件规定的评标方法、评标因素及标准等，不得明示或者暗示其倾向或者排斥特定投标人。</w:t>
      </w:r>
    </w:p>
    <w:p>
      <w:pPr>
        <w:pBdr>
          <w:bottom w:val="single" w:color="auto" w:sz="6" w:space="1"/>
        </w:pBdr>
        <w:spacing w:line="40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37.5评标结束后，评标委员会递交评标报告并依法推荐中标候选人。</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条款号：38.1</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w:t>
      </w:r>
      <w:r>
        <w:rPr>
          <w:rFonts w:hint="eastAsia" w:ascii="宋体" w:hAnsi="宋体" w:cs="宋体"/>
          <w:color w:val="auto"/>
          <w:szCs w:val="21"/>
          <w:highlight w:val="none"/>
          <w:u w:val="single"/>
        </w:rPr>
        <w:t>要求投标人对投标文件含义不明确、对同类问题表述不一致、有明显文字和计算错误的内容以及细微偏差的内容作出澄清。</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条款号：</w:t>
      </w:r>
      <w:r>
        <w:rPr>
          <w:rFonts w:hint="eastAsia" w:ascii="宋体" w:hAnsi="宋体"/>
          <w:b/>
          <w:color w:val="auto"/>
          <w:szCs w:val="21"/>
          <w:highlight w:val="none"/>
        </w:rPr>
        <w:t>39.3</w:t>
      </w:r>
      <w:r>
        <w:rPr>
          <w:rFonts w:ascii="宋体" w:hAnsi="宋体"/>
          <w:b/>
          <w:color w:val="auto"/>
          <w:szCs w:val="21"/>
          <w:highlight w:val="none"/>
        </w:rPr>
        <w:t xml:space="preserve">          </w:t>
      </w:r>
      <w:r>
        <w:rPr>
          <w:rFonts w:hint="eastAsia" w:ascii="宋体" w:hAnsi="宋体"/>
          <w:b/>
          <w:bCs/>
          <w:color w:val="auto"/>
          <w:szCs w:val="21"/>
          <w:highlight w:val="none"/>
        </w:rPr>
        <w:t>修改类型：修改</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原文：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000000" w:sz="6" w:space="1"/>
        </w:pBd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现文：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排名第一的中标候选人放弃中标、或因不可抗力不能履行合同，</w:t>
      </w:r>
      <w:r>
        <w:rPr>
          <w:rFonts w:hint="eastAsia" w:ascii="宋体" w:hAnsi="宋体"/>
          <w:color w:val="auto"/>
          <w:szCs w:val="21"/>
          <w:highlight w:val="none"/>
          <w:u w:val="single"/>
        </w:rPr>
        <w:t>或不按照招标文件要求提交履约担保，或经核查发现委派的项目负责人已在其他在建项目中任职的，或者被查实存在影响中标结果的违法行为等情形，不符合中标条件的，</w:t>
      </w:r>
      <w:r>
        <w:rPr>
          <w:rFonts w:hint="eastAsia" w:ascii="宋体" w:hAnsi="宋体"/>
          <w:color w:val="auto"/>
          <w:szCs w:val="21"/>
          <w:highlight w:val="none"/>
        </w:rPr>
        <w:t>招标人可以确定排名第二的中标候选人为中标人。</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w:t>
      </w:r>
      <w:r>
        <w:rPr>
          <w:rStyle w:val="35"/>
          <w:rFonts w:hint="eastAsia" w:ascii="宋体" w:hAnsi="宋体"/>
          <w:b/>
          <w:color w:val="auto"/>
          <w:szCs w:val="21"/>
          <w:highlight w:val="none"/>
        </w:rPr>
        <w:t xml:space="preserve">（二）开标评标办法程序和细则 注 </w:t>
      </w:r>
      <w:r>
        <w:rPr>
          <w:rStyle w:val="35"/>
          <w:rFonts w:ascii="宋体" w:hAnsi="宋体"/>
          <w:b/>
          <w:color w:val="auto"/>
          <w:szCs w:val="21"/>
          <w:highlight w:val="none"/>
        </w:rPr>
        <w:t xml:space="preserve">         </w:t>
      </w:r>
      <w:r>
        <w:rPr>
          <w:rStyle w:val="35"/>
          <w:rFonts w:hint="eastAsia" w:ascii="宋体" w:hAnsi="宋体"/>
          <w:b/>
          <w:color w:val="auto"/>
          <w:szCs w:val="21"/>
          <w:highlight w:val="none"/>
        </w:rPr>
        <w:t>修改类型：删除</w:t>
      </w:r>
    </w:p>
    <w:p>
      <w:pPr>
        <w:pBdr>
          <w:bottom w:val="single" w:color="000000" w:sz="6" w:space="1"/>
        </w:pBd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hint="eastAsia" w:ascii="宋体" w:hAnsi="宋体"/>
          <w:bCs/>
          <w:color w:val="auto"/>
          <w:szCs w:val="21"/>
          <w:highlight w:val="none"/>
        </w:rPr>
        <w:t>注：以下八种评标办法所述企业综合诚信评价分数即投标截止当日广州市住房和城乡建设局网站上公布的企业综合诚信评价60日诚信分。</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u w:val="single"/>
        </w:rPr>
        <w:t>可选办法一（适合</w:t>
      </w:r>
      <w:r>
        <w:rPr>
          <w:rFonts w:hint="eastAsia" w:ascii="宋体" w:hAnsi="宋体" w:cs="宋体"/>
          <w:color w:val="auto"/>
          <w:kern w:val="0"/>
          <w:szCs w:val="21"/>
          <w:highlight w:val="none"/>
          <w:u w:val="single"/>
        </w:rPr>
        <w:t>综合评分法一</w:t>
      </w:r>
      <w:r>
        <w:rPr>
          <w:rFonts w:hint="eastAsia" w:ascii="宋体" w:hAnsi="宋体" w:cs="宋体"/>
          <w:color w:val="auto"/>
          <w:szCs w:val="21"/>
          <w:highlight w:val="none"/>
          <w:u w:val="single"/>
        </w:rPr>
        <w:t>，技术标与经济标先后分别开启）</w:t>
      </w:r>
    </w:p>
    <w:p>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可选办法二（适合综合评分法一，技术标与经济标同时开启）</w:t>
      </w:r>
    </w:p>
    <w:p>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可选办法三（适合综合评分法二，技术标与经济标先后分别开启）</w:t>
      </w:r>
    </w:p>
    <w:p>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可选办法四（适合综合评分法二，技术标与经济标同时开启）</w:t>
      </w:r>
    </w:p>
    <w:p>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可选办法五（适合综合评分法三，技术标与经济标先后分别开启）</w:t>
      </w:r>
    </w:p>
    <w:p>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可选办法六（适合综合评分法三，技术标与经济标同时开启）</w:t>
      </w:r>
    </w:p>
    <w:p>
      <w:pPr>
        <w:pBdr>
          <w:bottom w:val="single" w:color="auto" w:sz="6" w:space="1"/>
        </w:pBdr>
        <w:spacing w:line="360" w:lineRule="auto"/>
        <w:ind w:firstLine="1155" w:firstLineChars="550"/>
        <w:rPr>
          <w:rFonts w:hint="eastAsia" w:ascii="宋体" w:hAnsi="宋体" w:cs="宋体"/>
          <w:b/>
          <w:color w:val="auto"/>
          <w:szCs w:val="21"/>
          <w:highlight w:val="none"/>
        </w:rPr>
      </w:pPr>
      <w:r>
        <w:rPr>
          <w:rFonts w:hint="eastAsia" w:ascii="宋体" w:hAnsi="宋体" w:cs="宋体"/>
          <w:color w:val="auto"/>
          <w:szCs w:val="21"/>
          <w:highlight w:val="none"/>
          <w:u w:val="single"/>
        </w:rPr>
        <w:t>可选办法八（适合经评审的最低投标价法，技术标与经济标同时开启）</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条款号：40          修改类型：修改</w:t>
      </w:r>
    </w:p>
    <w:p>
      <w:pP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原文：</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40．开标和评标程序</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40.1技术标（含资格审查文件）与经济标投标文件同时公开开标；</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40.2由评标委员会对所有已公开开标的投标人进行资格审查；</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40.3技术标投标文件有效性审查；</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40.4技术标详细审查评分；</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40.5经济标详细审查评分；</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40.6评标委员会按照投标人总得分由高至低排序；</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40.7经济标投标文件有效性审查；</w:t>
      </w:r>
    </w:p>
    <w:p>
      <w:pPr>
        <w:spacing w:line="360" w:lineRule="auto"/>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rPr>
        <w:t>40.8评标委员会按排序向招标人推荐中标候选人名单，并递交资格审查报告及评标报告。</w:t>
      </w:r>
    </w:p>
    <w:p>
      <w:pPr>
        <w:pBdr>
          <w:bottom w:val="single" w:color="000000" w:sz="6" w:space="1"/>
        </w:pBd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现文：</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40．开标和评标程序</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40.1技术标（含资格审查文件）与经济标投标文件同时公开开标；</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40.2由评标委员会对所有已公开开标的投标人进行资格审查</w:t>
      </w:r>
      <w:r>
        <w:rPr>
          <w:rFonts w:hint="eastAsia" w:ascii="宋体" w:hAnsi="宋体"/>
          <w:bCs/>
          <w:color w:val="auto"/>
          <w:szCs w:val="21"/>
          <w:highlight w:val="none"/>
          <w:u w:val="single"/>
        </w:rPr>
        <w:t>，</w:t>
      </w:r>
      <w:r>
        <w:rPr>
          <w:rStyle w:val="35"/>
          <w:rFonts w:hint="eastAsia" w:ascii="宋体" w:hAnsi="宋体"/>
          <w:color w:val="auto"/>
          <w:szCs w:val="21"/>
          <w:highlight w:val="none"/>
          <w:u w:val="single"/>
        </w:rPr>
        <w:t>并编写资格审查报告</w:t>
      </w:r>
      <w:r>
        <w:rPr>
          <w:rStyle w:val="35"/>
          <w:rFonts w:ascii="宋体" w:hAnsi="宋体"/>
          <w:color w:val="auto"/>
          <w:szCs w:val="21"/>
          <w:highlight w:val="none"/>
          <w:u w:val="single"/>
        </w:rPr>
        <w:t>；</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40.3技术标投标文件有效性审查；</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40.4技术标详细审查评分；</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40.5经济标详细审查评分； </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40.6评标委员会</w:t>
      </w:r>
      <w:r>
        <w:rPr>
          <w:rFonts w:hint="eastAsia" w:ascii="宋体" w:hAnsi="宋体"/>
          <w:bCs/>
          <w:color w:val="auto"/>
          <w:szCs w:val="21"/>
          <w:highlight w:val="none"/>
          <w:u w:val="single"/>
        </w:rPr>
        <w:t>汇总投标人得分，</w:t>
      </w:r>
      <w:r>
        <w:rPr>
          <w:rFonts w:hint="eastAsia" w:ascii="宋体" w:hAnsi="宋体"/>
          <w:bCs/>
          <w:color w:val="auto"/>
          <w:szCs w:val="21"/>
          <w:highlight w:val="none"/>
        </w:rPr>
        <w:t>并按照投标人总得分由高至低排序；</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40.7</w:t>
      </w:r>
      <w:r>
        <w:rPr>
          <w:rFonts w:hint="eastAsia" w:ascii="宋体" w:hAnsi="宋体"/>
          <w:bCs/>
          <w:color w:val="auto"/>
          <w:szCs w:val="21"/>
          <w:highlight w:val="none"/>
          <w:u w:val="single"/>
        </w:rPr>
        <w:t>按照投标人总得分由高至低排序，依次进行</w:t>
      </w:r>
      <w:r>
        <w:rPr>
          <w:rFonts w:hint="eastAsia" w:ascii="宋体" w:hAnsi="宋体"/>
          <w:bCs/>
          <w:color w:val="auto"/>
          <w:szCs w:val="21"/>
          <w:highlight w:val="none"/>
        </w:rPr>
        <w:t>经济标投标文件有效性审查；</w:t>
      </w:r>
    </w:p>
    <w:p>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40.8评标委员会按</w:t>
      </w:r>
      <w:r>
        <w:rPr>
          <w:rFonts w:hint="eastAsia" w:ascii="宋体" w:hAnsi="宋体"/>
          <w:bCs/>
          <w:color w:val="auto"/>
          <w:szCs w:val="21"/>
          <w:highlight w:val="none"/>
          <w:u w:val="single"/>
        </w:rPr>
        <w:t>总得分</w:t>
      </w:r>
      <w:r>
        <w:rPr>
          <w:rFonts w:hint="eastAsia" w:ascii="宋体" w:hAnsi="宋体"/>
          <w:bCs/>
          <w:color w:val="auto"/>
          <w:szCs w:val="21"/>
          <w:highlight w:val="none"/>
        </w:rPr>
        <w:t>排序，向招标人推荐</w:t>
      </w:r>
      <w:r>
        <w:rPr>
          <w:rFonts w:hint="eastAsia" w:ascii="宋体" w:hAnsi="宋体"/>
          <w:bCs/>
          <w:color w:val="auto"/>
          <w:szCs w:val="21"/>
          <w:highlight w:val="none"/>
          <w:u w:val="single"/>
        </w:rPr>
        <w:t>通过经济标投标文件有效性审查的</w:t>
      </w:r>
      <w:r>
        <w:rPr>
          <w:rFonts w:hint="eastAsia" w:ascii="宋体" w:hAnsi="宋体"/>
          <w:bCs/>
          <w:color w:val="auto"/>
          <w:szCs w:val="21"/>
          <w:highlight w:val="none"/>
        </w:rPr>
        <w:t>中标候选人，并递交资格审查报告及评标报告。</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条款号：41.1          修改类型：修改</w:t>
      </w:r>
    </w:p>
    <w:p>
      <w:pP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41.1开标由招标人主持；</w:t>
      </w:r>
    </w:p>
    <w:p>
      <w:pPr>
        <w:pBdr>
          <w:bottom w:val="single" w:color="000000" w:sz="6" w:space="1"/>
        </w:pBdr>
        <w:spacing w:line="360" w:lineRule="auto"/>
        <w:ind w:firstLine="422" w:firstLineChars="200"/>
        <w:rPr>
          <w:rStyle w:val="35"/>
          <w:rFonts w:hint="eastAsia" w:ascii="宋体" w:hAnsi="宋体"/>
          <w:color w:val="auto"/>
          <w:szCs w:val="21"/>
          <w:highlight w:val="none"/>
          <w:u w:val="single"/>
        </w:rPr>
      </w:pPr>
      <w:r>
        <w:rPr>
          <w:rStyle w:val="35"/>
          <w:rFonts w:ascii="宋体" w:hAnsi="宋体"/>
          <w:b/>
          <w:color w:val="auto"/>
          <w:szCs w:val="21"/>
          <w:highlight w:val="none"/>
        </w:rPr>
        <w:t>现文：</w:t>
      </w:r>
      <w:r>
        <w:rPr>
          <w:rStyle w:val="35"/>
          <w:rFonts w:ascii="宋体" w:hAnsi="宋体"/>
          <w:color w:val="auto"/>
          <w:szCs w:val="21"/>
          <w:highlight w:val="none"/>
        </w:rPr>
        <w:t>41.1</w:t>
      </w:r>
      <w:r>
        <w:rPr>
          <w:rStyle w:val="35"/>
          <w:rFonts w:ascii="宋体" w:hAnsi="宋体"/>
          <w:color w:val="auto"/>
          <w:szCs w:val="21"/>
          <w:highlight w:val="none"/>
          <w:u w:val="single"/>
        </w:rPr>
        <w:t>开标由招标人或招标代理主持；</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条款号：41.2.1          修改类型：修改</w:t>
      </w:r>
    </w:p>
    <w:p>
      <w:pPr>
        <w:spacing w:line="360" w:lineRule="auto"/>
        <w:ind w:firstLine="422" w:firstLineChars="200"/>
        <w:rPr>
          <w:rStyle w:val="35"/>
          <w:rFonts w:hint="eastAsia" w:ascii="宋体" w:hAnsi="宋体"/>
          <w:b/>
          <w:color w:val="auto"/>
          <w:szCs w:val="21"/>
          <w:highlight w:val="none"/>
        </w:rPr>
      </w:pPr>
      <w:r>
        <w:rPr>
          <w:rStyle w:val="35"/>
          <w:rFonts w:ascii="宋体" w:hAnsi="宋体"/>
          <w:b/>
          <w:color w:val="auto"/>
          <w:szCs w:val="21"/>
          <w:highlight w:val="none"/>
        </w:rPr>
        <w:t>原文：</w:t>
      </w:r>
      <w:r>
        <w:rPr>
          <w:rStyle w:val="35"/>
          <w:rFonts w:ascii="宋体" w:hAnsi="宋体"/>
          <w:color w:val="auto"/>
          <w:szCs w:val="21"/>
          <w:highlight w:val="none"/>
        </w:rPr>
        <w:t>41.2.1投标截止期前，各投标人递交投标文件（包括技术标投标文件、经济标投标文件）至</w:t>
      </w:r>
      <w:r>
        <w:rPr>
          <w:rStyle w:val="35"/>
          <w:rFonts w:ascii="宋体" w:hAnsi="宋体"/>
          <w:color w:val="auto"/>
          <w:szCs w:val="21"/>
          <w:highlight w:val="none"/>
          <w:u w:val="single"/>
        </w:rPr>
        <w:t xml:space="preserve">     </w:t>
      </w:r>
      <w:r>
        <w:rPr>
          <w:rStyle w:val="35"/>
          <w:rFonts w:ascii="宋体" w:hAnsi="宋体"/>
          <w:color w:val="auto"/>
          <w:szCs w:val="21"/>
          <w:highlight w:val="none"/>
        </w:rPr>
        <w:t>交易平台。有关投标文件提交的事项详见第一章投标须知。</w:t>
      </w:r>
    </w:p>
    <w:p>
      <w:pPr>
        <w:pBdr>
          <w:bottom w:val="single" w:color="000000" w:sz="6" w:space="1"/>
        </w:pBdr>
        <w:spacing w:line="360" w:lineRule="auto"/>
        <w:ind w:firstLine="422" w:firstLineChars="200"/>
        <w:rPr>
          <w:rStyle w:val="35"/>
          <w:rFonts w:hint="eastAsia" w:ascii="宋体" w:hAnsi="宋体"/>
          <w:color w:val="auto"/>
          <w:szCs w:val="21"/>
          <w:highlight w:val="none"/>
        </w:rPr>
      </w:pPr>
      <w:r>
        <w:rPr>
          <w:rStyle w:val="35"/>
          <w:rFonts w:ascii="宋体" w:hAnsi="宋体"/>
          <w:b/>
          <w:color w:val="auto"/>
          <w:szCs w:val="21"/>
          <w:highlight w:val="none"/>
        </w:rPr>
        <w:t>现文：</w:t>
      </w:r>
      <w:r>
        <w:rPr>
          <w:rStyle w:val="35"/>
          <w:rFonts w:ascii="宋体" w:hAnsi="宋体"/>
          <w:color w:val="auto"/>
          <w:szCs w:val="21"/>
          <w:highlight w:val="none"/>
        </w:rPr>
        <w:t>41.2.1投标截止期前，各投标人递交投标文件（包括技术标投标文件</w:t>
      </w:r>
      <w:r>
        <w:rPr>
          <w:rStyle w:val="35"/>
          <w:rFonts w:hint="eastAsia" w:ascii="宋体" w:hAnsi="宋体"/>
          <w:color w:val="auto"/>
          <w:szCs w:val="21"/>
          <w:highlight w:val="none"/>
          <w:u w:val="single"/>
        </w:rPr>
        <w:t>（含资格审查文件）</w:t>
      </w:r>
      <w:r>
        <w:rPr>
          <w:rStyle w:val="35"/>
          <w:rFonts w:ascii="宋体" w:hAnsi="宋体"/>
          <w:color w:val="auto"/>
          <w:szCs w:val="21"/>
          <w:highlight w:val="none"/>
          <w:u w:val="single"/>
        </w:rPr>
        <w:t>、</w:t>
      </w:r>
      <w:r>
        <w:rPr>
          <w:rStyle w:val="35"/>
          <w:rFonts w:ascii="宋体" w:hAnsi="宋体"/>
          <w:color w:val="auto"/>
          <w:szCs w:val="21"/>
          <w:highlight w:val="none"/>
        </w:rPr>
        <w:t>经济标投标文件）至</w:t>
      </w:r>
      <w:r>
        <w:rPr>
          <w:rFonts w:hint="eastAsia" w:ascii="宋体" w:hAnsi="宋体"/>
          <w:color w:val="auto"/>
          <w:szCs w:val="21"/>
          <w:highlight w:val="none"/>
          <w:u w:val="single"/>
        </w:rPr>
        <w:t>广州交易集团有限公司（广州公共资源交易中心）</w:t>
      </w:r>
      <w:r>
        <w:rPr>
          <w:rStyle w:val="35"/>
          <w:rFonts w:ascii="宋体" w:hAnsi="宋体"/>
          <w:color w:val="auto"/>
          <w:szCs w:val="21"/>
          <w:highlight w:val="none"/>
        </w:rPr>
        <w:t>交易平台。有关投标文件提交的事项详见第一章投标须知。</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条款号：41.2.4.1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color w:val="auto"/>
          <w:szCs w:val="21"/>
          <w:highlight w:val="none"/>
        </w:rPr>
        <w:t>41.2.4.1开标时，公布：a、投标人名称；b、</w:t>
      </w:r>
      <w:r>
        <w:rPr>
          <w:rFonts w:hint="eastAsia" w:ascii="宋体" w:hAnsi="宋体"/>
          <w:color w:val="auto"/>
          <w:szCs w:val="21"/>
          <w:highlight w:val="none"/>
        </w:rPr>
        <w:t>投标文件</w:t>
      </w:r>
      <w:r>
        <w:rPr>
          <w:rFonts w:hint="eastAsia" w:ascii="宋体"/>
          <w:color w:val="auto"/>
          <w:szCs w:val="21"/>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auto"/>
          <w:szCs w:val="21"/>
          <w:highlight w:val="none"/>
        </w:rPr>
        <w:t>。</w:t>
      </w:r>
    </w:p>
    <w:p>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color w:val="auto"/>
          <w:szCs w:val="21"/>
          <w:highlight w:val="none"/>
        </w:rPr>
        <w:t>41.2.4.1开标时，公布：a、投标人名称；b、</w:t>
      </w:r>
      <w:r>
        <w:rPr>
          <w:rFonts w:hint="eastAsia" w:ascii="宋体" w:hAnsi="宋体"/>
          <w:color w:val="auto"/>
          <w:szCs w:val="21"/>
          <w:highlight w:val="none"/>
        </w:rPr>
        <w:t>投标文件</w:t>
      </w:r>
      <w:r>
        <w:rPr>
          <w:rFonts w:hint="eastAsia" w:ascii="宋体"/>
          <w:color w:val="auto"/>
          <w:szCs w:val="21"/>
          <w:highlight w:val="none"/>
        </w:rPr>
        <w:t>密封情况；c、投标报价；</w:t>
      </w:r>
      <w:r>
        <w:rPr>
          <w:rFonts w:hint="eastAsia" w:ascii="宋体"/>
          <w:color w:val="auto"/>
          <w:szCs w:val="21"/>
          <w:highlight w:val="none"/>
          <w:u w:val="single"/>
        </w:rPr>
        <w:t>d、</w:t>
      </w:r>
      <w:r>
        <w:rPr>
          <w:rFonts w:hint="eastAsia" w:ascii="宋体"/>
          <w:color w:val="auto"/>
          <w:szCs w:val="21"/>
          <w:highlight w:val="none"/>
        </w:rPr>
        <w:t>项目经理（负责人）名称；</w:t>
      </w:r>
      <w:r>
        <w:rPr>
          <w:rFonts w:hint="eastAsia" w:ascii="宋体"/>
          <w:color w:val="auto"/>
          <w:szCs w:val="21"/>
          <w:highlight w:val="none"/>
          <w:u w:val="single"/>
        </w:rPr>
        <w:t>e、</w:t>
      </w:r>
      <w:r>
        <w:rPr>
          <w:rFonts w:hint="eastAsia" w:ascii="宋体"/>
          <w:color w:val="auto"/>
          <w:szCs w:val="21"/>
          <w:highlight w:val="none"/>
        </w:rPr>
        <w:t>法定代表人证明及授权委托等主要内容及开标记录表中的其他必要内容。投标报价以数字和文字两种方式表述的，应公布文字表述的投标报价</w:t>
      </w:r>
      <w:r>
        <w:rPr>
          <w:rFonts w:hint="eastAsia"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修改类型：修改</w:t>
      </w:r>
    </w:p>
    <w:p>
      <w:pPr>
        <w:pBdr>
          <w:bottom w:val="single" w:color="000000"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pPr>
        <w:pBdr>
          <w:bottom w:val="single" w:color="000000"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3</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投标人在技术标开标记录上签字。</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条款号：41.4                      修改类型：修改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41.4招标人将上述符合要求的投标文件，送至评标委员会进行评审</w:t>
      </w:r>
      <w:r>
        <w:rPr>
          <w:rFonts w:hint="eastAsia" w:ascii="宋体" w:hAnsi="宋体" w:cs="宋体"/>
          <w:color w:val="auto"/>
          <w:szCs w:val="21"/>
          <w:highlight w:val="none"/>
        </w:rPr>
        <w:t>。</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41.4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bCs/>
          <w:color w:val="auto"/>
          <w:szCs w:val="21"/>
          <w:highlight w:val="none"/>
        </w:rPr>
        <w:t>将上述符合要求的投标文件，送至评标委员会进行评审</w:t>
      </w:r>
      <w:r>
        <w:rPr>
          <w:rFonts w:hint="eastAsia"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42.2          </w:t>
      </w:r>
      <w:r>
        <w:rPr>
          <w:rFonts w:hint="eastAsia" w:ascii="宋体" w:hAnsi="宋体" w:cs="宋体"/>
          <w:b/>
          <w:color w:val="auto"/>
          <w:szCs w:val="21"/>
          <w:highlight w:val="none"/>
        </w:rPr>
        <w:t>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000000"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42.</w:t>
      </w:r>
      <w:r>
        <w:rPr>
          <w:rFonts w:ascii="宋体" w:hAnsi="宋体" w:cs="宋体"/>
          <w:color w:val="auto"/>
          <w:szCs w:val="21"/>
          <w:highlight w:val="none"/>
          <w:u w:val="single"/>
        </w:rPr>
        <w:t>2</w:t>
      </w:r>
      <w:r>
        <w:rPr>
          <w:rFonts w:hint="eastAsia" w:ascii="宋体" w:hAnsi="宋体" w:cs="宋体"/>
          <w:color w:val="auto"/>
          <w:szCs w:val="21"/>
          <w:highlight w:val="none"/>
          <w:u w:val="single"/>
        </w:rPr>
        <w:t>评标委员会的组成：方式一：评标委员会为综合评标委员会，负责资格审查及评标工作。</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w:t>
      </w:r>
      <w:r>
        <w:rPr>
          <w:rFonts w:ascii="宋体" w:hAnsi="宋体"/>
          <w:b/>
          <w:color w:val="auto"/>
          <w:szCs w:val="21"/>
          <w:highlight w:val="none"/>
        </w:rPr>
        <w:t>3.</w:t>
      </w:r>
      <w:r>
        <w:rPr>
          <w:rFonts w:hint="eastAsia" w:ascii="宋体" w:hAnsi="宋体"/>
          <w:b/>
          <w:color w:val="auto"/>
          <w:szCs w:val="21"/>
          <w:highlight w:val="none"/>
        </w:rPr>
        <w:t>6</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4</w:t>
      </w:r>
      <w:r>
        <w:rPr>
          <w:rFonts w:ascii="宋体" w:hAnsi="宋体" w:cs="宋体"/>
          <w:bCs/>
          <w:color w:val="auto"/>
          <w:szCs w:val="21"/>
          <w:highlight w:val="none"/>
        </w:rPr>
        <w:t>3.</w:t>
      </w:r>
      <w:r>
        <w:rPr>
          <w:rFonts w:hint="eastAsia" w:ascii="宋体" w:hAnsi="宋体" w:cs="宋体"/>
          <w:bCs/>
          <w:color w:val="auto"/>
          <w:szCs w:val="21"/>
          <w:highlight w:val="none"/>
        </w:rPr>
        <w:t>6资格审查合格的投标人少于3名的（当N个标段同时招标且不允许兼中时，资格审查合格的投标人少于N+2名），则本项目招标失败。</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43.6资格审查合格的投标人少于3名的，则本项目招标失败。</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44.1          </w:t>
      </w:r>
      <w:r>
        <w:rPr>
          <w:rFonts w:hint="eastAsia" w:ascii="宋体" w:hAnsi="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4</w:t>
      </w:r>
      <w:r>
        <w:rPr>
          <w:rFonts w:ascii="宋体" w:hAnsi="宋体" w:cs="宋体"/>
          <w:bCs/>
          <w:color w:val="auto"/>
          <w:szCs w:val="21"/>
          <w:highlight w:val="none"/>
        </w:rPr>
        <w:t>4.1</w:t>
      </w:r>
      <w:r>
        <w:rPr>
          <w:rFonts w:hint="eastAsia" w:ascii="宋体" w:hAnsi="宋体" w:cs="宋体"/>
          <w:bCs/>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s="宋体"/>
          <w:bCs/>
          <w:color w:val="auto"/>
          <w:szCs w:val="21"/>
          <w:highlight w:val="none"/>
          <w:u w:val="single"/>
        </w:rPr>
        <w:t>4</w:t>
      </w:r>
      <w:r>
        <w:rPr>
          <w:rFonts w:ascii="宋体" w:hAnsi="宋体" w:cs="宋体"/>
          <w:bCs/>
          <w:color w:val="auto"/>
          <w:szCs w:val="21"/>
          <w:highlight w:val="none"/>
          <w:u w:val="single"/>
        </w:rPr>
        <w:t>4.1</w:t>
      </w:r>
      <w:r>
        <w:rPr>
          <w:rFonts w:hint="eastAsia" w:ascii="宋体" w:hAnsi="宋体" w:cs="宋体"/>
          <w:bCs/>
          <w:color w:val="auto"/>
          <w:szCs w:val="21"/>
          <w:highlight w:val="none"/>
          <w:u w:val="singl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45.1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45.1若通过技术标有效性审查的投标人中所有投标报价均大于等于最高投标限价，则本项目招标失败，由招标人依法重新招标。</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w:t>
      </w:r>
      <w:r>
        <w:rPr>
          <w:rFonts w:ascii="宋体" w:hAnsi="宋体" w:cs="宋体"/>
          <w:b/>
          <w:color w:val="auto"/>
          <w:szCs w:val="21"/>
          <w:highlight w:val="none"/>
        </w:rPr>
        <w:t xml:space="preserve">5.2          </w:t>
      </w:r>
      <w:r>
        <w:rPr>
          <w:rFonts w:hint="eastAsia" w:ascii="宋体" w:hAnsi="宋体" w:cs="宋体"/>
          <w:b/>
          <w:color w:val="auto"/>
          <w:szCs w:val="21"/>
          <w:highlight w:val="none"/>
        </w:rPr>
        <w:t>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45.2</w:t>
      </w:r>
      <w:r>
        <w:rPr>
          <w:rFonts w:hint="eastAsia" w:ascii="宋体" w:hAnsi="宋体" w:cs="宋体"/>
          <w:color w:val="auto"/>
          <w:szCs w:val="21"/>
          <w:highlight w:val="none"/>
        </w:rPr>
        <w:t>按区间抽取法计算评标参考价：</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评标参考价=（Q高-Q低）/100*Ｘ+Q低</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Q高：为（最高投标限价*D%）（D的取值范围为[94,100],由招标人自定）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X：为等分点值，从[0,100]整数中随机抽取</w:t>
      </w:r>
    </w:p>
    <w:p>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rPr>
        <w:t>现文：</w:t>
      </w:r>
      <w:r>
        <w:rPr>
          <w:rFonts w:ascii="宋体" w:hAnsi="宋体" w:cs="宋体"/>
          <w:color w:val="auto"/>
          <w:szCs w:val="21"/>
          <w:highlight w:val="none"/>
        </w:rPr>
        <w:t>45.2</w:t>
      </w:r>
      <w:r>
        <w:rPr>
          <w:rFonts w:hint="eastAsia" w:ascii="宋体" w:hAnsi="宋体" w:cs="宋体"/>
          <w:color w:val="auto"/>
          <w:szCs w:val="21"/>
          <w:highlight w:val="none"/>
        </w:rPr>
        <w:t>按区间抽取法计算评标参考价：</w:t>
      </w:r>
    </w:p>
    <w:p>
      <w:pPr>
        <w:spacing w:line="360" w:lineRule="auto"/>
        <w:ind w:firstLine="424" w:firstLineChars="201"/>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rPr>
        <w:t>设立入围合格分数线（技术标满分为100分</w:t>
      </w:r>
      <w:r>
        <w:rPr>
          <w:rFonts w:hint="eastAsia" w:ascii="宋体" w:hAnsi="宋体" w:cs="宋体"/>
          <w:b/>
          <w:bCs/>
          <w:color w:val="auto"/>
          <w:szCs w:val="21"/>
          <w:highlight w:val="none"/>
          <w:lang w:eastAsia="zh-CN"/>
        </w:rPr>
        <w:t>，本项目及格分数线为技术标得分大于或等于</w:t>
      </w:r>
      <w:r>
        <w:rPr>
          <w:rFonts w:hint="eastAsia" w:ascii="宋体" w:hAnsi="宋体" w:cs="宋体"/>
          <w:b/>
          <w:bCs/>
          <w:color w:val="auto"/>
          <w:szCs w:val="21"/>
          <w:highlight w:val="none"/>
          <w:lang w:val="en-US" w:eastAsia="zh-CN"/>
        </w:rPr>
        <w:t>85</w:t>
      </w:r>
      <w:r>
        <w:rPr>
          <w:rFonts w:hint="eastAsia" w:ascii="宋体" w:hAnsi="宋体" w:cs="宋体"/>
          <w:b/>
          <w:bCs/>
          <w:color w:val="auto"/>
          <w:szCs w:val="21"/>
          <w:highlight w:val="none"/>
          <w:lang w:eastAsia="zh-CN"/>
        </w:rPr>
        <w:t>分</w:t>
      </w:r>
      <w:r>
        <w:rPr>
          <w:rFonts w:hint="eastAsia" w:ascii="宋体" w:hAnsi="宋体" w:cs="宋体"/>
          <w:b/>
          <w:bCs/>
          <w:color w:val="auto"/>
          <w:szCs w:val="21"/>
          <w:highlight w:val="none"/>
        </w:rPr>
        <w:t>）</w:t>
      </w:r>
      <w:r>
        <w:rPr>
          <w:rFonts w:hint="eastAsia" w:ascii="宋体" w:hAnsi="宋体" w:cs="宋体"/>
          <w:color w:val="auto"/>
          <w:szCs w:val="21"/>
          <w:highlight w:val="none"/>
        </w:rPr>
        <w:t>，达到或超过及格线的投标人的报价方能参与评标参考价的计算。将达到或超过技术标及格分数线的投标报价由低至高进行排列，</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若所有投标人均未达到</w:t>
      </w:r>
      <w:r>
        <w:rPr>
          <w:rFonts w:hint="eastAsia" w:ascii="宋体" w:hAnsi="宋体" w:cs="宋体"/>
          <w:b/>
          <w:bCs/>
          <w:color w:val="auto"/>
          <w:szCs w:val="21"/>
          <w:highlight w:val="none"/>
        </w:rPr>
        <w:t>入围合格分数线</w:t>
      </w:r>
      <w:r>
        <w:rPr>
          <w:rFonts w:hint="eastAsia" w:ascii="宋体" w:hAnsi="宋体" w:cs="宋体"/>
          <w:b/>
          <w:bCs/>
          <w:color w:val="auto"/>
          <w:szCs w:val="21"/>
          <w:highlight w:val="none"/>
          <w:lang w:val="en-US" w:eastAsia="zh-CN"/>
        </w:rPr>
        <w:t>时，则按有效投标报价由低至高进行排列）。</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按以下公式计算评标参考价，计算公式如下：</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评标参考价=（Q高-Q低）/100*Ｘ+Q低</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Q低：为未达到技术标及格分数线的投标人最低报价与工程成本警示价两者中的较高值；</w:t>
      </w:r>
      <w:r>
        <w:rPr>
          <w:rFonts w:hint="eastAsia" w:ascii="宋体" w:hAnsi="宋体" w:eastAsia="宋体" w:cs="宋体"/>
          <w:b/>
          <w:bCs/>
          <w:color w:val="auto"/>
          <w:szCs w:val="21"/>
          <w:highlight w:val="none"/>
          <w:u w:val="single"/>
        </w:rPr>
        <w:t>（当</w:t>
      </w:r>
      <w:r>
        <w:rPr>
          <w:rFonts w:hint="eastAsia" w:ascii="宋体" w:hAnsi="宋体" w:eastAsia="宋体" w:cs="宋体"/>
          <w:b/>
          <w:bCs/>
          <w:color w:val="auto"/>
          <w:szCs w:val="21"/>
          <w:highlight w:val="none"/>
          <w:u w:val="single"/>
          <w:lang w:val="en-US" w:eastAsia="zh-CN"/>
        </w:rPr>
        <w:t>所有</w:t>
      </w:r>
      <w:r>
        <w:rPr>
          <w:rFonts w:hint="eastAsia" w:ascii="宋体" w:hAnsi="宋体" w:eastAsia="宋体" w:cs="宋体"/>
          <w:b/>
          <w:bCs/>
          <w:color w:val="auto"/>
          <w:szCs w:val="21"/>
          <w:highlight w:val="none"/>
          <w:u w:val="single"/>
        </w:rPr>
        <w:t>投标人均未达到技术标及格分数线的适用此条）</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Q高：</w:t>
      </w:r>
      <w:r>
        <w:rPr>
          <w:rFonts w:hint="eastAsia" w:ascii="宋体" w:hAnsi="宋体" w:cs="宋体"/>
          <w:color w:val="auto"/>
          <w:szCs w:val="21"/>
          <w:highlight w:val="none"/>
          <w:u w:val="single"/>
        </w:rPr>
        <w:t>为（最高投标限价）</w:t>
      </w:r>
    </w:p>
    <w:p>
      <w:pPr>
        <w:pBdr>
          <w:bottom w:val="single" w:color="auto" w:sz="6" w:space="1"/>
        </w:pBd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szCs w:val="21"/>
          <w:highlight w:val="none"/>
        </w:rPr>
        <w:t>X：为等分点值，从[0,100]整数中随机抽取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45.4</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bCs/>
          <w:color w:val="auto"/>
          <w:kern w:val="0"/>
          <w:szCs w:val="21"/>
          <w:highlight w:val="none"/>
        </w:rPr>
        <w:t>45.4计算通过技术标有效性审查的投标人总得分。</w:t>
      </w:r>
      <w:r>
        <w:rPr>
          <w:rFonts w:hint="eastAsia" w:ascii="宋体" w:hAnsi="宋体" w:cs="宋体"/>
          <w:b/>
          <w:bCs/>
          <w:color w:val="auto"/>
          <w:kern w:val="0"/>
          <w:szCs w:val="21"/>
          <w:highlight w:val="none"/>
          <w:u w:val="single"/>
        </w:rPr>
        <w:t>投标人总得分（1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分）=技术得分（1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分）×技术得分权重（</w:t>
      </w:r>
      <w:r>
        <w:rPr>
          <w:rFonts w:hint="eastAsia" w:ascii="宋体" w:hAnsi="宋体" w:cs="宋体"/>
          <w:b/>
          <w:bCs/>
          <w:color w:val="auto"/>
          <w:kern w:val="0"/>
          <w:szCs w:val="21"/>
          <w:highlight w:val="none"/>
          <w:u w:val="single"/>
          <w:lang w:val="en-US" w:eastAsia="zh-CN"/>
        </w:rPr>
        <w:t>4</w:t>
      </w:r>
      <w:r>
        <w:rPr>
          <w:rFonts w:hint="eastAsia" w:ascii="宋体" w:hAnsi="宋体" w:cs="宋体"/>
          <w:b/>
          <w:bCs/>
          <w:color w:val="auto"/>
          <w:kern w:val="0"/>
          <w:szCs w:val="21"/>
          <w:highlight w:val="none"/>
          <w:u w:val="single"/>
        </w:rPr>
        <w:t>0%）＋经济得分（1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分）×经济得分权重（</w:t>
      </w:r>
      <w:r>
        <w:rPr>
          <w:rFonts w:hint="eastAsia" w:ascii="宋体" w:hAnsi="宋体" w:cs="宋体"/>
          <w:b/>
          <w:bCs/>
          <w:color w:val="auto"/>
          <w:kern w:val="0"/>
          <w:szCs w:val="21"/>
          <w:highlight w:val="none"/>
          <w:u w:val="single"/>
          <w:lang w:val="en-US" w:eastAsia="zh-CN"/>
        </w:rPr>
        <w:t>6</w:t>
      </w:r>
      <w:r>
        <w:rPr>
          <w:rFonts w:hint="eastAsia" w:ascii="宋体" w:hAnsi="宋体" w:cs="宋体"/>
          <w:b/>
          <w:bCs/>
          <w:color w:val="auto"/>
          <w:kern w:val="0"/>
          <w:szCs w:val="21"/>
          <w:highlight w:val="none"/>
          <w:u w:val="single"/>
        </w:rPr>
        <w:t>0%）</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技术、经济得分权重按投标须知前附表的规定执行。总得分四舍五入保留两位小数。</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45.5</w:t>
      </w:r>
      <w:r>
        <w:rPr>
          <w:rFonts w:ascii="宋体" w:hAnsi="宋体" w:cs="宋体"/>
          <w:b/>
          <w:color w:val="auto"/>
          <w:szCs w:val="21"/>
          <w:highlight w:val="none"/>
        </w:rPr>
        <w:t xml:space="preserve">          </w:t>
      </w:r>
      <w:r>
        <w:rPr>
          <w:rFonts w:hint="eastAsia" w:ascii="宋体" w:hAnsi="宋体" w:cs="宋体"/>
          <w:b/>
          <w:color w:val="auto"/>
          <w:szCs w:val="21"/>
          <w:highlight w:val="none"/>
        </w:rPr>
        <w:t>修改类型：增加</w:t>
      </w:r>
    </w:p>
    <w:p>
      <w:pPr>
        <w:pBdr>
          <w:bottom w:val="single" w:color="auto" w:sz="6" w:space="1"/>
        </w:pBdr>
        <w:spacing w:line="360" w:lineRule="auto"/>
        <w:ind w:firstLine="422" w:firstLineChars="200"/>
        <w:rPr>
          <w:rFonts w:hint="eastAsia" w:ascii="宋体" w:hAnsi="宋体" w:cs="宋体"/>
          <w:color w:val="auto"/>
          <w:kern w:val="0"/>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ascii="宋体" w:hAnsi="宋体" w:cs="宋体"/>
          <w:color w:val="auto"/>
          <w:szCs w:val="21"/>
          <w:highlight w:val="none"/>
        </w:rPr>
        <w:t>5.5</w:t>
      </w:r>
      <w:r>
        <w:rPr>
          <w:rFonts w:hint="eastAsia" w:ascii="宋体" w:hAnsi="宋体" w:cs="宋体"/>
          <w:color w:val="auto"/>
          <w:kern w:val="0"/>
          <w:szCs w:val="21"/>
          <w:highlight w:val="none"/>
          <w:u w:val="single"/>
        </w:rPr>
        <w:t>总得分相同的投标文件，以技术分高的排前；如仍存在相同情况，则对具有相同情况的投标人，由评标委员会采用投票方式，确定投标人的排序。投票方式确定排序的具体操作步骤为：由评标委员会对出现该情况的投标人进行编号，然后通过投票方式依次确定投标人的排序。</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条款号：46.2.8</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s="宋体"/>
          <w:color w:val="auto"/>
          <w:szCs w:val="21"/>
          <w:highlight w:val="none"/>
        </w:rPr>
        <w:t>。</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48</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kern w:val="0"/>
          <w:szCs w:val="21"/>
          <w:highlight w:val="none"/>
        </w:rPr>
        <w:t>48</w:t>
      </w:r>
      <w:r>
        <w:rPr>
          <w:rFonts w:hint="eastAsia" w:ascii="宋体" w:hAnsi="宋体" w:cs="宋体"/>
          <w:color w:val="auto"/>
          <w:kern w:val="0"/>
          <w:szCs w:val="21"/>
          <w:highlight w:val="none"/>
        </w:rPr>
        <w:t>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ascii="宋体" w:hAnsi="宋体" w:cs="宋体"/>
          <w:color w:val="auto"/>
          <w:kern w:val="0"/>
          <w:szCs w:val="21"/>
          <w:highlight w:val="none"/>
        </w:rPr>
        <w:t>48</w:t>
      </w:r>
      <w:r>
        <w:rPr>
          <w:rFonts w:hint="eastAsia" w:ascii="宋体" w:hAnsi="宋体" w:cs="宋体"/>
          <w:color w:val="auto"/>
          <w:kern w:val="0"/>
          <w:szCs w:val="21"/>
          <w:highlight w:val="none"/>
        </w:rPr>
        <w:t>评标委员会应在通过投标文件经济标有效性审查的投标人中，</w:t>
      </w:r>
      <w:r>
        <w:rPr>
          <w:rFonts w:hint="eastAsia" w:ascii="宋体" w:hAnsi="宋体" w:cs="宋体"/>
          <w:color w:val="auto"/>
          <w:kern w:val="0"/>
          <w:szCs w:val="21"/>
          <w:highlight w:val="none"/>
          <w:u w:val="single"/>
        </w:rPr>
        <w:t>按步骤45.4、45.5确定的投标人总得分排序</w:t>
      </w:r>
      <w:r>
        <w:rPr>
          <w:rFonts w:hint="eastAsia" w:ascii="宋体" w:hAnsi="宋体" w:cs="宋体"/>
          <w:color w:val="auto"/>
          <w:kern w:val="0"/>
          <w:szCs w:val="21"/>
          <w:highlight w:val="none"/>
        </w:rPr>
        <w:t>，推荐前3名依次为第一中标候选人至第三中标候选人，并编制评标报告。</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条款号：附表一</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《资格审查表》</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本招标文件《资格审查表》</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条款号：附表二</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《技术标有效性审查表》</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本招标文件《技术标有效性审查表》</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条款号：附表三</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《经济标有效性审查表》</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本招标文件《经济标有效性审查表》</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条款号：附表四          修改类型：修改</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《技术标详细审查评分表》</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本招标文件《技术标详细审查评分表》</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条款号：附表五（适用于加权平均法）</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《经济标评分表》</w:t>
      </w:r>
    </w:p>
    <w:p>
      <w:pPr>
        <w:pStyle w:val="9"/>
        <w:rPr>
          <w:color w:val="auto"/>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9"/>
        <w:spacing w:line="360" w:lineRule="auto"/>
        <w:rPr>
          <w:color w:val="auto"/>
          <w:highlight w:val="none"/>
        </w:rPr>
      </w:pPr>
      <w:r>
        <w:rPr>
          <w:color w:val="auto"/>
          <w:highlight w:val="none"/>
        </w:rPr>
        <w:br w:type="page"/>
      </w:r>
    </w:p>
    <w:p>
      <w:pPr>
        <w:pStyle w:val="7"/>
        <w:ind w:firstLine="525"/>
        <w:rPr>
          <w:color w:val="auto"/>
          <w:highlight w:val="none"/>
        </w:rPr>
      </w:pPr>
      <w:bookmarkStart w:id="22" w:name="_Toc21525500"/>
      <w:bookmarkStart w:id="23" w:name="_Toc2272556"/>
      <w:r>
        <w:rPr>
          <w:rFonts w:hint="eastAsia"/>
          <w:color w:val="auto"/>
          <w:highlight w:val="none"/>
        </w:rPr>
        <w:t>二、开标、评标及定标办法</w:t>
      </w:r>
      <w:r>
        <w:rPr>
          <w:rFonts w:hint="eastAsia"/>
          <w:color w:val="auto"/>
          <w:szCs w:val="30"/>
          <w:highlight w:val="none"/>
        </w:rPr>
        <w:t>通用条款</w:t>
      </w:r>
      <w:bookmarkEnd w:id="22"/>
      <w:bookmarkEnd w:id="23"/>
    </w:p>
    <w:p>
      <w:pPr>
        <w:pStyle w:val="8"/>
        <w:spacing w:before="156" w:after="156"/>
        <w:ind w:firstLine="540" w:firstLineChars="200"/>
        <w:rPr>
          <w:rFonts w:hint="eastAsia"/>
          <w:color w:val="auto"/>
          <w:highlight w:val="none"/>
        </w:rPr>
      </w:pPr>
      <w:bookmarkStart w:id="24" w:name="_Toc2272557"/>
      <w:bookmarkStart w:id="25" w:name="_Toc21525501"/>
      <w:r>
        <w:rPr>
          <w:rFonts w:hint="eastAsia"/>
          <w:color w:val="auto"/>
          <w:highlight w:val="none"/>
        </w:rPr>
        <w:t>（一）总则</w:t>
      </w:r>
      <w:bookmarkEnd w:id="24"/>
      <w:bookmarkEnd w:id="25"/>
    </w:p>
    <w:p>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rFonts w:hint="eastAsia"/>
          <w:color w:val="auto"/>
          <w:highlight w:val="none"/>
        </w:rPr>
      </w:pPr>
      <w:bookmarkStart w:id="26" w:name="_Toc2272558"/>
      <w:bookmarkStart w:id="27" w:name="_Toc21525502"/>
      <w:r>
        <w:rPr>
          <w:rFonts w:hint="eastAsia"/>
          <w:color w:val="auto"/>
          <w:highlight w:val="none"/>
        </w:rPr>
        <w:t>（二）开标评标办法程序和细则</w:t>
      </w:r>
      <w:bookmarkEnd w:id="26"/>
      <w:bookmarkEnd w:id="27"/>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28" w:name="_Toc21525503"/>
      <w:bookmarkStart w:id="29" w:name="_Toc2272559"/>
      <w:r>
        <w:rPr>
          <w:rFonts w:hint="eastAsia"/>
          <w:color w:val="auto"/>
          <w:highlight w:val="none"/>
        </w:rPr>
        <w:t>可选办法一（适合综合评分法一，技术标与经济标先后分别开启）</w:t>
      </w:r>
      <w:bookmarkEnd w:id="28"/>
      <w:bookmarkEnd w:id="29"/>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42.4.2将第二阶段投标人按投标须知前附表第30项规定的方法进行排序。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5"/>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0" w:name="_Toc21525504"/>
      <w:bookmarkStart w:id="31" w:name="_Toc2272560"/>
      <w:r>
        <w:rPr>
          <w:rFonts w:hint="eastAsia"/>
          <w:color w:val="auto"/>
          <w:highlight w:val="none"/>
        </w:rPr>
        <w:t>可选办法二（适合综合评分法一，技术标与经济标同时开启）</w:t>
      </w:r>
      <w:bookmarkEnd w:id="30"/>
      <w:bookmarkEnd w:id="31"/>
    </w:p>
    <w:p>
      <w:pPr>
        <w:pStyle w:val="5"/>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42.4.2并将第二阶段投标人按投标须知前附表第</w:t>
      </w:r>
      <w:r>
        <w:rPr>
          <w:rFonts w:ascii="宋体" w:hAnsi="宋体"/>
          <w:color w:val="auto"/>
          <w:sz w:val="24"/>
          <w:szCs w:val="24"/>
          <w:highlight w:val="none"/>
        </w:rPr>
        <w:t>3</w:t>
      </w:r>
      <w:r>
        <w:rPr>
          <w:rFonts w:hint="eastAsia" w:ascii="宋体" w:hAnsi="宋体"/>
          <w:color w:val="auto"/>
          <w:sz w:val="24"/>
          <w:szCs w:val="24"/>
          <w:highlight w:val="none"/>
        </w:rPr>
        <w:t>0项规定的方法进行排序。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pStyle w:val="5"/>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8"/>
        <w:ind w:firstLine="540" w:firstLineChars="200"/>
        <w:rPr>
          <w:rFonts w:hint="eastAsia"/>
          <w:color w:val="auto"/>
          <w:highlight w:val="none"/>
        </w:rPr>
      </w:pPr>
      <w:bookmarkStart w:id="32" w:name="_Toc21525505"/>
      <w:r>
        <w:rPr>
          <w:rFonts w:hint="eastAsia"/>
          <w:color w:val="auto"/>
          <w:highlight w:val="none"/>
        </w:rPr>
        <w:t>可选办法三（适合综合评分法二，技术标与经济标先后分别开启）</w:t>
      </w:r>
      <w:bookmarkEnd w:id="32"/>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 xml:space="preserve">：为最高投标限价    </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9"/>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3" w:name="_Toc2272561"/>
      <w:bookmarkStart w:id="34" w:name="_Toc21525506"/>
      <w:r>
        <w:rPr>
          <w:rFonts w:hint="eastAsia"/>
          <w:color w:val="auto"/>
          <w:highlight w:val="none"/>
        </w:rPr>
        <w:t>可选办法四（适合综合评分法二，技术标与经济标同时开启）</w:t>
      </w:r>
      <w:bookmarkEnd w:id="33"/>
      <w:bookmarkEnd w:id="34"/>
    </w:p>
    <w:p>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widowControl/>
        <w:spacing w:line="360" w:lineRule="auto"/>
        <w:ind w:firstLine="482" w:firstLineChars="200"/>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5" w:name="_Toc21525507"/>
      <w:bookmarkStart w:id="36" w:name="_Toc2272562"/>
      <w:r>
        <w:rPr>
          <w:rFonts w:hint="eastAsia"/>
          <w:color w:val="auto"/>
          <w:highlight w:val="none"/>
        </w:rPr>
        <w:t>可选办法五（适合综合评分法三，技术标与经济标先后分别开启）</w:t>
      </w:r>
      <w:bookmarkEnd w:id="35"/>
      <w:bookmarkEnd w:id="36"/>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       得分。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p>
    <w:p>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42.3.4招标人应在《投标须知前附表》中明确选择使用施工企业总排名或相应的施工专业承包排名计分。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9"/>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7" w:name="_Toc2272563"/>
      <w:bookmarkStart w:id="38" w:name="_Toc21525508"/>
      <w:r>
        <w:rPr>
          <w:rFonts w:hint="eastAsia"/>
          <w:color w:val="auto"/>
          <w:highlight w:val="none"/>
        </w:rPr>
        <w:t>可选办法六（适合综合评分法三，技术标与经济标同时开启）</w:t>
      </w:r>
      <w:bookmarkEnd w:id="37"/>
      <w:bookmarkEnd w:id="38"/>
    </w:p>
    <w:p>
      <w:pPr>
        <w:pStyle w:val="5"/>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得分。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ind w:firstLine="480" w:firstLineChars="200"/>
        <w:rPr>
          <w:rFonts w:hint="eastAsia" w:ascii="宋体" w:hAnsi="宋体"/>
          <w:color w:val="auto"/>
          <w:sz w:val="24"/>
          <w:szCs w:val="24"/>
          <w:highlight w:val="none"/>
        </w:rPr>
      </w:pPr>
    </w:p>
    <w:p>
      <w:pPr>
        <w:pStyle w:val="8"/>
        <w:spacing w:before="156" w:after="156"/>
        <w:ind w:firstLine="540" w:firstLineChars="200"/>
        <w:rPr>
          <w:rFonts w:hint="eastAsia"/>
          <w:color w:val="auto"/>
          <w:highlight w:val="none"/>
        </w:rPr>
      </w:pPr>
      <w:bookmarkStart w:id="39" w:name="_Toc21525509"/>
      <w:bookmarkStart w:id="40" w:name="_Toc2272564"/>
      <w:r>
        <w:rPr>
          <w:rFonts w:hint="eastAsia"/>
          <w:color w:val="auto"/>
          <w:highlight w:val="none"/>
        </w:rPr>
        <w:t>可选办法七（适合综合评分法四，技术标与经济标同时开启）</w:t>
      </w:r>
      <w:bookmarkEnd w:id="39"/>
      <w:bookmarkEnd w:id="40"/>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8"/>
        <w:spacing w:before="156" w:after="156"/>
        <w:ind w:firstLine="540" w:firstLineChars="200"/>
        <w:rPr>
          <w:rFonts w:hint="eastAsia"/>
          <w:color w:val="auto"/>
          <w:highlight w:val="none"/>
        </w:rPr>
      </w:pPr>
      <w:bookmarkStart w:id="41" w:name="_Toc21525510"/>
      <w:bookmarkStart w:id="42" w:name="_Toc2272565"/>
      <w:r>
        <w:rPr>
          <w:rFonts w:hint="eastAsia"/>
          <w:color w:val="auto"/>
          <w:highlight w:val="none"/>
        </w:rPr>
        <w:t>可选办法八（适合经评审的最低投标价法，技术标与经济标同时开启）</w:t>
      </w:r>
      <w:bookmarkEnd w:id="41"/>
      <w:bookmarkEnd w:id="42"/>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pPr>
        <w:widowControl/>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hAnsi="宋体" w:cs="宋体"/>
          <w:color w:val="auto"/>
          <w:kern w:val="0"/>
          <w:sz w:val="24"/>
          <w:szCs w:val="24"/>
          <w:highlight w:val="none"/>
        </w:rPr>
        <w:t xml:space="preserve"> </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确定评标方式</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采用经评审的最低投标价法的，招标人应当提出必要的评标价格调整方法，不得以投标报价作为单一决定因素。鼓励招标人实施技术、质量、服务、信用、品牌和价格等多种因素的评标评审。</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42.6 投标文件的有效性审查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rPr>
          <w:rFonts w:hint="eastAsia" w:ascii="宋体" w:hAnsi="宋体"/>
          <w:color w:val="auto"/>
          <w:sz w:val="24"/>
          <w:szCs w:val="24"/>
          <w:highlight w:val="none"/>
        </w:rPr>
      </w:pPr>
      <w:r>
        <w:rPr>
          <w:rFonts w:ascii="宋体" w:hAnsi="宋体"/>
          <w:color w:val="auto"/>
          <w:sz w:val="24"/>
          <w:szCs w:val="24"/>
          <w:highlight w:val="none"/>
        </w:rPr>
        <w:br w:type="page"/>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pPr>
        <w:spacing w:line="360" w:lineRule="auto"/>
        <w:ind w:firstLine="480" w:firstLineChars="200"/>
        <w:rPr>
          <w:rFonts w:hint="eastAsia" w:ascii="宋体" w:hAnsi="宋体" w:cs="宋体"/>
          <w:color w:val="auto"/>
          <w:sz w:val="24"/>
          <w:szCs w:val="24"/>
          <w:highlight w:val="none"/>
        </w:rPr>
      </w:pPr>
    </w:p>
    <w:p>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pPr>
        <w:widowControl/>
        <w:jc w:val="left"/>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outlineLvl w:val="3"/>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2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拟委托技术负责人的相关证书、资料（具体要求由招标人明确）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w:t>
            </w:r>
            <w:r>
              <w:rPr>
                <w:rFonts w:hint="eastAsia" w:ascii="宋体" w:hAnsi="宋体"/>
                <w:b/>
                <w:bCs/>
                <w:color w:val="auto"/>
                <w:szCs w:val="21"/>
                <w:highlight w:val="none"/>
              </w:rPr>
              <w:t>第</w:t>
            </w:r>
            <w:r>
              <w:rPr>
                <w:rFonts w:hint="eastAsia" w:ascii="宋体" w:hAnsi="宋体"/>
                <w:b/>
                <w:bCs/>
                <w:color w:val="auto"/>
                <w:szCs w:val="21"/>
                <w:highlight w:val="none"/>
                <w:lang w:val="en-US" w:eastAsia="zh-CN"/>
              </w:rPr>
              <w:t>九</w:t>
            </w:r>
            <w:r>
              <w:rPr>
                <w:rFonts w:hint="eastAsia" w:ascii="宋体" w:hAnsi="宋体"/>
                <w:b/>
                <w:bCs/>
                <w:color w:val="auto"/>
                <w:szCs w:val="21"/>
                <w:highlight w:val="none"/>
              </w:rPr>
              <w:t>条</w:t>
            </w:r>
            <w:r>
              <w:rPr>
                <w:rFonts w:hint="eastAsia" w:ascii="宋体" w:hAnsi="宋体"/>
                <w:color w:val="auto"/>
                <w:szCs w:val="21"/>
                <w:highlight w:val="none"/>
              </w:rPr>
              <w:t>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b/>
                <w:bCs/>
                <w:color w:val="auto"/>
                <w:szCs w:val="21"/>
                <w:highlight w:val="none"/>
                <w:shd w:val="clear" w:color="auto" w:fill="FFFFFF"/>
                <w:lang w:bidi="ar"/>
              </w:rPr>
              <w:t>投标截止时间当天</w:t>
            </w:r>
            <w:r>
              <w:rPr>
                <w:rFonts w:hint="eastAsia" w:ascii="宋体" w:hAnsi="宋体"/>
                <w:color w:val="auto"/>
                <w:szCs w:val="21"/>
                <w:highlight w:val="none"/>
              </w:rPr>
              <w:t>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p>
        </w:tc>
      </w:tr>
    </w:tbl>
    <w:p>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pPr>
        <w:rPr>
          <w:color w:val="auto"/>
          <w:szCs w:val="21"/>
          <w:highlight w:val="none"/>
        </w:rPr>
      </w:pPr>
      <w:r>
        <w:rPr>
          <w:rFonts w:hint="eastAsia"/>
          <w:color w:val="auto"/>
          <w:szCs w:val="21"/>
          <w:highlight w:val="none"/>
        </w:rPr>
        <w:t>附表二</w:t>
      </w:r>
    </w:p>
    <w:p>
      <w:pPr>
        <w:jc w:val="center"/>
        <w:outlineLvl w:val="3"/>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hint="eastAsia" w:ascii="宋体" w:hAnsi="宋体"/>
                <w:color w:val="auto"/>
                <w:szCs w:val="21"/>
                <w:highlight w:val="none"/>
              </w:rPr>
            </w:pPr>
          </w:p>
          <w:p>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trike/>
                <w:dstrike w:val="0"/>
                <w:color w:val="auto"/>
                <w:szCs w:val="21"/>
                <w:highlight w:val="none"/>
              </w:rPr>
            </w:pPr>
            <w:r>
              <w:rPr>
                <w:rFonts w:hint="eastAsia" w:ascii="宋体" w:hAnsi="宋体"/>
                <w:strike/>
                <w:dstrike w:val="0"/>
                <w:color w:val="auto"/>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trike/>
                <w:dstrike w:val="0"/>
                <w:color w:val="auto"/>
                <w:szCs w:val="21"/>
                <w:highlight w:val="none"/>
              </w:rPr>
            </w:pPr>
            <w:r>
              <w:rPr>
                <w:rFonts w:hint="eastAsia" w:ascii="宋体" w:hAnsi="宋体"/>
                <w:strike/>
                <w:dstrike w:val="0"/>
                <w:color w:val="auto"/>
                <w:szCs w:val="21"/>
                <w:highlight w:val="none"/>
              </w:rPr>
              <w:t>在技术投标文件中涉及本工程项目投标报价的；（本条适用于技术标和经济标分别开启的招标项目）</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ascii="宋体" w:hAnsi="宋体"/>
                <w:color w:val="auto"/>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ascii="宋体" w:hAnsi="宋体"/>
                <w:color w:val="auto"/>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ascii="宋体" w:hAnsi="宋体"/>
                <w:color w:val="auto"/>
                <w:szCs w:val="21"/>
                <w:highlight w:val="none"/>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trike/>
                <w:dstrike w:val="0"/>
                <w:color w:val="auto"/>
                <w:szCs w:val="21"/>
                <w:highlight w:val="none"/>
              </w:rPr>
            </w:pPr>
            <w:r>
              <w:rPr>
                <w:rFonts w:ascii="宋体" w:hAnsi="宋体"/>
                <w:strike/>
                <w:dstrike w:val="0"/>
                <w:color w:val="auto"/>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strike/>
                <w:dstrike w:val="0"/>
                <w:color w:val="auto"/>
                <w:szCs w:val="21"/>
                <w:highlight w:val="none"/>
              </w:rPr>
            </w:pPr>
            <w:r>
              <w:rPr>
                <w:rFonts w:hint="eastAsia" w:ascii="宋体" w:hAnsi="宋体"/>
                <w:strike w:val="0"/>
                <w:dstrike w:val="0"/>
                <w:color w:val="auto"/>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ascii="宋体" w:hAnsi="宋体"/>
                <w:color w:val="auto"/>
                <w:szCs w:val="21"/>
                <w:highlight w:val="none"/>
              </w:rPr>
              <w:t>9</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Cs w:val="21"/>
          <w:highlight w:val="none"/>
        </w:rPr>
        <w:t>附表三</w:t>
      </w:r>
    </w:p>
    <w:p>
      <w:pPr>
        <w:jc w:val="center"/>
        <w:outlineLvl w:val="3"/>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bl>
    <w:p>
      <w:pPr>
        <w:ind w:firstLine="458"/>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hint="eastAsia"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jc w:val="center"/>
        <w:outlineLvl w:val="3"/>
        <w:rPr>
          <w:b/>
          <w:color w:val="auto"/>
          <w:sz w:val="36"/>
          <w:szCs w:val="36"/>
          <w:highlight w:val="none"/>
        </w:rPr>
      </w:pPr>
      <w:r>
        <w:rPr>
          <w:rFonts w:hint="eastAsia"/>
          <w:b/>
          <w:color w:val="auto"/>
          <w:sz w:val="36"/>
          <w:szCs w:val="36"/>
          <w:highlight w:val="none"/>
        </w:rPr>
        <w:t>技术标详细审查评分表</w:t>
      </w:r>
    </w:p>
    <w:p>
      <w:pPr>
        <w:rPr>
          <w:rFonts w:hint="eastAsia" w:ascii="宋体" w:hAnsi="宋体" w:cs="宋体"/>
          <w:color w:val="auto"/>
          <w:szCs w:val="21"/>
          <w:highlight w:val="none"/>
        </w:rPr>
      </w:pPr>
    </w:p>
    <w:tbl>
      <w:tblPr>
        <w:tblStyle w:val="23"/>
        <w:tblpPr w:leftFromText="180" w:rightFromText="180" w:vertAnchor="text" w:horzAnchor="page" w:tblpX="895" w:tblpY="300"/>
        <w:tblOverlap w:val="never"/>
        <w:tblW w:w="14921" w:type="dxa"/>
        <w:tblInd w:w="0"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1160"/>
        <w:gridCol w:w="683"/>
        <w:gridCol w:w="11750"/>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blHeader/>
        </w:trPr>
        <w:tc>
          <w:tcPr>
            <w:tcW w:w="1328" w:type="dxa"/>
            <w:tcBorders>
              <w:top w:val="single" w:color="000000" w:sz="8" w:space="0"/>
              <w:left w:val="single" w:color="000000" w:sz="8" w:space="0"/>
              <w:bottom w:val="single" w:color="000000" w:sz="4" w:space="0"/>
              <w:right w:val="single" w:color="000000" w:sz="4" w:space="0"/>
            </w:tcBorders>
            <w:noWrap w:val="0"/>
            <w:vAlign w:val="center"/>
          </w:tcPr>
          <w:p>
            <w:pPr>
              <w:adjustRightInd w:val="0"/>
              <w:snapToGrid w:val="0"/>
              <w:jc w:val="center"/>
              <w:rPr>
                <w:rStyle w:val="35"/>
                <w:rFonts w:ascii="宋体" w:hAnsi="宋体" w:cs="宋体"/>
                <w:b/>
                <w:bCs/>
                <w:color w:val="auto"/>
                <w:szCs w:val="21"/>
                <w:highlight w:val="none"/>
              </w:rPr>
            </w:pPr>
            <w:r>
              <w:rPr>
                <w:rStyle w:val="35"/>
                <w:rFonts w:hint="eastAsia" w:ascii="宋体" w:hAnsi="宋体" w:cs="宋体"/>
                <w:b/>
                <w:bCs/>
                <w:color w:val="auto"/>
                <w:szCs w:val="21"/>
                <w:highlight w:val="none"/>
              </w:rPr>
              <w:t>评分项目</w:t>
            </w:r>
          </w:p>
        </w:tc>
        <w:tc>
          <w:tcPr>
            <w:tcW w:w="1160" w:type="dxa"/>
            <w:tcBorders>
              <w:top w:val="single" w:color="000000" w:sz="8" w:space="0"/>
              <w:left w:val="single" w:color="000000" w:sz="4" w:space="0"/>
              <w:bottom w:val="single" w:color="000000" w:sz="4" w:space="0"/>
              <w:right w:val="single" w:color="000000" w:sz="4" w:space="0"/>
            </w:tcBorders>
            <w:noWrap w:val="0"/>
            <w:vAlign w:val="center"/>
          </w:tcPr>
          <w:p>
            <w:pPr>
              <w:adjustRightInd w:val="0"/>
              <w:snapToGrid w:val="0"/>
              <w:jc w:val="center"/>
              <w:rPr>
                <w:rStyle w:val="35"/>
                <w:rFonts w:ascii="宋体" w:hAnsi="宋体" w:cs="宋体"/>
                <w:b/>
                <w:bCs/>
                <w:color w:val="auto"/>
                <w:szCs w:val="21"/>
                <w:highlight w:val="none"/>
              </w:rPr>
            </w:pPr>
            <w:r>
              <w:rPr>
                <w:rStyle w:val="35"/>
                <w:rFonts w:hint="eastAsia" w:ascii="宋体" w:hAnsi="宋体" w:cs="宋体"/>
                <w:b/>
                <w:bCs/>
                <w:color w:val="auto"/>
                <w:szCs w:val="21"/>
                <w:highlight w:val="none"/>
              </w:rPr>
              <w:t>评分内容</w:t>
            </w:r>
          </w:p>
        </w:tc>
        <w:tc>
          <w:tcPr>
            <w:tcW w:w="683" w:type="dxa"/>
            <w:tcBorders>
              <w:top w:val="single" w:color="000000" w:sz="8" w:space="0"/>
              <w:left w:val="single" w:color="000000" w:sz="4" w:space="0"/>
              <w:bottom w:val="single" w:color="000000" w:sz="4" w:space="0"/>
              <w:right w:val="single" w:color="000000" w:sz="4" w:space="0"/>
            </w:tcBorders>
            <w:noWrap w:val="0"/>
            <w:vAlign w:val="center"/>
          </w:tcPr>
          <w:p>
            <w:pPr>
              <w:adjustRightInd w:val="0"/>
              <w:snapToGrid w:val="0"/>
              <w:jc w:val="center"/>
              <w:rPr>
                <w:rStyle w:val="35"/>
                <w:rFonts w:ascii="宋体" w:hAnsi="宋体" w:cs="宋体"/>
                <w:b/>
                <w:bCs/>
                <w:color w:val="auto"/>
                <w:szCs w:val="21"/>
                <w:highlight w:val="none"/>
              </w:rPr>
            </w:pPr>
            <w:r>
              <w:rPr>
                <w:rStyle w:val="35"/>
                <w:rFonts w:hint="eastAsia" w:ascii="宋体" w:hAnsi="宋体" w:cs="宋体"/>
                <w:b/>
                <w:bCs/>
                <w:color w:val="auto"/>
                <w:szCs w:val="21"/>
                <w:highlight w:val="none"/>
              </w:rPr>
              <w:t>分值</w:t>
            </w:r>
          </w:p>
        </w:tc>
        <w:tc>
          <w:tcPr>
            <w:tcW w:w="11750" w:type="dxa"/>
            <w:tcBorders>
              <w:top w:val="single" w:color="000000" w:sz="8" w:space="0"/>
              <w:left w:val="single" w:color="000000" w:sz="4" w:space="0"/>
              <w:bottom w:val="single" w:color="000000" w:sz="4" w:space="0"/>
              <w:right w:val="single" w:color="000000" w:sz="4" w:space="0"/>
            </w:tcBorders>
            <w:noWrap w:val="0"/>
            <w:vAlign w:val="center"/>
          </w:tcPr>
          <w:p>
            <w:pPr>
              <w:adjustRightInd w:val="0"/>
              <w:snapToGrid w:val="0"/>
              <w:jc w:val="center"/>
              <w:rPr>
                <w:rStyle w:val="35"/>
                <w:rFonts w:ascii="宋体" w:hAnsi="宋体" w:cs="宋体"/>
                <w:b/>
                <w:bCs/>
                <w:color w:val="auto"/>
                <w:szCs w:val="21"/>
                <w:highlight w:val="none"/>
              </w:rPr>
            </w:pPr>
            <w:r>
              <w:rPr>
                <w:rStyle w:val="35"/>
                <w:rFonts w:hint="eastAsia" w:ascii="宋体" w:hAnsi="宋体" w:cs="宋体"/>
                <w:b/>
                <w:bCs/>
                <w:color w:val="auto"/>
                <w:szCs w:val="21"/>
                <w:highlight w:val="none"/>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50" w:hRule="atLeast"/>
        </w:trPr>
        <w:tc>
          <w:tcPr>
            <w:tcW w:w="1328" w:type="dxa"/>
            <w:vMerge w:val="restart"/>
            <w:tcBorders>
              <w:top w:val="single" w:color="000000" w:sz="4" w:space="0"/>
              <w:left w:val="single" w:color="000000" w:sz="8" w:space="0"/>
              <w:right w:val="single" w:color="000000" w:sz="4" w:space="0"/>
            </w:tcBorders>
            <w:noWrap w:val="0"/>
            <w:vAlign w:val="center"/>
          </w:tcPr>
          <w:p>
            <w:pPr>
              <w:adjustRightInd w:val="0"/>
              <w:snapToGrid w:val="0"/>
              <w:jc w:val="center"/>
              <w:rPr>
                <w:rStyle w:val="35"/>
                <w:rFonts w:ascii="宋体" w:hAnsi="宋体" w:cs="宋体"/>
                <w:strike/>
                <w:color w:val="auto"/>
                <w:szCs w:val="21"/>
                <w:highlight w:val="none"/>
              </w:rPr>
            </w:pPr>
            <w:r>
              <w:rPr>
                <w:rStyle w:val="35"/>
                <w:rFonts w:hint="eastAsia" w:ascii="宋体" w:hAnsi="宋体" w:cs="宋体"/>
                <w:strike w:val="0"/>
                <w:color w:val="auto"/>
                <w:szCs w:val="21"/>
                <w:highlight w:val="none"/>
              </w:rPr>
              <w:t>一</w:t>
            </w:r>
            <w:r>
              <w:rPr>
                <w:rStyle w:val="35"/>
                <w:rFonts w:hint="eastAsia" w:ascii="宋体" w:hAnsi="宋体" w:cs="宋体"/>
                <w:strike w:val="0"/>
                <w:color w:val="auto"/>
                <w:szCs w:val="21"/>
                <w:highlight w:val="none"/>
                <w:lang w:eastAsia="zh-CN"/>
              </w:rPr>
              <w:t>、</w:t>
            </w:r>
            <w:r>
              <w:rPr>
                <w:rStyle w:val="35"/>
                <w:rFonts w:hint="eastAsia" w:ascii="宋体" w:hAnsi="宋体" w:cs="宋体"/>
                <w:strike w:val="0"/>
                <w:color w:val="auto"/>
                <w:szCs w:val="21"/>
                <w:highlight w:val="none"/>
              </w:rPr>
              <w:t>企业资信  （</w:t>
            </w:r>
            <w:r>
              <w:rPr>
                <w:rStyle w:val="35"/>
                <w:rFonts w:hint="eastAsia" w:ascii="宋体" w:hAnsi="宋体" w:cs="宋体"/>
                <w:strike w:val="0"/>
                <w:color w:val="auto"/>
                <w:szCs w:val="21"/>
                <w:highlight w:val="none"/>
                <w:lang w:eastAsia="zh-CN"/>
              </w:rPr>
              <w:t>1</w:t>
            </w:r>
            <w:r>
              <w:rPr>
                <w:rStyle w:val="35"/>
                <w:rFonts w:hint="eastAsia" w:ascii="宋体" w:hAnsi="宋体" w:cs="宋体"/>
                <w:strike w:val="0"/>
                <w:color w:val="auto"/>
                <w:szCs w:val="21"/>
                <w:highlight w:val="none"/>
                <w:lang w:val="en-US" w:eastAsia="zh-CN"/>
              </w:rPr>
              <w:t>5</w:t>
            </w:r>
            <w:r>
              <w:rPr>
                <w:rStyle w:val="35"/>
                <w:rFonts w:hint="eastAsia" w:ascii="宋体" w:hAnsi="宋体" w:cs="宋体"/>
                <w:strike w:val="0"/>
                <w:color w:val="auto"/>
                <w:szCs w:val="21"/>
                <w:highlight w:val="none"/>
              </w:rPr>
              <w:t>分）</w:t>
            </w:r>
          </w:p>
        </w:tc>
        <w:tc>
          <w:tcPr>
            <w:tcW w:w="1160" w:type="dxa"/>
            <w:tcBorders>
              <w:top w:val="single" w:color="000000" w:sz="4" w:space="0"/>
              <w:left w:val="single" w:color="000000" w:sz="4" w:space="0"/>
              <w:right w:val="single" w:color="000000" w:sz="4" w:space="0"/>
            </w:tcBorders>
            <w:noWrap w:val="0"/>
            <w:vAlign w:val="center"/>
          </w:tcPr>
          <w:p>
            <w:pPr>
              <w:widowControl/>
              <w:adjustRightInd/>
              <w:snapToGrid/>
              <w:jc w:val="center"/>
              <w:rPr>
                <w:rFonts w:ascii="宋体" w:hAnsi="宋体" w:cs="宋体"/>
                <w:strike/>
                <w:dstrike w:val="0"/>
                <w:color w:val="auto"/>
                <w:szCs w:val="21"/>
                <w:highlight w:val="none"/>
              </w:rPr>
            </w:pPr>
            <w:r>
              <w:rPr>
                <w:rFonts w:hint="eastAsia" w:ascii="宋体" w:hAnsi="宋体" w:cs="宋体"/>
                <w:strike w:val="0"/>
                <w:color w:val="auto"/>
                <w:szCs w:val="21"/>
                <w:highlight w:val="none"/>
              </w:rPr>
              <w:t>企业业绩</w:t>
            </w:r>
          </w:p>
        </w:tc>
        <w:tc>
          <w:tcPr>
            <w:tcW w:w="683" w:type="dxa"/>
            <w:tcBorders>
              <w:top w:val="single" w:color="000000" w:sz="4" w:space="0"/>
              <w:left w:val="single" w:color="000000" w:sz="4" w:space="0"/>
              <w:right w:val="single" w:color="000000" w:sz="4" w:space="0"/>
            </w:tcBorders>
            <w:noWrap w:val="0"/>
            <w:vAlign w:val="center"/>
          </w:tcPr>
          <w:p>
            <w:pPr>
              <w:tabs>
                <w:tab w:val="left" w:pos="360"/>
              </w:tabs>
              <w:adjustRightInd/>
              <w:snapToGrid w:val="0"/>
              <w:jc w:val="center"/>
              <w:rPr>
                <w:rFonts w:hint="eastAsia" w:ascii="宋体" w:hAnsi="宋体" w:eastAsia="宋体" w:cs="宋体"/>
                <w:strike/>
                <w:dstrike w:val="0"/>
                <w:color w:val="auto"/>
                <w:szCs w:val="21"/>
                <w:highlight w:val="none"/>
              </w:rPr>
            </w:pPr>
            <w:r>
              <w:rPr>
                <w:rFonts w:hint="eastAsia" w:ascii="宋体" w:hAnsi="宋体" w:cs="宋体"/>
                <w:strike w:val="0"/>
                <w:color w:val="auto"/>
                <w:szCs w:val="21"/>
                <w:highlight w:val="none"/>
              </w:rPr>
              <w:t>12</w:t>
            </w:r>
          </w:p>
        </w:tc>
        <w:tc>
          <w:tcPr>
            <w:tcW w:w="11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年1月1日至投标截止时间止，</w:t>
            </w:r>
            <w:r>
              <w:rPr>
                <w:rFonts w:hint="eastAsia" w:ascii="宋体" w:hAnsi="宋体"/>
                <w:color w:val="auto"/>
                <w:szCs w:val="21"/>
                <w:highlight w:val="none"/>
              </w:rPr>
              <w:t>完成过质量合格的类似工程业绩</w:t>
            </w:r>
            <w:r>
              <w:rPr>
                <w:rFonts w:hint="eastAsia" w:ascii="宋体" w:hAnsi="宋体" w:cs="宋体"/>
                <w:color w:val="auto"/>
                <w:szCs w:val="21"/>
                <w:highlight w:val="none"/>
              </w:rPr>
              <w:t>按数量：</w:t>
            </w:r>
            <w:r>
              <w:rPr>
                <w:rFonts w:hint="eastAsia" w:ascii="宋体" w:hAnsi="宋体" w:cs="宋体"/>
                <w:color w:val="auto"/>
                <w:szCs w:val="21"/>
                <w:highlight w:val="none"/>
              </w:rPr>
              <w:br w:type="textWrapping"/>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项以上（不含</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项）的，得12分；</w:t>
            </w:r>
          </w:p>
          <w:p>
            <w:pP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项的，得8分；</w:t>
            </w:r>
          </w:p>
          <w:p>
            <w:pP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项的，得4分；</w:t>
            </w:r>
          </w:p>
          <w:p>
            <w:pPr>
              <w:rPr>
                <w:rFonts w:hint="eastAsia" w:ascii="宋体" w:hAnsi="宋体" w:cs="宋体"/>
                <w:color w:val="auto"/>
                <w:szCs w:val="21"/>
                <w:highlight w:val="none"/>
              </w:rPr>
            </w:pPr>
            <w:r>
              <w:rPr>
                <w:rFonts w:hint="eastAsia" w:ascii="宋体" w:hAnsi="宋体" w:cs="宋体"/>
                <w:color w:val="auto"/>
                <w:szCs w:val="21"/>
                <w:highlight w:val="none"/>
              </w:rPr>
              <w:t>（4）1至</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项的，得2分。</w:t>
            </w:r>
          </w:p>
          <w:p>
            <w:pPr>
              <w:widowControl/>
              <w:jc w:val="left"/>
              <w:rPr>
                <w:rFonts w:hint="eastAsia" w:ascii="宋体" w:hAnsi="宋体" w:eastAsia="宋体" w:cs="宋体"/>
                <w:strike/>
                <w:dstrike w:val="0"/>
                <w:color w:val="auto"/>
                <w:szCs w:val="21"/>
                <w:highlight w:val="none"/>
              </w:rPr>
            </w:pPr>
            <w:r>
              <w:rPr>
                <w:rFonts w:hint="eastAsia" w:ascii="宋体" w:hAnsi="宋体" w:cs="宋体"/>
                <w:color w:val="auto"/>
                <w:szCs w:val="21"/>
                <w:highlight w:val="none"/>
              </w:rPr>
              <w:t>不符合上述条件的不得分，没有的不得分，本项最高得12分。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3"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ascii="宋体" w:hAnsi="宋体" w:cs="宋体"/>
                <w:strike/>
                <w:color w:val="auto"/>
                <w:szCs w:val="21"/>
                <w:highlight w:val="none"/>
              </w:rPr>
            </w:pPr>
          </w:p>
        </w:tc>
        <w:tc>
          <w:tcPr>
            <w:tcW w:w="1160" w:type="dxa"/>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ascii="宋体" w:hAnsi="宋体" w:cs="宋体"/>
                <w:strike w:val="0"/>
                <w:color w:val="auto"/>
                <w:szCs w:val="21"/>
                <w:highlight w:val="none"/>
              </w:rPr>
            </w:pPr>
            <w:r>
              <w:rPr>
                <w:rFonts w:hint="eastAsia" w:ascii="宋体" w:hAnsi="宋体" w:cs="宋体"/>
                <w:strike w:val="0"/>
                <w:color w:val="auto"/>
                <w:szCs w:val="21"/>
                <w:highlight w:val="none"/>
              </w:rPr>
              <w:t>第三方评价</w:t>
            </w:r>
          </w:p>
        </w:tc>
        <w:tc>
          <w:tcPr>
            <w:tcW w:w="683" w:type="dxa"/>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strike w:val="0"/>
                <w:color w:val="auto"/>
                <w:szCs w:val="21"/>
                <w:highlight w:val="none"/>
              </w:rPr>
            </w:pPr>
            <w:r>
              <w:rPr>
                <w:rFonts w:hint="eastAsia" w:ascii="宋体" w:hAnsi="宋体" w:cs="宋体"/>
                <w:strike w:val="0"/>
                <w:color w:val="auto"/>
                <w:szCs w:val="21"/>
                <w:highlight w:val="none"/>
                <w:lang w:eastAsia="zh-CN"/>
              </w:rPr>
              <w:t>3</w:t>
            </w:r>
          </w:p>
        </w:tc>
        <w:tc>
          <w:tcPr>
            <w:tcW w:w="11750" w:type="dxa"/>
            <w:tcBorders>
              <w:top w:val="single" w:color="000000" w:sz="4" w:space="0"/>
              <w:left w:val="single" w:color="000000" w:sz="4" w:space="0"/>
              <w:bottom w:val="single" w:color="000000" w:sz="4" w:space="0"/>
              <w:right w:val="single" w:color="000000" w:sz="4" w:space="0"/>
            </w:tcBorders>
            <w:noWrap w:val="0"/>
            <w:vAlign w:val="center"/>
          </w:tcPr>
          <w:p>
            <w:pPr>
              <w:pStyle w:val="21"/>
              <w:widowControl/>
              <w:spacing w:before="0" w:beforeAutospacing="0" w:after="0" w:afterAutospacing="0"/>
              <w:rPr>
                <w:rFonts w:hint="eastAsia" w:ascii="宋体" w:hAnsi="宋体" w:eastAsia="宋体" w:cs="宋体"/>
                <w:strike w:val="0"/>
                <w:color w:val="auto"/>
                <w:kern w:val="2"/>
                <w:sz w:val="21"/>
                <w:szCs w:val="21"/>
                <w:highlight w:val="none"/>
              </w:rPr>
            </w:pPr>
            <w:r>
              <w:rPr>
                <w:rFonts w:hint="eastAsia" w:ascii="宋体" w:hAnsi="宋体" w:eastAsia="宋体" w:cs="宋体"/>
                <w:strike w:val="0"/>
                <w:color w:val="auto"/>
                <w:kern w:val="2"/>
                <w:sz w:val="21"/>
                <w:szCs w:val="21"/>
                <w:highlight w:val="none"/>
              </w:rPr>
              <w:t>投标人具备有效期内的质量管理体系认证、环境管理体系认证、职业健康安全管理体系认证证书：投标人同时具有以上三项认证证书，得</w:t>
            </w:r>
            <w:r>
              <w:rPr>
                <w:rFonts w:hint="eastAsia" w:ascii="宋体" w:hAnsi="宋体" w:eastAsia="宋体" w:cs="宋体"/>
                <w:strike w:val="0"/>
                <w:color w:val="auto"/>
                <w:kern w:val="2"/>
                <w:sz w:val="21"/>
                <w:szCs w:val="21"/>
                <w:highlight w:val="none"/>
                <w:lang w:val="en-US" w:eastAsia="zh-CN"/>
              </w:rPr>
              <w:t>2</w:t>
            </w:r>
            <w:r>
              <w:rPr>
                <w:rFonts w:hint="eastAsia" w:ascii="宋体" w:hAnsi="宋体" w:eastAsia="宋体" w:cs="宋体"/>
                <w:strike w:val="0"/>
                <w:color w:val="auto"/>
                <w:kern w:val="2"/>
                <w:sz w:val="21"/>
                <w:szCs w:val="21"/>
                <w:highlight w:val="none"/>
              </w:rPr>
              <w:t>分；投标人同时具有以上任意二项认证证书，得</w:t>
            </w:r>
            <w:r>
              <w:rPr>
                <w:rFonts w:hint="eastAsia" w:ascii="宋体" w:hAnsi="宋体" w:eastAsia="宋体" w:cs="宋体"/>
                <w:strike w:val="0"/>
                <w:color w:val="auto"/>
                <w:kern w:val="2"/>
                <w:sz w:val="21"/>
                <w:szCs w:val="21"/>
                <w:highlight w:val="none"/>
                <w:lang w:val="en-US" w:eastAsia="zh-CN"/>
              </w:rPr>
              <w:t>1</w:t>
            </w:r>
            <w:r>
              <w:rPr>
                <w:rFonts w:hint="eastAsia" w:ascii="宋体" w:hAnsi="宋体" w:eastAsia="宋体" w:cs="宋体"/>
                <w:strike w:val="0"/>
                <w:color w:val="auto"/>
                <w:kern w:val="2"/>
                <w:sz w:val="21"/>
                <w:szCs w:val="21"/>
                <w:highlight w:val="none"/>
              </w:rPr>
              <w:t>分；投标人同时具有以上任意一项认证证书，得0.</w:t>
            </w:r>
            <w:r>
              <w:rPr>
                <w:rFonts w:hint="eastAsia" w:ascii="宋体" w:hAnsi="宋体" w:eastAsia="宋体" w:cs="宋体"/>
                <w:strike w:val="0"/>
                <w:color w:val="auto"/>
                <w:kern w:val="2"/>
                <w:sz w:val="21"/>
                <w:szCs w:val="21"/>
                <w:highlight w:val="none"/>
                <w:lang w:val="en-US" w:eastAsia="zh-CN"/>
              </w:rPr>
              <w:t>5</w:t>
            </w:r>
            <w:r>
              <w:rPr>
                <w:rFonts w:hint="eastAsia" w:ascii="宋体" w:hAnsi="宋体" w:eastAsia="宋体" w:cs="宋体"/>
                <w:strike w:val="0"/>
                <w:color w:val="auto"/>
                <w:kern w:val="2"/>
                <w:sz w:val="21"/>
                <w:szCs w:val="21"/>
                <w:highlight w:val="none"/>
              </w:rPr>
              <w:t>分；不符合上述条件的不得分，本小项最高得2分。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ascii="宋体" w:hAnsi="宋体" w:cs="宋体"/>
                <w:color w:val="auto"/>
                <w:szCs w:val="21"/>
                <w:highlight w:val="none"/>
              </w:rPr>
            </w:pPr>
          </w:p>
        </w:tc>
        <w:tc>
          <w:tcPr>
            <w:tcW w:w="1160" w:type="dxa"/>
            <w:vMerge w:val="continue"/>
            <w:tcBorders>
              <w:left w:val="single" w:color="000000" w:sz="4" w:space="0"/>
              <w:right w:val="single" w:color="000000" w:sz="4" w:space="0"/>
            </w:tcBorders>
            <w:noWrap w:val="0"/>
            <w:vAlign w:val="center"/>
          </w:tcPr>
          <w:p>
            <w:pPr>
              <w:adjustRightInd w:val="0"/>
              <w:snapToGrid w:val="0"/>
              <w:jc w:val="center"/>
              <w:rPr>
                <w:rFonts w:hint="eastAsia" w:ascii="宋体" w:hAnsi="宋体" w:cs="宋体"/>
                <w:color w:val="auto"/>
                <w:szCs w:val="21"/>
                <w:highlight w:val="none"/>
              </w:rPr>
            </w:pPr>
          </w:p>
        </w:tc>
        <w:tc>
          <w:tcPr>
            <w:tcW w:w="683" w:type="dxa"/>
            <w:vMerge w:val="continue"/>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color w:val="auto"/>
                <w:szCs w:val="21"/>
                <w:highlight w:val="none"/>
              </w:rPr>
            </w:pPr>
          </w:p>
        </w:tc>
        <w:tc>
          <w:tcPr>
            <w:tcW w:w="11750" w:type="dxa"/>
            <w:tcBorders>
              <w:top w:val="single" w:color="000000" w:sz="4" w:space="0"/>
              <w:left w:val="single" w:color="000000" w:sz="4" w:space="0"/>
              <w:bottom w:val="single" w:color="000000" w:sz="4" w:space="0"/>
              <w:right w:val="single" w:color="000000" w:sz="4" w:space="0"/>
            </w:tcBorders>
            <w:noWrap w:val="0"/>
            <w:vAlign w:val="center"/>
          </w:tcPr>
          <w:tbl>
            <w:tblPr>
              <w:tblStyle w:val="23"/>
              <w:tblW w:w="1189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921" w:hRule="atLeast"/>
                <w:jc w:val="center"/>
              </w:trPr>
              <w:tc>
                <w:tcPr>
                  <w:tcW w:w="11890" w:type="dxa"/>
                  <w:noWrap w:val="0"/>
                  <w:vAlign w:val="center"/>
                </w:tcPr>
                <w:p>
                  <w:pPr>
                    <w:pStyle w:val="21"/>
                    <w:spacing w:before="0" w:beforeAutospacing="0" w:after="0" w:afterAutospacing="0"/>
                    <w:ind w:right="113" w:rightChars="54"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投标人自202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年1月1日至投标截止时间，曾获得过省级(或以上)建筑工程类科技创新企业类证书的，得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分，不符合上述条件的不得分，本项最高得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tc>
            </w:tr>
          </w:tbl>
          <w:p>
            <w:pP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2" w:hRule="atLeast"/>
        </w:trPr>
        <w:tc>
          <w:tcPr>
            <w:tcW w:w="1328" w:type="dxa"/>
            <w:vMerge w:val="restart"/>
            <w:tcBorders>
              <w:top w:val="single" w:color="000000" w:sz="4" w:space="0"/>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r>
              <w:rPr>
                <w:rStyle w:val="35"/>
                <w:rFonts w:hint="eastAsia" w:ascii="宋体" w:hAnsi="宋体" w:cs="宋体"/>
                <w:color w:val="auto"/>
                <w:szCs w:val="21"/>
                <w:highlight w:val="none"/>
              </w:rPr>
              <w:t>二、项目管理机构（项目管理机构所有人员不得互相兼任）</w:t>
            </w:r>
          </w:p>
          <w:p>
            <w:pPr>
              <w:adjustRightInd w:val="0"/>
              <w:snapToGrid w:val="0"/>
              <w:jc w:val="center"/>
              <w:rPr>
                <w:rStyle w:val="35"/>
                <w:rFonts w:ascii="宋体" w:hAnsi="宋体" w:cs="宋体"/>
                <w:color w:val="auto"/>
                <w:szCs w:val="21"/>
                <w:highlight w:val="none"/>
              </w:rPr>
            </w:pPr>
            <w:r>
              <w:rPr>
                <w:rStyle w:val="35"/>
                <w:rFonts w:hint="eastAsia" w:ascii="宋体" w:hAnsi="宋体" w:cs="宋体"/>
                <w:color w:val="auto"/>
                <w:szCs w:val="21"/>
                <w:highlight w:val="none"/>
              </w:rPr>
              <w:t>(</w:t>
            </w:r>
            <w:r>
              <w:rPr>
                <w:rStyle w:val="35"/>
                <w:rFonts w:hint="eastAsia" w:ascii="宋体" w:hAnsi="宋体" w:cs="宋体"/>
                <w:color w:val="auto"/>
                <w:szCs w:val="21"/>
                <w:highlight w:val="none"/>
                <w:lang w:val="en-US" w:eastAsia="zh-CN"/>
              </w:rPr>
              <w:t>55</w:t>
            </w:r>
            <w:r>
              <w:rPr>
                <w:rStyle w:val="35"/>
                <w:rFonts w:hint="eastAsia" w:ascii="宋体" w:hAnsi="宋体" w:cs="宋体"/>
                <w:color w:val="auto"/>
                <w:szCs w:val="21"/>
                <w:highlight w:val="none"/>
              </w:rPr>
              <w:t>分)</w:t>
            </w:r>
          </w:p>
        </w:tc>
        <w:tc>
          <w:tcPr>
            <w:tcW w:w="1160" w:type="dxa"/>
            <w:tcBorders>
              <w:top w:val="single" w:color="000000" w:sz="4" w:space="0"/>
              <w:left w:val="single" w:color="000000" w:sz="4" w:space="0"/>
              <w:right w:val="single" w:color="000000" w:sz="4" w:space="0"/>
            </w:tcBorders>
            <w:noWrap w:val="0"/>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1750" w:type="dxa"/>
            <w:tcBorders>
              <w:top w:val="single" w:color="000000" w:sz="4" w:space="0"/>
              <w:left w:val="single" w:color="000000" w:sz="4" w:space="0"/>
              <w:right w:val="single" w:color="000000" w:sz="4" w:space="0"/>
            </w:tcBorders>
            <w:noWrap w:val="0"/>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（1）项目负责人具建筑工程相关专业高级工程师或以上技术职称的，得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年或以上（含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分；具有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年（含</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年，不含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不满足上述情况的,不得分。</w:t>
            </w:r>
          </w:p>
          <w:p>
            <w:pPr>
              <w:pStyle w:val="22"/>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注：需提供职称证书、投标截止前一个月（202</w:t>
            </w:r>
            <w:r>
              <w:rPr>
                <w:rFonts w:hint="eastAsia" w:ascii="宋体" w:hAnsi="宋体" w:cs="宋体"/>
                <w:color w:val="auto"/>
                <w:szCs w:val="21"/>
                <w:highlight w:val="none"/>
                <w:lang w:eastAsia="zh-CN"/>
              </w:rPr>
              <w:t>5</w:t>
            </w:r>
            <w:r>
              <w:rPr>
                <w:rFonts w:hint="eastAsia" w:ascii="宋体" w:hAnsi="宋体" w:eastAsia="宋体" w:cs="宋体"/>
                <w:color w:val="auto"/>
                <w:szCs w:val="21"/>
                <w:highlight w:val="none"/>
              </w:rPr>
              <w:t>年7月）在投标单位参保的社保证明扫描件。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spacing w:line="276" w:lineRule="auto"/>
              <w:jc w:val="center"/>
              <w:rPr>
                <w:rFonts w:ascii="宋体" w:hAnsi="宋体"/>
                <w:bCs/>
                <w:color w:val="auto"/>
                <w:szCs w:val="21"/>
                <w:highlight w:val="none"/>
              </w:rPr>
            </w:pPr>
            <w:r>
              <w:rPr>
                <w:rFonts w:hint="eastAsia" w:ascii="宋体" w:hAnsi="宋体" w:cs="宋体"/>
                <w:color w:val="auto"/>
                <w:szCs w:val="21"/>
                <w:highlight w:val="none"/>
              </w:rPr>
              <w:t>技术负责人</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7</w:t>
            </w:r>
          </w:p>
        </w:tc>
        <w:tc>
          <w:tcPr>
            <w:tcW w:w="11750" w:type="dxa"/>
            <w:tcBorders>
              <w:top w:val="single" w:color="000000" w:sz="4" w:space="0"/>
              <w:left w:val="single" w:color="000000" w:sz="4" w:space="0"/>
              <w:right w:val="single" w:color="000000" w:sz="4" w:space="0"/>
            </w:tcBorders>
            <w:noWrap w:val="0"/>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）具有</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年或以上（含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分；具有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年（含</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年，不含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不满足上述情况的,不得分。</w:t>
            </w:r>
          </w:p>
          <w:p>
            <w:pPr>
              <w:pStyle w:val="22"/>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注：需提供职称证书、投标截止前一个月（202</w:t>
            </w:r>
            <w:r>
              <w:rPr>
                <w:rFonts w:hint="eastAsia" w:ascii="宋体" w:hAnsi="宋体" w:cs="宋体"/>
                <w:color w:val="auto"/>
                <w:szCs w:val="21"/>
                <w:highlight w:val="none"/>
                <w:lang w:eastAsia="zh-CN"/>
              </w:rPr>
              <w:t>5</w:t>
            </w:r>
            <w:r>
              <w:rPr>
                <w:rFonts w:hint="eastAsia" w:ascii="宋体" w:hAnsi="宋体" w:eastAsia="宋体" w:cs="宋体"/>
                <w:color w:val="auto"/>
                <w:szCs w:val="21"/>
                <w:highlight w:val="none"/>
              </w:rPr>
              <w:t>年7月）在投标单位参保的社保证明扫描件。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spacing w:line="276" w:lineRule="auto"/>
              <w:jc w:val="center"/>
              <w:rPr>
                <w:rFonts w:ascii="宋体" w:hAnsi="宋体"/>
                <w:bCs/>
                <w:color w:val="auto"/>
                <w:szCs w:val="21"/>
                <w:highlight w:val="none"/>
              </w:rPr>
            </w:pPr>
            <w:r>
              <w:rPr>
                <w:rFonts w:hint="eastAsia" w:ascii="宋体" w:hAnsi="宋体" w:cs="宋体"/>
                <w:color w:val="auto"/>
                <w:szCs w:val="21"/>
                <w:highlight w:val="none"/>
              </w:rPr>
              <w:t>质量负责人</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7</w:t>
            </w:r>
          </w:p>
        </w:tc>
        <w:tc>
          <w:tcPr>
            <w:tcW w:w="11750" w:type="dxa"/>
            <w:tcBorders>
              <w:top w:val="single" w:color="000000" w:sz="4" w:space="0"/>
              <w:left w:val="single" w:color="000000" w:sz="4" w:space="0"/>
              <w:right w:val="single" w:color="000000" w:sz="4" w:space="0"/>
            </w:tcBorders>
            <w:noWrap w:val="0"/>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（1）质量负责人具有建筑工程相关专业高级工程师或以上技术职称，得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分；具有建筑工程相关专业中级工程师技术职称，得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年或以上（含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分；具有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年（含</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年，不含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不满足上述情况的,不得分。</w:t>
            </w:r>
          </w:p>
          <w:p>
            <w:pPr>
              <w:pStyle w:val="22"/>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注：需提供职称证书、投标截止前一个月（202</w:t>
            </w:r>
            <w:r>
              <w:rPr>
                <w:rFonts w:hint="eastAsia" w:ascii="宋体" w:hAnsi="宋体" w:cs="宋体"/>
                <w:color w:val="auto"/>
                <w:szCs w:val="21"/>
                <w:highlight w:val="none"/>
                <w:lang w:eastAsia="zh-CN"/>
              </w:rPr>
              <w:t>5</w:t>
            </w:r>
            <w:r>
              <w:rPr>
                <w:rFonts w:hint="eastAsia" w:ascii="宋体" w:hAnsi="宋体" w:eastAsia="宋体" w:cs="宋体"/>
                <w:color w:val="auto"/>
                <w:szCs w:val="21"/>
                <w:highlight w:val="none"/>
              </w:rPr>
              <w:t>年7月）在投标单位参保的社保证明扫描件。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91"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spacing w:line="276" w:lineRule="auto"/>
              <w:jc w:val="center"/>
              <w:rPr>
                <w:rFonts w:ascii="宋体" w:hAnsi="宋体"/>
                <w:bCs/>
                <w:color w:val="auto"/>
                <w:szCs w:val="21"/>
                <w:highlight w:val="none"/>
              </w:rPr>
            </w:pPr>
            <w:r>
              <w:rPr>
                <w:rFonts w:hint="eastAsia" w:ascii="宋体" w:hAnsi="宋体" w:cs="宋体"/>
                <w:color w:val="auto"/>
                <w:szCs w:val="21"/>
                <w:highlight w:val="none"/>
              </w:rPr>
              <w:t>安全负责人</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7</w:t>
            </w:r>
          </w:p>
        </w:tc>
        <w:tc>
          <w:tcPr>
            <w:tcW w:w="11750" w:type="dxa"/>
            <w:tcBorders>
              <w:top w:val="single" w:color="000000" w:sz="4" w:space="0"/>
              <w:left w:val="single" w:color="000000" w:sz="4" w:space="0"/>
              <w:right w:val="single" w:color="000000" w:sz="4" w:space="0"/>
            </w:tcBorders>
            <w:noWrap w:val="0"/>
            <w:vAlign w:val="center"/>
          </w:tcPr>
          <w:p>
            <w:pPr>
              <w:numPr>
                <w:ilvl w:val="0"/>
                <w:numId w:val="1"/>
              </w:num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安全负责人具有注册安全工程师证（在有效期内且注册类别为“建筑施工安全”）的，得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pPr>
              <w:numPr>
                <w:ilvl w:val="0"/>
                <w:numId w:val="1"/>
              </w:num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安全负责人具有建筑工程相关专业高级工程师或以上技术职称的，得2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分；具有建筑工程相关专业工程师职称的，得1分；最高得2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pPr>
              <w:pStyle w:val="9"/>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年或以上（含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分；具有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年（含</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年，不含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不满足上述情况的,不得分。</w:t>
            </w:r>
          </w:p>
          <w:p>
            <w:pPr>
              <w:pStyle w:val="22"/>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注：需提供注册安全工程师证书、职称证书、投标截止前一个月（202</w:t>
            </w:r>
            <w:r>
              <w:rPr>
                <w:rFonts w:hint="eastAsia" w:ascii="宋体" w:hAnsi="宋体" w:cs="宋体"/>
                <w:color w:val="auto"/>
                <w:szCs w:val="21"/>
                <w:highlight w:val="none"/>
                <w:lang w:eastAsia="zh-CN"/>
              </w:rPr>
              <w:t>5</w:t>
            </w:r>
            <w:r>
              <w:rPr>
                <w:rFonts w:hint="eastAsia" w:ascii="宋体" w:hAnsi="宋体" w:eastAsia="宋体" w:cs="宋体"/>
                <w:color w:val="auto"/>
                <w:szCs w:val="21"/>
                <w:highlight w:val="none"/>
              </w:rPr>
              <w:t>年7月）在投标单位参保的社保证明扫描件。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spacing w:line="276" w:lineRule="auto"/>
              <w:jc w:val="center"/>
              <w:rPr>
                <w:rFonts w:ascii="宋体" w:hAnsi="宋体"/>
                <w:bCs/>
                <w:color w:val="auto"/>
                <w:szCs w:val="21"/>
                <w:highlight w:val="none"/>
              </w:rPr>
            </w:pPr>
            <w:r>
              <w:rPr>
                <w:rFonts w:hint="eastAsia" w:ascii="宋体" w:hAnsi="宋体" w:cs="宋体"/>
                <w:color w:val="auto"/>
                <w:szCs w:val="21"/>
                <w:highlight w:val="none"/>
              </w:rPr>
              <w:t>造价负责人</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eastAsia="宋体"/>
                <w:b/>
                <w:color w:val="auto"/>
                <w:szCs w:val="21"/>
                <w:highlight w:val="none"/>
                <w:lang w:eastAsia="zh-CN"/>
              </w:rPr>
            </w:pPr>
            <w:r>
              <w:rPr>
                <w:rFonts w:hint="eastAsia" w:ascii="宋体" w:hAnsi="宋体" w:cs="宋体"/>
                <w:color w:val="auto"/>
                <w:szCs w:val="21"/>
                <w:highlight w:val="none"/>
                <w:lang w:val="en-US" w:eastAsia="zh-CN"/>
              </w:rPr>
              <w:t>7</w:t>
            </w:r>
          </w:p>
        </w:tc>
        <w:tc>
          <w:tcPr>
            <w:tcW w:w="11750" w:type="dxa"/>
            <w:tcBorders>
              <w:top w:val="single" w:color="000000" w:sz="4" w:space="0"/>
              <w:left w:val="single" w:color="000000" w:sz="4" w:space="0"/>
              <w:right w:val="single" w:color="000000" w:sz="4" w:space="0"/>
            </w:tcBorders>
            <w:noWrap w:val="0"/>
            <w:vAlign w:val="center"/>
          </w:tcPr>
          <w:p>
            <w:pPr>
              <w:numPr>
                <w:ilvl w:val="0"/>
                <w:numId w:val="2"/>
              </w:num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造价负责人具有一级注册造价工程师证书且在有效期内，得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（2）造价负责人具有建筑工程相关专业高级工程师或以上技术职称的，得</w:t>
            </w:r>
            <w:r>
              <w:rPr>
                <w:rFonts w:hint="eastAsia" w:ascii="宋体" w:hAnsi="宋体" w:cs="宋体"/>
                <w:color w:val="auto"/>
                <w:highlight w:val="none"/>
                <w:lang w:val="en-US" w:eastAsia="zh-CN"/>
              </w:rPr>
              <w:t>2.5</w:t>
            </w:r>
            <w:r>
              <w:rPr>
                <w:rFonts w:hint="eastAsia" w:ascii="宋体" w:hAnsi="宋体" w:eastAsia="宋体" w:cs="宋体"/>
                <w:color w:val="auto"/>
                <w:highlight w:val="none"/>
              </w:rPr>
              <w:t>分；具有建筑工程相关专业工程师职称的，得1分；最高得</w:t>
            </w:r>
            <w:r>
              <w:rPr>
                <w:rFonts w:hint="eastAsia" w:ascii="宋体" w:hAnsi="宋体" w:cs="宋体"/>
                <w:color w:val="auto"/>
                <w:highlight w:val="none"/>
                <w:lang w:val="en-US" w:eastAsia="zh-CN"/>
              </w:rPr>
              <w:t>2.5</w:t>
            </w:r>
            <w:r>
              <w:rPr>
                <w:rFonts w:hint="eastAsia" w:ascii="宋体" w:hAnsi="宋体" w:eastAsia="宋体" w:cs="宋体"/>
                <w:color w:val="auto"/>
                <w:highlight w:val="none"/>
              </w:rPr>
              <w:t>分；</w:t>
            </w:r>
          </w:p>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具有</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年或以上（含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分；具有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至</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年（含</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年，不含</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年）工作经验的，得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eastAsia="宋体" w:cs="宋体"/>
                <w:color w:val="auto"/>
                <w:highlight w:val="none"/>
              </w:rPr>
              <w:t>最高得</w:t>
            </w:r>
            <w:r>
              <w:rPr>
                <w:rFonts w:hint="eastAsia" w:ascii="宋体" w:hAnsi="宋体" w:cs="宋体"/>
                <w:color w:val="auto"/>
                <w:highlight w:val="none"/>
                <w:lang w:val="en-US" w:eastAsia="zh-CN"/>
              </w:rPr>
              <w:t>3.5</w:t>
            </w:r>
            <w:r>
              <w:rPr>
                <w:rFonts w:hint="eastAsia" w:ascii="宋体" w:hAnsi="宋体" w:eastAsia="宋体" w:cs="宋体"/>
                <w:color w:val="auto"/>
                <w:highlight w:val="none"/>
              </w:rPr>
              <w:t>分；</w:t>
            </w:r>
          </w:p>
          <w:p>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不满足上述情况的,不得分。</w:t>
            </w:r>
          </w:p>
          <w:p>
            <w:pPr>
              <w:pStyle w:val="22"/>
              <w:ind w:left="0" w:leftChars="0" w:firstLine="0" w:firstLineChars="0"/>
              <w:rPr>
                <w:rFonts w:hint="eastAsia"/>
                <w:color w:val="auto"/>
                <w:highlight w:val="none"/>
              </w:rPr>
            </w:pPr>
            <w:r>
              <w:rPr>
                <w:rFonts w:hint="eastAsia" w:ascii="宋体" w:hAnsi="宋体" w:eastAsia="宋体" w:cs="宋体"/>
                <w:color w:val="auto"/>
                <w:highlight w:val="none"/>
              </w:rPr>
              <w:t>注：需提供注册造价工程师证书、职称证书、投标截止前一个月（202</w:t>
            </w:r>
            <w:r>
              <w:rPr>
                <w:rFonts w:hint="eastAsia" w:ascii="宋体" w:hAnsi="宋体" w:cs="宋体"/>
                <w:color w:val="auto"/>
                <w:highlight w:val="none"/>
                <w:lang w:eastAsia="zh-CN"/>
              </w:rPr>
              <w:t>5</w:t>
            </w:r>
            <w:r>
              <w:rPr>
                <w:rFonts w:hint="eastAsia" w:ascii="宋体" w:hAnsi="宋体" w:eastAsia="宋体" w:cs="宋体"/>
                <w:color w:val="auto"/>
                <w:highlight w:val="none"/>
              </w:rPr>
              <w:t>年7月）在投标单位参保的社保证明扫描件。</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spacing w:line="276" w:lineRule="auto"/>
              <w:jc w:val="both"/>
              <w:rPr>
                <w:rFonts w:hint="eastAsia" w:ascii="宋体" w:hAnsi="宋体" w:cs="宋体"/>
                <w:color w:val="auto"/>
                <w:szCs w:val="21"/>
                <w:highlight w:val="none"/>
              </w:rPr>
            </w:pPr>
            <w:r>
              <w:rPr>
                <w:rFonts w:hint="eastAsia" w:ascii="宋体" w:hAnsi="宋体" w:cs="宋体"/>
                <w:color w:val="auto"/>
                <w:spacing w:val="-4"/>
                <w:sz w:val="21"/>
                <w:szCs w:val="21"/>
                <w:highlight w:val="none"/>
              </w:rPr>
              <w:t>项目负责人答辩</w:t>
            </w:r>
            <w:r>
              <w:rPr>
                <w:rFonts w:ascii="宋体" w:hAnsi="宋体" w:cs="宋体"/>
                <w:color w:val="auto"/>
                <w:spacing w:val="-4"/>
                <w:sz w:val="21"/>
                <w:szCs w:val="21"/>
                <w:highlight w:val="none"/>
              </w:rPr>
              <w:t>（</w:t>
            </w:r>
            <w:r>
              <w:rPr>
                <w:rFonts w:hint="eastAsia" w:ascii="宋体" w:hAnsi="宋体" w:cs="宋体"/>
                <w:color w:val="auto"/>
                <w:spacing w:val="-4"/>
                <w:sz w:val="21"/>
                <w:szCs w:val="21"/>
                <w:highlight w:val="none"/>
                <w:lang w:val="en-US" w:eastAsia="zh-CN"/>
              </w:rPr>
              <w:t>20</w:t>
            </w:r>
            <w:r>
              <w:rPr>
                <w:rFonts w:ascii="宋体" w:hAnsi="宋体" w:cs="宋体"/>
                <w:color w:val="auto"/>
                <w:spacing w:val="-4"/>
                <w:sz w:val="21"/>
                <w:szCs w:val="21"/>
                <w:highlight w:val="none"/>
              </w:rPr>
              <w:t>分）</w:t>
            </w:r>
          </w:p>
        </w:tc>
        <w:tc>
          <w:tcPr>
            <w:tcW w:w="683" w:type="dxa"/>
            <w:tcBorders>
              <w:top w:val="single" w:color="000000" w:sz="4" w:space="0"/>
              <w:left w:val="single" w:color="000000" w:sz="4" w:space="0"/>
              <w:right w:val="single" w:color="000000" w:sz="4" w:space="0"/>
            </w:tcBorders>
            <w:noWrap w:val="0"/>
            <w:vAlign w:val="center"/>
          </w:tcPr>
          <w:p>
            <w:pPr>
              <w:adjustRightInd w:val="0"/>
              <w:snapToGrid w:val="0"/>
              <w:spacing w:line="276" w:lineRule="auto"/>
              <w:jc w:val="center"/>
              <w:rPr>
                <w:rFonts w:hint="eastAsia" w:ascii="宋体" w:hAnsi="宋体" w:cs="宋体"/>
                <w:color w:val="auto"/>
                <w:szCs w:val="21"/>
                <w:highlight w:val="none"/>
              </w:rPr>
            </w:pPr>
            <w:r>
              <w:rPr>
                <w:rFonts w:hint="eastAsia" w:ascii="宋体" w:hAnsi="宋体" w:cs="宋体"/>
                <w:color w:val="auto"/>
                <w:spacing w:val="0"/>
                <w:sz w:val="21"/>
                <w:szCs w:val="21"/>
                <w:highlight w:val="none"/>
                <w:lang w:val="en-US" w:eastAsia="zh-CN"/>
              </w:rPr>
              <w:t>2</w:t>
            </w:r>
            <w:r>
              <w:rPr>
                <w:rFonts w:hint="default" w:ascii="宋体" w:hAnsi="宋体" w:cs="宋体"/>
                <w:color w:val="auto"/>
                <w:spacing w:val="0"/>
                <w:sz w:val="21"/>
                <w:szCs w:val="21"/>
                <w:highlight w:val="none"/>
              </w:rPr>
              <w:t>0</w:t>
            </w:r>
          </w:p>
        </w:tc>
        <w:tc>
          <w:tcPr>
            <w:tcW w:w="11750" w:type="dxa"/>
            <w:tcBorders>
              <w:top w:val="single" w:color="000000" w:sz="4" w:space="0"/>
              <w:left w:val="single" w:color="000000" w:sz="4" w:space="0"/>
              <w:right w:val="single" w:color="000000" w:sz="4" w:space="0"/>
            </w:tcBorders>
            <w:noWrap w:val="0"/>
            <w:vAlign w:val="center"/>
          </w:tcPr>
          <w:p>
            <w:pPr>
              <w:pStyle w:val="14"/>
              <w:rPr>
                <w:rFonts w:hint="eastAsia"/>
                <w:color w:val="auto"/>
                <w:highlight w:val="none"/>
                <w:lang w:val="en-US" w:eastAsia="zh-CN"/>
              </w:rPr>
            </w:pPr>
            <w:r>
              <w:rPr>
                <w:rFonts w:hint="eastAsia"/>
                <w:color w:val="auto"/>
                <w:highlight w:val="none"/>
                <w:lang w:val="en-US" w:eastAsia="zh-CN"/>
              </w:rPr>
              <w:t>项目负责人就本工程内容从以下方面进行陈述</w:t>
            </w:r>
            <w:r>
              <w:rPr>
                <w:rFonts w:hint="eastAsia" w:ascii="宋体" w:hAnsi="宋体" w:cs="宋体"/>
                <w:color w:val="auto"/>
                <w:spacing w:val="6"/>
                <w:sz w:val="21"/>
                <w:szCs w:val="21"/>
                <w:highlight w:val="none"/>
              </w:rPr>
              <w:t>（每个投标人答辩时间不超过</w:t>
            </w:r>
            <w:r>
              <w:rPr>
                <w:rFonts w:hint="eastAsia" w:ascii="宋体" w:hAnsi="宋体" w:cs="宋体"/>
                <w:color w:val="auto"/>
                <w:spacing w:val="6"/>
                <w:sz w:val="21"/>
                <w:szCs w:val="21"/>
                <w:highlight w:val="none"/>
                <w:lang w:val="en-US" w:eastAsia="zh-CN"/>
              </w:rPr>
              <w:t>15</w:t>
            </w:r>
            <w:r>
              <w:rPr>
                <w:rFonts w:hint="eastAsia" w:ascii="宋体" w:hAnsi="宋体" w:cs="宋体"/>
                <w:color w:val="auto"/>
                <w:spacing w:val="6"/>
                <w:sz w:val="21"/>
                <w:szCs w:val="21"/>
                <w:highlight w:val="none"/>
              </w:rPr>
              <w:t>分钟）</w:t>
            </w:r>
          </w:p>
          <w:p>
            <w:pPr>
              <w:pStyle w:val="14"/>
              <w:rPr>
                <w:rFonts w:hint="eastAsia"/>
                <w:color w:val="auto"/>
                <w:highlight w:val="none"/>
                <w:lang w:val="en-US" w:eastAsia="zh-CN"/>
              </w:rPr>
            </w:pPr>
            <w:r>
              <w:rPr>
                <w:rFonts w:hint="eastAsia"/>
                <w:color w:val="auto"/>
                <w:highlight w:val="none"/>
                <w:lang w:val="en-US" w:eastAsia="zh-CN"/>
              </w:rPr>
              <w:t>①对参与投标项目的了解情况；</w:t>
            </w:r>
          </w:p>
          <w:p>
            <w:pPr>
              <w:pStyle w:val="14"/>
              <w:rPr>
                <w:rFonts w:hint="default"/>
                <w:color w:val="auto"/>
                <w:highlight w:val="none"/>
                <w:lang w:val="en-US" w:eastAsia="zh-CN"/>
              </w:rPr>
            </w:pPr>
            <w:r>
              <w:rPr>
                <w:rFonts w:hint="eastAsia"/>
                <w:color w:val="auto"/>
                <w:highlight w:val="none"/>
                <w:lang w:val="en-US" w:eastAsia="zh-CN"/>
              </w:rPr>
              <w:t>②项目施工的重点、难点分析及应对措施</w:t>
            </w:r>
            <w:r>
              <w:rPr>
                <w:rFonts w:hint="eastAsia"/>
                <w:b/>
                <w:bCs/>
                <w:color w:val="auto"/>
                <w:highlight w:val="none"/>
                <w:u w:val="single"/>
                <w:lang w:val="en-US" w:eastAsia="zh-CN"/>
              </w:rPr>
              <w:t>（重点难点包括但不限于1.现场无堆土条件，需优化施工组织和资源配置；2.深基坑施工安全保障；3.项目邻近商业区，需有环保应对措施，保障噪音、粉尘、振动不干扰正常运营）。</w:t>
            </w:r>
          </w:p>
          <w:p>
            <w:pPr>
              <w:pStyle w:val="14"/>
              <w:rPr>
                <w:rFonts w:hint="eastAsia"/>
                <w:color w:val="auto"/>
                <w:highlight w:val="none"/>
                <w:lang w:val="en-US" w:eastAsia="zh-CN"/>
              </w:rPr>
            </w:pPr>
            <w:r>
              <w:rPr>
                <w:rFonts w:hint="eastAsia"/>
                <w:color w:val="auto"/>
                <w:highlight w:val="none"/>
                <w:lang w:val="en-US" w:eastAsia="zh-CN"/>
              </w:rPr>
              <w:t>③对工程质量、工程总工期的全面掌控，保证工程保质量保工期完工。</w:t>
            </w:r>
          </w:p>
          <w:p>
            <w:pPr>
              <w:pStyle w:val="14"/>
              <w:rPr>
                <w:rFonts w:hint="eastAsia"/>
                <w:color w:val="auto"/>
                <w:highlight w:val="none"/>
                <w:lang w:val="en-US" w:eastAsia="zh-CN"/>
              </w:rPr>
            </w:pPr>
            <w:r>
              <w:rPr>
                <w:rFonts w:hint="eastAsia"/>
                <w:color w:val="auto"/>
                <w:highlight w:val="none"/>
                <w:lang w:val="en-US" w:eastAsia="zh-CN"/>
              </w:rPr>
              <w:t>解答:评委针对其陈述内容及投标文件所提的相关问题。横向比较各投标人的答辩情况:</w:t>
            </w:r>
          </w:p>
          <w:p>
            <w:pPr>
              <w:pStyle w:val="14"/>
              <w:rPr>
                <w:rFonts w:hint="eastAsia"/>
                <w:color w:val="auto"/>
                <w:highlight w:val="none"/>
                <w:lang w:val="en-US" w:eastAsia="zh-CN"/>
              </w:rPr>
            </w:pPr>
            <w:r>
              <w:rPr>
                <w:rFonts w:hint="eastAsia"/>
                <w:color w:val="auto"/>
                <w:highlight w:val="none"/>
                <w:lang w:eastAsia="zh-CN"/>
              </w:rPr>
              <w:t>【优】</w:t>
            </w:r>
            <w:r>
              <w:rPr>
                <w:rFonts w:hint="eastAsia"/>
                <w:color w:val="auto"/>
                <w:highlight w:val="none"/>
                <w:lang w:val="en-US" w:eastAsia="zh-CN"/>
              </w:rPr>
              <w:t>掌握项目情况认识清晰、对施工的重点、难点认识深刻、有应对措施，对工程质量和工期的保证合理可行；回答评委提问思路清晰内容准确。(15，20]分</w:t>
            </w:r>
          </w:p>
          <w:p>
            <w:pPr>
              <w:pStyle w:val="14"/>
              <w:rPr>
                <w:rFonts w:hint="eastAsia"/>
                <w:color w:val="auto"/>
                <w:highlight w:val="none"/>
                <w:lang w:val="en-US" w:eastAsia="zh-CN"/>
              </w:rPr>
            </w:pPr>
            <w:r>
              <w:rPr>
                <w:rFonts w:hint="eastAsia"/>
                <w:color w:val="auto"/>
                <w:highlight w:val="none"/>
                <w:lang w:eastAsia="zh-CN"/>
              </w:rPr>
              <w:t>【良】</w:t>
            </w:r>
            <w:r>
              <w:rPr>
                <w:rFonts w:hint="eastAsia"/>
                <w:color w:val="auto"/>
                <w:highlight w:val="none"/>
                <w:lang w:val="en-US" w:eastAsia="zh-CN"/>
              </w:rPr>
              <w:t>掌握项目情况认识比较清晰、对施工的重点、难点认识比较深刻、有应对措施，对工程质量和工期的保证比较合理可行；回答评委提问思路比较清晰、内容比较准确。(10，15]分</w:t>
            </w:r>
          </w:p>
          <w:p>
            <w:pPr>
              <w:pStyle w:val="14"/>
              <w:rPr>
                <w:rFonts w:hint="eastAsia"/>
                <w:color w:val="auto"/>
                <w:highlight w:val="none"/>
                <w:lang w:val="en-US" w:eastAsia="zh-CN"/>
              </w:rPr>
            </w:pPr>
            <w:r>
              <w:rPr>
                <w:rFonts w:hint="eastAsia"/>
                <w:color w:val="auto"/>
                <w:highlight w:val="none"/>
                <w:lang w:eastAsia="zh-CN"/>
              </w:rPr>
              <w:t>【中】</w:t>
            </w:r>
            <w:r>
              <w:rPr>
                <w:rFonts w:hint="eastAsia"/>
                <w:color w:val="auto"/>
                <w:highlight w:val="none"/>
                <w:lang w:val="en-US" w:eastAsia="zh-CN"/>
              </w:rPr>
              <w:t>掌握项目情况认识基本清晰、对施工的重点、难点认识基本深刻、有应对措施，对工程质量和工期的保证基本合理可行；回答评委提问思路基本清晰、内容基本准确。(5，10]分</w:t>
            </w:r>
          </w:p>
          <w:p>
            <w:pPr>
              <w:pStyle w:val="14"/>
              <w:rPr>
                <w:rFonts w:hint="default"/>
                <w:color w:val="auto"/>
                <w:highlight w:val="none"/>
                <w:lang w:val="en-US" w:eastAsia="zh-CN"/>
              </w:rPr>
            </w:pPr>
            <w:r>
              <w:rPr>
                <w:rFonts w:hint="eastAsia"/>
                <w:color w:val="auto"/>
                <w:highlight w:val="none"/>
                <w:lang w:eastAsia="zh-CN"/>
              </w:rPr>
              <w:t>【</w:t>
            </w:r>
            <w:r>
              <w:rPr>
                <w:rFonts w:hint="eastAsia" w:ascii="宋体" w:hAnsi="Courier New" w:eastAsia="宋体" w:cs="Times New Roman"/>
                <w:color w:val="auto"/>
                <w:kern w:val="2"/>
                <w:sz w:val="21"/>
                <w:szCs w:val="20"/>
                <w:highlight w:val="none"/>
                <w:lang w:val="en-US" w:eastAsia="zh-CN" w:bidi="ar-SA"/>
              </w:rPr>
              <w:t>差】掌握项目情况认识一般、对施工的重点、难点认识一般、有应对措施,对工程质量和工期的保证一般；回答评委提问思路一般清晰、内容准确一般。（0，</w:t>
            </w:r>
            <w:r>
              <w:rPr>
                <w:rFonts w:hint="eastAsia" w:cs="Times New Roman"/>
                <w:color w:val="auto"/>
                <w:kern w:val="2"/>
                <w:sz w:val="21"/>
                <w:szCs w:val="20"/>
                <w:highlight w:val="none"/>
                <w:lang w:val="en-US" w:eastAsia="zh-CN" w:bidi="ar-SA"/>
              </w:rPr>
              <w:t>5</w:t>
            </w:r>
            <w:r>
              <w:rPr>
                <w:rFonts w:hint="eastAsia" w:ascii="宋体" w:hAnsi="Courier New" w:eastAsia="宋体" w:cs="Times New Roman"/>
                <w:color w:val="auto"/>
                <w:kern w:val="2"/>
                <w:sz w:val="21"/>
                <w:szCs w:val="20"/>
                <w:highlight w:val="none"/>
                <w:lang w:val="en-US" w:eastAsia="zh-CN" w:bidi="ar-SA"/>
              </w:rPr>
              <w:t>]分</w:t>
            </w:r>
          </w:p>
          <w:p>
            <w:pPr>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注：①投标单位的项目负责人须携带本人身份证原件</w:t>
            </w:r>
            <w:r>
              <w:rPr>
                <w:rFonts w:hint="eastAsia" w:ascii="宋体" w:hAnsi="宋体" w:cs="宋体"/>
                <w:color w:val="auto"/>
                <w:spacing w:val="6"/>
                <w:sz w:val="21"/>
                <w:szCs w:val="21"/>
                <w:highlight w:val="none"/>
                <w:lang w:val="en-US" w:eastAsia="zh-CN"/>
              </w:rPr>
              <w:t>及</w:t>
            </w:r>
            <w:r>
              <w:rPr>
                <w:rFonts w:ascii="Calibri" w:hAnsi="Calibri" w:eastAsia="宋体" w:cs="Calibri"/>
                <w:i w:val="0"/>
                <w:iCs w:val="0"/>
                <w:caps w:val="0"/>
                <w:color w:val="auto"/>
                <w:spacing w:val="0"/>
                <w:sz w:val="21"/>
                <w:szCs w:val="21"/>
                <w:highlight w:val="none"/>
                <w:shd w:val="clear" w:color="auto" w:fill="FFFFFF"/>
              </w:rPr>
              <w:t>加盖公章的法定代表人证明书及授权委托书，授权书应列明所有参加答辩人员的信息（包括姓名、身份证、拟任本项目的职务）</w:t>
            </w:r>
            <w:r>
              <w:rPr>
                <w:rFonts w:hint="eastAsia" w:ascii="宋体" w:hAnsi="宋体" w:cs="宋体"/>
                <w:color w:val="auto"/>
                <w:spacing w:val="6"/>
                <w:sz w:val="21"/>
                <w:szCs w:val="21"/>
                <w:highlight w:val="none"/>
              </w:rPr>
              <w:t>参加答辩，并在评标当天到达评标现场签到等候，具体时间以招标人（招标代理）通知为准。由参与答辩的人员出示身份证原件，核对确认身份后签到，答辩的顺序按签到的先后顺序进行。</w:t>
            </w:r>
          </w:p>
          <w:p>
            <w:pPr>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②评标委员会在完成资格审查及技术标有效性审查后可开始答辩，具体答辩开始时间以评标委员会通知为准。未通过资格审查及技术标有效性审查的投标单位无需再参与答辩。</w:t>
            </w:r>
          </w:p>
          <w:p>
            <w:pPr>
              <w:rPr>
                <w:rFonts w:hint="eastAsia"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③</w:t>
            </w:r>
            <w:r>
              <w:rPr>
                <w:rFonts w:ascii="Calibri" w:hAnsi="Calibri" w:eastAsia="宋体" w:cs="Calibri"/>
                <w:i w:val="0"/>
                <w:iCs w:val="0"/>
                <w:caps w:val="0"/>
                <w:color w:val="auto"/>
                <w:spacing w:val="0"/>
                <w:sz w:val="21"/>
                <w:szCs w:val="21"/>
                <w:highlight w:val="none"/>
                <w:shd w:val="clear" w:color="auto" w:fill="FFFFFF"/>
              </w:rPr>
              <w:t>答辩形式与要求：答辩人员按要求进入答辩区域；答辩人员先陈述，评委针对陈述内容提问，由答辩人员进行解答。</w:t>
            </w:r>
          </w:p>
          <w:p>
            <w:pPr>
              <w:pStyle w:val="22"/>
              <w:ind w:left="0" w:leftChars="0" w:firstLine="0" w:firstLineChars="0"/>
              <w:rPr>
                <w:rFonts w:hint="eastAsia" w:ascii="宋体" w:hAnsi="宋体" w:eastAsia="宋体" w:cs="宋体"/>
                <w:color w:val="auto"/>
                <w:highlight w:val="none"/>
              </w:rPr>
            </w:pPr>
            <w:r>
              <w:rPr>
                <w:rFonts w:hint="eastAsia" w:ascii="宋体" w:hAnsi="宋体" w:cs="宋体"/>
                <w:color w:val="auto"/>
                <w:spacing w:val="6"/>
                <w:sz w:val="21"/>
                <w:szCs w:val="21"/>
                <w:highlight w:val="none"/>
                <w:lang w:val="en-US" w:eastAsia="zh-CN"/>
              </w:rPr>
              <w:t>④</w:t>
            </w:r>
            <w:r>
              <w:rPr>
                <w:rFonts w:hint="eastAsia" w:ascii="宋体" w:hAnsi="宋体" w:cs="宋体"/>
                <w:color w:val="auto"/>
                <w:spacing w:val="6"/>
                <w:sz w:val="21"/>
                <w:szCs w:val="21"/>
                <w:highlight w:val="none"/>
              </w:rPr>
              <w:t>投标单位项目负责人没有参加现场答辩的，不得分。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vMerge w:val="restart"/>
            <w:tcBorders>
              <w:left w:val="single" w:color="000000" w:sz="8"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三、施工组织设计（30分）</w:t>
            </w:r>
          </w:p>
        </w:tc>
        <w:tc>
          <w:tcPr>
            <w:tcW w:w="11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施工技术措施</w:t>
            </w:r>
          </w:p>
        </w:tc>
        <w:tc>
          <w:tcPr>
            <w:tcW w:w="6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c>
          <w:tcPr>
            <w:tcW w:w="1175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（1）对施工的重点、难点提出</w:t>
            </w:r>
            <w:bookmarkStart w:id="43" w:name="OLE_LINK2"/>
            <w:r>
              <w:rPr>
                <w:rFonts w:hint="eastAsia" w:ascii="宋体" w:hAnsi="宋体" w:cs="宋体"/>
                <w:color w:val="auto"/>
                <w:kern w:val="0"/>
                <w:szCs w:val="21"/>
                <w:highlight w:val="none"/>
                <w:lang w:bidi="ar"/>
              </w:rPr>
              <w:t>建议合理</w:t>
            </w:r>
            <w:bookmarkEnd w:id="43"/>
            <w:r>
              <w:rPr>
                <w:rFonts w:hint="eastAsia" w:ascii="宋体" w:hAnsi="宋体" w:cs="宋体"/>
                <w:color w:val="auto"/>
                <w:kern w:val="0"/>
                <w:szCs w:val="21"/>
                <w:highlight w:val="none"/>
                <w:lang w:bidi="ar"/>
              </w:rPr>
              <w:t>；同时有对节约成本和节约工期的保证措施，得</w:t>
            </w:r>
            <w:bookmarkStart w:id="44" w:name="OLE_LINK5"/>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bookmarkEnd w:id="44"/>
            <w:r>
              <w:rPr>
                <w:rFonts w:hint="eastAsia" w:ascii="宋体" w:hAnsi="宋体" w:cs="宋体"/>
                <w:color w:val="auto"/>
                <w:kern w:val="0"/>
                <w:szCs w:val="21"/>
                <w:highlight w:val="none"/>
                <w:lang w:bidi="ar"/>
              </w:rPr>
              <w:t>；</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（2）对施工的重点、难点提出建议</w:t>
            </w:r>
            <w:bookmarkStart w:id="45" w:name="OLE_LINK4"/>
            <w:r>
              <w:rPr>
                <w:rFonts w:hint="eastAsia" w:ascii="宋体" w:hAnsi="宋体" w:cs="宋体"/>
                <w:color w:val="auto"/>
                <w:kern w:val="0"/>
                <w:szCs w:val="21"/>
                <w:highlight w:val="none"/>
                <w:lang w:bidi="ar"/>
              </w:rPr>
              <w:t>较合理</w:t>
            </w:r>
            <w:bookmarkEnd w:id="45"/>
            <w:r>
              <w:rPr>
                <w:rFonts w:hint="eastAsia" w:ascii="宋体" w:hAnsi="宋体" w:cs="宋体"/>
                <w:color w:val="auto"/>
                <w:kern w:val="0"/>
                <w:szCs w:val="21"/>
                <w:highlight w:val="none"/>
                <w:lang w:bidi="ar"/>
              </w:rPr>
              <w:t>；同时有对节约成本的保证措施，得</w:t>
            </w:r>
            <w:bookmarkStart w:id="46" w:name="OLE_LINK6"/>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bookmarkEnd w:id="46"/>
            <w:r>
              <w:rPr>
                <w:rFonts w:hint="eastAsia" w:ascii="宋体" w:hAnsi="宋体" w:cs="宋体"/>
                <w:color w:val="auto"/>
                <w:kern w:val="0"/>
                <w:szCs w:val="21"/>
                <w:highlight w:val="none"/>
                <w:lang w:bidi="ar"/>
              </w:rPr>
              <w:t>；</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（3）对施工的重点、难点提出建议一般，得</w:t>
            </w:r>
            <w:bookmarkStart w:id="47" w:name="OLE_LINK7"/>
            <w:r>
              <w:rPr>
                <w:rFonts w:hint="eastAsia" w:ascii="宋体" w:hAnsi="宋体" w:cs="宋体"/>
                <w:color w:val="auto"/>
                <w:kern w:val="0"/>
                <w:szCs w:val="21"/>
                <w:highlight w:val="none"/>
                <w:lang w:bidi="ar"/>
              </w:rPr>
              <w:t>（2-3】分</w:t>
            </w:r>
            <w:bookmarkEnd w:id="47"/>
            <w:r>
              <w:rPr>
                <w:rFonts w:hint="eastAsia" w:ascii="宋体" w:hAnsi="宋体" w:cs="宋体"/>
                <w:color w:val="auto"/>
                <w:kern w:val="0"/>
                <w:szCs w:val="21"/>
                <w:highlight w:val="none"/>
                <w:lang w:bidi="ar"/>
              </w:rPr>
              <w:t>；</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（4）对施工的重点提出建议，得【1-2】分；</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0"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施工进度计划</w:t>
            </w:r>
          </w:p>
        </w:tc>
        <w:tc>
          <w:tcPr>
            <w:tcW w:w="683"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175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（1）有提供施工进度计划，</w:t>
            </w:r>
            <w:bookmarkStart w:id="48" w:name="OLE_LINK3"/>
            <w:r>
              <w:rPr>
                <w:rFonts w:hint="eastAsia" w:ascii="宋体" w:hAnsi="宋体" w:cs="宋体"/>
                <w:color w:val="auto"/>
                <w:kern w:val="0"/>
                <w:szCs w:val="21"/>
                <w:highlight w:val="none"/>
                <w:lang w:val="en-US" w:eastAsia="zh-CN" w:bidi="ar"/>
              </w:rPr>
              <w:t>工期保障措施合理，</w:t>
            </w:r>
            <w:bookmarkEnd w:id="48"/>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（2）有提供施工进度计划，</w:t>
            </w:r>
            <w:r>
              <w:rPr>
                <w:rFonts w:hint="eastAsia" w:ascii="宋体" w:hAnsi="宋体" w:cs="宋体"/>
                <w:color w:val="auto"/>
                <w:kern w:val="0"/>
                <w:szCs w:val="21"/>
                <w:highlight w:val="none"/>
                <w:lang w:val="en-US" w:eastAsia="zh-CN" w:bidi="ar"/>
              </w:rPr>
              <w:t>工期保障措施</w:t>
            </w:r>
            <w:r>
              <w:rPr>
                <w:rFonts w:hint="eastAsia" w:ascii="宋体" w:hAnsi="宋体" w:cs="宋体"/>
                <w:color w:val="auto"/>
                <w:kern w:val="0"/>
                <w:szCs w:val="21"/>
                <w:highlight w:val="none"/>
                <w:lang w:bidi="ar"/>
              </w:rPr>
              <w:t>较合理</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得（3-</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（3）有提供施工进度计划，</w:t>
            </w:r>
            <w:r>
              <w:rPr>
                <w:rFonts w:hint="eastAsia" w:ascii="宋体" w:hAnsi="宋体" w:cs="宋体"/>
                <w:color w:val="auto"/>
                <w:kern w:val="0"/>
                <w:szCs w:val="21"/>
                <w:highlight w:val="none"/>
                <w:lang w:val="en-US" w:eastAsia="zh-CN" w:bidi="ar"/>
              </w:rPr>
              <w:t>工期保障措施一般，</w:t>
            </w:r>
            <w:r>
              <w:rPr>
                <w:rFonts w:hint="eastAsia" w:ascii="宋体" w:hAnsi="宋体" w:cs="宋体"/>
                <w:color w:val="auto"/>
                <w:kern w:val="0"/>
                <w:szCs w:val="21"/>
                <w:highlight w:val="none"/>
                <w:lang w:bidi="ar"/>
              </w:rPr>
              <w:t>得</w:t>
            </w:r>
            <w:bookmarkStart w:id="49" w:name="OLE_LINK8"/>
            <w:r>
              <w:rPr>
                <w:rFonts w:hint="eastAsia" w:ascii="宋体" w:hAnsi="宋体" w:cs="宋体"/>
                <w:color w:val="auto"/>
                <w:kern w:val="0"/>
                <w:szCs w:val="21"/>
                <w:highlight w:val="none"/>
                <w:lang w:bidi="ar"/>
              </w:rPr>
              <w:t>（2-3】分</w:t>
            </w:r>
            <w:bookmarkEnd w:id="49"/>
            <w:r>
              <w:rPr>
                <w:rFonts w:hint="eastAsia" w:ascii="宋体" w:hAnsi="宋体" w:cs="宋体"/>
                <w:color w:val="auto"/>
                <w:kern w:val="0"/>
                <w:szCs w:val="21"/>
                <w:highlight w:val="none"/>
                <w:lang w:bidi="ar"/>
              </w:rPr>
              <w:t>；</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（4）有提供施工进度计划，</w:t>
            </w:r>
            <w:r>
              <w:rPr>
                <w:rFonts w:hint="eastAsia" w:ascii="宋体" w:hAnsi="宋体" w:cs="宋体"/>
                <w:color w:val="auto"/>
                <w:kern w:val="0"/>
                <w:szCs w:val="21"/>
                <w:highlight w:val="none"/>
                <w:lang w:val="en-US" w:eastAsia="zh-CN" w:bidi="ar"/>
              </w:rPr>
              <w:t>工期保障措施差，</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绿色施工及安全防护</w:t>
            </w:r>
          </w:p>
        </w:tc>
        <w:tc>
          <w:tcPr>
            <w:tcW w:w="6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c>
          <w:tcPr>
            <w:tcW w:w="1175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（1）提供安全文明施工的制度化措施及绿色施工保证措施合理，有绿色节能控制措施，承诺施工绿色生产，使用达标企业生产的混凝土，得（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（2）提供安全文明施工的制度化措施及绿色施工保证措施较合理，有绿色节能控制措施，得（3-</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（3）提供安全文明施工的制度化措施一般，有绿色节能控制措施，得（2-3】分；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（4）提供安全文明施工的制度化措施，得【1-2】分；</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70" w:hRule="atLeast"/>
        </w:trPr>
        <w:tc>
          <w:tcPr>
            <w:tcW w:w="1328" w:type="dxa"/>
            <w:vMerge w:val="continue"/>
            <w:tcBorders>
              <w:left w:val="single" w:color="000000" w:sz="8" w:space="0"/>
              <w:right w:val="single" w:color="000000" w:sz="4" w:space="0"/>
            </w:tcBorders>
            <w:noWrap w:val="0"/>
            <w:vAlign w:val="center"/>
          </w:tcPr>
          <w:p>
            <w:pPr>
              <w:adjustRightInd w:val="0"/>
              <w:snapToGrid w:val="0"/>
              <w:jc w:val="center"/>
              <w:rPr>
                <w:rStyle w:val="35"/>
                <w:rFonts w:hint="eastAsia" w:ascii="宋体" w:hAnsi="宋体" w:cs="宋体"/>
                <w:color w:val="auto"/>
                <w:szCs w:val="21"/>
                <w:highlight w:val="none"/>
              </w:rPr>
            </w:pPr>
          </w:p>
        </w:tc>
        <w:tc>
          <w:tcPr>
            <w:tcW w:w="11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质量保证及新技术应用</w:t>
            </w:r>
          </w:p>
        </w:tc>
        <w:tc>
          <w:tcPr>
            <w:tcW w:w="68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c>
          <w:tcPr>
            <w:tcW w:w="1175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（1）应用新技术、新工艺、新材料、新设备，有具体的质量保证体系，提供具体的质量保证措施合理，得（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（2）有具体的质量保证体系，提供具体的质量保证措施较合理，得（3-</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（3）有质量保证体系，质量保证措施一般，得（2-3】分；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（4）有质量保证措施，得【1-2】分；</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 w:hRule="atLeast"/>
        </w:trPr>
        <w:tc>
          <w:tcPr>
            <w:tcW w:w="2488" w:type="dxa"/>
            <w:gridSpan w:val="2"/>
            <w:tcBorders>
              <w:top w:val="single" w:color="000000" w:sz="4" w:space="0"/>
              <w:left w:val="single" w:color="000000" w:sz="8" w:space="0"/>
              <w:bottom w:val="single" w:color="000000" w:sz="4" w:space="0"/>
              <w:right w:val="single" w:color="000000" w:sz="4" w:space="0"/>
            </w:tcBorders>
            <w:noWrap w:val="0"/>
            <w:vAlign w:val="center"/>
          </w:tcPr>
          <w:p>
            <w:pPr>
              <w:adjustRightInd w:val="0"/>
              <w:snapToGrid w:val="0"/>
              <w:jc w:val="center"/>
              <w:rPr>
                <w:rStyle w:val="35"/>
                <w:rFonts w:ascii="宋体" w:hAnsi="宋体" w:cs="宋体"/>
                <w:color w:val="auto"/>
                <w:szCs w:val="21"/>
                <w:highlight w:val="none"/>
              </w:rPr>
            </w:pPr>
            <w:r>
              <w:rPr>
                <w:rStyle w:val="35"/>
                <w:rFonts w:hint="eastAsia" w:ascii="宋体" w:hAnsi="宋体" w:cs="宋体"/>
                <w:color w:val="auto"/>
                <w:szCs w:val="21"/>
                <w:highlight w:val="none"/>
              </w:rPr>
              <w:t>合计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Style w:val="35"/>
                <w:rFonts w:ascii="宋体" w:hAnsi="宋体" w:cs="宋体"/>
                <w:color w:val="auto"/>
                <w:szCs w:val="21"/>
                <w:highlight w:val="none"/>
              </w:rPr>
            </w:pPr>
            <w:r>
              <w:rPr>
                <w:rStyle w:val="35"/>
                <w:rFonts w:hint="eastAsia" w:ascii="宋体" w:hAnsi="宋体" w:cs="宋体"/>
                <w:color w:val="auto"/>
                <w:szCs w:val="21"/>
                <w:highlight w:val="none"/>
              </w:rPr>
              <w:t>100</w:t>
            </w:r>
          </w:p>
        </w:tc>
        <w:tc>
          <w:tcPr>
            <w:tcW w:w="11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Style w:val="35"/>
                <w:rFonts w:ascii="宋体" w:hAnsi="宋体" w:cs="宋体"/>
                <w:color w:val="auto"/>
                <w:szCs w:val="21"/>
                <w:highlight w:val="none"/>
              </w:rPr>
            </w:pPr>
          </w:p>
        </w:tc>
      </w:tr>
    </w:tbl>
    <w:p>
      <w:pPr>
        <w:rPr>
          <w:rFonts w:hint="eastAsia"/>
          <w:color w:val="auto"/>
          <w:szCs w:val="21"/>
          <w:highlight w:val="none"/>
        </w:rPr>
      </w:pPr>
    </w:p>
    <w:p>
      <w:pPr>
        <w:widowControl/>
        <w:shd w:val="clear" w:color="auto" w:fill="FFFFFF"/>
        <w:jc w:val="left"/>
        <w:rPr>
          <w:rFonts w:hint="eastAsia" w:ascii="宋体" w:hAnsi="宋体" w:eastAsia="宋体" w:cs="宋体"/>
          <w:b w:val="0"/>
          <w:bCs w:val="0"/>
          <w:color w:val="auto"/>
          <w:szCs w:val="21"/>
          <w:highlight w:val="none"/>
        </w:rPr>
      </w:pPr>
      <w:r>
        <w:rPr>
          <w:rFonts w:hint="eastAsia" w:ascii="宋体" w:hAnsi="宋体" w:eastAsia="宋体" w:cs="宋体"/>
          <w:color w:val="auto"/>
          <w:kern w:val="2"/>
          <w:szCs w:val="21"/>
          <w:highlight w:val="none"/>
        </w:rPr>
        <w:t>备注：</w:t>
      </w:r>
    </w:p>
    <w:p>
      <w:pPr>
        <w:widowControl/>
        <w:numPr>
          <w:ilvl w:val="0"/>
          <w:numId w:val="3"/>
        </w:numPr>
        <w:shd w:val="clear" w:color="auto" w:fill="FFFFFF"/>
        <w:rPr>
          <w:rFonts w:hint="eastAsia" w:ascii="宋体" w:hAnsi="宋体"/>
          <w:color w:val="auto"/>
          <w:szCs w:val="21"/>
          <w:highlight w:val="none"/>
          <w:lang w:eastAsia="zh-CN"/>
        </w:rPr>
      </w:pPr>
      <w:r>
        <w:rPr>
          <w:rFonts w:hint="eastAsia" w:hAnsi="宋体"/>
          <w:b/>
          <w:bCs/>
          <w:color w:val="auto"/>
          <w:szCs w:val="21"/>
          <w:highlight w:val="none"/>
        </w:rPr>
        <w:t>【企业业绩】：</w:t>
      </w:r>
      <w:r>
        <w:rPr>
          <w:rFonts w:hint="eastAsia" w:ascii="宋体" w:hAnsi="宋体"/>
          <w:b/>
          <w:bCs/>
          <w:color w:val="auto"/>
          <w:szCs w:val="21"/>
          <w:highlight w:val="none"/>
        </w:rPr>
        <w:t>类似工程是指中标金额大于或等于</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000万元的</w:t>
      </w:r>
      <w:r>
        <w:rPr>
          <w:rFonts w:hint="eastAsia" w:ascii="宋体" w:hAnsi="宋体"/>
          <w:color w:val="auto"/>
          <w:szCs w:val="21"/>
          <w:highlight w:val="none"/>
          <w:lang w:eastAsia="zh-CN"/>
        </w:rPr>
        <w:t>【</w:t>
      </w:r>
      <w:r>
        <w:rPr>
          <w:rFonts w:hint="eastAsia" w:ascii="宋体" w:hAnsi="宋体"/>
          <w:b/>
          <w:bCs/>
          <w:color w:val="auto"/>
          <w:szCs w:val="21"/>
          <w:highlight w:val="none"/>
        </w:rPr>
        <w:t>地基基础工程</w:t>
      </w:r>
      <w:r>
        <w:rPr>
          <w:rFonts w:hint="eastAsia" w:ascii="宋体" w:hAnsi="宋体"/>
          <w:b/>
          <w:bCs/>
          <w:color w:val="auto"/>
          <w:szCs w:val="21"/>
          <w:highlight w:val="none"/>
          <w:lang w:val="en-US" w:eastAsia="zh-CN"/>
        </w:rPr>
        <w:t>业绩</w:t>
      </w:r>
      <w:r>
        <w:rPr>
          <w:rFonts w:hint="eastAsia" w:ascii="宋体" w:hAnsi="宋体"/>
          <w:b/>
          <w:bCs/>
          <w:color w:val="auto"/>
          <w:szCs w:val="21"/>
          <w:highlight w:val="none"/>
          <w:lang w:eastAsia="zh-CN"/>
        </w:rPr>
        <w:t>，或</w:t>
      </w:r>
      <w:r>
        <w:rPr>
          <w:rFonts w:ascii="宋体" w:hAnsi="宋体" w:cs="宋体"/>
          <w:b/>
          <w:bCs/>
          <w:color w:val="auto"/>
          <w:kern w:val="0"/>
          <w:szCs w:val="21"/>
          <w:highlight w:val="none"/>
          <w:lang w:bidi="ar"/>
        </w:rPr>
        <w:t>房屋建筑工程</w:t>
      </w:r>
      <w:r>
        <w:rPr>
          <w:rFonts w:hint="eastAsia" w:ascii="宋体" w:hAnsi="宋体" w:cs="宋体"/>
          <w:b/>
          <w:bCs/>
          <w:color w:val="auto"/>
          <w:kern w:val="0"/>
          <w:szCs w:val="21"/>
          <w:highlight w:val="none"/>
          <w:lang w:val="en-US" w:eastAsia="zh-CN" w:bidi="ar"/>
        </w:rPr>
        <w:t>业绩</w:t>
      </w:r>
      <w:r>
        <w:rPr>
          <w:rFonts w:hint="eastAsia" w:ascii="宋体" w:hAnsi="宋体" w:cs="宋体"/>
          <w:b/>
          <w:bCs/>
          <w:color w:val="auto"/>
          <w:kern w:val="0"/>
          <w:szCs w:val="21"/>
          <w:highlight w:val="none"/>
          <w:lang w:eastAsia="zh-CN" w:bidi="ar"/>
        </w:rPr>
        <w:t>（</w:t>
      </w:r>
      <w:r>
        <w:rPr>
          <w:rFonts w:hint="eastAsia" w:ascii="宋体" w:hAnsi="宋体" w:eastAsia="宋体" w:cs="宋体"/>
          <w:b/>
          <w:bCs/>
          <w:color w:val="auto"/>
          <w:kern w:val="0"/>
          <w:szCs w:val="21"/>
          <w:highlight w:val="none"/>
        </w:rPr>
        <w:t>包含</w:t>
      </w:r>
      <w:r>
        <w:rPr>
          <w:rFonts w:hint="eastAsia" w:ascii="宋体" w:hAnsi="宋体" w:eastAsia="宋体" w:cs="宋体"/>
          <w:b/>
          <w:bCs/>
          <w:color w:val="auto"/>
          <w:szCs w:val="21"/>
          <w:highlight w:val="none"/>
        </w:rPr>
        <w:t>施工总承包项目或工程总承包项目</w:t>
      </w:r>
      <w:r>
        <w:rPr>
          <w:rFonts w:hint="eastAsia" w:ascii="宋体" w:hAnsi="宋体" w:cs="宋体"/>
          <w:b/>
          <w:bCs/>
          <w:color w:val="auto"/>
          <w:kern w:val="0"/>
          <w:szCs w:val="21"/>
          <w:highlight w:val="none"/>
          <w:lang w:eastAsia="zh-CN" w:bidi="ar"/>
        </w:rPr>
        <w:t>）</w:t>
      </w:r>
      <w:r>
        <w:rPr>
          <w:rFonts w:hint="eastAsia" w:ascii="宋体" w:hAnsi="宋体"/>
          <w:color w:val="auto"/>
          <w:szCs w:val="21"/>
          <w:highlight w:val="none"/>
          <w:lang w:eastAsia="zh-CN"/>
        </w:rPr>
        <w:t>】。</w:t>
      </w:r>
    </w:p>
    <w:p>
      <w:pPr>
        <w:widowControl/>
        <w:shd w:val="clear" w:color="auto" w:fill="FFFFFF"/>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业绩取自广州市住建行业信用管理平台。</w:t>
      </w:r>
      <w:r>
        <w:rPr>
          <w:rFonts w:hint="eastAsia" w:ascii="宋体" w:hAnsi="宋体" w:eastAsia="宋体" w:cs="宋体"/>
          <w:color w:val="auto"/>
          <w:kern w:val="0"/>
          <w:szCs w:val="21"/>
          <w:highlight w:val="none"/>
        </w:rPr>
        <w:t>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widowControl/>
        <w:shd w:val="clear" w:color="auto" w:fill="FFFFFF"/>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（1）金额以中标通知书为准（工程总承包项目以中标通知书施工部分金额为准），中标通知书上没有金额或免招标的，以施工合同或工程总承包合同施工部分（不含补充合同）为准。</w:t>
      </w:r>
    </w:p>
    <w:p>
      <w:pPr>
        <w:widowControl/>
        <w:shd w:val="clear" w:color="auto" w:fill="FFFFFF"/>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（2）完成时间以竣工验收文件为准。验收文件至少具有建设单位、设计、施工和监理单位盖章。</w:t>
      </w:r>
    </w:p>
    <w:p>
      <w:pPr>
        <w:widowControl/>
        <w:shd w:val="clear" w:color="auto" w:fill="FFFFFF"/>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（3）平台内业绩上传件不符合上述要求的或登记的工程资质内容与施工合同等业绩证明资料不相符的，该项业绩不予认定。</w:t>
      </w:r>
    </w:p>
    <w:p>
      <w:pPr>
        <w:pStyle w:val="44"/>
        <w:rPr>
          <w:rFonts w:hint="eastAsia" w:hAnsi="宋体" w:cs="宋体"/>
          <w:strike w:val="0"/>
          <w:color w:val="auto"/>
          <w:sz w:val="21"/>
          <w:szCs w:val="21"/>
          <w:highlight w:val="none"/>
          <w:lang w:eastAsia="zh-CN"/>
        </w:rPr>
      </w:pPr>
    </w:p>
    <w:p>
      <w:pPr>
        <w:pStyle w:val="44"/>
        <w:rPr>
          <w:rFonts w:hint="eastAsia" w:ascii="宋体" w:hAnsi="宋体" w:eastAsia="宋体" w:cs="宋体"/>
          <w:strike w:val="0"/>
          <w:color w:val="auto"/>
          <w:sz w:val="21"/>
          <w:szCs w:val="21"/>
          <w:highlight w:val="none"/>
        </w:rPr>
      </w:pPr>
      <w:r>
        <w:rPr>
          <w:rFonts w:hint="eastAsia" w:hAnsi="宋体" w:cs="宋体"/>
          <w:strike w:val="0"/>
          <w:color w:val="auto"/>
          <w:sz w:val="21"/>
          <w:szCs w:val="21"/>
          <w:highlight w:val="none"/>
          <w:lang w:eastAsia="zh-CN"/>
        </w:rPr>
        <w:t>2</w:t>
      </w:r>
      <w:r>
        <w:rPr>
          <w:rFonts w:hint="eastAsia" w:ascii="宋体" w:hAnsi="宋体" w:eastAsia="宋体" w:cs="宋体"/>
          <w:strike w:val="0"/>
          <w:color w:val="auto"/>
          <w:sz w:val="21"/>
          <w:szCs w:val="21"/>
          <w:highlight w:val="none"/>
        </w:rPr>
        <w:t>、【第三方评价】：（1）投标人需同时提供体系证书原件扫描件及在国家认证认可监督管理委员会（网址：</w:t>
      </w:r>
      <w:r>
        <w:rPr>
          <w:rFonts w:hint="eastAsia" w:ascii="宋体" w:hAnsi="宋体" w:eastAsia="宋体" w:cs="宋体"/>
          <w:strike w:val="0"/>
          <w:color w:val="auto"/>
          <w:sz w:val="21"/>
          <w:szCs w:val="21"/>
          <w:highlight w:val="none"/>
        </w:rPr>
        <w:fldChar w:fldCharType="begin"/>
      </w:r>
      <w:r>
        <w:rPr>
          <w:rFonts w:hint="eastAsia" w:ascii="宋体" w:hAnsi="宋体" w:eastAsia="宋体" w:cs="宋体"/>
          <w:strike w:val="0"/>
          <w:color w:val="auto"/>
          <w:sz w:val="21"/>
          <w:szCs w:val="21"/>
          <w:highlight w:val="none"/>
        </w:rPr>
        <w:instrText xml:space="preserve"> HYPERLINK "http://www.cnca.gov.cn/）网站查询结果截图并加盖投标单位电子印章，只计算投标人自身（不含投标人的子、分公司或区域公司），已失效或撤销或无提供的不得分。不符合上述条件或未提供上述资料的不得分。" </w:instrText>
      </w:r>
      <w:r>
        <w:rPr>
          <w:rFonts w:hint="eastAsia" w:ascii="宋体" w:hAnsi="宋体" w:eastAsia="宋体" w:cs="宋体"/>
          <w:strike w:val="0"/>
          <w:color w:val="auto"/>
          <w:sz w:val="21"/>
          <w:szCs w:val="21"/>
          <w:highlight w:val="none"/>
        </w:rPr>
        <w:fldChar w:fldCharType="separate"/>
      </w:r>
      <w:r>
        <w:rPr>
          <w:rFonts w:hint="eastAsia" w:ascii="宋体" w:hAnsi="宋体" w:eastAsia="宋体" w:cs="宋体"/>
          <w:strike w:val="0"/>
          <w:color w:val="auto"/>
          <w:sz w:val="21"/>
          <w:szCs w:val="21"/>
          <w:highlight w:val="none"/>
        </w:rPr>
        <w:t>http://www.cnca.gov.cn/）网站查询结果截图并加盖投标人电子印章，只计算投标人自身（不含投标人的子、分公司或区域公司），已失效或撤销或无提供的不得分。不符合上述条件或未提供上述资料的不得分。</w:t>
      </w:r>
      <w:r>
        <w:rPr>
          <w:rFonts w:hint="eastAsia" w:ascii="宋体" w:hAnsi="宋体" w:eastAsia="宋体" w:cs="宋体"/>
          <w:strike w:val="0"/>
          <w:color w:val="auto"/>
          <w:sz w:val="21"/>
          <w:szCs w:val="21"/>
          <w:highlight w:val="none"/>
        </w:rPr>
        <w:fldChar w:fldCharType="end"/>
      </w:r>
    </w:p>
    <w:p>
      <w:pPr>
        <w:spacing w:after="156" w:afterLines="50"/>
        <w:rPr>
          <w:rFonts w:hint="eastAsia" w:ascii="宋体" w:hAnsi="宋体" w:eastAsia="宋体" w:cs="宋体"/>
          <w:strike w:val="0"/>
          <w:color w:val="auto"/>
          <w:kern w:val="0"/>
          <w:szCs w:val="21"/>
          <w:highlight w:val="none"/>
        </w:rPr>
      </w:pPr>
      <w:r>
        <w:rPr>
          <w:rFonts w:hint="eastAsia" w:ascii="宋体" w:hAnsi="宋体" w:eastAsia="宋体" w:cs="宋体"/>
          <w:strike w:val="0"/>
          <w:color w:val="auto"/>
          <w:kern w:val="0"/>
          <w:szCs w:val="21"/>
          <w:highlight w:val="none"/>
        </w:rPr>
        <w:t>（2）科技创新企业相关的荣誉称号须提供网上查询荣誉名单公示或公布截图（须由建设行政主管部门或行业协会或学会颁发）以及获奖证书的扫描件（证书获奖单位必须与投标单位名称一致，不包含上级公司、子分公司及区域公司），时间以网上查询结果截图或证书载明的年度为准。若颁发单位是行业协会或学会，须同时提供该颁发单位在“中国社会组织公共服务平台”网站(https://chinanpo.mca.gov.cn)登记的查询结果截图，否则该获奖证书不予认定。不满足上述要求的或未提供相关证明材料的不计分。</w:t>
      </w:r>
    </w:p>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、【项目管理机构】：未按要求提供完整相关资料的人员，该人员不作为评分依据。投标单位社保证明不含投标人子公司，含分公司。以上人员岗位均不可相互兼任。</w:t>
      </w:r>
      <w:r>
        <w:rPr>
          <w:rFonts w:hint="eastAsia" w:ascii="宋体" w:hAnsi="宋体" w:eastAsia="宋体" w:cs="宋体"/>
          <w:color w:val="auto"/>
          <w:highlight w:val="none"/>
          <w:lang w:bidi="ar"/>
        </w:rPr>
        <w:t>工作经验年限以毕业证（大专或以上）颁发时间起计算。各负责人的职称等级与注册等级按最高等级计算一次得分。</w:t>
      </w:r>
      <w:r>
        <w:rPr>
          <w:rFonts w:hint="eastAsia" w:ascii="宋体" w:hAnsi="宋体" w:eastAsia="宋体" w:cs="宋体"/>
          <w:color w:val="auto"/>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eastAsia="宋体" w:cs="宋体"/>
          <w:color w:val="auto"/>
          <w:highlight w:val="none"/>
          <w:lang w:eastAsia="zh-CN"/>
        </w:rPr>
        <w:t>。</w:t>
      </w:r>
    </w:p>
    <w:p>
      <w:pPr>
        <w:spacing w:after="156" w:afterLines="5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、投标人如果同时满足多个评分档次的，按所满足的最高档得分。</w:t>
      </w:r>
    </w:p>
    <w:p>
      <w:pPr>
        <w:spacing w:after="156" w:afterLines="5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、所有评委每个分项的分数汇总后的算术平均值为投标人的最终得分。分数出现小数点，保留小数点后二位小数，第三位小数四舍五入。</w:t>
      </w:r>
    </w:p>
    <w:p>
      <w:pPr>
        <w:pStyle w:val="14"/>
        <w:spacing w:line="300" w:lineRule="exact"/>
        <w:rPr>
          <w:rFonts w:hint="eastAsia" w:hAnsi="宋体" w:cs="宋体"/>
          <w:color w:val="auto"/>
          <w:sz w:val="21"/>
          <w:szCs w:val="21"/>
          <w:highlight w:val="none"/>
        </w:rPr>
      </w:pPr>
      <w:r>
        <w:rPr>
          <w:rFonts w:hint="eastAsia" w:hAnsi="宋体" w:cs="宋体"/>
          <w:color w:val="auto"/>
          <w:sz w:val="21"/>
          <w:szCs w:val="21"/>
          <w:highlight w:val="none"/>
        </w:rPr>
        <w:t>评委签名：                                                                                     日期：     年   月   日</w:t>
      </w:r>
    </w:p>
    <w:p>
      <w:pPr>
        <w:rPr>
          <w:rStyle w:val="45"/>
          <w:rFonts w:hint="eastAsia" w:ascii="宋体" w:hAnsi="宋体" w:cs="宋体"/>
          <w:bCs/>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rPr>
          <w:color w:val="auto"/>
          <w:sz w:val="24"/>
          <w:szCs w:val="24"/>
          <w:highlight w:val="none"/>
        </w:rPr>
      </w:pPr>
      <w:r>
        <w:rPr>
          <w:rFonts w:hint="eastAsia"/>
          <w:color w:val="auto"/>
          <w:szCs w:val="21"/>
          <w:highlight w:val="none"/>
        </w:rPr>
        <w:t>附表五（适用于区间抽取法）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bl>
    <w:p>
      <w:pPr>
        <w:rPr>
          <w:color w:val="auto"/>
          <w:szCs w:val="21"/>
          <w:highlight w:val="none"/>
        </w:rPr>
      </w:pPr>
      <w:r>
        <w:rPr>
          <w:rFonts w:hint="eastAsia"/>
          <w:color w:val="auto"/>
          <w:szCs w:val="21"/>
          <w:highlight w:val="none"/>
        </w:rPr>
        <w:t>评委签名：</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修正率</w:t>
            </w:r>
          </w:p>
          <w:p>
            <w:pPr>
              <w:rPr>
                <w:rFonts w:hint="eastAsia"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hint="eastAsia" w:ascii="仿宋_GB2312" w:hAnsi="宋体"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rPr>
          <w:color w:val="auto"/>
          <w:highlight w:val="none"/>
        </w:rPr>
      </w:pPr>
      <w:bookmarkStart w:id="50" w:name="_Toc2272566"/>
      <w:bookmarkStart w:id="51" w:name="_Toc21525511"/>
      <w:r>
        <w:rPr>
          <w:rFonts w:hint="eastAsia"/>
          <w:color w:val="auto"/>
          <w:highlight w:val="none"/>
        </w:rPr>
        <w:t>第三章</w:t>
      </w:r>
      <w:r>
        <w:rPr>
          <w:color w:val="auto"/>
          <w:highlight w:val="none"/>
        </w:rPr>
        <w:t xml:space="preserve">  </w:t>
      </w:r>
      <w:r>
        <w:rPr>
          <w:rFonts w:hint="eastAsia"/>
          <w:color w:val="auto"/>
          <w:highlight w:val="none"/>
        </w:rPr>
        <w:t>合同条款</w:t>
      </w:r>
      <w:bookmarkEnd w:id="50"/>
      <w:bookmarkEnd w:id="51"/>
    </w:p>
    <w:p>
      <w:pPr>
        <w:jc w:val="center"/>
        <w:rPr>
          <w:rFonts w:ascii="宋体"/>
          <w:b/>
          <w:color w:val="auto"/>
          <w:sz w:val="24"/>
          <w:szCs w:val="24"/>
          <w:highlight w:val="none"/>
        </w:rPr>
      </w:pPr>
      <w:r>
        <w:rPr>
          <w:rFonts w:hint="eastAsia" w:ascii="宋体" w:hAnsi="宋体"/>
          <w:color w:val="auto"/>
          <w:sz w:val="24"/>
          <w:szCs w:val="24"/>
          <w:highlight w:val="none"/>
        </w:rPr>
        <w:t>注：按《广州市建设工程施工合同》（SF－2019－0204）执行，另册。</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14"/>
        <w:spacing w:line="360" w:lineRule="auto"/>
        <w:rPr>
          <w:color w:val="auto"/>
          <w:sz w:val="24"/>
          <w:szCs w:val="24"/>
          <w:highlight w:val="none"/>
        </w:rPr>
      </w:pPr>
    </w:p>
    <w:p>
      <w:pPr>
        <w:pStyle w:val="14"/>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52" w:name="_Toc21525512"/>
      <w:bookmarkStart w:id="53"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52"/>
      <w:bookmarkEnd w:id="53"/>
    </w:p>
    <w:p>
      <w:pPr>
        <w:rPr>
          <w:rFonts w:ascii="宋体"/>
          <w:b/>
          <w:color w:val="auto"/>
          <w:sz w:val="24"/>
          <w:szCs w:val="24"/>
          <w:highlight w:val="none"/>
        </w:rPr>
      </w:pPr>
      <w:r>
        <w:rPr>
          <w:rFonts w:hint="eastAsia" w:ascii="宋体" w:hAnsi="宋体"/>
          <w:color w:val="auto"/>
          <w:sz w:val="24"/>
          <w:szCs w:val="24"/>
          <w:highlight w:val="none"/>
        </w:rPr>
        <w:t>注：本章由招标人自行制定。</w:t>
      </w:r>
    </w:p>
    <w:p>
      <w:pPr>
        <w:autoSpaceDE w:val="0"/>
        <w:autoSpaceDN w:val="0"/>
        <w:adjustRightInd w:val="0"/>
        <w:rPr>
          <w:bCs/>
          <w:color w:val="auto"/>
          <w:szCs w:val="21"/>
          <w:highlight w:val="none"/>
        </w:rPr>
      </w:pPr>
      <w:r>
        <w:rPr>
          <w:color w:val="auto"/>
          <w:highlight w:val="none"/>
        </w:rPr>
        <w:br w:type="page"/>
      </w:r>
      <w:r>
        <w:rPr>
          <w:rFonts w:hint="eastAsia"/>
          <w:bCs/>
          <w:color w:val="auto"/>
          <w:szCs w:val="21"/>
          <w:highlight w:val="none"/>
        </w:rPr>
        <w:t>附件一</w:t>
      </w:r>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tbl>
      <w:tblPr>
        <w:tblStyle w:val="23"/>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color w:val="auto"/>
                <w:kern w:val="0"/>
                <w:sz w:val="28"/>
                <w:szCs w:val="28"/>
                <w:highlight w:val="none"/>
              </w:rPr>
            </w:pPr>
            <w:r>
              <w:rPr>
                <w:rFonts w:ascii="宋体" w:hAnsi="宋体" w:cs="宋体"/>
                <w:color w:val="auto"/>
                <w:kern w:val="0"/>
                <w:sz w:val="28"/>
                <w:szCs w:val="28"/>
                <w:highlight w:val="none"/>
              </w:rPr>
              <w:t xml:space="preserve">                                                                                             </w:t>
            </w:r>
          </w:p>
        </w:tc>
      </w:tr>
    </w:tbl>
    <w:p>
      <w:pPr>
        <w:autoSpaceDE w:val="0"/>
        <w:autoSpaceDN w:val="0"/>
        <w:adjustRightInd w:val="0"/>
        <w:rPr>
          <w:color w:val="auto"/>
          <w:szCs w:val="21"/>
          <w:highlight w:val="none"/>
        </w:rPr>
      </w:pPr>
      <w:r>
        <w:rPr>
          <w:color w:val="auto"/>
          <w:sz w:val="24"/>
          <w:szCs w:val="24"/>
          <w:highlight w:val="none"/>
        </w:rPr>
        <w:br w:type="page"/>
      </w:r>
      <w:r>
        <w:rPr>
          <w:rFonts w:hint="eastAsia"/>
          <w:color w:val="auto"/>
          <w:szCs w:val="21"/>
          <w:highlight w:val="none"/>
        </w:rPr>
        <w:t>附件二</w:t>
      </w:r>
    </w:p>
    <w:p>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Chars="175"/>
        <w:jc w:val="center"/>
        <w:rPr>
          <w:color w:val="auto"/>
          <w:sz w:val="24"/>
          <w:szCs w:val="24"/>
          <w:highlight w:val="none"/>
        </w:rPr>
      </w:pPr>
    </w:p>
    <w:p>
      <w:pPr>
        <w:autoSpaceDE w:val="0"/>
        <w:autoSpaceDN w:val="0"/>
        <w:adjustRightInd w:val="0"/>
        <w:rPr>
          <w:color w:val="auto"/>
          <w:szCs w:val="21"/>
          <w:highlight w:val="none"/>
        </w:rPr>
      </w:pPr>
      <w:r>
        <w:rPr>
          <w:rFonts w:hint="eastAsia"/>
          <w:color w:val="auto"/>
          <w:szCs w:val="21"/>
          <w:highlight w:val="none"/>
        </w:rPr>
        <w:t>附件三</w:t>
      </w:r>
    </w:p>
    <w:p>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pStyle w:val="5"/>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4920" w:firstLineChars="20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5"/>
        <w:spacing w:after="0" w:line="360" w:lineRule="auto"/>
        <w:ind w:firstLine="0"/>
        <w:rPr>
          <w:b/>
          <w:color w:val="auto"/>
          <w:sz w:val="32"/>
          <w:szCs w:val="32"/>
          <w:highlight w:val="none"/>
        </w:rPr>
      </w:pPr>
    </w:p>
    <w:p>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23"/>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电脑类型</w:t>
            </w:r>
          </w:p>
          <w:p>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电脑所属单位</w:t>
            </w:r>
          </w:p>
          <w:p>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spacing w:line="360" w:lineRule="auto"/>
        <w:rPr>
          <w:rFonts w:hint="eastAsia" w:ascii="宋体" w:hAnsi="宋体"/>
          <w:color w:val="auto"/>
          <w:sz w:val="24"/>
          <w:szCs w:val="24"/>
          <w:highlight w:val="none"/>
        </w:rPr>
      </w:pPr>
    </w:p>
    <w:p>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附件四</w:t>
      </w:r>
      <w:r>
        <w:rPr>
          <w:rFonts w:hint="eastAsia" w:ascii="宋体" w:hAnsi="宋体" w:cs="宋体"/>
          <w:b/>
          <w:color w:val="auto"/>
          <w:sz w:val="24"/>
          <w:szCs w:val="24"/>
          <w:highlight w:val="none"/>
        </w:rPr>
        <w:t>：法定代表人证明书、授权委托书</w:t>
      </w:r>
    </w:p>
    <w:p>
      <w:pPr>
        <w:rPr>
          <w:rFonts w:hint="eastAsia" w:ascii="宋体" w:hAnsi="宋体" w:cs="宋体"/>
          <w:b/>
          <w:color w:val="auto"/>
          <w:sz w:val="24"/>
          <w:szCs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2" name="文本框 2"/>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1"/>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pPr>
                              <w:pStyle w:val="41"/>
                              <w:ind w:firstLine="0" w:firstLineChars="0"/>
                              <w:rPr>
                                <w:rFonts w:hint="eastAsia" w:ascii="宋体" w:hAnsi="宋体" w:cs="宋体"/>
                                <w:szCs w:val="28"/>
                              </w:rPr>
                            </w:pPr>
                            <w:r>
                              <w:rPr>
                                <w:rFonts w:hint="eastAsia" w:ascii="宋体" w:hAnsi="宋体" w:cs="宋体"/>
                                <w:szCs w:val="28"/>
                              </w:rPr>
                              <w:t>特此证明。</w:t>
                            </w:r>
                          </w:p>
                          <w:p>
                            <w:pPr>
                              <w:pStyle w:val="41"/>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　　　　　　　　　　           单位：　　　　　　　　　　　（盖章）</w:t>
                            </w:r>
                          </w:p>
                          <w:p>
                            <w:pPr>
                              <w:pStyle w:val="41"/>
                              <w:ind w:firstLine="0" w:firstLineChars="0"/>
                              <w:rPr>
                                <w:rFonts w:hint="eastAsia" w:ascii="宋体" w:hAnsi="宋体" w:cs="宋体"/>
                                <w:szCs w:val="28"/>
                              </w:rPr>
                            </w:pPr>
                            <w:r>
                              <w:rPr>
                                <w:rFonts w:hint="eastAsia" w:ascii="宋体" w:hAnsi="宋体" w:cs="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TCfNcAAAAIAQAADwAAAAAAAAABACAA&#10;AAAiAAAAZHJzL2Rvd25yZXYueG1sUEsBAhQAFAAAAAgAh07iQOPgHOQOAgAANwQAAA4AAAAAAAAA&#10;AQAgAAAAJgEAAGRycy9lMm9Eb2MueG1sUEsFBgAAAAAGAAYAWQEAAKYFAAAAAA==&#10;">
                <v:fill on="t" focussize="0,0"/>
                <v:stroke color="#000000" joinstyle="miter"/>
                <v:imagedata o:title=""/>
                <o:lock v:ext="edit" aspectratio="f"/>
                <v:textbox>
                  <w:txbxContent>
                    <w:p>
                      <w:pPr>
                        <w:pStyle w:val="41"/>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pPr>
                        <w:pStyle w:val="41"/>
                        <w:ind w:firstLine="0" w:firstLineChars="0"/>
                        <w:rPr>
                          <w:rFonts w:hint="eastAsia" w:ascii="宋体" w:hAnsi="宋体" w:cs="宋体"/>
                          <w:szCs w:val="28"/>
                        </w:rPr>
                      </w:pPr>
                      <w:r>
                        <w:rPr>
                          <w:rFonts w:hint="eastAsia" w:ascii="宋体" w:hAnsi="宋体" w:cs="宋体"/>
                          <w:szCs w:val="28"/>
                        </w:rPr>
                        <w:t>特此证明。</w:t>
                      </w:r>
                    </w:p>
                    <w:p>
                      <w:pPr>
                        <w:pStyle w:val="41"/>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pPr>
                        <w:pStyle w:val="41"/>
                        <w:ind w:firstLine="0" w:firstLineChars="0"/>
                        <w:rPr>
                          <w:rFonts w:hint="eastAsia" w:ascii="宋体" w:hAnsi="宋体" w:cs="宋体"/>
                          <w:szCs w:val="28"/>
                        </w:rPr>
                      </w:pPr>
                      <w:r>
                        <w:rPr>
                          <w:rFonts w:hint="eastAsia" w:ascii="宋体" w:hAnsi="宋体" w:cs="宋体"/>
                          <w:szCs w:val="28"/>
                        </w:rPr>
                        <w:t>　　　　　　　　　　           单位：　　　　　　　　　　　（盖章）</w:t>
                      </w:r>
                    </w:p>
                    <w:p>
                      <w:pPr>
                        <w:pStyle w:val="41"/>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pPr>
        <w:topLinePunct w:val="0"/>
        <w:adjustRightInd/>
        <w:snapToGrid/>
        <w:spacing w:line="240" w:lineRule="auto"/>
        <w:ind w:firstLine="0" w:firstLineChars="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br w:type="page"/>
      </w:r>
    </w:p>
    <w:p>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1" name="文本框 1"/>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1"/>
                              <w:ind w:firstLine="0" w:firstLineChars="0"/>
                              <w:rPr>
                                <w:rFonts w:hint="eastAsia" w:ascii="宋体" w:hAnsi="宋体" w:cs="宋体"/>
                                <w:szCs w:val="28"/>
                              </w:rPr>
                            </w:pPr>
                            <w:r>
                              <w:rPr>
                                <w:rFonts w:ascii="宋体" w:hAnsi="宋体" w:cs="宋体"/>
                                <w:szCs w:val="28"/>
                              </w:rPr>
                              <w:t xml:space="preserve">    </w:t>
                            </w:r>
                          </w:p>
                          <w:p>
                            <w:pPr>
                              <w:pStyle w:val="41"/>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41"/>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pPr>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txbxContent>
                      </wps:txbx>
                      <wps:bodyPr upright="1"/>
                    </wps:wsp>
                  </a:graphicData>
                </a:graphic>
              </wp:anchor>
            </w:drawing>
          </mc:Choice>
          <mc:Fallback>
            <w:pict>
              <v:shape id="_x0000_s1026" o:spid="_x0000_s1026" o:spt="202" type="#_x0000_t202" style="position:absolute;left:0pt;margin-left:9.25pt;margin-top:2.85pt;height:261.5pt;width:448.2pt;z-index:251660288;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RyJM1wAAAAgBAAAPAAAAAAAAAAEAIAAA&#10;ACIAAABkcnMvZG93bnJldi54bWxQSwECFAAUAAAACACHTuJAuEJ4HQ0CAAA3BAAADgAAAAAAAAAB&#10;ACAAAAAmAQAAZHJzL2Uyb0RvYy54bWxQSwUGAAAAAAYABgBZAQAApQUAAAAA&#10;">
                <v:fill on="t" focussize="0,0"/>
                <v:stroke color="#000000" joinstyle="miter"/>
                <v:imagedata o:title=""/>
                <o:lock v:ext="edit" aspectratio="f"/>
                <v:textbox>
                  <w:txbxContent>
                    <w:p>
                      <w:pPr>
                        <w:pStyle w:val="41"/>
                        <w:ind w:firstLine="0" w:firstLineChars="0"/>
                        <w:rPr>
                          <w:rFonts w:hint="eastAsia" w:ascii="宋体" w:hAnsi="宋体" w:cs="宋体"/>
                          <w:szCs w:val="28"/>
                        </w:rPr>
                      </w:pPr>
                      <w:r>
                        <w:rPr>
                          <w:rFonts w:ascii="宋体" w:hAnsi="宋体" w:cs="宋体"/>
                          <w:szCs w:val="28"/>
                        </w:rPr>
                        <w:t xml:space="preserve">    </w:t>
                      </w:r>
                    </w:p>
                    <w:p>
                      <w:pPr>
                        <w:pStyle w:val="41"/>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pPr>
                        <w:pStyle w:val="41"/>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pPr>
                        <w:pStyle w:val="41"/>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pPr>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txbxContent>
                </v:textbox>
              </v:shape>
            </w:pict>
          </mc:Fallback>
        </mc:AlternateConten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注：该格式供参考，原件装订于正本中。</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0" w:firstLineChars="0"/>
        <w:rPr>
          <w:rFonts w:hint="eastAsia" w:ascii="宋体" w:hAnsi="宋体" w:cs="宋体"/>
          <w:b/>
          <w:color w:val="auto"/>
          <w:spacing w:val="4"/>
          <w:kern w:val="0"/>
          <w:szCs w:val="21"/>
          <w:highlight w:val="none"/>
        </w:rPr>
      </w:pPr>
    </w:p>
    <w:p>
      <w:pPr>
        <w:topLinePunct/>
        <w:adjustRightInd w:val="0"/>
        <w:snapToGrid w:val="0"/>
        <w:spacing w:line="360" w:lineRule="auto"/>
        <w:ind w:firstLine="0" w:firstLineChars="0"/>
        <w:rPr>
          <w:rFonts w:hint="eastAsia" w:ascii="宋体" w:hAnsi="宋体" w:cs="宋体"/>
          <w:b/>
          <w:color w:val="auto"/>
          <w:spacing w:val="4"/>
          <w:kern w:val="0"/>
          <w:szCs w:val="21"/>
          <w:highlight w:val="none"/>
        </w:rPr>
      </w:pPr>
    </w:p>
    <w:p>
      <w:pPr>
        <w:topLinePunct/>
        <w:adjustRightInd w:val="0"/>
        <w:snapToGrid w:val="0"/>
        <w:spacing w:line="360" w:lineRule="auto"/>
        <w:ind w:firstLine="0" w:firstLineChars="0"/>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pPr>
        <w:pStyle w:val="41"/>
        <w:ind w:firstLine="496"/>
        <w:rPr>
          <w:rFonts w:hint="eastAsia" w:ascii="宋体" w:hAnsi="宋体" w:cs="宋体"/>
          <w:color w:val="auto"/>
          <w:highlight w:val="none"/>
        </w:rPr>
      </w:pPr>
      <w:r>
        <w:rPr>
          <w:rFonts w:hint="eastAsia" w:ascii="宋体" w:hAnsi="宋体" w:cs="宋体"/>
          <w:color w:val="auto"/>
          <w:highlight w:val="none"/>
        </w:rPr>
        <w:t>注：该格式仅供参考。</w:t>
      </w:r>
    </w:p>
    <w:p>
      <w:pPr>
        <w:rPr>
          <w:rFonts w:hint="eastAsia" w:cs="宋体"/>
          <w:b/>
          <w:color w:val="auto"/>
          <w:spacing w:val="4"/>
          <w:sz w:val="24"/>
          <w:szCs w:val="24"/>
          <w:highlight w:val="none"/>
        </w:rPr>
      </w:pPr>
      <w:r>
        <w:rPr>
          <w:rFonts w:hint="eastAsia" w:cs="宋体"/>
          <w:b/>
          <w:color w:val="auto"/>
          <w:spacing w:val="4"/>
          <w:sz w:val="24"/>
          <w:szCs w:val="24"/>
          <w:highlight w:val="none"/>
        </w:rPr>
        <w:br w:type="page"/>
      </w:r>
    </w:p>
    <w:p>
      <w:pPr>
        <w:pStyle w:val="8"/>
        <w:rPr>
          <w:rFonts w:hint="eastAsia" w:cs="宋体"/>
          <w:b/>
          <w:color w:val="auto"/>
          <w:spacing w:val="4"/>
          <w:sz w:val="24"/>
          <w:szCs w:val="24"/>
          <w:highlight w:val="none"/>
        </w:rPr>
      </w:pPr>
      <w:r>
        <w:rPr>
          <w:rFonts w:hint="eastAsia" w:cs="宋体"/>
          <w:b/>
          <w:color w:val="auto"/>
          <w:spacing w:val="4"/>
          <w:sz w:val="24"/>
          <w:szCs w:val="24"/>
          <w:highlight w:val="none"/>
          <w:lang w:val="en-US" w:eastAsia="zh-CN"/>
        </w:rPr>
        <w:t>附件五</w:t>
      </w:r>
      <w:r>
        <w:rPr>
          <w:rFonts w:hint="eastAsia" w:cs="宋体"/>
          <w:b/>
          <w:color w:val="auto"/>
          <w:spacing w:val="4"/>
          <w:sz w:val="24"/>
          <w:szCs w:val="24"/>
          <w:highlight w:val="none"/>
        </w:rPr>
        <w:t>：危险性较大的分部分项工程安全管理措施</w:t>
      </w:r>
    </w:p>
    <w:p>
      <w:pPr>
        <w:pStyle w:val="42"/>
        <w:spacing w:before="158" w:beforeLines="50" w:after="156"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危险性较大的分部分项工程安全管理措施</w:t>
      </w:r>
    </w:p>
    <w:p>
      <w:pPr>
        <w:numPr>
          <w:ilvl w:val="0"/>
          <w:numId w:val="4"/>
        </w:numPr>
        <w:autoSpaceDE w:val="0"/>
        <w:autoSpaceDN w:val="0"/>
        <w:adjustRightInd w:val="0"/>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color w:val="auto"/>
          <w:sz w:val="24"/>
          <w:szCs w:val="28"/>
          <w:highlight w:val="none"/>
        </w:rPr>
        <w:t>根据中华人民共和国住房和城乡建设部令第47号《危险性较大的分部分项工程安全管理规定》（以下简称“47号文”），投标人在投标时须补充完善危大工程清单并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4"/>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招标人根据设计文件的要求及47号文的规定列出“危险性较大的分部分项工程清单及超过一定规模的危险性较大的分部分项工程清单”中与本招标项目相关的清单项，具体详见第5点“打</w:t>
      </w:r>
      <w:r>
        <w:rPr>
          <w:rFonts w:hint="eastAsia" w:ascii="宋体" w:hAnsi="宋体" w:cs="宋体"/>
          <w:color w:val="auto"/>
          <w:sz w:val="24"/>
          <w:szCs w:val="36"/>
          <w:highlight w:val="none"/>
        </w:rPr>
        <w:t>√”标识。</w:t>
      </w:r>
    </w:p>
    <w:p>
      <w:pPr>
        <w:autoSpaceDE w:val="0"/>
        <w:autoSpaceDN w:val="0"/>
        <w:adjustRightInd w:val="0"/>
        <w:spacing w:line="360" w:lineRule="auto"/>
        <w:ind w:firstLine="240" w:firstLineChars="10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（1）投标单位同意招标人在清单中标识的该项请在对应项打“</w:t>
      </w:r>
      <w:r>
        <w:rPr>
          <w:rFonts w:hint="eastAsia" w:ascii="宋体" w:hAnsi="宋体" w:cs="宋体"/>
          <w:color w:val="auto"/>
          <w:sz w:val="24"/>
          <w:szCs w:val="36"/>
          <w:highlight w:val="none"/>
        </w:rPr>
        <w:t>√”标识，并在投标文件中提供相应的安全管理措施。</w:t>
      </w:r>
    </w:p>
    <w:p>
      <w:pPr>
        <w:autoSpaceDE w:val="0"/>
        <w:autoSpaceDN w:val="0"/>
        <w:adjustRightInd w:val="0"/>
        <w:spacing w:line="360" w:lineRule="auto"/>
        <w:ind w:firstLine="240" w:firstLineChars="10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（2）投标单位对清单中认为需要补充的该项请在对应项打“</w:t>
      </w:r>
      <w:r>
        <w:rPr>
          <w:rFonts w:hint="eastAsia" w:ascii="宋体" w:hAnsi="宋体" w:cs="宋体"/>
          <w:color w:val="auto"/>
          <w:sz w:val="24"/>
          <w:szCs w:val="36"/>
          <w:highlight w:val="none"/>
        </w:rPr>
        <w:t>√”标识，并在投标文件中提供相应的安全管理措施。</w:t>
      </w:r>
    </w:p>
    <w:p>
      <w:pPr>
        <w:autoSpaceDE w:val="0"/>
        <w:autoSpaceDN w:val="0"/>
        <w:adjustRightInd w:val="0"/>
        <w:spacing w:line="360" w:lineRule="auto"/>
        <w:ind w:firstLine="240" w:firstLineChars="100"/>
        <w:jc w:val="left"/>
        <w:rPr>
          <w:rFonts w:hint="eastAsia" w:ascii="宋体" w:hAnsi="宋体" w:cs="宋体"/>
          <w:color w:val="auto"/>
          <w:sz w:val="24"/>
          <w:szCs w:val="28"/>
          <w:highlight w:val="none"/>
        </w:rPr>
      </w:pPr>
      <w:r>
        <w:rPr>
          <w:rFonts w:hint="eastAsia" w:ascii="宋体" w:hAnsi="宋体" w:cs="宋体"/>
          <w:color w:val="auto"/>
          <w:sz w:val="24"/>
          <w:szCs w:val="36"/>
          <w:highlight w:val="none"/>
        </w:rPr>
        <w:t>（3）投标单位不同意招标人</w:t>
      </w:r>
      <w:r>
        <w:rPr>
          <w:rFonts w:hint="eastAsia" w:ascii="宋体" w:hAnsi="宋体" w:cs="宋体"/>
          <w:color w:val="auto"/>
          <w:sz w:val="24"/>
          <w:szCs w:val="28"/>
          <w:highlight w:val="none"/>
        </w:rPr>
        <w:t>在清单中标识的该项</w:t>
      </w:r>
      <w:r>
        <w:rPr>
          <w:rFonts w:hint="eastAsia" w:ascii="宋体" w:hAnsi="宋体" w:cs="宋体"/>
          <w:color w:val="auto"/>
          <w:sz w:val="24"/>
          <w:szCs w:val="36"/>
          <w:highlight w:val="none"/>
        </w:rPr>
        <w:t>请在对应项打“×”标识，并在备注栏填上相关说明。</w:t>
      </w:r>
    </w:p>
    <w:p>
      <w:pPr>
        <w:numPr>
          <w:ilvl w:val="0"/>
          <w:numId w:val="4"/>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投标单位应当在投标时根据招标人提供的下述第5点清单，在投标文件中编制专项施工方案。</w:t>
      </w:r>
    </w:p>
    <w:p>
      <w:pPr>
        <w:numPr>
          <w:ilvl w:val="0"/>
          <w:numId w:val="4"/>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4"/>
        </w:num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 w:val="24"/>
          <w:szCs w:val="28"/>
          <w:highlight w:val="none"/>
        </w:rPr>
        <w:t>危险性较大的分部分项工程清单及超过一定规模的危险性较大的分部分项工程清单：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b/>
                <w:color w:val="auto"/>
                <w:sz w:val="24"/>
                <w:szCs w:val="22"/>
                <w:highlight w:val="none"/>
              </w:rPr>
            </w:pPr>
            <w:r>
              <w:rPr>
                <w:rFonts w:hint="eastAsia" w:ascii="宋体" w:hAnsi="宋体"/>
                <w:b/>
                <w:color w:val="auto"/>
                <w:sz w:val="24"/>
                <w:szCs w:val="22"/>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一、基坑支护</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r>
              <w:rPr>
                <w:rFonts w:hint="eastAsia" w:ascii="宋体" w:hAnsi="宋体"/>
                <w:color w:val="auto"/>
                <w:sz w:val="24"/>
                <w:szCs w:val="36"/>
                <w:highlight w:val="none"/>
                <w:lang w:val="en-US" w:eastAsia="zh-CN"/>
              </w:rPr>
              <w:t xml:space="preserve">  </w:t>
            </w:r>
            <w:r>
              <w:rPr>
                <w:rFonts w:hint="eastAsia" w:ascii="宋体" w:hAnsi="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r>
              <w:rPr>
                <w:rFonts w:hint="eastAsia" w:ascii="宋体" w:hAnsi="宋体"/>
                <w:color w:val="auto"/>
                <w:sz w:val="24"/>
                <w:szCs w:val="36"/>
                <w:highlight w:val="none"/>
                <w:lang w:val="en-US" w:eastAsia="zh-CN"/>
              </w:rPr>
              <w:t xml:space="preserve">  </w:t>
            </w:r>
            <w:r>
              <w:rPr>
                <w:rFonts w:hint="eastAsia" w:ascii="宋体" w:hAnsi="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s="宋体"/>
                <w:color w:val="auto"/>
                <w:sz w:val="24"/>
                <w:szCs w:val="22"/>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（三）悬挑式脚手架工程。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（四）高处作业吊篮。</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（六）异型脚手架工程。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　六、暗挖工程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七、其它</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（一）建筑幕墙安装工程。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（二）钢结构、网架和索膜结构安装工程。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（三）人工挖孔桩工程。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（四）水下作业工程。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atLeast"/>
              <w:rPr>
                <w:rFonts w:hint="eastAsia" w:ascii="宋体" w:hAnsi="宋体" w:cs="宋体"/>
                <w:b/>
                <w:color w:val="auto"/>
                <w:sz w:val="24"/>
                <w:szCs w:val="22"/>
                <w:highlight w:val="none"/>
              </w:rPr>
            </w:pPr>
            <w:r>
              <w:rPr>
                <w:rFonts w:hint="eastAsia" w:ascii="宋体" w:hAnsi="宋体" w:cs="宋体"/>
                <w:b/>
                <w:color w:val="auto"/>
                <w:sz w:val="24"/>
                <w:szCs w:val="22"/>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一、深基坑工程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r>
              <w:rPr>
                <w:rFonts w:hint="eastAsia" w:ascii="宋体" w:hAnsi="宋体"/>
                <w:color w:val="auto"/>
                <w:sz w:val="24"/>
                <w:szCs w:val="36"/>
                <w:highlight w:val="none"/>
                <w:lang w:val="en-US" w:eastAsia="zh-CN"/>
              </w:rPr>
              <w:t xml:space="preserve">  </w:t>
            </w: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r>
              <w:rPr>
                <w:rFonts w:hint="eastAsia" w:ascii="宋体" w:hAnsi="宋体"/>
                <w:color w:val="auto"/>
                <w:sz w:val="24"/>
                <w:szCs w:val="36"/>
                <w:highlight w:val="none"/>
                <w:lang w:val="en-US" w:eastAsia="zh-CN"/>
              </w:rPr>
              <w:t xml:space="preserve">   </w:t>
            </w: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六、暗挖工程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七、其它</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（四）水下作业工程。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auto"/>
                <w:sz w:val="24"/>
                <w:szCs w:val="36"/>
                <w:highlight w:val="none"/>
              </w:rPr>
            </w:pPr>
          </w:p>
        </w:tc>
      </w:tr>
    </w:tbl>
    <w:p>
      <w:pPr>
        <w:spacing w:line="360" w:lineRule="auto"/>
        <w:jc w:val="left"/>
        <w:rPr>
          <w:rFonts w:ascii="宋体" w:hAnsi="宋体" w:cs="宋体"/>
          <w:color w:val="auto"/>
          <w:sz w:val="24"/>
          <w:szCs w:val="20"/>
          <w:highlight w:val="none"/>
        </w:rPr>
      </w:pPr>
    </w:p>
    <w:p>
      <w:pPr>
        <w:spacing w:line="360" w:lineRule="auto"/>
        <w:ind w:right="36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投标人名称：                   </w:t>
      </w:r>
    </w:p>
    <w:p>
      <w:pPr>
        <w:spacing w:line="360" w:lineRule="auto"/>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日期：      年   月   日   </w:t>
      </w:r>
    </w:p>
    <w:p>
      <w:pPr>
        <w:spacing w:line="240" w:lineRule="auto"/>
        <w:jc w:val="left"/>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pPr>
        <w:spacing w:line="360" w:lineRule="auto"/>
        <w:jc w:val="both"/>
        <w:rPr>
          <w:rFonts w:hint="eastAsia" w:cs="宋体"/>
          <w:b/>
          <w:color w:val="auto"/>
          <w:spacing w:val="4"/>
          <w:sz w:val="24"/>
          <w:szCs w:val="24"/>
          <w:highlight w:val="none"/>
          <w:lang w:val="en-US" w:eastAsia="zh-CN"/>
        </w:rPr>
      </w:pPr>
      <w:r>
        <w:rPr>
          <w:rFonts w:hint="eastAsia" w:cs="宋体"/>
          <w:b/>
          <w:color w:val="auto"/>
          <w:spacing w:val="4"/>
          <w:sz w:val="24"/>
          <w:szCs w:val="24"/>
          <w:highlight w:val="none"/>
          <w:lang w:val="en-US" w:eastAsia="zh-CN"/>
        </w:rPr>
        <w:t>附件六</w:t>
      </w:r>
    </w:p>
    <w:p>
      <w:pPr>
        <w:spacing w:line="360" w:lineRule="auto"/>
        <w:jc w:val="center"/>
        <w:rPr>
          <w:rFonts w:hint="eastAsia" w:ascii="宋体" w:hAnsi="宋体" w:eastAsia="微软雅黑"/>
          <w:color w:val="auto"/>
          <w:sz w:val="24"/>
          <w:szCs w:val="24"/>
          <w:highlight w:val="none"/>
          <w:lang w:eastAsia="zh-CN"/>
        </w:rPr>
      </w:pPr>
      <w:r>
        <w:rPr>
          <w:rFonts w:hint="eastAsia" w:ascii="微软雅黑" w:hAnsi="微软雅黑" w:eastAsia="微软雅黑" w:cs="微软雅黑"/>
          <w:b/>
          <w:color w:val="auto"/>
          <w:kern w:val="0"/>
          <w:sz w:val="28"/>
          <w:szCs w:val="28"/>
          <w:highlight w:val="none"/>
          <w:lang w:bidi="ar"/>
        </w:rPr>
        <w:t>主要设备材料品牌响应</w:t>
      </w:r>
      <w:r>
        <w:rPr>
          <w:rFonts w:hint="eastAsia" w:ascii="微软雅黑" w:hAnsi="微软雅黑" w:eastAsia="微软雅黑" w:cs="微软雅黑"/>
          <w:b/>
          <w:color w:val="auto"/>
          <w:kern w:val="0"/>
          <w:sz w:val="28"/>
          <w:szCs w:val="28"/>
          <w:highlight w:val="none"/>
          <w:lang w:val="en-US" w:eastAsia="zh-CN" w:bidi="ar"/>
        </w:rPr>
        <w:t>承诺函</w:t>
      </w:r>
    </w:p>
    <w:p>
      <w:pPr>
        <w:pStyle w:val="41"/>
        <w:ind w:firstLine="0" w:firstLineChars="0"/>
        <w:rPr>
          <w:rFonts w:hint="eastAsia" w:ascii="宋体" w:cs="宋体"/>
          <w:color w:val="auto"/>
          <w:highlight w:val="none"/>
        </w:rPr>
      </w:pPr>
    </w:p>
    <w:p>
      <w:pPr>
        <w:pStyle w:val="41"/>
        <w:ind w:firstLine="0" w:firstLineChars="0"/>
        <w:rPr>
          <w:rFonts w:hint="eastAsia" w:ascii="宋体" w:cs="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（招标人）</w:t>
      </w:r>
    </w:p>
    <w:p>
      <w:pPr>
        <w:pStyle w:val="41"/>
        <w:ind w:firstLine="496"/>
        <w:rPr>
          <w:rFonts w:hint="eastAsia" w:ascii="宋体" w:eastAsia="宋体" w:cs="宋体"/>
          <w:color w:val="auto"/>
          <w:highlight w:val="none"/>
          <w:lang w:val="en-US" w:eastAsia="zh-CN"/>
        </w:rPr>
      </w:pPr>
      <w:r>
        <w:rPr>
          <w:rFonts w:hint="eastAsia" w:ascii="宋体" w:cs="宋体"/>
          <w:color w:val="auto"/>
          <w:highlight w:val="none"/>
        </w:rPr>
        <w:t>我司承诺</w:t>
      </w:r>
      <w:r>
        <w:rPr>
          <w:rFonts w:hint="eastAsia" w:ascii="宋体" w:cs="宋体"/>
          <w:color w:val="auto"/>
          <w:highlight w:val="none"/>
          <w:lang w:val="en-US" w:eastAsia="zh-CN"/>
        </w:rPr>
        <w:t>响应本项目招标公告附件《品牌库推荐一览表》，如</w:t>
      </w:r>
      <w:r>
        <w:rPr>
          <w:rFonts w:hint="eastAsia" w:ascii="宋体" w:cs="宋体"/>
          <w:color w:val="auto"/>
          <w:highlight w:val="none"/>
        </w:rPr>
        <w:t>选用“高于或参照或相关于”品牌或厂商</w:t>
      </w:r>
      <w:r>
        <w:rPr>
          <w:rFonts w:hint="eastAsia" w:ascii="宋体" w:cs="宋体"/>
          <w:color w:val="auto"/>
          <w:highlight w:val="none"/>
          <w:lang w:eastAsia="zh-CN"/>
        </w:rPr>
        <w:t>的</w:t>
      </w:r>
      <w:r>
        <w:rPr>
          <w:rFonts w:hint="eastAsia" w:ascii="宋体" w:cs="宋体"/>
          <w:color w:val="auto"/>
          <w:highlight w:val="none"/>
        </w:rPr>
        <w:t>替代品必须实质上满足或超过招标文件要求。在施工时</w:t>
      </w:r>
      <w:r>
        <w:rPr>
          <w:rFonts w:hint="eastAsia" w:ascii="宋体" w:cs="宋体"/>
          <w:color w:val="auto"/>
          <w:highlight w:val="none"/>
          <w:lang w:val="en-US" w:eastAsia="zh-CN"/>
        </w:rPr>
        <w:t>我公司须</w:t>
      </w:r>
      <w:r>
        <w:rPr>
          <w:rFonts w:hint="eastAsia" w:ascii="宋体" w:cs="宋体"/>
          <w:color w:val="auto"/>
          <w:highlight w:val="none"/>
        </w:rPr>
        <w:t>提供充分材料供发包人审核确认才可使用，不提供证明材料的或证明材料不具说服力的，视同未达到“高于或参照或相关于”品牌或产品的要求。</w:t>
      </w:r>
    </w:p>
    <w:p>
      <w:pPr>
        <w:pStyle w:val="41"/>
        <w:ind w:firstLine="496"/>
        <w:rPr>
          <w:rFonts w:hint="eastAsia" w:ascii="宋体" w:cs="宋体"/>
          <w:color w:val="auto"/>
          <w:highlight w:val="none"/>
        </w:rPr>
      </w:pPr>
    </w:p>
    <w:p>
      <w:pPr>
        <w:pStyle w:val="41"/>
        <w:ind w:firstLine="0" w:firstLineChars="0"/>
        <w:rPr>
          <w:rFonts w:hint="eastAsia" w:ascii="宋体" w:cs="宋体"/>
          <w:color w:val="auto"/>
          <w:highlight w:val="none"/>
        </w:rPr>
      </w:pPr>
    </w:p>
    <w:p>
      <w:pPr>
        <w:pStyle w:val="41"/>
        <w:ind w:firstLine="3472" w:firstLineChars="1400"/>
        <w:rPr>
          <w:rFonts w:hint="eastAsia" w:ascii="宋体" w:cs="宋体"/>
          <w:color w:val="auto"/>
          <w:highlight w:val="none"/>
        </w:rPr>
      </w:pPr>
    </w:p>
    <w:p>
      <w:pPr>
        <w:pStyle w:val="41"/>
        <w:ind w:firstLine="3472" w:firstLineChars="1400"/>
        <w:rPr>
          <w:rFonts w:hint="eastAsia" w:ascii="宋体" w:cs="宋体"/>
          <w:color w:val="auto"/>
          <w:highlight w:val="none"/>
        </w:rPr>
      </w:pPr>
      <w:r>
        <w:rPr>
          <w:rFonts w:hint="eastAsia" w:ascii="宋体" w:cs="宋体"/>
          <w:color w:val="auto"/>
          <w:highlight w:val="none"/>
        </w:rPr>
        <w:t>投标人：</w:t>
      </w:r>
    </w:p>
    <w:p>
      <w:pPr>
        <w:pStyle w:val="41"/>
        <w:ind w:firstLine="3472" w:firstLineChars="1400"/>
        <w:rPr>
          <w:rFonts w:hint="eastAsia" w:ascii="宋体" w:cs="宋体"/>
          <w:color w:val="auto"/>
          <w:highlight w:val="none"/>
        </w:rPr>
      </w:pPr>
      <w:r>
        <w:rPr>
          <w:rFonts w:hint="eastAsia" w:ascii="宋体" w:cs="宋体"/>
          <w:color w:val="auto"/>
          <w:highlight w:val="none"/>
        </w:rPr>
        <w:t>日期：    年    月    日</w:t>
      </w:r>
    </w:p>
    <w:p>
      <w:pPr>
        <w:rPr>
          <w:rFonts w:hint="eastAsia" w:ascii="宋体" w:hAnsi="宋体" w:eastAsia="宋体" w:cs="宋体"/>
          <w:color w:val="auto"/>
          <w:sz w:val="24"/>
          <w:szCs w:val="24"/>
          <w:highlight w:val="none"/>
        </w:rPr>
      </w:pPr>
    </w:p>
    <w:p>
      <w:pPr>
        <w:spacing w:line="360" w:lineRule="auto"/>
        <w:ind w:right="360"/>
        <w:jc w:val="right"/>
        <w:rPr>
          <w:rFonts w:hint="eastAsia" w:ascii="宋体" w:hAnsi="宋体" w:cs="宋体"/>
          <w:color w:val="auto"/>
          <w:sz w:val="24"/>
          <w:szCs w:val="20"/>
          <w:highlight w:val="none"/>
        </w:rPr>
        <w:sectPr>
          <w:footerReference r:id="rId15" w:type="default"/>
          <w:pgSz w:w="11906" w:h="16838"/>
          <w:pgMar w:top="1440" w:right="1440" w:bottom="1440" w:left="1440" w:header="851" w:footer="992" w:gutter="0"/>
          <w:cols w:space="720" w:num="1"/>
          <w:docGrid w:type="lines" w:linePitch="317" w:charSpace="0"/>
        </w:sectPr>
      </w:pPr>
      <w:r>
        <w:rPr>
          <w:rFonts w:hint="eastAsia" w:ascii="宋体" w:eastAsia="宋体" w:cs="宋体"/>
          <w:b/>
          <w:snapToGrid w:val="0"/>
          <w:color w:val="auto"/>
          <w:spacing w:val="4"/>
          <w:kern w:val="0"/>
          <w:sz w:val="24"/>
          <w:szCs w:val="24"/>
          <w:highlight w:val="none"/>
        </w:rPr>
        <w:br w:type="page"/>
      </w:r>
    </w:p>
    <w:p>
      <w:pPr>
        <w:snapToGrid/>
        <w:spacing w:line="240" w:lineRule="auto"/>
        <w:jc w:val="left"/>
        <w:rPr>
          <w:rStyle w:val="40"/>
          <w:rFonts w:hint="eastAsia"/>
          <w:color w:val="auto"/>
          <w:highlight w:val="none"/>
        </w:rPr>
      </w:pPr>
      <w:bookmarkStart w:id="54" w:name="_Toc2272568"/>
      <w:bookmarkStart w:id="55" w:name="_Toc21525513"/>
    </w:p>
    <w:p>
      <w:pPr>
        <w:tabs>
          <w:tab w:val="left" w:pos="720"/>
        </w:tabs>
        <w:snapToGrid w:val="0"/>
        <w:spacing w:line="360" w:lineRule="auto"/>
        <w:ind w:firstLine="1120" w:firstLineChars="400"/>
        <w:jc w:val="center"/>
        <w:rPr>
          <w:rStyle w:val="40"/>
          <w:color w:val="auto"/>
          <w:highlight w:val="none"/>
        </w:rPr>
      </w:pPr>
      <w:r>
        <w:rPr>
          <w:rStyle w:val="40"/>
          <w:rFonts w:hint="eastAsia"/>
          <w:color w:val="auto"/>
          <w:highlight w:val="none"/>
        </w:rPr>
        <w:t>第五章</w:t>
      </w:r>
      <w:r>
        <w:rPr>
          <w:rStyle w:val="40"/>
          <w:color w:val="auto"/>
          <w:highlight w:val="none"/>
        </w:rPr>
        <w:t xml:space="preserve">  </w:t>
      </w:r>
      <w:r>
        <w:rPr>
          <w:rStyle w:val="40"/>
          <w:rFonts w:hint="eastAsia"/>
          <w:color w:val="auto"/>
          <w:highlight w:val="none"/>
        </w:rPr>
        <w:t>技术条件（工程建设标准）</w:t>
      </w:r>
      <w:bookmarkEnd w:id="54"/>
      <w:bookmarkEnd w:id="55"/>
    </w:p>
    <w:p>
      <w:pPr>
        <w:jc w:val="both"/>
        <w:rPr>
          <w:rFonts w:hint="eastAsia" w:ascii="宋体" w:hAnsi="宋体"/>
          <w:color w:val="auto"/>
          <w:sz w:val="24"/>
          <w:szCs w:val="24"/>
          <w:highlight w:val="non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施工现场建筑垃圾源头减量的具体要求和建筑垃圾综合利用产品的使用要求</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（1）工程概况和施工单位基本信息；</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（2）建筑垃圾产生量与种类；</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（3）建筑垃圾源头减量、分类收集、综合利用、污染防治的措施和目标；</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（4）需要外运的建筑垃圾种类、数量与运输的时间、路线、方式和运输单位；</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（5）建筑垃圾回填、消纳、综合利用场所名称；</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（6）法律、法规规定的其他内容。</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建筑垃圾应当按照国家有关规定进行分类，实行分类收集、分类贮存、分类运输、分类处置。</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运输建筑垃圾应当遵守下列规定：</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（1）建立建筑垃圾运输管理台账；</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（2）不得将工程渣土、工程泥浆与其他建筑垃圾混合运输；</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（3）保持运输车辆、船舶等运输工具的行驶记录、卫星定位等电子装置正常使用；</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（4）运输过程中保持运输工具整洁，采取密闭或者其他有效措施防止遗撒建筑垃圾，不得擅自倾倒、抛撒建筑垃圾；</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（5）按照建筑垃圾处理方案确定的时间、路线、方式、场所进行运输。建筑垃圾运输车辆、船舶应当符合相应的载运技术条件。建筑垃圾处置场所为陆域的，不得采用开底式船舶运输建筑垃圾。</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工程泥浆应当在施工现场进行脱水固化处理。施工现场不具备条件的，应当采用罐装器具密闭运输至依法设置的建筑垃圾处置场所进行处置。水上工程中依法无需经脱水处理的除外。</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6</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建筑垃圾应当按照下列方式，优先就地就近利用：</w:t>
      </w:r>
    </w:p>
    <w:p>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（1）工程渣土及脱水后的工程泥浆优先用于土方平衡、矿坑修复、环境治理、烧结制品及回填等；</w:t>
      </w:r>
    </w:p>
    <w:p>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（2）工程垃圾、拆除垃圾和装修垃圾优先用于生产再生骨料、再生砖、再生砌块、再生沥青混合料等建筑垃圾综合利用产品。具备现场综合利用条件的建设工程，应当进行建筑垃圾现场综合利用。</w:t>
      </w:r>
    </w:p>
    <w:p>
      <w:pPr>
        <w:topLinePunct/>
        <w:adjustRightInd w:val="0"/>
        <w:snapToGrid w:val="0"/>
        <w:spacing w:line="360" w:lineRule="auto"/>
        <w:ind w:firstLine="436" w:firstLineChars="200"/>
        <w:jc w:val="left"/>
        <w:rPr>
          <w:rFonts w:hint="eastAsia" w:ascii="宋体" w:hAnsi="宋体" w:cs="宋体"/>
          <w:snapToGrid w:val="0"/>
          <w:color w:val="auto"/>
          <w:spacing w:val="4"/>
          <w:szCs w:val="21"/>
          <w:highlight w:val="none"/>
        </w:rPr>
      </w:pPr>
      <w:r>
        <w:rPr>
          <w:rFonts w:hint="eastAsia" w:ascii="宋体" w:hAnsi="宋体" w:eastAsia="Times New Roman"/>
          <w:snapToGrid w:val="0"/>
          <w:color w:val="auto"/>
          <w:spacing w:val="4"/>
          <w:szCs w:val="21"/>
          <w:highlight w:val="none"/>
        </w:rPr>
        <w:t>7</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建设单位和施工单位严格遵守并执行《广东省建筑垃圾管理条例》。</w:t>
      </w:r>
    </w:p>
    <w:p>
      <w:pPr>
        <w:pStyle w:val="3"/>
        <w:rPr>
          <w:color w:val="auto"/>
          <w:highlight w:val="none"/>
        </w:rPr>
      </w:pPr>
      <w:r>
        <w:rPr>
          <w:color w:val="auto"/>
          <w:sz w:val="24"/>
          <w:szCs w:val="24"/>
          <w:highlight w:val="none"/>
        </w:rPr>
        <w:br w:type="page"/>
      </w:r>
      <w:bookmarkStart w:id="56" w:name="_Toc2272569"/>
      <w:bookmarkStart w:id="57" w:name="_Toc21525514"/>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56"/>
      <w:bookmarkEnd w:id="57"/>
    </w:p>
    <w:p>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pPr>
        <w:pStyle w:val="3"/>
        <w:rPr>
          <w:color w:val="auto"/>
          <w:highlight w:val="none"/>
        </w:rPr>
      </w:pPr>
      <w:r>
        <w:rPr>
          <w:color w:val="auto"/>
          <w:sz w:val="24"/>
          <w:szCs w:val="24"/>
          <w:highlight w:val="none"/>
        </w:rPr>
        <w:br w:type="page"/>
      </w:r>
      <w:bookmarkStart w:id="58" w:name="_Toc2272570"/>
      <w:bookmarkStart w:id="59" w:name="_Toc21525515"/>
      <w:r>
        <w:rPr>
          <w:rFonts w:hint="eastAsia"/>
          <w:color w:val="auto"/>
          <w:highlight w:val="none"/>
        </w:rPr>
        <w:t>第七章</w:t>
      </w:r>
      <w:r>
        <w:rPr>
          <w:color w:val="auto"/>
          <w:highlight w:val="none"/>
        </w:rPr>
        <w:t xml:space="preserve">  </w:t>
      </w:r>
      <w:r>
        <w:rPr>
          <w:rFonts w:hint="eastAsia"/>
          <w:color w:val="auto"/>
          <w:highlight w:val="none"/>
        </w:rPr>
        <w:t>工程量清单</w:t>
      </w:r>
      <w:bookmarkEnd w:id="58"/>
      <w:bookmarkEnd w:id="59"/>
    </w:p>
    <w:p>
      <w:pPr>
        <w:rPr>
          <w:rFonts w:ascii="宋体"/>
          <w:b/>
          <w:color w:val="auto"/>
          <w:sz w:val="24"/>
          <w:szCs w:val="24"/>
          <w:highlight w:val="none"/>
        </w:rPr>
      </w:pPr>
      <w:r>
        <w:rPr>
          <w:rFonts w:hint="eastAsia" w:ascii="宋体" w:hAnsi="宋体"/>
          <w:color w:val="auto"/>
          <w:sz w:val="24"/>
          <w:szCs w:val="24"/>
          <w:highlight w:val="none"/>
        </w:rPr>
        <w:t>注：本章由招标人自行制定。</w:t>
      </w:r>
    </w:p>
    <w:p>
      <w:pPr>
        <w:pStyle w:val="5"/>
        <w:spacing w:after="0" w:line="360" w:lineRule="auto"/>
        <w:ind w:left="-2" w:leftChars="-1" w:firstLine="960" w:firstLineChars="400"/>
        <w:rPr>
          <w:rFonts w:ascii="宋体"/>
          <w:color w:val="auto"/>
          <w:sz w:val="24"/>
          <w:highlight w:val="none"/>
        </w:rPr>
      </w:pP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60" w:name="_Toc21525516"/>
      <w:bookmarkStart w:id="61" w:name="_Toc2272571"/>
      <w:r>
        <w:rPr>
          <w:rFonts w:hint="eastAsia"/>
          <w:color w:val="auto"/>
          <w:highlight w:val="none"/>
        </w:rPr>
        <w:t>第八章</w:t>
      </w:r>
      <w:r>
        <w:rPr>
          <w:color w:val="auto"/>
          <w:highlight w:val="none"/>
        </w:rPr>
        <w:t xml:space="preserve">  </w:t>
      </w:r>
      <w:r>
        <w:rPr>
          <w:rFonts w:hint="eastAsia"/>
          <w:color w:val="auto"/>
          <w:highlight w:val="none"/>
        </w:rPr>
        <w:t>最高投标限价</w:t>
      </w:r>
      <w:bookmarkEnd w:id="60"/>
      <w:bookmarkEnd w:id="61"/>
    </w:p>
    <w:p>
      <w:pPr>
        <w:spacing w:line="360" w:lineRule="auto"/>
        <w:ind w:firstLine="48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另册</w:t>
      </w:r>
    </w:p>
    <w:p>
      <w:pPr>
        <w:spacing w:line="360" w:lineRule="auto"/>
        <w:ind w:firstLine="480"/>
        <w:rPr>
          <w:rFonts w:hint="eastAsia" w:ascii="宋体" w:hAnsi="宋体"/>
          <w:color w:val="auto"/>
          <w:sz w:val="24"/>
          <w:szCs w:val="24"/>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center"/>
      <w:rPr>
        <w:rStyle w:val="26"/>
      </w:rPr>
    </w:pPr>
    <w:r>
      <w:rPr>
        <w:rStyle w:val="26"/>
      </w:rPr>
      <w:fldChar w:fldCharType="begin"/>
    </w:r>
    <w:r>
      <w:rPr>
        <w:rStyle w:val="26"/>
      </w:rPr>
      <w:instrText xml:space="preserve">PAGE  </w:instrText>
    </w:r>
    <w:r>
      <w:rPr>
        <w:rStyle w:val="26"/>
      </w:rPr>
      <w:fldChar w:fldCharType="separate"/>
    </w:r>
    <w:r>
      <w:rPr>
        <w:rStyle w:val="26"/>
      </w:rPr>
      <w:t>21</w:t>
    </w:r>
    <w:r>
      <w:rPr>
        <w:rStyle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6"/>
      </w:rPr>
    </w:pPr>
    <w:r>
      <w:rPr>
        <w:rStyle w:val="26"/>
      </w:rPr>
      <w:fldChar w:fldCharType="begin"/>
    </w:r>
    <w:r>
      <w:rPr>
        <w:rStyle w:val="26"/>
      </w:rPr>
      <w:instrText xml:space="preserve">PAGE  </w:instrText>
    </w:r>
    <w:r>
      <w:rPr>
        <w:rStyle w:val="26"/>
      </w:rPr>
      <w:fldChar w:fldCharType="separate"/>
    </w:r>
    <w:r>
      <w:rPr>
        <w:rStyle w:val="26"/>
        <w:rFonts w:hint="eastAsia"/>
      </w:rPr>
      <w:t>一</w:t>
    </w:r>
    <w:r>
      <w:rPr>
        <w:rStyle w:val="26"/>
      </w:rPr>
      <w:t>–2</w:t>
    </w:r>
    <w:r>
      <w:rPr>
        <w:rStyle w:val="26"/>
      </w:rPr>
      <w:fldChar w:fldCharType="end"/>
    </w:r>
  </w:p>
  <w:p>
    <w:pPr>
      <w:pStyle w:val="16"/>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center"/>
    </w:pPr>
    <w:r>
      <w:rPr>
        <w:rStyle w:val="26"/>
      </w:rPr>
      <w:fldChar w:fldCharType="begin"/>
    </w:r>
    <w:r>
      <w:rPr>
        <w:rStyle w:val="26"/>
      </w:rPr>
      <w:instrText xml:space="preserve"> PAGE </w:instrText>
    </w:r>
    <w:r>
      <w:rPr>
        <w:rStyle w:val="26"/>
      </w:rPr>
      <w:fldChar w:fldCharType="separate"/>
    </w:r>
    <w:r>
      <w:rPr>
        <w:rStyle w:val="26"/>
      </w:rPr>
      <w:t>15</w:t>
    </w:r>
    <w:r>
      <w:rPr>
        <w:rStyle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center"/>
      <w:rPr>
        <w:rStyle w:val="26"/>
      </w:rPr>
    </w:pPr>
    <w:r>
      <w:rPr>
        <w:rStyle w:val="26"/>
      </w:rPr>
      <w:fldChar w:fldCharType="begin"/>
    </w:r>
    <w:r>
      <w:rPr>
        <w:rStyle w:val="26"/>
      </w:rPr>
      <w:instrText xml:space="preserve">PAGE  </w:instrText>
    </w:r>
    <w:r>
      <w:rPr>
        <w:rStyle w:val="26"/>
      </w:rPr>
      <w:fldChar w:fldCharType="separate"/>
    </w:r>
    <w:r>
      <w:rPr>
        <w:rStyle w:val="26"/>
      </w:rPr>
      <w:t>102</w:t>
    </w:r>
    <w:r>
      <w:rPr>
        <w:rStyle w:val="26"/>
      </w:rPr>
      <w:fldChar w:fldCharType="end"/>
    </w:r>
  </w:p>
  <w:p>
    <w:pPr>
      <w:pStyle w:val="16"/>
      <w:framePr w:wrap="around" w:vAnchor="text" w:hAnchor="margin" w:xAlign="outside" w:y="1"/>
      <w:ind w:left="-4410" w:leftChars="-2100" w:right="-4439" w:rightChars="-2114"/>
      <w:rPr>
        <w:rStyle w:val="26"/>
      </w:rPr>
    </w:pPr>
  </w:p>
  <w:p>
    <w:pPr>
      <w:pStyle w:val="16"/>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一</w:t>
    </w:r>
    <w:r>
      <w:rPr>
        <w:rStyle w:val="26"/>
      </w:rPr>
      <w:t>–2</w:t>
    </w:r>
    <w:r>
      <w:rPr>
        <w:rStyle w:val="26"/>
      </w:rPr>
      <w:fldChar w:fldCharType="end"/>
    </w:r>
  </w:p>
  <w:p>
    <w:pPr>
      <w:pStyle w:val="16"/>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6"/>
      </w:rPr>
      <w:fldChar w:fldCharType="begin"/>
    </w:r>
    <w:r>
      <w:rPr>
        <w:rStyle w:val="26"/>
      </w:rPr>
      <w:instrText xml:space="preserve"> PAGE </w:instrText>
    </w:r>
    <w:r>
      <w:rPr>
        <w:rStyle w:val="26"/>
      </w:rPr>
      <w:fldChar w:fldCharType="separate"/>
    </w:r>
    <w:r>
      <w:rPr>
        <w:rStyle w:val="26"/>
      </w:rPr>
      <w:t>89</w:t>
    </w:r>
    <w:r>
      <w:rPr>
        <w:rStyle w:val="2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129</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43A9E"/>
    <w:multiLevelType w:val="singleLevel"/>
    <w:tmpl w:val="87B43A9E"/>
    <w:lvl w:ilvl="0" w:tentative="0">
      <w:start w:val="1"/>
      <w:numFmt w:val="decimal"/>
      <w:suff w:val="nothing"/>
      <w:lvlText w:val="%1、"/>
      <w:lvlJc w:val="left"/>
    </w:lvl>
  </w:abstractNum>
  <w:abstractNum w:abstractNumId="1">
    <w:nsid w:val="8BB8FD12"/>
    <w:multiLevelType w:val="singleLevel"/>
    <w:tmpl w:val="8BB8FD12"/>
    <w:lvl w:ilvl="0" w:tentative="0">
      <w:start w:val="1"/>
      <w:numFmt w:val="decimal"/>
      <w:suff w:val="nothing"/>
      <w:lvlText w:val="（%1）"/>
      <w:lvlJc w:val="left"/>
    </w:lvl>
  </w:abstractNum>
  <w:abstractNum w:abstractNumId="2">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F17491"/>
    <w:multiLevelType w:val="singleLevel"/>
    <w:tmpl w:val="6CF17491"/>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zdiZWViYTYxYWNlNjg5YTZkN2EzOWZjMGY4NTQifQ=="/>
    <w:docVar w:name="KSO_WPS_MARK_KEY" w:val="5d0d80f6-7029-429c-9759-16b484dfb02c"/>
  </w:docVars>
  <w:rsids>
    <w:rsidRoot w:val="00172A27"/>
    <w:rsid w:val="008B4A0F"/>
    <w:rsid w:val="02996421"/>
    <w:rsid w:val="029D7AB6"/>
    <w:rsid w:val="02CA0627"/>
    <w:rsid w:val="03EA004D"/>
    <w:rsid w:val="042F4EF3"/>
    <w:rsid w:val="046621CD"/>
    <w:rsid w:val="047274EA"/>
    <w:rsid w:val="04F53F6E"/>
    <w:rsid w:val="05483AD3"/>
    <w:rsid w:val="06A4411E"/>
    <w:rsid w:val="06F4004F"/>
    <w:rsid w:val="07A509D1"/>
    <w:rsid w:val="08E10248"/>
    <w:rsid w:val="0A96571C"/>
    <w:rsid w:val="0B8B1D30"/>
    <w:rsid w:val="0BF54AD7"/>
    <w:rsid w:val="0C7A1ECF"/>
    <w:rsid w:val="0D0B5585"/>
    <w:rsid w:val="0D8853B5"/>
    <w:rsid w:val="0FDE5286"/>
    <w:rsid w:val="10953945"/>
    <w:rsid w:val="10A83815"/>
    <w:rsid w:val="130B4C41"/>
    <w:rsid w:val="13EB044B"/>
    <w:rsid w:val="13F2688C"/>
    <w:rsid w:val="18543A34"/>
    <w:rsid w:val="19D37374"/>
    <w:rsid w:val="19E73463"/>
    <w:rsid w:val="1B466E2B"/>
    <w:rsid w:val="1C9E3A87"/>
    <w:rsid w:val="1D265138"/>
    <w:rsid w:val="1E3D7AF5"/>
    <w:rsid w:val="1EAA5582"/>
    <w:rsid w:val="20D15A6D"/>
    <w:rsid w:val="20FC47C3"/>
    <w:rsid w:val="210D69CB"/>
    <w:rsid w:val="21DF00FC"/>
    <w:rsid w:val="22424CDB"/>
    <w:rsid w:val="229A1376"/>
    <w:rsid w:val="23CA7D6B"/>
    <w:rsid w:val="24B36294"/>
    <w:rsid w:val="24C813D4"/>
    <w:rsid w:val="251D4EDB"/>
    <w:rsid w:val="25B467DD"/>
    <w:rsid w:val="25D500EF"/>
    <w:rsid w:val="26B57364"/>
    <w:rsid w:val="27D10B11"/>
    <w:rsid w:val="2ABF1892"/>
    <w:rsid w:val="2B406E77"/>
    <w:rsid w:val="2C3D5164"/>
    <w:rsid w:val="2C926CEE"/>
    <w:rsid w:val="2D496C2D"/>
    <w:rsid w:val="2D844012"/>
    <w:rsid w:val="2FB43990"/>
    <w:rsid w:val="30E74FF4"/>
    <w:rsid w:val="30EB1633"/>
    <w:rsid w:val="310808EC"/>
    <w:rsid w:val="33092244"/>
    <w:rsid w:val="3321758E"/>
    <w:rsid w:val="344B5F88"/>
    <w:rsid w:val="349B261E"/>
    <w:rsid w:val="372D44A1"/>
    <w:rsid w:val="375148D7"/>
    <w:rsid w:val="38283FB3"/>
    <w:rsid w:val="3A174600"/>
    <w:rsid w:val="3A960861"/>
    <w:rsid w:val="3AA75770"/>
    <w:rsid w:val="3BAE2F52"/>
    <w:rsid w:val="3CC045FB"/>
    <w:rsid w:val="3D93654B"/>
    <w:rsid w:val="3DC555CC"/>
    <w:rsid w:val="3EBD534C"/>
    <w:rsid w:val="409C1832"/>
    <w:rsid w:val="40C422F9"/>
    <w:rsid w:val="41181EC5"/>
    <w:rsid w:val="4214206C"/>
    <w:rsid w:val="42E278AA"/>
    <w:rsid w:val="42F75C15"/>
    <w:rsid w:val="432A05CC"/>
    <w:rsid w:val="45634F1C"/>
    <w:rsid w:val="457D5980"/>
    <w:rsid w:val="45A85DED"/>
    <w:rsid w:val="45E524CA"/>
    <w:rsid w:val="45ED2F54"/>
    <w:rsid w:val="4676292B"/>
    <w:rsid w:val="4810773B"/>
    <w:rsid w:val="49B97110"/>
    <w:rsid w:val="49C11094"/>
    <w:rsid w:val="49DE68FB"/>
    <w:rsid w:val="4A421E6C"/>
    <w:rsid w:val="4B9820FE"/>
    <w:rsid w:val="4C722FE3"/>
    <w:rsid w:val="4C7D7D06"/>
    <w:rsid w:val="4CC565A6"/>
    <w:rsid w:val="50041972"/>
    <w:rsid w:val="50212524"/>
    <w:rsid w:val="50380F57"/>
    <w:rsid w:val="506A5317"/>
    <w:rsid w:val="5099030C"/>
    <w:rsid w:val="51453FF0"/>
    <w:rsid w:val="53E1595C"/>
    <w:rsid w:val="548A47FC"/>
    <w:rsid w:val="548B2F99"/>
    <w:rsid w:val="54DE02AF"/>
    <w:rsid w:val="54F41FB5"/>
    <w:rsid w:val="555F16DC"/>
    <w:rsid w:val="57727B09"/>
    <w:rsid w:val="58D33DC7"/>
    <w:rsid w:val="58DD659D"/>
    <w:rsid w:val="58F00145"/>
    <w:rsid w:val="5A601E9A"/>
    <w:rsid w:val="5BDA475A"/>
    <w:rsid w:val="5BDB5C7C"/>
    <w:rsid w:val="5CE70651"/>
    <w:rsid w:val="5D1873E6"/>
    <w:rsid w:val="5DC544B6"/>
    <w:rsid w:val="5E355D93"/>
    <w:rsid w:val="5E4B27A2"/>
    <w:rsid w:val="5FBF1110"/>
    <w:rsid w:val="60FD7762"/>
    <w:rsid w:val="637F417E"/>
    <w:rsid w:val="63F52F6A"/>
    <w:rsid w:val="64CC2C38"/>
    <w:rsid w:val="65491EA9"/>
    <w:rsid w:val="65A855F8"/>
    <w:rsid w:val="6630703C"/>
    <w:rsid w:val="66A03D4A"/>
    <w:rsid w:val="67FE5F4D"/>
    <w:rsid w:val="698E0757"/>
    <w:rsid w:val="6A745C1A"/>
    <w:rsid w:val="6A815C41"/>
    <w:rsid w:val="6AD84192"/>
    <w:rsid w:val="6B033CEF"/>
    <w:rsid w:val="6B1B37D4"/>
    <w:rsid w:val="6B442EB6"/>
    <w:rsid w:val="6BF92D99"/>
    <w:rsid w:val="6C2157F2"/>
    <w:rsid w:val="6C7A6B65"/>
    <w:rsid w:val="6C9C3206"/>
    <w:rsid w:val="6E084B58"/>
    <w:rsid w:val="6E712470"/>
    <w:rsid w:val="6F732734"/>
    <w:rsid w:val="701015F6"/>
    <w:rsid w:val="70284829"/>
    <w:rsid w:val="70832ED7"/>
    <w:rsid w:val="73F85B5B"/>
    <w:rsid w:val="745E5559"/>
    <w:rsid w:val="76067942"/>
    <w:rsid w:val="76ED1E05"/>
    <w:rsid w:val="775C0595"/>
    <w:rsid w:val="77892C1F"/>
    <w:rsid w:val="77B3326F"/>
    <w:rsid w:val="77DC2E91"/>
    <w:rsid w:val="78126A49"/>
    <w:rsid w:val="7853589B"/>
    <w:rsid w:val="78A050BC"/>
    <w:rsid w:val="78D2149C"/>
    <w:rsid w:val="79BF0FA8"/>
    <w:rsid w:val="7A7430CC"/>
    <w:rsid w:val="7B0F1047"/>
    <w:rsid w:val="7CA81753"/>
    <w:rsid w:val="7CE35F8E"/>
    <w:rsid w:val="7D900C69"/>
    <w:rsid w:val="7E3857E1"/>
    <w:rsid w:val="7FC6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40"/>
    <w:qFormat/>
    <w:uiPriority w:val="0"/>
    <w:pPr>
      <w:keepNext/>
      <w:keepLines/>
      <w:spacing w:after="120" w:line="360" w:lineRule="auto"/>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4">
    <w:name w:val="Title"/>
    <w:basedOn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style>
  <w:style w:type="paragraph" w:styleId="6">
    <w:name w:val="Body Text"/>
    <w:basedOn w:val="1"/>
    <w:next w:val="1"/>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0">
    <w:name w:val="annotation text"/>
    <w:basedOn w:val="1"/>
    <w:qFormat/>
    <w:uiPriority w:val="0"/>
    <w:pPr>
      <w:jc w:val="left"/>
    </w:pPr>
  </w:style>
  <w:style w:type="paragraph" w:styleId="11">
    <w:name w:val="Body Text Indent"/>
    <w:basedOn w:val="1"/>
    <w:next w:val="12"/>
    <w:qFormat/>
    <w:uiPriority w:val="0"/>
    <w:pPr>
      <w:ind w:firstLine="570"/>
    </w:pPr>
    <w:rPr>
      <w:kern w:val="0"/>
      <w:sz w:val="28"/>
      <w:szCs w:val="20"/>
    </w:rPr>
  </w:style>
  <w:style w:type="paragraph" w:styleId="12">
    <w:name w:val="envelope return"/>
    <w:basedOn w:val="1"/>
    <w:qFormat/>
    <w:uiPriority w:val="0"/>
    <w:pPr>
      <w:snapToGrid w:val="0"/>
    </w:pPr>
    <w:rPr>
      <w:rFonts w:ascii="Arial" w:hAnsi="Arial" w:eastAsia="宋体" w:cs="Times New Roman"/>
      <w:szCs w:val="24"/>
      <w:lang w:bidi="ar-SA"/>
    </w:rPr>
  </w:style>
  <w:style w:type="paragraph" w:styleId="13">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rPr>
      <w:rFonts w:ascii="Times New Roman" w:hAnsi="Times New Roman"/>
      <w:szCs w:val="20"/>
    </w:rPr>
  </w:style>
  <w:style w:type="paragraph" w:styleId="16">
    <w:name w:val="footer"/>
    <w:basedOn w:val="1"/>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Body Text 2"/>
    <w:basedOn w:val="1"/>
    <w:qFormat/>
    <w:uiPriority w:val="0"/>
    <w:rPr>
      <w:rFonts w:ascii="宋体" w:hAnsi="宋体"/>
      <w:szCs w:val="24"/>
      <w:u w:val="single"/>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Body Text First Indent 2"/>
    <w:basedOn w:val="11"/>
    <w:qFormat/>
    <w:uiPriority w:val="0"/>
    <w:pPr>
      <w:spacing w:after="120" w:line="240" w:lineRule="auto"/>
      <w:ind w:left="200" w:leftChars="200" w:firstLine="200" w:firstLineChars="200"/>
    </w:pPr>
    <w:rPr>
      <w:rFonts w:ascii="Calibri" w:hAnsi="Calibri"/>
      <w:kern w:val="2"/>
      <w:sz w:val="21"/>
      <w:szCs w:val="24"/>
    </w:r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qFormat/>
    <w:uiPriority w:val="99"/>
    <w:rPr>
      <w:color w:val="0000FF"/>
      <w:u w:val="single"/>
    </w:rPr>
  </w:style>
  <w:style w:type="character" w:customStyle="1" w:styleId="28">
    <w:name w:val="font61"/>
    <w:basedOn w:val="24"/>
    <w:qFormat/>
    <w:uiPriority w:val="0"/>
    <w:rPr>
      <w:rFonts w:hint="eastAsia" w:ascii="仿宋" w:hAnsi="仿宋" w:eastAsia="仿宋" w:cs="仿宋"/>
      <w:color w:val="000000"/>
      <w:sz w:val="24"/>
      <w:szCs w:val="24"/>
      <w:u w:val="none"/>
    </w:rPr>
  </w:style>
  <w:style w:type="character" w:customStyle="1" w:styleId="29">
    <w:name w:val="font81"/>
    <w:basedOn w:val="24"/>
    <w:qFormat/>
    <w:uiPriority w:val="0"/>
    <w:rPr>
      <w:rFonts w:hint="eastAsia" w:ascii="仿宋" w:hAnsi="仿宋" w:eastAsia="仿宋" w:cs="仿宋"/>
      <w:color w:val="C00000"/>
      <w:sz w:val="24"/>
      <w:szCs w:val="24"/>
      <w:u w:val="none"/>
    </w:rPr>
  </w:style>
  <w:style w:type="character" w:customStyle="1" w:styleId="30">
    <w:name w:val="font71"/>
    <w:basedOn w:val="24"/>
    <w:qFormat/>
    <w:uiPriority w:val="0"/>
    <w:rPr>
      <w:rFonts w:hint="eastAsia" w:ascii="仿宋" w:hAnsi="仿宋" w:eastAsia="仿宋" w:cs="仿宋"/>
      <w:color w:val="FF0000"/>
      <w:sz w:val="24"/>
      <w:szCs w:val="24"/>
      <w:u w:val="none"/>
    </w:rPr>
  </w:style>
  <w:style w:type="character" w:customStyle="1" w:styleId="31">
    <w:name w:val="font31"/>
    <w:basedOn w:val="24"/>
    <w:qFormat/>
    <w:uiPriority w:val="0"/>
    <w:rPr>
      <w:rFonts w:hint="eastAsia" w:ascii="仿宋" w:hAnsi="仿宋" w:eastAsia="仿宋" w:cs="仿宋"/>
      <w:color w:val="000000"/>
      <w:sz w:val="24"/>
      <w:szCs w:val="24"/>
      <w:u w:val="none"/>
    </w:rPr>
  </w:style>
  <w:style w:type="character" w:customStyle="1" w:styleId="32">
    <w:name w:val="font91"/>
    <w:basedOn w:val="24"/>
    <w:qFormat/>
    <w:uiPriority w:val="0"/>
    <w:rPr>
      <w:rFonts w:hint="eastAsia" w:ascii="仿宋" w:hAnsi="仿宋" w:eastAsia="仿宋" w:cs="仿宋"/>
      <w:color w:val="DE3C36"/>
      <w:sz w:val="24"/>
      <w:szCs w:val="24"/>
      <w:u w:val="none"/>
    </w:r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发文落款"/>
    <w:basedOn w:val="33"/>
    <w:qFormat/>
    <w:uiPriority w:val="0"/>
    <w:pPr>
      <w:ind w:left="4094" w:right="607" w:firstLine="0"/>
      <w:jc w:val="center"/>
    </w:pPr>
  </w:style>
  <w:style w:type="character" w:customStyle="1" w:styleId="35">
    <w:name w:val="NormalCharacter"/>
    <w:qFormat/>
    <w:uiPriority w:val="0"/>
  </w:style>
  <w:style w:type="paragraph" w:customStyle="1" w:styleId="36">
    <w:name w:val="Heading2"/>
    <w:basedOn w:val="1"/>
    <w:next w:val="37"/>
    <w:qFormat/>
    <w:uiPriority w:val="0"/>
    <w:pPr>
      <w:keepNext/>
      <w:keepLines/>
      <w:spacing w:before="120" w:after="120" w:line="415" w:lineRule="auto"/>
      <w:ind w:left="454"/>
      <w:jc w:val="center"/>
    </w:pPr>
    <w:rPr>
      <w:rFonts w:ascii="Arial" w:hAnsi="Arial"/>
      <w:color w:val="000000"/>
      <w:sz w:val="24"/>
      <w:szCs w:val="24"/>
    </w:rPr>
  </w:style>
  <w:style w:type="paragraph" w:customStyle="1" w:styleId="37">
    <w:name w:val="NormalIndent"/>
    <w:basedOn w:val="1"/>
    <w:qFormat/>
    <w:uiPriority w:val="0"/>
    <w:pPr>
      <w:ind w:firstLine="420"/>
    </w:pPr>
    <w:rPr>
      <w:rFonts w:ascii="Times New Roman" w:hAnsi="Times New Roman"/>
      <w:szCs w:val="20"/>
    </w:rPr>
  </w:style>
  <w:style w:type="paragraph" w:customStyle="1" w:styleId="38">
    <w:name w:val="BodyText1I"/>
    <w:basedOn w:val="39"/>
    <w:qFormat/>
    <w:uiPriority w:val="0"/>
    <w:pPr>
      <w:ind w:firstLine="420"/>
    </w:pPr>
  </w:style>
  <w:style w:type="paragraph" w:customStyle="1" w:styleId="39">
    <w:name w:val="BodyText"/>
    <w:basedOn w:val="1"/>
    <w:qFormat/>
    <w:uiPriority w:val="0"/>
    <w:pPr>
      <w:spacing w:after="120"/>
    </w:pPr>
    <w:rPr>
      <w:rFonts w:ascii="Times New Roman" w:hAnsi="Times New Roman"/>
      <w:kern w:val="0"/>
      <w:sz w:val="20"/>
      <w:szCs w:val="20"/>
    </w:rPr>
  </w:style>
  <w:style w:type="character" w:customStyle="1" w:styleId="40">
    <w:name w:val="标题 1 字符1"/>
    <w:link w:val="3"/>
    <w:qFormat/>
    <w:uiPriority w:val="0"/>
    <w:rPr>
      <w:kern w:val="44"/>
      <w:sz w:val="28"/>
      <w:szCs w:val="28"/>
    </w:rPr>
  </w:style>
  <w:style w:type="paragraph" w:customStyle="1" w:styleId="41">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42">
    <w:name w:val="正题"/>
    <w:basedOn w:val="41"/>
    <w:next w:val="41"/>
    <w:qFormat/>
    <w:uiPriority w:val="0"/>
    <w:pPr>
      <w:ind w:firstLine="0" w:firstLineChars="0"/>
      <w:jc w:val="center"/>
    </w:pPr>
    <w:rPr>
      <w:rFonts w:eastAsia="黑体"/>
      <w:b/>
      <w:sz w:val="36"/>
      <w:szCs w:val="36"/>
    </w:rPr>
  </w:style>
  <w:style w:type="paragraph" w:customStyle="1" w:styleId="43">
    <w:name w:val="NNE TabelTekst"/>
    <w:basedOn w:val="1"/>
    <w:qFormat/>
    <w:uiPriority w:val="0"/>
    <w:pPr>
      <w:spacing w:before="40" w:after="40"/>
    </w:pPr>
    <w:rPr>
      <w:rFonts w:cs="Times New Roman"/>
      <w:bCs/>
      <w:spacing w:val="0"/>
    </w:rPr>
  </w:style>
  <w:style w:type="paragraph" w:customStyle="1" w:styleId="4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5">
    <w:name w:val="s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47588</Words>
  <Characters>50566</Characters>
  <Lines>0</Lines>
  <Paragraphs>0</Paragraphs>
  <TotalTime>52</TotalTime>
  <ScaleCrop>false</ScaleCrop>
  <LinksUpToDate>false</LinksUpToDate>
  <CharactersWithSpaces>52098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Aqq67</dc:creator>
  <cp:lastModifiedBy>张杰</cp:lastModifiedBy>
  <dcterms:modified xsi:type="dcterms:W3CDTF">2025-08-06T06:17:14Z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KSOTemplateDocerSaveRecord">
    <vt:lpwstr>eyJoZGlkIjoiMzIwYzAyYzFkN2E5NmFlNDZkOTE0YjBkZDlkYjVjNjkiLCJ1c2VySWQiOiI0NDMxNDA5OTMifQ==</vt:lpwstr>
  </property>
  <property fmtid="{D5CDD505-2E9C-101B-9397-08002B2CF9AE}" pid="4" name="ICV">
    <vt:lpwstr>C71006F827EB407783DAE30E4DD7CF55</vt:lpwstr>
  </property>
</Properties>
</file>